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olors1.xml" ContentType="application/vnd.ms-office.chartcolorstyle+xml"/>
  <Override PartName="/word/charts/colors10.xml" ContentType="application/vnd.ms-office.chartcolorstyle+xml"/>
  <Override PartName="/word/charts/colors11.xml" ContentType="application/vnd.ms-office.chartcolorstyle+xml"/>
  <Override PartName="/word/charts/colors12.xml" ContentType="application/vnd.ms-office.chartcolorstyle+xml"/>
  <Override PartName="/word/charts/colors13.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colors5.xml" ContentType="application/vnd.ms-office.chartcolorstyle+xml"/>
  <Override PartName="/word/charts/colors6.xml" ContentType="application/vnd.ms-office.chartcolorstyle+xml"/>
  <Override PartName="/word/charts/colors7.xml" ContentType="application/vnd.ms-office.chartcolorstyle+xml"/>
  <Override PartName="/word/charts/colors8.xml" ContentType="application/vnd.ms-office.chartcolorstyle+xml"/>
  <Override PartName="/word/charts/colors9.xml" ContentType="application/vnd.ms-office.chartcolorstyle+xml"/>
  <Override PartName="/word/charts/style1.xml" ContentType="application/vnd.ms-office.chartstyle+xml"/>
  <Override PartName="/word/charts/style10.xml" ContentType="application/vnd.ms-office.chartstyle+xml"/>
  <Override PartName="/word/charts/style11.xml" ContentType="application/vnd.ms-office.chartstyle+xml"/>
  <Override PartName="/word/charts/style12.xml" ContentType="application/vnd.ms-office.chartstyle+xml"/>
  <Override PartName="/word/charts/style13.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charts/style5.xml" ContentType="application/vnd.ms-office.chartstyle+xml"/>
  <Override PartName="/word/charts/style6.xml" ContentType="application/vnd.ms-office.chartstyle+xml"/>
  <Override PartName="/word/charts/style7.xml" ContentType="application/vnd.ms-office.chartstyle+xml"/>
  <Override PartName="/word/charts/style8.xml" ContentType="application/vnd.ms-office.chartstyle+xml"/>
  <Override PartName="/word/charts/style9.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20345A7">
      <w:r>
        <w:rPr>
          <w:rFonts w:hint="eastAsia" w:eastAsiaTheme="minorEastAsia"/>
          <w:lang w:eastAsia="zh-CN"/>
        </w:rPr>
        <w:drawing>
          <wp:anchor distT="0" distB="0" distL="114300" distR="114300" simplePos="0" relativeHeight="251664384" behindDoc="0" locked="0" layoutInCell="1" allowOverlap="1">
            <wp:simplePos x="0" y="0"/>
            <wp:positionH relativeFrom="column">
              <wp:posOffset>-1156970</wp:posOffset>
            </wp:positionH>
            <wp:positionV relativeFrom="paragraph">
              <wp:posOffset>-925830</wp:posOffset>
            </wp:positionV>
            <wp:extent cx="7616825" cy="1706880"/>
            <wp:effectExtent l="0" t="0" r="3175" b="7620"/>
            <wp:wrapSquare wrapText="bothSides"/>
            <wp:docPr id="8" name="图片 8" descr="480c1504-8f99-4fa8-a6a5-64fa4e5586f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480c1504-8f99-4fa8-a6a5-64fa4e5586fe1.gif"/>
                    <pic:cNvPicPr>
                      <a:picLocks noChangeAspect="1"/>
                    </pic:cNvPicPr>
                  </pic:nvPicPr>
                  <pic:blipFill>
                    <a:blip r:embed="rId9"/>
                    <a:srcRect b="89078"/>
                    <a:stretch>
                      <a:fillRect/>
                    </a:stretch>
                  </pic:blipFill>
                  <pic:spPr>
                    <a:xfrm>
                      <a:off x="0" y="0"/>
                      <a:ext cx="7616825" cy="1706880"/>
                    </a:xfrm>
                    <a:prstGeom prst="rect">
                      <a:avLst/>
                    </a:prstGeom>
                  </pic:spPr>
                </pic:pic>
              </a:graphicData>
            </a:graphic>
          </wp:anchor>
        </w:drawing>
      </w:r>
    </w:p>
    <w:p w14:paraId="5EDA41F9"/>
    <w:p w14:paraId="216AF235"/>
    <w:p w14:paraId="2AE521CB">
      <w:pPr>
        <w:rPr>
          <w:rFonts w:hint="eastAsia" w:eastAsiaTheme="minorEastAsia"/>
          <w:lang w:eastAsia="zh-CN"/>
        </w:rPr>
      </w:pPr>
    </w:p>
    <w:p w14:paraId="05EBC2EE">
      <w:pPr>
        <w:jc w:val="center"/>
      </w:pPr>
      <w:r>
        <w:rPr>
          <w:sz w:val="21"/>
        </w:rPr>
        <mc:AlternateContent>
          <mc:Choice Requires="wps">
            <w:drawing>
              <wp:anchor distT="0" distB="0" distL="114300" distR="114300" simplePos="0" relativeHeight="251665408" behindDoc="0" locked="0" layoutInCell="1" allowOverlap="1">
                <wp:simplePos x="0" y="0"/>
                <wp:positionH relativeFrom="column">
                  <wp:posOffset>-401320</wp:posOffset>
                </wp:positionH>
                <wp:positionV relativeFrom="paragraph">
                  <wp:posOffset>138430</wp:posOffset>
                </wp:positionV>
                <wp:extent cx="6174105" cy="1543685"/>
                <wp:effectExtent l="0" t="0" r="17145" b="18415"/>
                <wp:wrapNone/>
                <wp:docPr id="9" name="文本框 9"/>
                <wp:cNvGraphicFramePr/>
                <a:graphic xmlns:a="http://schemas.openxmlformats.org/drawingml/2006/main">
                  <a:graphicData uri="http://schemas.microsoft.com/office/word/2010/wordprocessingShape">
                    <wps:wsp>
                      <wps:cNvSpPr txBox="1"/>
                      <wps:spPr>
                        <a:xfrm>
                          <a:off x="0" y="0"/>
                          <a:ext cx="6174105" cy="15436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ECDA913">
                            <w:pPr>
                              <w:jc w:val="both"/>
                              <w:rPr>
                                <w:rFonts w:hint="eastAsia" w:ascii="方正小标宋简体" w:hAnsi="方正小标宋简体" w:eastAsia="方正小标宋简体" w:cs="方正小标宋简体"/>
                                <w:b/>
                                <w:bCs/>
                                <w:color w:val="5B9BD5" w:themeColor="accent1"/>
                                <w:spacing w:val="0"/>
                                <w:sz w:val="72"/>
                                <w:szCs w:val="14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ascii="方正小标宋简体" w:hAnsi="方正小标宋简体" w:eastAsia="方正小标宋简体" w:cs="方正小标宋简体"/>
                                <w:b/>
                                <w:bCs/>
                                <w:color w:val="5B9BD5" w:themeColor="accent1"/>
                                <w:spacing w:val="0"/>
                                <w:sz w:val="72"/>
                                <w:szCs w:val="14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朝阳市中等职业教育质量报告</w:t>
                            </w:r>
                          </w:p>
                          <w:p w14:paraId="67BB3CFF">
                            <w:pPr>
                              <w:jc w:val="center"/>
                              <w:rPr>
                                <w:rFonts w:hint="eastAsia" w:ascii="方正小标宋简体" w:hAnsi="方正小标宋简体" w:eastAsia="方正小标宋简体" w:cs="方正小标宋简体"/>
                                <w:b/>
                                <w:bCs/>
                                <w:color w:val="5B9BD5" w:themeColor="accent1"/>
                                <w:sz w:val="52"/>
                                <w:szCs w:val="52"/>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ascii="方正小标宋简体" w:hAnsi="方正小标宋简体" w:eastAsia="方正小标宋简体" w:cs="方正小标宋简体"/>
                                <w:b/>
                                <w:bCs/>
                                <w:color w:val="5B9BD5" w:themeColor="accent1"/>
                                <w:sz w:val="52"/>
                                <w:szCs w:val="52"/>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（2024年度）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6pt;margin-top:10.9pt;height:121.55pt;width:486.15pt;z-index:251665408;mso-width-relative:page;mso-height-relative:page;" fillcolor="#FFFFFF [3201]" filled="t" stroked="f" coordsize="21600,21600" o:gfxdata="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FHHZP1QAAAAoBAAAPAAAA&#10;AAAAAAEAIAAAACIAAABkcnMvZG93bnJldi54bWxQSwECFAAUAAAACACHTuJA+WKmDVECAACQBAAA&#10;DgAAAAAAAAABACAAAAAkAQAAZHJzL2Uyb0RvYy54bWxQSwUGAAAAAAYABgBZAQAA5wUAAAAA&#10;">
                <v:fill on="t" focussize="0,0"/>
                <v:stroke on="f" weight="0.5pt"/>
                <v:imagedata o:title=""/>
                <o:lock v:ext="edit" aspectratio="f"/>
                <v:textbox>
                  <w:txbxContent>
                    <w:p w14:paraId="6ECDA913">
                      <w:pPr>
                        <w:jc w:val="both"/>
                        <w:rPr>
                          <w:rFonts w:hint="eastAsia" w:ascii="方正小标宋简体" w:hAnsi="方正小标宋简体" w:eastAsia="方正小标宋简体" w:cs="方正小标宋简体"/>
                          <w:b/>
                          <w:bCs/>
                          <w:color w:val="5B9BD5" w:themeColor="accent1"/>
                          <w:spacing w:val="0"/>
                          <w:sz w:val="72"/>
                          <w:szCs w:val="14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ascii="方正小标宋简体" w:hAnsi="方正小标宋简体" w:eastAsia="方正小标宋简体" w:cs="方正小标宋简体"/>
                          <w:b/>
                          <w:bCs/>
                          <w:color w:val="5B9BD5" w:themeColor="accent1"/>
                          <w:spacing w:val="0"/>
                          <w:sz w:val="72"/>
                          <w:szCs w:val="14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朝阳市中等职业教育质量报告</w:t>
                      </w:r>
                    </w:p>
                    <w:p w14:paraId="67BB3CFF">
                      <w:pPr>
                        <w:jc w:val="center"/>
                        <w:rPr>
                          <w:rFonts w:hint="eastAsia" w:ascii="方正小标宋简体" w:hAnsi="方正小标宋简体" w:eastAsia="方正小标宋简体" w:cs="方正小标宋简体"/>
                          <w:b/>
                          <w:bCs/>
                          <w:color w:val="5B9BD5" w:themeColor="accent1"/>
                          <w:sz w:val="52"/>
                          <w:szCs w:val="52"/>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ascii="方正小标宋简体" w:hAnsi="方正小标宋简体" w:eastAsia="方正小标宋简体" w:cs="方正小标宋简体"/>
                          <w:b/>
                          <w:bCs/>
                          <w:color w:val="5B9BD5" w:themeColor="accent1"/>
                          <w:sz w:val="52"/>
                          <w:szCs w:val="52"/>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（2024年度）</w:t>
                      </w:r>
                    </w:p>
                  </w:txbxContent>
                </v:textbox>
              </v:shape>
            </w:pict>
          </mc:Fallback>
        </mc:AlternateContent>
      </w:r>
    </w:p>
    <w:p w14:paraId="07E77399"/>
    <w:p w14:paraId="032EB7DA"/>
    <w:p w14:paraId="5CFAE96A"/>
    <w:p w14:paraId="744DA167"/>
    <w:p w14:paraId="464E52BB"/>
    <w:p w14:paraId="4BE3D08C"/>
    <w:p w14:paraId="63D60E5F">
      <w:pPr>
        <w:pStyle w:val="2"/>
        <w:outlineLvl w:val="9"/>
      </w:pPr>
    </w:p>
    <w:p w14:paraId="3175FCD7"/>
    <w:p w14:paraId="47C281E1">
      <w:pPr>
        <w:pStyle w:val="2"/>
        <w:outlineLvl w:val="9"/>
      </w:pPr>
    </w:p>
    <w:p w14:paraId="78D596D0"/>
    <w:p w14:paraId="6A5E56F2">
      <w:pPr>
        <w:pStyle w:val="2"/>
        <w:outlineLvl w:val="9"/>
      </w:pPr>
    </w:p>
    <w:p w14:paraId="1CF3B987">
      <w:bookmarkStart w:id="326" w:name="_GoBack"/>
      <w:bookmarkEnd w:id="326"/>
    </w:p>
    <w:p w14:paraId="6938A5A2">
      <w:pPr>
        <w:pStyle w:val="2"/>
        <w:ind w:left="0" w:leftChars="0" w:firstLine="0" w:firstLineChars="0"/>
        <w:outlineLvl w:val="9"/>
      </w:pPr>
    </w:p>
    <w:p w14:paraId="57F1AC88"/>
    <w:p w14:paraId="01D31FA9">
      <w:pPr>
        <w:pStyle w:val="2"/>
        <w:outlineLvl w:val="9"/>
      </w:pPr>
    </w:p>
    <w:p w14:paraId="1FD9D7F8">
      <w:pPr>
        <w:pStyle w:val="2"/>
        <w:ind w:left="0" w:leftChars="0" w:firstLine="0" w:firstLineChars="0"/>
        <w:outlineLvl w:val="9"/>
      </w:pPr>
      <w:r>
        <w:rPr>
          <w:sz w:val="21"/>
        </w:rPr>
        <mc:AlternateContent>
          <mc:Choice Requires="wps">
            <w:drawing>
              <wp:anchor distT="0" distB="0" distL="114300" distR="114300" simplePos="0" relativeHeight="251666432" behindDoc="0" locked="0" layoutInCell="1" allowOverlap="1">
                <wp:simplePos x="0" y="0"/>
                <wp:positionH relativeFrom="column">
                  <wp:posOffset>1068070</wp:posOffset>
                </wp:positionH>
                <wp:positionV relativeFrom="paragraph">
                  <wp:posOffset>146050</wp:posOffset>
                </wp:positionV>
                <wp:extent cx="3509645" cy="1350645"/>
                <wp:effectExtent l="0" t="0" r="14605" b="1905"/>
                <wp:wrapNone/>
                <wp:docPr id="11" name="文本框 11"/>
                <wp:cNvGraphicFramePr/>
                <a:graphic xmlns:a="http://schemas.openxmlformats.org/drawingml/2006/main">
                  <a:graphicData uri="http://schemas.microsoft.com/office/word/2010/wordprocessingShape">
                    <wps:wsp>
                      <wps:cNvSpPr txBox="1"/>
                      <wps:spPr>
                        <a:xfrm>
                          <a:off x="0" y="0"/>
                          <a:ext cx="3509645" cy="135064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9931504">
                            <w:pPr>
                              <w:jc w:val="center"/>
                              <w:rPr>
                                <w:rFonts w:hint="eastAsia" w:ascii="黑体" w:hAnsi="黑体" w:eastAsia="黑体" w:cs="黑体"/>
                                <w:color w:val="5B9BD5" w:themeColor="accent1"/>
                                <w:sz w:val="40"/>
                                <w:szCs w:val="48"/>
                                <w:lang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ascii="黑体" w:hAnsi="黑体" w:eastAsia="黑体" w:cs="黑体"/>
                                <w:color w:val="5B9BD5" w:themeColor="accent1"/>
                                <w:sz w:val="40"/>
                                <w:szCs w:val="48"/>
                                <w:lang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朝阳市教育局</w:t>
                            </w:r>
                          </w:p>
                          <w:p w14:paraId="5B8A20DD">
                            <w:pPr>
                              <w:pStyle w:val="2"/>
                              <w:jc w:val="both"/>
                              <w:rPr>
                                <w:rFonts w:hint="eastAsia"/>
                                <w:color w:val="5B9BD5" w:themeColor="accent1"/>
                                <w:lang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p>
                          <w:p w14:paraId="43E5AF1A">
                            <w:pPr>
                              <w:jc w:val="center"/>
                              <w:rPr>
                                <w:rFonts w:hint="eastAsia" w:ascii="黑体" w:hAnsi="黑体" w:eastAsia="黑体" w:cs="黑体"/>
                                <w:color w:val="5B9BD5" w:themeColor="accent1"/>
                                <w:sz w:val="40"/>
                                <w:szCs w:val="48"/>
                                <w:lang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ascii="黑体" w:hAnsi="黑体" w:eastAsia="黑体" w:cs="黑体"/>
                                <w:color w:val="5B9BD5" w:themeColor="accent1"/>
                                <w:sz w:val="40"/>
                                <w:szCs w:val="48"/>
                                <w:lang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二零二五年</w:t>
                            </w:r>
                            <w:r>
                              <w:rPr>
                                <w:rFonts w:hint="eastAsia" w:ascii="黑体" w:hAnsi="黑体" w:eastAsia="黑体" w:cs="黑体"/>
                                <w:color w:val="5B9BD5" w:themeColor="accent1"/>
                                <w:sz w:val="40"/>
                                <w:szCs w:val="48"/>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二月</w:t>
                            </w:r>
                          </w:p>
                          <w:p w14:paraId="1C095636">
                            <w:pPr>
                              <w:pStyle w:val="2"/>
                              <w:jc w:val="center"/>
                              <w:rPr>
                                <w:rFonts w:hint="eastAsia"/>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4.1pt;margin-top:11.5pt;height:106.35pt;width:276.35pt;z-index:251666432;mso-width-relative:page;mso-height-relative:page;" fillcolor="#FFFFFF [3201]" filled="t" stroked="f" coordsize="21600,21600" o:gfxdata="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CeOYqPVAAAACgEAAA8AAAAAAAAA&#10;AQAgAAAAIgAAAGRycy9kb3ducmV2LnhtbFBLAQIUABQAAAAIAIdO4kB6XZOxTQIAAJIEAAAOAAAA&#10;AAAAAAEAIAAAACQBAABkcnMvZTJvRG9jLnhtbFBLBQYAAAAABgAGAFkBAADjBQAAAAA=&#10;">
                <v:fill on="t" focussize="0,0"/>
                <v:stroke on="f" weight="0.5pt"/>
                <v:imagedata o:title=""/>
                <o:lock v:ext="edit" aspectratio="f"/>
                <v:textbox>
                  <w:txbxContent>
                    <w:p w14:paraId="09931504">
                      <w:pPr>
                        <w:jc w:val="center"/>
                        <w:rPr>
                          <w:rFonts w:hint="eastAsia" w:ascii="黑体" w:hAnsi="黑体" w:eastAsia="黑体" w:cs="黑体"/>
                          <w:color w:val="5B9BD5" w:themeColor="accent1"/>
                          <w:sz w:val="40"/>
                          <w:szCs w:val="48"/>
                          <w:lang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ascii="黑体" w:hAnsi="黑体" w:eastAsia="黑体" w:cs="黑体"/>
                          <w:color w:val="5B9BD5" w:themeColor="accent1"/>
                          <w:sz w:val="40"/>
                          <w:szCs w:val="48"/>
                          <w:lang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朝阳市教育局</w:t>
                      </w:r>
                    </w:p>
                    <w:p w14:paraId="5B8A20DD">
                      <w:pPr>
                        <w:pStyle w:val="2"/>
                        <w:jc w:val="both"/>
                        <w:rPr>
                          <w:rFonts w:hint="eastAsia"/>
                          <w:color w:val="5B9BD5" w:themeColor="accent1"/>
                          <w:lang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p>
                    <w:p w14:paraId="43E5AF1A">
                      <w:pPr>
                        <w:jc w:val="center"/>
                        <w:rPr>
                          <w:rFonts w:hint="eastAsia" w:ascii="黑体" w:hAnsi="黑体" w:eastAsia="黑体" w:cs="黑体"/>
                          <w:color w:val="5B9BD5" w:themeColor="accent1"/>
                          <w:sz w:val="40"/>
                          <w:szCs w:val="48"/>
                          <w:lang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ascii="黑体" w:hAnsi="黑体" w:eastAsia="黑体" w:cs="黑体"/>
                          <w:color w:val="5B9BD5" w:themeColor="accent1"/>
                          <w:sz w:val="40"/>
                          <w:szCs w:val="48"/>
                          <w:lang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二零二五年</w:t>
                      </w:r>
                      <w:r>
                        <w:rPr>
                          <w:rFonts w:hint="eastAsia" w:ascii="黑体" w:hAnsi="黑体" w:eastAsia="黑体" w:cs="黑体"/>
                          <w:color w:val="5B9BD5" w:themeColor="accent1"/>
                          <w:sz w:val="40"/>
                          <w:szCs w:val="48"/>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二月</w:t>
                      </w:r>
                    </w:p>
                    <w:p w14:paraId="1C095636">
                      <w:pPr>
                        <w:pStyle w:val="2"/>
                        <w:jc w:val="center"/>
                        <w:rPr>
                          <w:rFonts w:hint="eastAsia"/>
                          <w:lang w:eastAsia="zh-CN"/>
                        </w:rPr>
                      </w:pPr>
                    </w:p>
                  </w:txbxContent>
                </v:textbox>
              </v:shape>
            </w:pict>
          </mc:Fallback>
        </mc:AlternateContent>
      </w:r>
    </w:p>
    <w:p w14:paraId="2A257128"/>
    <w:p w14:paraId="0C71FA59">
      <w:pPr>
        <w:pStyle w:val="2"/>
        <w:outlineLvl w:val="9"/>
      </w:pPr>
    </w:p>
    <w:p w14:paraId="5C160DD7"/>
    <w:p w14:paraId="0139136A">
      <w:pPr>
        <w:pStyle w:val="2"/>
        <w:outlineLvl w:val="9"/>
      </w:pPr>
    </w:p>
    <w:p w14:paraId="0511F4A4">
      <w:pPr>
        <w:pStyle w:val="2"/>
        <w:outlineLvl w:val="9"/>
      </w:pPr>
    </w:p>
    <w:p w14:paraId="4B59E6AE">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kern w:val="2"/>
          <w:sz w:val="44"/>
          <w:szCs w:val="44"/>
          <w:lang w:val="en-US" w:eastAsia="zh-CN" w:bidi="ar-SA"/>
        </w:rPr>
      </w:pPr>
      <w:r>
        <w:rPr>
          <w:rFonts w:hint="eastAsia" w:eastAsiaTheme="minorEastAsia"/>
          <w:lang w:eastAsia="zh-CN"/>
        </w:rPr>
        <w:drawing>
          <wp:anchor distT="0" distB="0" distL="114300" distR="114300" simplePos="0" relativeHeight="251663360" behindDoc="0" locked="0" layoutInCell="1" allowOverlap="1">
            <wp:simplePos x="0" y="0"/>
            <wp:positionH relativeFrom="column">
              <wp:posOffset>-1558925</wp:posOffset>
            </wp:positionH>
            <wp:positionV relativeFrom="paragraph">
              <wp:posOffset>650240</wp:posOffset>
            </wp:positionV>
            <wp:extent cx="8311515" cy="2799715"/>
            <wp:effectExtent l="0" t="0" r="13335" b="0"/>
            <wp:wrapNone/>
            <wp:docPr id="7" name="图片 7" descr="480c1504-8f99-4fa8-a6a5-64fa4e5586f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480c1504-8f99-4fa8-a6a5-64fa4e5586fe1.gif"/>
                    <pic:cNvPicPr>
                      <a:picLocks noChangeAspect="1"/>
                    </pic:cNvPicPr>
                  </pic:nvPicPr>
                  <pic:blipFill>
                    <a:blip r:embed="rId9"/>
                    <a:srcRect l="-248" t="87444" r="248" b="-6677"/>
                    <a:stretch>
                      <a:fillRect/>
                    </a:stretch>
                  </pic:blipFill>
                  <pic:spPr>
                    <a:xfrm>
                      <a:off x="0" y="0"/>
                      <a:ext cx="8311515" cy="2799715"/>
                    </a:xfrm>
                    <a:prstGeom prst="rect">
                      <a:avLst/>
                    </a:prstGeom>
                  </pic:spPr>
                </pic:pic>
              </a:graphicData>
            </a:graphic>
          </wp:anchor>
        </w:drawing>
      </w:r>
    </w:p>
    <w:p w14:paraId="50FB41A8">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kern w:val="2"/>
          <w:sz w:val="44"/>
          <w:szCs w:val="44"/>
          <w:lang w:val="en-US" w:eastAsia="zh-CN" w:bidi="ar-SA"/>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AD19203">
      <w:pPr>
        <w:pStyle w:val="2"/>
        <w:ind w:left="0" w:leftChars="0" w:firstLine="0" w:firstLineChars="0"/>
        <w:jc w:val="center"/>
        <w:outlineLvl w:val="0"/>
        <w:rPr>
          <w:rFonts w:hint="eastAsia" w:ascii="方正小标宋简体" w:hAnsi="方正小标宋简体" w:eastAsia="方正小标宋简体" w:cs="方正小标宋简体"/>
          <w:sz w:val="44"/>
          <w:szCs w:val="44"/>
          <w:lang w:val="en-US" w:eastAsia="zh-CN"/>
        </w:rPr>
      </w:pPr>
      <w:bookmarkStart w:id="0" w:name="_Toc23655"/>
      <w:r>
        <w:rPr>
          <w:rFonts w:hint="eastAsia" w:ascii="方正小标宋简体" w:hAnsi="方正小标宋简体" w:eastAsia="方正小标宋简体" w:cs="方正小标宋简体"/>
          <w:sz w:val="44"/>
          <w:szCs w:val="44"/>
          <w:lang w:val="en-US" w:eastAsia="zh-CN"/>
        </w:rPr>
        <w:t>年报发布</w:t>
      </w:r>
      <w:bookmarkEnd w:id="0"/>
    </w:p>
    <w:p w14:paraId="5B416A5D">
      <w:pPr>
        <w:pStyle w:val="2"/>
        <w:ind w:left="0" w:leftChars="0" w:firstLine="0" w:firstLineChars="0"/>
        <w:outlineLvl w:val="9"/>
        <w:rPr>
          <w:rFonts w:hint="eastAsia" w:ascii="仿宋_GB2312" w:hAnsi="仿宋_GB2312" w:eastAsia="仿宋_GB2312" w:cs="仿宋_GB2312"/>
          <w:sz w:val="32"/>
          <w:szCs w:val="32"/>
          <w:lang w:val="en-US" w:eastAsia="zh-CN"/>
        </w:rPr>
      </w:pPr>
    </w:p>
    <w:p w14:paraId="07B0B4A9">
      <w:pPr>
        <w:pStyle w:val="2"/>
        <w:ind w:left="0" w:leftChars="0" w:firstLine="0" w:firstLineChars="0"/>
        <w:jc w:val="center"/>
        <w:outlineLvl w:val="0"/>
        <w:rPr>
          <w:rFonts w:hint="eastAsia" w:ascii="仿宋_GB2312" w:hAnsi="仿宋_GB2312" w:eastAsia="仿宋_GB2312" w:cs="仿宋_GB2312"/>
          <w:sz w:val="32"/>
          <w:szCs w:val="32"/>
          <w:lang w:val="en-US" w:eastAsia="zh-CN"/>
        </w:rPr>
      </w:pPr>
      <w:bookmarkStart w:id="1" w:name="_Toc24086"/>
      <w:r>
        <w:rPr>
          <w:rFonts w:hint="eastAsia" w:ascii="仿宋_GB2312" w:hAnsi="仿宋_GB2312" w:eastAsia="仿宋_GB2312" w:cs="仿宋_GB2312"/>
          <w:sz w:val="32"/>
          <w:szCs w:val="32"/>
          <w:lang w:val="en-US" w:eastAsia="zh-CN"/>
        </w:rPr>
        <w:t>年报发布网站:朝阳市教育局官方网站</w:t>
      </w:r>
      <w:bookmarkEnd w:id="1"/>
    </w:p>
    <w:p w14:paraId="10925BAF">
      <w:pPr>
        <w:pStyle w:val="2"/>
        <w:ind w:left="0" w:leftChars="0" w:firstLine="0" w:firstLineChars="0"/>
        <w:jc w:val="center"/>
        <w:outlineLvl w:val="0"/>
        <w:rPr>
          <w:rFonts w:hint="eastAsia"/>
          <w:lang w:val="en-US" w:eastAsia="zh-CN"/>
        </w:rPr>
      </w:pPr>
      <w:bookmarkStart w:id="2" w:name="_Toc20485"/>
      <w:r>
        <w:rPr>
          <w:rFonts w:hint="eastAsia" w:ascii="仿宋_GB2312" w:hAnsi="仿宋_GB2312" w:eastAsia="仿宋_GB2312" w:cs="仿宋_GB2312"/>
          <w:sz w:val="32"/>
          <w:szCs w:val="32"/>
          <w:lang w:val="en-US" w:eastAsia="zh-CN"/>
        </w:rPr>
        <w:t>网址:https://jyj.chaoyang.gov.cn/</w:t>
      </w:r>
      <w:bookmarkEnd w:id="2"/>
    </w:p>
    <w:p w14:paraId="764930D2">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kern w:val="2"/>
          <w:sz w:val="44"/>
          <w:szCs w:val="44"/>
          <w:lang w:val="en-US" w:eastAsia="zh-CN" w:bidi="ar-SA"/>
        </w:rPr>
      </w:pPr>
    </w:p>
    <w:p w14:paraId="269F03BE">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kern w:val="2"/>
          <w:sz w:val="44"/>
          <w:szCs w:val="44"/>
          <w:lang w:val="en-US" w:eastAsia="zh-CN" w:bidi="ar-SA"/>
        </w:rPr>
      </w:pPr>
    </w:p>
    <w:p w14:paraId="13824D0C">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kern w:val="2"/>
          <w:sz w:val="44"/>
          <w:szCs w:val="44"/>
          <w:lang w:val="en-US" w:eastAsia="zh-CN" w:bidi="ar-SA"/>
        </w:rPr>
      </w:pPr>
    </w:p>
    <w:p w14:paraId="46334B95">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kern w:val="2"/>
          <w:sz w:val="44"/>
          <w:szCs w:val="44"/>
          <w:lang w:val="en-US" w:eastAsia="zh-CN" w:bidi="ar-SA"/>
        </w:rPr>
      </w:pPr>
    </w:p>
    <w:p w14:paraId="2521A77D">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kern w:val="2"/>
          <w:sz w:val="44"/>
          <w:szCs w:val="44"/>
          <w:lang w:val="en-US" w:eastAsia="zh-CN" w:bidi="ar-SA"/>
        </w:rPr>
      </w:pPr>
    </w:p>
    <w:p w14:paraId="4D4D820D">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kern w:val="2"/>
          <w:sz w:val="44"/>
          <w:szCs w:val="44"/>
          <w:lang w:val="en-US" w:eastAsia="zh-CN" w:bidi="ar-SA"/>
        </w:rPr>
      </w:pPr>
    </w:p>
    <w:p w14:paraId="79BF5936">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kern w:val="2"/>
          <w:sz w:val="44"/>
          <w:szCs w:val="44"/>
          <w:lang w:val="en-US" w:eastAsia="zh-CN" w:bidi="ar-SA"/>
        </w:rPr>
      </w:pPr>
    </w:p>
    <w:p w14:paraId="6B758741">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kern w:val="2"/>
          <w:sz w:val="44"/>
          <w:szCs w:val="44"/>
          <w:lang w:val="en-US" w:eastAsia="zh-CN" w:bidi="ar-SA"/>
        </w:rPr>
      </w:pPr>
    </w:p>
    <w:p w14:paraId="2F4EE504">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kern w:val="2"/>
          <w:sz w:val="44"/>
          <w:szCs w:val="44"/>
          <w:lang w:val="en-US" w:eastAsia="zh-CN" w:bidi="ar-SA"/>
        </w:rPr>
      </w:pPr>
    </w:p>
    <w:p w14:paraId="6A2C1876">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kern w:val="2"/>
          <w:sz w:val="44"/>
          <w:szCs w:val="44"/>
          <w:lang w:val="en-US" w:eastAsia="zh-CN" w:bidi="ar-SA"/>
        </w:rPr>
      </w:pPr>
    </w:p>
    <w:p w14:paraId="1875A4A6">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kern w:val="2"/>
          <w:sz w:val="44"/>
          <w:szCs w:val="44"/>
          <w:lang w:val="en-US" w:eastAsia="zh-CN" w:bidi="ar-SA"/>
        </w:rPr>
      </w:pPr>
    </w:p>
    <w:p w14:paraId="616805C5">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kern w:val="2"/>
          <w:sz w:val="44"/>
          <w:szCs w:val="44"/>
          <w:lang w:val="en-US" w:eastAsia="zh-CN" w:bidi="ar-SA"/>
        </w:rPr>
      </w:pPr>
    </w:p>
    <w:p w14:paraId="677660B5">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kern w:val="2"/>
          <w:sz w:val="44"/>
          <w:szCs w:val="44"/>
          <w:lang w:val="en-US" w:eastAsia="zh-CN" w:bidi="ar-SA"/>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sdt>
      <w:sdtPr>
        <w:rPr>
          <w:rFonts w:ascii="宋体" w:hAnsi="宋体" w:eastAsia="宋体" w:cstheme="minorBidi"/>
          <w:kern w:val="2"/>
          <w:sz w:val="21"/>
          <w:szCs w:val="24"/>
          <w:lang w:val="en-US" w:eastAsia="zh-CN" w:bidi="ar-SA"/>
        </w:rPr>
        <w:id w:val="147472062"/>
        <w15:color w:val="DBDBDB"/>
        <w:docPartObj>
          <w:docPartGallery w:val="Table of Contents"/>
          <w:docPartUnique/>
        </w:docPartObj>
      </w:sdtPr>
      <w:sdtEndPr>
        <w:rPr>
          <w:rFonts w:ascii="宋体" w:hAnsi="宋体" w:eastAsia="宋体" w:cstheme="minorBidi"/>
          <w:kern w:val="2"/>
          <w:sz w:val="21"/>
          <w:szCs w:val="24"/>
          <w:lang w:val="en-US" w:eastAsia="zh-CN" w:bidi="ar-SA"/>
        </w:rPr>
      </w:sdtEndPr>
      <w:sdtContent>
        <w:p w14:paraId="3F57BFAB">
          <w:pPr>
            <w:spacing w:before="0" w:beforeLines="0" w:after="0" w:afterLines="0" w:line="240" w:lineRule="auto"/>
            <w:ind w:left="0" w:leftChars="0" w:right="0" w:rightChars="0" w:firstLine="0" w:firstLineChars="0"/>
            <w:jc w:val="center"/>
            <w:rPr>
              <w:rFonts w:hint="eastAsia" w:ascii="楷体" w:hAnsi="楷体" w:eastAsia="楷体" w:cs="楷体"/>
              <w:sz w:val="24"/>
              <w:szCs w:val="24"/>
            </w:rPr>
          </w:pPr>
          <w:r>
            <w:rPr>
              <w:rFonts w:hint="eastAsia" w:ascii="方正小标宋简体" w:hAnsi="方正小标宋简体" w:eastAsia="方正小标宋简体" w:cs="方正小标宋简体"/>
              <w:sz w:val="32"/>
              <w:szCs w:val="32"/>
              <w:lang w:val="en-US" w:eastAsia="zh-CN"/>
            </w:rPr>
            <w:t>目 录</w:t>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TOC \o "1-3" \h \u </w:instrText>
          </w:r>
          <w:r>
            <w:rPr>
              <w:rFonts w:hint="eastAsia" w:ascii="楷体" w:hAnsi="楷体" w:eastAsia="楷体" w:cs="楷体"/>
              <w:sz w:val="24"/>
              <w:szCs w:val="24"/>
            </w:rPr>
            <w:fldChar w:fldCharType="separate"/>
          </w:r>
        </w:p>
        <w:p w14:paraId="09F29B0E">
          <w:pPr>
            <w:pStyle w:val="24"/>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_Toc27387 </w:instrText>
          </w:r>
          <w:r>
            <w:rPr>
              <w:rFonts w:hint="eastAsia" w:ascii="楷体" w:hAnsi="楷体" w:eastAsia="楷体" w:cs="楷体"/>
              <w:sz w:val="24"/>
              <w:szCs w:val="24"/>
            </w:rPr>
            <w:fldChar w:fldCharType="separate"/>
          </w:r>
          <w:r>
            <w:rPr>
              <w:rFonts w:hint="eastAsia" w:ascii="楷体" w:hAnsi="楷体" w:eastAsia="楷体" w:cs="楷体"/>
              <w:kern w:val="2"/>
              <w:sz w:val="24"/>
              <w:szCs w:val="24"/>
              <w:lang w:val="en-US" w:eastAsia="zh-CN" w:bidi="ar-SA"/>
            </w:rPr>
            <w:t>前   言</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_Toc27387 \h </w:instrText>
          </w:r>
          <w:r>
            <w:rPr>
              <w:rFonts w:hint="eastAsia" w:ascii="楷体" w:hAnsi="楷体" w:eastAsia="楷体" w:cs="楷体"/>
              <w:sz w:val="24"/>
              <w:szCs w:val="24"/>
            </w:rPr>
            <w:fldChar w:fldCharType="separate"/>
          </w:r>
          <w:r>
            <w:rPr>
              <w:rFonts w:hint="eastAsia" w:ascii="楷体" w:hAnsi="楷体" w:eastAsia="楷体" w:cs="楷体"/>
              <w:sz w:val="24"/>
              <w:szCs w:val="24"/>
            </w:rPr>
            <w:t>8</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55D5D192">
          <w:pPr>
            <w:pStyle w:val="24"/>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_Toc1728 </w:instrText>
          </w:r>
          <w:r>
            <w:rPr>
              <w:rFonts w:hint="eastAsia" w:ascii="楷体" w:hAnsi="楷体" w:eastAsia="楷体" w:cs="楷体"/>
              <w:sz w:val="24"/>
              <w:szCs w:val="24"/>
            </w:rPr>
            <w:fldChar w:fldCharType="separate"/>
          </w:r>
          <w:r>
            <w:rPr>
              <w:rFonts w:hint="eastAsia" w:ascii="楷体" w:hAnsi="楷体" w:eastAsia="楷体" w:cs="楷体"/>
              <w:bCs/>
              <w:sz w:val="24"/>
              <w:szCs w:val="24"/>
              <w:lang w:val="en-US" w:eastAsia="zh-CN"/>
            </w:rPr>
            <w:t>1.基本情况</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_Toc1728 \h </w:instrText>
          </w:r>
          <w:r>
            <w:rPr>
              <w:rFonts w:hint="eastAsia" w:ascii="楷体" w:hAnsi="楷体" w:eastAsia="楷体" w:cs="楷体"/>
              <w:sz w:val="24"/>
              <w:szCs w:val="24"/>
            </w:rPr>
            <w:fldChar w:fldCharType="separate"/>
          </w:r>
          <w:r>
            <w:rPr>
              <w:rFonts w:hint="eastAsia" w:ascii="楷体" w:hAnsi="楷体" w:eastAsia="楷体" w:cs="楷体"/>
              <w:sz w:val="24"/>
              <w:szCs w:val="24"/>
            </w:rPr>
            <w:t>9</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2DB347F8">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_Toc28843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1.1本市概况</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_Toc28843 \h </w:instrText>
          </w:r>
          <w:r>
            <w:rPr>
              <w:rFonts w:hint="eastAsia" w:ascii="楷体" w:hAnsi="楷体" w:eastAsia="楷体" w:cs="楷体"/>
              <w:sz w:val="24"/>
              <w:szCs w:val="24"/>
            </w:rPr>
            <w:fldChar w:fldCharType="separate"/>
          </w:r>
          <w:r>
            <w:rPr>
              <w:rFonts w:hint="eastAsia" w:ascii="楷体" w:hAnsi="楷体" w:eastAsia="楷体" w:cs="楷体"/>
              <w:sz w:val="24"/>
              <w:szCs w:val="24"/>
            </w:rPr>
            <w:t>9</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27380ACE">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_Toc12711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1.2专业设置</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_Toc12711 \h </w:instrText>
          </w:r>
          <w:r>
            <w:rPr>
              <w:rFonts w:hint="eastAsia" w:ascii="楷体" w:hAnsi="楷体" w:eastAsia="楷体" w:cs="楷体"/>
              <w:sz w:val="24"/>
              <w:szCs w:val="24"/>
            </w:rPr>
            <w:fldChar w:fldCharType="separate"/>
          </w:r>
          <w:r>
            <w:rPr>
              <w:rFonts w:hint="eastAsia" w:ascii="楷体" w:hAnsi="楷体" w:eastAsia="楷体" w:cs="楷体"/>
              <w:sz w:val="24"/>
              <w:szCs w:val="24"/>
            </w:rPr>
            <w:t>9</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449013E8">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_Toc3878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1.3</w:t>
          </w:r>
          <w:r>
            <w:rPr>
              <w:rFonts w:hint="eastAsia" w:ascii="楷体" w:hAnsi="楷体" w:eastAsia="楷体" w:cs="楷体"/>
              <w:bCs w:val="0"/>
              <w:sz w:val="24"/>
              <w:szCs w:val="24"/>
              <w:highlight w:val="none"/>
              <w:lang w:val="en-US" w:eastAsia="zh-CN"/>
            </w:rPr>
            <w:t>学生结构</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_Toc3878 \h </w:instrText>
          </w:r>
          <w:r>
            <w:rPr>
              <w:rFonts w:hint="eastAsia" w:ascii="楷体" w:hAnsi="楷体" w:eastAsia="楷体" w:cs="楷体"/>
              <w:sz w:val="24"/>
              <w:szCs w:val="24"/>
            </w:rPr>
            <w:fldChar w:fldCharType="separate"/>
          </w:r>
          <w:r>
            <w:rPr>
              <w:rFonts w:hint="eastAsia" w:ascii="楷体" w:hAnsi="楷体" w:eastAsia="楷体" w:cs="楷体"/>
              <w:sz w:val="24"/>
              <w:szCs w:val="24"/>
            </w:rPr>
            <w:t>10</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44EA3342">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_Toc32580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1.4教师队伍</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_Toc32580 \h </w:instrText>
          </w:r>
          <w:r>
            <w:rPr>
              <w:rFonts w:hint="eastAsia" w:ascii="楷体" w:hAnsi="楷体" w:eastAsia="楷体" w:cs="楷体"/>
              <w:sz w:val="24"/>
              <w:szCs w:val="24"/>
            </w:rPr>
            <w:fldChar w:fldCharType="separate"/>
          </w:r>
          <w:r>
            <w:rPr>
              <w:rFonts w:hint="eastAsia" w:ascii="楷体" w:hAnsi="楷体" w:eastAsia="楷体" w:cs="楷体"/>
              <w:sz w:val="24"/>
              <w:szCs w:val="24"/>
            </w:rPr>
            <w:t>11</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4C9EADD3">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_Toc5962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1.5基本办学条件</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_Toc5962 \h </w:instrText>
          </w:r>
          <w:r>
            <w:rPr>
              <w:rFonts w:hint="eastAsia" w:ascii="楷体" w:hAnsi="楷体" w:eastAsia="楷体" w:cs="楷体"/>
              <w:sz w:val="24"/>
              <w:szCs w:val="24"/>
            </w:rPr>
            <w:fldChar w:fldCharType="separate"/>
          </w:r>
          <w:r>
            <w:rPr>
              <w:rFonts w:hint="eastAsia" w:ascii="楷体" w:hAnsi="楷体" w:eastAsia="楷体" w:cs="楷体"/>
              <w:sz w:val="24"/>
              <w:szCs w:val="24"/>
            </w:rPr>
            <w:t>13</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67FAD40E">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_Toc20362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1.6本地亮点特色</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_Toc20362 \h </w:instrText>
          </w:r>
          <w:r>
            <w:rPr>
              <w:rFonts w:hint="eastAsia" w:ascii="楷体" w:hAnsi="楷体" w:eastAsia="楷体" w:cs="楷体"/>
              <w:sz w:val="24"/>
              <w:szCs w:val="24"/>
            </w:rPr>
            <w:fldChar w:fldCharType="separate"/>
          </w:r>
          <w:r>
            <w:rPr>
              <w:rFonts w:hint="eastAsia" w:ascii="楷体" w:hAnsi="楷体" w:eastAsia="楷体" w:cs="楷体"/>
              <w:sz w:val="24"/>
              <w:szCs w:val="24"/>
            </w:rPr>
            <w:t>13</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60593BFE">
          <w:pPr>
            <w:pStyle w:val="24"/>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_Toc14726 </w:instrText>
          </w:r>
          <w:r>
            <w:rPr>
              <w:rFonts w:hint="eastAsia" w:ascii="楷体" w:hAnsi="楷体" w:eastAsia="楷体" w:cs="楷体"/>
              <w:sz w:val="24"/>
              <w:szCs w:val="24"/>
            </w:rPr>
            <w:fldChar w:fldCharType="separate"/>
          </w:r>
          <w:r>
            <w:rPr>
              <w:rFonts w:hint="eastAsia" w:ascii="楷体" w:hAnsi="楷体" w:eastAsia="楷体" w:cs="楷体"/>
              <w:bCs/>
              <w:sz w:val="24"/>
              <w:szCs w:val="24"/>
              <w:lang w:val="en-US" w:eastAsia="zh-CN"/>
            </w:rPr>
            <w:t>2.人才培养</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_Toc14726 \h </w:instrText>
          </w:r>
          <w:r>
            <w:rPr>
              <w:rFonts w:hint="eastAsia" w:ascii="楷体" w:hAnsi="楷体" w:eastAsia="楷体" w:cs="楷体"/>
              <w:sz w:val="24"/>
              <w:szCs w:val="24"/>
            </w:rPr>
            <w:fldChar w:fldCharType="separate"/>
          </w:r>
          <w:r>
            <w:rPr>
              <w:rFonts w:hint="eastAsia" w:ascii="楷体" w:hAnsi="楷体" w:eastAsia="楷体" w:cs="楷体"/>
              <w:sz w:val="24"/>
              <w:szCs w:val="24"/>
            </w:rPr>
            <w:t>14</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4A41FB7F">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_Toc18508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2.1立德树人</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_Toc18508 \h </w:instrText>
          </w:r>
          <w:r>
            <w:rPr>
              <w:rFonts w:hint="eastAsia" w:ascii="楷体" w:hAnsi="楷体" w:eastAsia="楷体" w:cs="楷体"/>
              <w:sz w:val="24"/>
              <w:szCs w:val="24"/>
            </w:rPr>
            <w:fldChar w:fldCharType="separate"/>
          </w:r>
          <w:r>
            <w:rPr>
              <w:rFonts w:hint="eastAsia" w:ascii="楷体" w:hAnsi="楷体" w:eastAsia="楷体" w:cs="楷体"/>
              <w:sz w:val="24"/>
              <w:szCs w:val="24"/>
            </w:rPr>
            <w:t>14</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140E7022">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_Toc18654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2.2多样成长</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_Toc18654 \h </w:instrText>
          </w:r>
          <w:r>
            <w:rPr>
              <w:rFonts w:hint="eastAsia" w:ascii="楷体" w:hAnsi="楷体" w:eastAsia="楷体" w:cs="楷体"/>
              <w:sz w:val="24"/>
              <w:szCs w:val="24"/>
            </w:rPr>
            <w:fldChar w:fldCharType="separate"/>
          </w:r>
          <w:r>
            <w:rPr>
              <w:rFonts w:hint="eastAsia" w:ascii="楷体" w:hAnsi="楷体" w:eastAsia="楷体" w:cs="楷体"/>
              <w:sz w:val="24"/>
              <w:szCs w:val="24"/>
            </w:rPr>
            <w:t>20</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7E226877">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_Toc9935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2.3技能成才</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_Toc9935 \h </w:instrText>
          </w:r>
          <w:r>
            <w:rPr>
              <w:rFonts w:hint="eastAsia" w:ascii="楷体" w:hAnsi="楷体" w:eastAsia="楷体" w:cs="楷体"/>
              <w:sz w:val="24"/>
              <w:szCs w:val="24"/>
            </w:rPr>
            <w:fldChar w:fldCharType="separate"/>
          </w:r>
          <w:r>
            <w:rPr>
              <w:rFonts w:hint="eastAsia" w:ascii="楷体" w:hAnsi="楷体" w:eastAsia="楷体" w:cs="楷体"/>
              <w:sz w:val="24"/>
              <w:szCs w:val="24"/>
            </w:rPr>
            <w:t>24</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4AA7C3A2">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_Toc14727 </w:instrText>
          </w:r>
          <w:r>
            <w:rPr>
              <w:rFonts w:hint="eastAsia" w:ascii="楷体" w:hAnsi="楷体" w:eastAsia="楷体" w:cs="楷体"/>
              <w:sz w:val="24"/>
              <w:szCs w:val="24"/>
            </w:rPr>
            <w:fldChar w:fldCharType="separate"/>
          </w:r>
          <w:r>
            <w:rPr>
              <w:rFonts w:hint="eastAsia" w:ascii="楷体" w:hAnsi="楷体" w:eastAsia="楷体" w:cs="楷体"/>
              <w:bCs/>
              <w:kern w:val="0"/>
              <w:sz w:val="24"/>
              <w:szCs w:val="24"/>
              <w:lang w:val="en-US" w:eastAsia="zh-CN" w:bidi="ar"/>
            </w:rPr>
            <w:t>2.4职业发展</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_Toc14727 \h </w:instrText>
          </w:r>
          <w:r>
            <w:rPr>
              <w:rFonts w:hint="eastAsia" w:ascii="楷体" w:hAnsi="楷体" w:eastAsia="楷体" w:cs="楷体"/>
              <w:sz w:val="24"/>
              <w:szCs w:val="24"/>
            </w:rPr>
            <w:fldChar w:fldCharType="separate"/>
          </w:r>
          <w:r>
            <w:rPr>
              <w:rFonts w:hint="eastAsia" w:ascii="楷体" w:hAnsi="楷体" w:eastAsia="楷体" w:cs="楷体"/>
              <w:sz w:val="24"/>
              <w:szCs w:val="24"/>
            </w:rPr>
            <w:t>27</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4E67BD0A">
          <w:pPr>
            <w:pStyle w:val="24"/>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_Toc16135 </w:instrText>
          </w:r>
          <w:r>
            <w:rPr>
              <w:rFonts w:hint="eastAsia" w:ascii="楷体" w:hAnsi="楷体" w:eastAsia="楷体" w:cs="楷体"/>
              <w:sz w:val="24"/>
              <w:szCs w:val="24"/>
            </w:rPr>
            <w:fldChar w:fldCharType="separate"/>
          </w:r>
          <w:r>
            <w:rPr>
              <w:rFonts w:hint="eastAsia" w:ascii="楷体" w:hAnsi="楷体" w:eastAsia="楷体" w:cs="楷体"/>
              <w:bCs/>
              <w:sz w:val="24"/>
              <w:szCs w:val="24"/>
              <w:lang w:val="en-US" w:eastAsia="zh-CN"/>
            </w:rPr>
            <w:t>3.服务贡献</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_Toc16135 \h </w:instrText>
          </w:r>
          <w:r>
            <w:rPr>
              <w:rFonts w:hint="eastAsia" w:ascii="楷体" w:hAnsi="楷体" w:eastAsia="楷体" w:cs="楷体"/>
              <w:sz w:val="24"/>
              <w:szCs w:val="24"/>
            </w:rPr>
            <w:fldChar w:fldCharType="separate"/>
          </w:r>
          <w:r>
            <w:rPr>
              <w:rFonts w:hint="eastAsia" w:ascii="楷体" w:hAnsi="楷体" w:eastAsia="楷体" w:cs="楷体"/>
              <w:sz w:val="24"/>
              <w:szCs w:val="24"/>
            </w:rPr>
            <w:t>28</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336FD8B1">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_Toc32258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3.1服务地方产业</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_Toc32258 \h </w:instrText>
          </w:r>
          <w:r>
            <w:rPr>
              <w:rFonts w:hint="eastAsia" w:ascii="楷体" w:hAnsi="楷体" w:eastAsia="楷体" w:cs="楷体"/>
              <w:sz w:val="24"/>
              <w:szCs w:val="24"/>
            </w:rPr>
            <w:fldChar w:fldCharType="separate"/>
          </w:r>
          <w:r>
            <w:rPr>
              <w:rFonts w:hint="eastAsia" w:ascii="楷体" w:hAnsi="楷体" w:eastAsia="楷体" w:cs="楷体"/>
              <w:sz w:val="24"/>
              <w:szCs w:val="24"/>
            </w:rPr>
            <w:t>28</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6F303F00">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_Toc23510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3.2服务就业</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_Toc23510 \h </w:instrText>
          </w:r>
          <w:r>
            <w:rPr>
              <w:rFonts w:hint="eastAsia" w:ascii="楷体" w:hAnsi="楷体" w:eastAsia="楷体" w:cs="楷体"/>
              <w:sz w:val="24"/>
              <w:szCs w:val="24"/>
            </w:rPr>
            <w:fldChar w:fldCharType="separate"/>
          </w:r>
          <w:r>
            <w:rPr>
              <w:rFonts w:hint="eastAsia" w:ascii="楷体" w:hAnsi="楷体" w:eastAsia="楷体" w:cs="楷体"/>
              <w:sz w:val="24"/>
              <w:szCs w:val="24"/>
            </w:rPr>
            <w:t>30</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2A56F7E1">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_Toc23814 </w:instrText>
          </w:r>
          <w:r>
            <w:rPr>
              <w:rFonts w:hint="eastAsia" w:ascii="楷体" w:hAnsi="楷体" w:eastAsia="楷体" w:cs="楷体"/>
              <w:sz w:val="24"/>
              <w:szCs w:val="24"/>
            </w:rPr>
            <w:fldChar w:fldCharType="separate"/>
          </w:r>
          <w:r>
            <w:rPr>
              <w:rFonts w:hint="eastAsia" w:ascii="楷体" w:hAnsi="楷体" w:eastAsia="楷体" w:cs="楷体"/>
              <w:bCs w:val="0"/>
              <w:sz w:val="24"/>
              <w:szCs w:val="24"/>
              <w:highlight w:val="none"/>
              <w:lang w:val="en-US" w:eastAsia="zh-CN"/>
            </w:rPr>
            <w:t>3.3服务民生</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_Toc23814 \h </w:instrText>
          </w:r>
          <w:r>
            <w:rPr>
              <w:rFonts w:hint="eastAsia" w:ascii="楷体" w:hAnsi="楷体" w:eastAsia="楷体" w:cs="楷体"/>
              <w:sz w:val="24"/>
              <w:szCs w:val="24"/>
            </w:rPr>
            <w:fldChar w:fldCharType="separate"/>
          </w:r>
          <w:r>
            <w:rPr>
              <w:rFonts w:hint="eastAsia" w:ascii="楷体" w:hAnsi="楷体" w:eastAsia="楷体" w:cs="楷体"/>
              <w:sz w:val="24"/>
              <w:szCs w:val="24"/>
            </w:rPr>
            <w:t>34</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44C55F54">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_Toc3285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3.4具有本地特色的服务贡献</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_Toc3285 \h </w:instrText>
          </w:r>
          <w:r>
            <w:rPr>
              <w:rFonts w:hint="eastAsia" w:ascii="楷体" w:hAnsi="楷体" w:eastAsia="楷体" w:cs="楷体"/>
              <w:sz w:val="24"/>
              <w:szCs w:val="24"/>
            </w:rPr>
            <w:fldChar w:fldCharType="separate"/>
          </w:r>
          <w:r>
            <w:rPr>
              <w:rFonts w:hint="eastAsia" w:ascii="楷体" w:hAnsi="楷体" w:eastAsia="楷体" w:cs="楷体"/>
              <w:sz w:val="24"/>
              <w:szCs w:val="24"/>
            </w:rPr>
            <w:t>37</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6674D835">
          <w:pPr>
            <w:pStyle w:val="24"/>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_Toc1919 </w:instrText>
          </w:r>
          <w:r>
            <w:rPr>
              <w:rFonts w:hint="eastAsia" w:ascii="楷体" w:hAnsi="楷体" w:eastAsia="楷体" w:cs="楷体"/>
              <w:sz w:val="24"/>
              <w:szCs w:val="24"/>
            </w:rPr>
            <w:fldChar w:fldCharType="separate"/>
          </w:r>
          <w:r>
            <w:rPr>
              <w:rFonts w:hint="eastAsia" w:ascii="楷体" w:hAnsi="楷体" w:eastAsia="楷体" w:cs="楷体"/>
              <w:bCs/>
              <w:sz w:val="24"/>
              <w:szCs w:val="24"/>
              <w:highlight w:val="none"/>
              <w:lang w:val="en-US" w:eastAsia="zh-CN"/>
            </w:rPr>
            <w:t>4.文化传承</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_Toc1919 \h </w:instrText>
          </w:r>
          <w:r>
            <w:rPr>
              <w:rFonts w:hint="eastAsia" w:ascii="楷体" w:hAnsi="楷体" w:eastAsia="楷体" w:cs="楷体"/>
              <w:sz w:val="24"/>
              <w:szCs w:val="24"/>
            </w:rPr>
            <w:fldChar w:fldCharType="separate"/>
          </w:r>
          <w:r>
            <w:rPr>
              <w:rFonts w:hint="eastAsia" w:ascii="楷体" w:hAnsi="楷体" w:eastAsia="楷体" w:cs="楷体"/>
              <w:sz w:val="24"/>
              <w:szCs w:val="24"/>
            </w:rPr>
            <w:t>39</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69923EBE">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_Toc2180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4.1传承工匠精神</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_Toc2180 \h </w:instrText>
          </w:r>
          <w:r>
            <w:rPr>
              <w:rFonts w:hint="eastAsia" w:ascii="楷体" w:hAnsi="楷体" w:eastAsia="楷体" w:cs="楷体"/>
              <w:sz w:val="24"/>
              <w:szCs w:val="24"/>
            </w:rPr>
            <w:fldChar w:fldCharType="separate"/>
          </w:r>
          <w:r>
            <w:rPr>
              <w:rFonts w:hint="eastAsia" w:ascii="楷体" w:hAnsi="楷体" w:eastAsia="楷体" w:cs="楷体"/>
              <w:sz w:val="24"/>
              <w:szCs w:val="24"/>
            </w:rPr>
            <w:t>39</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5698CA74">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_Toc11100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4.2传承红色基因</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_Toc11100 \h </w:instrText>
          </w:r>
          <w:r>
            <w:rPr>
              <w:rFonts w:hint="eastAsia" w:ascii="楷体" w:hAnsi="楷体" w:eastAsia="楷体" w:cs="楷体"/>
              <w:sz w:val="24"/>
              <w:szCs w:val="24"/>
            </w:rPr>
            <w:fldChar w:fldCharType="separate"/>
          </w:r>
          <w:r>
            <w:rPr>
              <w:rFonts w:hint="eastAsia" w:ascii="楷体" w:hAnsi="楷体" w:eastAsia="楷体" w:cs="楷体"/>
              <w:sz w:val="24"/>
              <w:szCs w:val="24"/>
            </w:rPr>
            <w:t>41</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2E2B972C">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_Toc2064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4.3传承中华优秀传统文化</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_Toc2064 \h </w:instrText>
          </w:r>
          <w:r>
            <w:rPr>
              <w:rFonts w:hint="eastAsia" w:ascii="楷体" w:hAnsi="楷体" w:eastAsia="楷体" w:cs="楷体"/>
              <w:sz w:val="24"/>
              <w:szCs w:val="24"/>
            </w:rPr>
            <w:fldChar w:fldCharType="separate"/>
          </w:r>
          <w:r>
            <w:rPr>
              <w:rFonts w:hint="eastAsia" w:ascii="楷体" w:hAnsi="楷体" w:eastAsia="楷体" w:cs="楷体"/>
              <w:sz w:val="24"/>
              <w:szCs w:val="24"/>
            </w:rPr>
            <w:t>43</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32BB29C4">
          <w:pPr>
            <w:pStyle w:val="24"/>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_Toc7043 </w:instrText>
          </w:r>
          <w:r>
            <w:rPr>
              <w:rFonts w:hint="eastAsia" w:ascii="楷体" w:hAnsi="楷体" w:eastAsia="楷体" w:cs="楷体"/>
              <w:sz w:val="24"/>
              <w:szCs w:val="24"/>
            </w:rPr>
            <w:fldChar w:fldCharType="separate"/>
          </w:r>
          <w:r>
            <w:rPr>
              <w:rFonts w:hint="eastAsia" w:ascii="楷体" w:hAnsi="楷体" w:eastAsia="楷体" w:cs="楷体"/>
              <w:bCs/>
              <w:sz w:val="24"/>
              <w:szCs w:val="24"/>
              <w:lang w:val="en-US" w:eastAsia="zh-CN"/>
            </w:rPr>
            <w:t>5.产教融合</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_Toc7043 \h </w:instrText>
          </w:r>
          <w:r>
            <w:rPr>
              <w:rFonts w:hint="eastAsia" w:ascii="楷体" w:hAnsi="楷体" w:eastAsia="楷体" w:cs="楷体"/>
              <w:sz w:val="24"/>
              <w:szCs w:val="24"/>
            </w:rPr>
            <w:fldChar w:fldCharType="separate"/>
          </w:r>
          <w:r>
            <w:rPr>
              <w:rFonts w:hint="eastAsia" w:ascii="楷体" w:hAnsi="楷体" w:eastAsia="楷体" w:cs="楷体"/>
              <w:sz w:val="24"/>
              <w:szCs w:val="24"/>
            </w:rPr>
            <w:t>48</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68D8D80B">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_Toc4409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5.1产教机制共筑</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_Toc4409 \h </w:instrText>
          </w:r>
          <w:r>
            <w:rPr>
              <w:rFonts w:hint="eastAsia" w:ascii="楷体" w:hAnsi="楷体" w:eastAsia="楷体" w:cs="楷体"/>
              <w:sz w:val="24"/>
              <w:szCs w:val="24"/>
            </w:rPr>
            <w:fldChar w:fldCharType="separate"/>
          </w:r>
          <w:r>
            <w:rPr>
              <w:rFonts w:hint="eastAsia" w:ascii="楷体" w:hAnsi="楷体" w:eastAsia="楷体" w:cs="楷体"/>
              <w:sz w:val="24"/>
              <w:szCs w:val="24"/>
            </w:rPr>
            <w:t>48</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0B5262ED">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_Toc18621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5.2产教资源共建</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_Toc18621 \h </w:instrText>
          </w:r>
          <w:r>
            <w:rPr>
              <w:rFonts w:hint="eastAsia" w:ascii="楷体" w:hAnsi="楷体" w:eastAsia="楷体" w:cs="楷体"/>
              <w:sz w:val="24"/>
              <w:szCs w:val="24"/>
            </w:rPr>
            <w:fldChar w:fldCharType="separate"/>
          </w:r>
          <w:r>
            <w:rPr>
              <w:rFonts w:hint="eastAsia" w:ascii="楷体" w:hAnsi="楷体" w:eastAsia="楷体" w:cs="楷体"/>
              <w:sz w:val="24"/>
              <w:szCs w:val="24"/>
            </w:rPr>
            <w:t>50</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50681851">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_Toc18134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5.3产教协同育人</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_Toc18134 \h </w:instrText>
          </w:r>
          <w:r>
            <w:rPr>
              <w:rFonts w:hint="eastAsia" w:ascii="楷体" w:hAnsi="楷体" w:eastAsia="楷体" w:cs="楷体"/>
              <w:sz w:val="24"/>
              <w:szCs w:val="24"/>
            </w:rPr>
            <w:fldChar w:fldCharType="separate"/>
          </w:r>
          <w:r>
            <w:rPr>
              <w:rFonts w:hint="eastAsia" w:ascii="楷体" w:hAnsi="楷体" w:eastAsia="楷体" w:cs="楷体"/>
              <w:sz w:val="24"/>
              <w:szCs w:val="24"/>
            </w:rPr>
            <w:t>53</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12241B22">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_Toc17992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5.4产教双师共培</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_Toc17992 \h </w:instrText>
          </w:r>
          <w:r>
            <w:rPr>
              <w:rFonts w:hint="eastAsia" w:ascii="楷体" w:hAnsi="楷体" w:eastAsia="楷体" w:cs="楷体"/>
              <w:sz w:val="24"/>
              <w:szCs w:val="24"/>
            </w:rPr>
            <w:fldChar w:fldCharType="separate"/>
          </w:r>
          <w:r>
            <w:rPr>
              <w:rFonts w:hint="eastAsia" w:ascii="楷体" w:hAnsi="楷体" w:eastAsia="楷体" w:cs="楷体"/>
              <w:sz w:val="24"/>
              <w:szCs w:val="24"/>
            </w:rPr>
            <w:t>58</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3F59CC03">
          <w:pPr>
            <w:pStyle w:val="24"/>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_Toc5463 </w:instrText>
          </w:r>
          <w:r>
            <w:rPr>
              <w:rFonts w:hint="eastAsia" w:ascii="楷体" w:hAnsi="楷体" w:eastAsia="楷体" w:cs="楷体"/>
              <w:sz w:val="24"/>
              <w:szCs w:val="24"/>
            </w:rPr>
            <w:fldChar w:fldCharType="separate"/>
          </w:r>
          <w:r>
            <w:rPr>
              <w:rFonts w:hint="eastAsia" w:ascii="楷体" w:hAnsi="楷体" w:eastAsia="楷体" w:cs="楷体"/>
              <w:bCs/>
              <w:sz w:val="24"/>
              <w:szCs w:val="24"/>
              <w:lang w:val="en-US" w:eastAsia="zh-CN"/>
            </w:rPr>
            <w:t>6.发展保障</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_Toc5463 \h </w:instrText>
          </w:r>
          <w:r>
            <w:rPr>
              <w:rFonts w:hint="eastAsia" w:ascii="楷体" w:hAnsi="楷体" w:eastAsia="楷体" w:cs="楷体"/>
              <w:sz w:val="24"/>
              <w:szCs w:val="24"/>
            </w:rPr>
            <w:fldChar w:fldCharType="separate"/>
          </w:r>
          <w:r>
            <w:rPr>
              <w:rFonts w:hint="eastAsia" w:ascii="楷体" w:hAnsi="楷体" w:eastAsia="楷体" w:cs="楷体"/>
              <w:sz w:val="24"/>
              <w:szCs w:val="24"/>
            </w:rPr>
            <w:t>58</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6CA095C8">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_Toc7383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6.1党建引领</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_Toc7383 \h </w:instrText>
          </w:r>
          <w:r>
            <w:rPr>
              <w:rFonts w:hint="eastAsia" w:ascii="楷体" w:hAnsi="楷体" w:eastAsia="楷体" w:cs="楷体"/>
              <w:sz w:val="24"/>
              <w:szCs w:val="24"/>
            </w:rPr>
            <w:fldChar w:fldCharType="separate"/>
          </w:r>
          <w:r>
            <w:rPr>
              <w:rFonts w:hint="eastAsia" w:ascii="楷体" w:hAnsi="楷体" w:eastAsia="楷体" w:cs="楷体"/>
              <w:sz w:val="24"/>
              <w:szCs w:val="24"/>
            </w:rPr>
            <w:t>58</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01BA6104">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_Toc23159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6.2政策落实</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_Toc23159 \h </w:instrText>
          </w:r>
          <w:r>
            <w:rPr>
              <w:rFonts w:hint="eastAsia" w:ascii="楷体" w:hAnsi="楷体" w:eastAsia="楷体" w:cs="楷体"/>
              <w:sz w:val="24"/>
              <w:szCs w:val="24"/>
            </w:rPr>
            <w:fldChar w:fldCharType="separate"/>
          </w:r>
          <w:r>
            <w:rPr>
              <w:rFonts w:hint="eastAsia" w:ascii="楷体" w:hAnsi="楷体" w:eastAsia="楷体" w:cs="楷体"/>
              <w:sz w:val="24"/>
              <w:szCs w:val="24"/>
            </w:rPr>
            <w:t>61</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6432C79B">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_Toc28800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6.3合规性检查</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_Toc28800 \h </w:instrText>
          </w:r>
          <w:r>
            <w:rPr>
              <w:rFonts w:hint="eastAsia" w:ascii="楷体" w:hAnsi="楷体" w:eastAsia="楷体" w:cs="楷体"/>
              <w:sz w:val="24"/>
              <w:szCs w:val="24"/>
            </w:rPr>
            <w:fldChar w:fldCharType="separate"/>
          </w:r>
          <w:r>
            <w:rPr>
              <w:rFonts w:hint="eastAsia" w:ascii="楷体" w:hAnsi="楷体" w:eastAsia="楷体" w:cs="楷体"/>
              <w:sz w:val="24"/>
              <w:szCs w:val="24"/>
            </w:rPr>
            <w:t>62</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0A98CE35">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_Toc25608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6.4条件保障</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_Toc25608 \h </w:instrText>
          </w:r>
          <w:r>
            <w:rPr>
              <w:rFonts w:hint="eastAsia" w:ascii="楷体" w:hAnsi="楷体" w:eastAsia="楷体" w:cs="楷体"/>
              <w:sz w:val="24"/>
              <w:szCs w:val="24"/>
            </w:rPr>
            <w:fldChar w:fldCharType="separate"/>
          </w:r>
          <w:r>
            <w:rPr>
              <w:rFonts w:hint="eastAsia" w:ascii="楷体" w:hAnsi="楷体" w:eastAsia="楷体" w:cs="楷体"/>
              <w:sz w:val="24"/>
              <w:szCs w:val="24"/>
            </w:rPr>
            <w:t>63</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3D4B0F38">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_Toc1295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6.5经费保障</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_Toc1295 \h </w:instrText>
          </w:r>
          <w:r>
            <w:rPr>
              <w:rFonts w:hint="eastAsia" w:ascii="楷体" w:hAnsi="楷体" w:eastAsia="楷体" w:cs="楷体"/>
              <w:sz w:val="24"/>
              <w:szCs w:val="24"/>
            </w:rPr>
            <w:fldChar w:fldCharType="separate"/>
          </w:r>
          <w:r>
            <w:rPr>
              <w:rFonts w:hint="eastAsia" w:ascii="楷体" w:hAnsi="楷体" w:eastAsia="楷体" w:cs="楷体"/>
              <w:sz w:val="24"/>
              <w:szCs w:val="24"/>
            </w:rPr>
            <w:t>65</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4979F6D4">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_Toc1895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6.6教学资源保障</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_Toc1895 \h </w:instrText>
          </w:r>
          <w:r>
            <w:rPr>
              <w:rFonts w:hint="eastAsia" w:ascii="楷体" w:hAnsi="楷体" w:eastAsia="楷体" w:cs="楷体"/>
              <w:sz w:val="24"/>
              <w:szCs w:val="24"/>
            </w:rPr>
            <w:fldChar w:fldCharType="separate"/>
          </w:r>
          <w:r>
            <w:rPr>
              <w:rFonts w:hint="eastAsia" w:ascii="楷体" w:hAnsi="楷体" w:eastAsia="楷体" w:cs="楷体"/>
              <w:sz w:val="24"/>
              <w:szCs w:val="24"/>
            </w:rPr>
            <w:t>67</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1396712F">
          <w:pPr>
            <w:pStyle w:val="24"/>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_Toc13976 </w:instrText>
          </w:r>
          <w:r>
            <w:rPr>
              <w:rFonts w:hint="eastAsia" w:ascii="楷体" w:hAnsi="楷体" w:eastAsia="楷体" w:cs="楷体"/>
              <w:sz w:val="24"/>
              <w:szCs w:val="24"/>
            </w:rPr>
            <w:fldChar w:fldCharType="separate"/>
          </w:r>
          <w:r>
            <w:rPr>
              <w:rFonts w:hint="eastAsia" w:ascii="楷体" w:hAnsi="楷体" w:eastAsia="楷体" w:cs="楷体"/>
              <w:bCs/>
              <w:sz w:val="24"/>
              <w:szCs w:val="24"/>
              <w:highlight w:val="none"/>
              <w:lang w:val="en-US" w:eastAsia="zh-CN"/>
            </w:rPr>
            <w:t>7.面临挑战</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_Toc13976 \h </w:instrText>
          </w:r>
          <w:r>
            <w:rPr>
              <w:rFonts w:hint="eastAsia" w:ascii="楷体" w:hAnsi="楷体" w:eastAsia="楷体" w:cs="楷体"/>
              <w:sz w:val="24"/>
              <w:szCs w:val="24"/>
            </w:rPr>
            <w:fldChar w:fldCharType="separate"/>
          </w:r>
          <w:r>
            <w:rPr>
              <w:rFonts w:hint="eastAsia" w:ascii="楷体" w:hAnsi="楷体" w:eastAsia="楷体" w:cs="楷体"/>
              <w:sz w:val="24"/>
              <w:szCs w:val="24"/>
            </w:rPr>
            <w:t>67</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192439F1">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_Toc10884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7.1现实挑战</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_Toc10884 \h </w:instrText>
          </w:r>
          <w:r>
            <w:rPr>
              <w:rFonts w:hint="eastAsia" w:ascii="楷体" w:hAnsi="楷体" w:eastAsia="楷体" w:cs="楷体"/>
              <w:sz w:val="24"/>
              <w:szCs w:val="24"/>
            </w:rPr>
            <w:fldChar w:fldCharType="separate"/>
          </w:r>
          <w:r>
            <w:rPr>
              <w:rFonts w:hint="eastAsia" w:ascii="楷体" w:hAnsi="楷体" w:eastAsia="楷体" w:cs="楷体"/>
              <w:sz w:val="24"/>
              <w:szCs w:val="24"/>
            </w:rPr>
            <w:t>67</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64FCAA36">
          <w:pPr>
            <w:pStyle w:val="25"/>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_Toc7606 </w:instrText>
          </w:r>
          <w:r>
            <w:rPr>
              <w:rFonts w:hint="eastAsia" w:ascii="楷体" w:hAnsi="楷体" w:eastAsia="楷体" w:cs="楷体"/>
              <w:sz w:val="24"/>
              <w:szCs w:val="24"/>
            </w:rPr>
            <w:fldChar w:fldCharType="separate"/>
          </w:r>
          <w:r>
            <w:rPr>
              <w:rFonts w:hint="eastAsia" w:ascii="楷体" w:hAnsi="楷体" w:eastAsia="楷体" w:cs="楷体"/>
              <w:bCs w:val="0"/>
              <w:sz w:val="24"/>
              <w:szCs w:val="24"/>
              <w:lang w:val="en-US" w:eastAsia="zh-CN"/>
            </w:rPr>
            <w:t>7.2发展对策</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_Toc7606 \h </w:instrText>
          </w:r>
          <w:r>
            <w:rPr>
              <w:rFonts w:hint="eastAsia" w:ascii="楷体" w:hAnsi="楷体" w:eastAsia="楷体" w:cs="楷体"/>
              <w:sz w:val="24"/>
              <w:szCs w:val="24"/>
            </w:rPr>
            <w:fldChar w:fldCharType="separate"/>
          </w:r>
          <w:r>
            <w:rPr>
              <w:rFonts w:hint="eastAsia" w:ascii="楷体" w:hAnsi="楷体" w:eastAsia="楷体" w:cs="楷体"/>
              <w:sz w:val="24"/>
              <w:szCs w:val="24"/>
            </w:rPr>
            <w:t>68</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0573F5F4">
          <w:pPr>
            <w:pStyle w:val="24"/>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_Toc7408 </w:instrText>
          </w:r>
          <w:r>
            <w:rPr>
              <w:rFonts w:hint="eastAsia" w:ascii="楷体" w:hAnsi="楷体" w:eastAsia="楷体" w:cs="楷体"/>
              <w:sz w:val="24"/>
              <w:szCs w:val="24"/>
            </w:rPr>
            <w:fldChar w:fldCharType="separate"/>
          </w:r>
          <w:r>
            <w:rPr>
              <w:rFonts w:hint="eastAsia" w:ascii="楷体" w:hAnsi="楷体" w:eastAsia="楷体" w:cs="楷体"/>
              <w:sz w:val="24"/>
              <w:szCs w:val="24"/>
              <w:lang w:val="en-US" w:eastAsia="zh-CN"/>
            </w:rPr>
            <w:t>附表1 人才培养质量积分卡</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_Toc7408 \h </w:instrText>
          </w:r>
          <w:r>
            <w:rPr>
              <w:rFonts w:hint="eastAsia" w:ascii="楷体" w:hAnsi="楷体" w:eastAsia="楷体" w:cs="楷体"/>
              <w:sz w:val="24"/>
              <w:szCs w:val="24"/>
            </w:rPr>
            <w:fldChar w:fldCharType="separate"/>
          </w:r>
          <w:r>
            <w:rPr>
              <w:rFonts w:hint="eastAsia" w:ascii="楷体" w:hAnsi="楷体" w:eastAsia="楷体" w:cs="楷体"/>
              <w:sz w:val="24"/>
              <w:szCs w:val="24"/>
            </w:rPr>
            <w:t>70</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5DD2EC20">
          <w:pPr>
            <w:pStyle w:val="24"/>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_Toc964 </w:instrText>
          </w:r>
          <w:r>
            <w:rPr>
              <w:rFonts w:hint="eastAsia" w:ascii="楷体" w:hAnsi="楷体" w:eastAsia="楷体" w:cs="楷体"/>
              <w:sz w:val="24"/>
              <w:szCs w:val="24"/>
            </w:rPr>
            <w:fldChar w:fldCharType="separate"/>
          </w:r>
          <w:r>
            <w:rPr>
              <w:rFonts w:hint="eastAsia" w:ascii="楷体" w:hAnsi="楷体" w:eastAsia="楷体" w:cs="楷体"/>
              <w:sz w:val="24"/>
              <w:szCs w:val="24"/>
              <w:lang w:val="en-US" w:eastAsia="zh-CN"/>
            </w:rPr>
            <w:t>附表2 满意度调查表</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_Toc964 \h </w:instrText>
          </w:r>
          <w:r>
            <w:rPr>
              <w:rFonts w:hint="eastAsia" w:ascii="楷体" w:hAnsi="楷体" w:eastAsia="楷体" w:cs="楷体"/>
              <w:sz w:val="24"/>
              <w:szCs w:val="24"/>
            </w:rPr>
            <w:fldChar w:fldCharType="separate"/>
          </w:r>
          <w:r>
            <w:rPr>
              <w:rFonts w:hint="eastAsia" w:ascii="楷体" w:hAnsi="楷体" w:eastAsia="楷体" w:cs="楷体"/>
              <w:sz w:val="24"/>
              <w:szCs w:val="24"/>
            </w:rPr>
            <w:t>71</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5DCD8E63">
          <w:pPr>
            <w:pStyle w:val="24"/>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_Toc5359 </w:instrText>
          </w:r>
          <w:r>
            <w:rPr>
              <w:rFonts w:hint="eastAsia" w:ascii="楷体" w:hAnsi="楷体" w:eastAsia="楷体" w:cs="楷体"/>
              <w:sz w:val="24"/>
              <w:szCs w:val="24"/>
            </w:rPr>
            <w:fldChar w:fldCharType="separate"/>
          </w:r>
          <w:r>
            <w:rPr>
              <w:rFonts w:hint="eastAsia" w:ascii="楷体" w:hAnsi="楷体" w:eastAsia="楷体" w:cs="楷体"/>
              <w:sz w:val="24"/>
              <w:szCs w:val="24"/>
              <w:lang w:val="en-US" w:eastAsia="zh-CN"/>
            </w:rPr>
            <w:t>附表3 教学资源表</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_Toc5359 \h </w:instrText>
          </w:r>
          <w:r>
            <w:rPr>
              <w:rFonts w:hint="eastAsia" w:ascii="楷体" w:hAnsi="楷体" w:eastAsia="楷体" w:cs="楷体"/>
              <w:sz w:val="24"/>
              <w:szCs w:val="24"/>
            </w:rPr>
            <w:fldChar w:fldCharType="separate"/>
          </w:r>
          <w:r>
            <w:rPr>
              <w:rFonts w:hint="eastAsia" w:ascii="楷体" w:hAnsi="楷体" w:eastAsia="楷体" w:cs="楷体"/>
              <w:sz w:val="24"/>
              <w:szCs w:val="24"/>
            </w:rPr>
            <w:t>72</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223E2106">
          <w:pPr>
            <w:pStyle w:val="24"/>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_Toc30443 </w:instrText>
          </w:r>
          <w:r>
            <w:rPr>
              <w:rFonts w:hint="eastAsia" w:ascii="楷体" w:hAnsi="楷体" w:eastAsia="楷体" w:cs="楷体"/>
              <w:sz w:val="24"/>
              <w:szCs w:val="24"/>
            </w:rPr>
            <w:fldChar w:fldCharType="separate"/>
          </w:r>
          <w:r>
            <w:rPr>
              <w:rFonts w:hint="eastAsia" w:ascii="楷体" w:hAnsi="楷体" w:eastAsia="楷体" w:cs="楷体"/>
              <w:sz w:val="24"/>
              <w:szCs w:val="24"/>
              <w:lang w:val="en-US" w:eastAsia="zh-CN"/>
            </w:rPr>
            <w:t>附表4 服务贡献表</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_Toc30443 \h </w:instrText>
          </w:r>
          <w:r>
            <w:rPr>
              <w:rFonts w:hint="eastAsia" w:ascii="楷体" w:hAnsi="楷体" w:eastAsia="楷体" w:cs="楷体"/>
              <w:sz w:val="24"/>
              <w:szCs w:val="24"/>
            </w:rPr>
            <w:fldChar w:fldCharType="separate"/>
          </w:r>
          <w:r>
            <w:rPr>
              <w:rFonts w:hint="eastAsia" w:ascii="楷体" w:hAnsi="楷体" w:eastAsia="楷体" w:cs="楷体"/>
              <w:sz w:val="24"/>
              <w:szCs w:val="24"/>
            </w:rPr>
            <w:t>73</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3ABCE6E7">
          <w:pPr>
            <w:pStyle w:val="24"/>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_Toc7476 </w:instrText>
          </w:r>
          <w:r>
            <w:rPr>
              <w:rFonts w:hint="eastAsia" w:ascii="楷体" w:hAnsi="楷体" w:eastAsia="楷体" w:cs="楷体"/>
              <w:sz w:val="24"/>
              <w:szCs w:val="24"/>
            </w:rPr>
            <w:fldChar w:fldCharType="separate"/>
          </w:r>
          <w:r>
            <w:rPr>
              <w:rFonts w:hint="eastAsia" w:ascii="楷体" w:hAnsi="楷体" w:eastAsia="楷体" w:cs="楷体"/>
              <w:sz w:val="24"/>
              <w:szCs w:val="24"/>
              <w:lang w:val="en-US" w:eastAsia="zh-CN"/>
            </w:rPr>
            <w:t>附表5 国际影响表</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_Toc7476 \h </w:instrText>
          </w:r>
          <w:r>
            <w:rPr>
              <w:rFonts w:hint="eastAsia" w:ascii="楷体" w:hAnsi="楷体" w:eastAsia="楷体" w:cs="楷体"/>
              <w:sz w:val="24"/>
              <w:szCs w:val="24"/>
            </w:rPr>
            <w:fldChar w:fldCharType="separate"/>
          </w:r>
          <w:r>
            <w:rPr>
              <w:rFonts w:hint="eastAsia" w:ascii="楷体" w:hAnsi="楷体" w:eastAsia="楷体" w:cs="楷体"/>
              <w:sz w:val="24"/>
              <w:szCs w:val="24"/>
            </w:rPr>
            <w:t>74</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2F1D114A">
          <w:pPr>
            <w:pStyle w:val="24"/>
            <w:keepNext w:val="0"/>
            <w:keepLines w:val="0"/>
            <w:pageBreakBefore w:val="0"/>
            <w:widowControl/>
            <w:tabs>
              <w:tab w:val="right" w:leader="dot" w:pos="8306"/>
            </w:tabs>
            <w:kinsoku/>
            <w:wordWrap/>
            <w:overflowPunct/>
            <w:topLinePunct w:val="0"/>
            <w:autoSpaceDE/>
            <w:autoSpaceDN/>
            <w:bidi w:val="0"/>
            <w:adjustRightInd/>
            <w:snapToGrid/>
            <w:spacing w:line="300" w:lineRule="exact"/>
            <w:textAlignment w:val="auto"/>
            <w:rPr>
              <w:rFonts w:hint="eastAsia" w:ascii="楷体" w:hAnsi="楷体" w:eastAsia="楷体" w:cs="楷体"/>
              <w:sz w:val="24"/>
              <w:szCs w:val="24"/>
            </w:rPr>
          </w:pP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HYPERLINK \l _Toc24463 </w:instrText>
          </w:r>
          <w:r>
            <w:rPr>
              <w:rFonts w:hint="eastAsia" w:ascii="楷体" w:hAnsi="楷体" w:eastAsia="楷体" w:cs="楷体"/>
              <w:sz w:val="24"/>
              <w:szCs w:val="24"/>
            </w:rPr>
            <w:fldChar w:fldCharType="separate"/>
          </w:r>
          <w:r>
            <w:rPr>
              <w:rFonts w:hint="eastAsia" w:ascii="楷体" w:hAnsi="楷体" w:eastAsia="楷体" w:cs="楷体"/>
              <w:sz w:val="24"/>
              <w:szCs w:val="24"/>
              <w:lang w:val="en-US" w:eastAsia="zh-CN"/>
            </w:rPr>
            <w:t>附表6 落实政策表</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_Toc24463 \h </w:instrText>
          </w:r>
          <w:r>
            <w:rPr>
              <w:rFonts w:hint="eastAsia" w:ascii="楷体" w:hAnsi="楷体" w:eastAsia="楷体" w:cs="楷体"/>
              <w:sz w:val="24"/>
              <w:szCs w:val="24"/>
            </w:rPr>
            <w:fldChar w:fldCharType="separate"/>
          </w:r>
          <w:r>
            <w:rPr>
              <w:rFonts w:hint="eastAsia" w:ascii="楷体" w:hAnsi="楷体" w:eastAsia="楷体" w:cs="楷体"/>
              <w:sz w:val="24"/>
              <w:szCs w:val="24"/>
            </w:rPr>
            <w:t>75</w:t>
          </w:r>
          <w:r>
            <w:rPr>
              <w:rFonts w:hint="eastAsia" w:ascii="楷体" w:hAnsi="楷体" w:eastAsia="楷体" w:cs="楷体"/>
              <w:sz w:val="24"/>
              <w:szCs w:val="24"/>
            </w:rPr>
            <w:fldChar w:fldCharType="end"/>
          </w:r>
          <w:r>
            <w:rPr>
              <w:rFonts w:hint="eastAsia" w:ascii="楷体" w:hAnsi="楷体" w:eastAsia="楷体" w:cs="楷体"/>
              <w:sz w:val="24"/>
              <w:szCs w:val="24"/>
            </w:rPr>
            <w:fldChar w:fldCharType="end"/>
          </w:r>
        </w:p>
        <w:p w14:paraId="3A0391F7">
          <w:pPr>
            <w:rPr>
              <w:rFonts w:hint="eastAsia" w:ascii="宋体" w:hAnsi="宋体" w:eastAsia="宋体" w:cs="宋体"/>
              <w:b/>
              <w:bCs/>
              <w:color w:val="000000"/>
              <w:sz w:val="24"/>
              <w:szCs w:val="24"/>
              <w:highlight w:val="yellow"/>
              <w:lang w:val="en-US" w:eastAsia="zh-CN"/>
            </w:rPr>
          </w:pPr>
          <w:r>
            <w:rPr>
              <w:rFonts w:hint="eastAsia" w:ascii="楷体" w:hAnsi="楷体" w:eastAsia="楷体" w:cs="楷体"/>
              <w:sz w:val="24"/>
              <w:szCs w:val="24"/>
            </w:rPr>
            <w:fldChar w:fldCharType="end"/>
          </w:r>
        </w:p>
      </w:sdtContent>
    </w:sdt>
    <w:p w14:paraId="4C238363">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sz w:val="32"/>
          <w:szCs w:val="32"/>
          <w:lang w:val="en-US" w:eastAsia="zh-CN"/>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4861152">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lang w:val="en-US" w:eastAsia="zh-CN"/>
        </w:rPr>
        <w:t>数据分析图</w:t>
      </w:r>
      <w:r>
        <w:rPr>
          <w:rFonts w:hint="eastAsia" w:ascii="方正小标宋简体" w:hAnsi="方正小标宋简体" w:eastAsia="方正小标宋简体" w:cs="方正小标宋简体"/>
          <w:sz w:val="32"/>
          <w:szCs w:val="32"/>
        </w:rPr>
        <w:t>目录</w:t>
      </w:r>
    </w:p>
    <w:p w14:paraId="46F0C973">
      <w:pPr>
        <w:pStyle w:val="14"/>
        <w:keepNext w:val="0"/>
        <w:keepLines w:val="0"/>
        <w:pageBreakBefore w:val="0"/>
        <w:widowControl w:val="0"/>
        <w:tabs>
          <w:tab w:val="right" w:leader="dot" w:pos="8306"/>
        </w:tabs>
        <w:kinsoku/>
        <w:wordWrap/>
        <w:overflowPunct/>
        <w:topLinePunct w:val="0"/>
        <w:autoSpaceDE/>
        <w:autoSpaceDN/>
        <w:bidi w:val="0"/>
        <w:adjustRightInd/>
        <w:snapToGrid/>
        <w:spacing w:line="480" w:lineRule="exact"/>
        <w:ind w:left="0" w:leftChars="0" w:firstLine="0" w:firstLineChars="0"/>
        <w:textAlignment w:val="auto"/>
        <w:rPr>
          <w:rFonts w:hint="eastAsia" w:ascii="楷体" w:hAnsi="楷体" w:eastAsia="楷体" w:cs="楷体"/>
          <w:sz w:val="24"/>
          <w:szCs w:val="32"/>
          <w:lang w:val="en-US" w:eastAsia="zh-CN"/>
        </w:rPr>
      </w:pPr>
    </w:p>
    <w:p w14:paraId="2D579E3B">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32"/>
        </w:rPr>
      </w:pPr>
      <w:r>
        <w:rPr>
          <w:rFonts w:hint="eastAsia" w:ascii="楷体" w:hAnsi="楷体" w:eastAsia="楷体" w:cs="楷体"/>
          <w:sz w:val="24"/>
          <w:szCs w:val="32"/>
          <w:lang w:val="en-US" w:eastAsia="zh-CN"/>
        </w:rPr>
        <w:fldChar w:fldCharType="begin"/>
      </w:r>
      <w:r>
        <w:rPr>
          <w:rFonts w:hint="eastAsia" w:ascii="楷体" w:hAnsi="楷体" w:eastAsia="楷体" w:cs="楷体"/>
          <w:sz w:val="24"/>
          <w:szCs w:val="32"/>
          <w:lang w:val="en-US" w:eastAsia="zh-CN"/>
        </w:rPr>
        <w:instrText xml:space="preserve">TOC \t "统计图目录,1" \h</w:instrText>
      </w:r>
      <w:r>
        <w:rPr>
          <w:rFonts w:hint="eastAsia" w:ascii="楷体" w:hAnsi="楷体" w:eastAsia="楷体" w:cs="楷体"/>
          <w:sz w:val="24"/>
          <w:szCs w:val="32"/>
          <w:lang w:val="en-US" w:eastAsia="zh-CN"/>
        </w:rPr>
        <w:fldChar w:fldCharType="separate"/>
      </w: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_Toc11317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32"/>
          <w:lang w:val="en-US" w:eastAsia="zh-CN"/>
        </w:rPr>
        <w:t>数据分析图1：近三年在校生数情况统计图</w:t>
      </w:r>
      <w:r>
        <w:rPr>
          <w:rFonts w:hint="eastAsia" w:ascii="楷体" w:hAnsi="楷体" w:eastAsia="楷体" w:cs="楷体"/>
          <w:sz w:val="24"/>
          <w:szCs w:val="32"/>
        </w:rPr>
        <w:tab/>
      </w:r>
      <w:r>
        <w:rPr>
          <w:rFonts w:hint="eastAsia" w:ascii="楷体" w:hAnsi="楷体" w:eastAsia="楷体" w:cs="楷体"/>
          <w:sz w:val="24"/>
          <w:szCs w:val="32"/>
        </w:rPr>
        <w:fldChar w:fldCharType="begin"/>
      </w:r>
      <w:r>
        <w:rPr>
          <w:rFonts w:hint="eastAsia" w:ascii="楷体" w:hAnsi="楷体" w:eastAsia="楷体" w:cs="楷体"/>
          <w:sz w:val="24"/>
          <w:szCs w:val="32"/>
        </w:rPr>
        <w:instrText xml:space="preserve"> PAGEREF _Toc11317 \h </w:instrText>
      </w:r>
      <w:r>
        <w:rPr>
          <w:rFonts w:hint="eastAsia" w:ascii="楷体" w:hAnsi="楷体" w:eastAsia="楷体" w:cs="楷体"/>
          <w:sz w:val="24"/>
          <w:szCs w:val="32"/>
        </w:rPr>
        <w:fldChar w:fldCharType="separate"/>
      </w:r>
      <w:r>
        <w:rPr>
          <w:rFonts w:hint="eastAsia" w:ascii="楷体" w:hAnsi="楷体" w:eastAsia="楷体" w:cs="楷体"/>
          <w:sz w:val="24"/>
          <w:szCs w:val="32"/>
        </w:rPr>
        <w:t>10</w:t>
      </w:r>
      <w:r>
        <w:rPr>
          <w:rFonts w:hint="eastAsia" w:ascii="楷体" w:hAnsi="楷体" w:eastAsia="楷体" w:cs="楷体"/>
          <w:sz w:val="24"/>
          <w:szCs w:val="32"/>
        </w:rPr>
        <w:fldChar w:fldCharType="end"/>
      </w:r>
      <w:r>
        <w:rPr>
          <w:rFonts w:hint="eastAsia" w:ascii="楷体" w:hAnsi="楷体" w:eastAsia="楷体" w:cs="楷体"/>
          <w:sz w:val="24"/>
          <w:szCs w:val="40"/>
          <w:lang w:val="en-US" w:eastAsia="zh-CN"/>
        </w:rPr>
        <w:fldChar w:fldCharType="end"/>
      </w:r>
    </w:p>
    <w:p w14:paraId="2489CD97">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32"/>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_Toc8549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32"/>
          <w:lang w:val="en-US" w:eastAsia="zh-CN"/>
        </w:rPr>
        <w:t>数据分析图2：近两年教职工与专任教师数量对比图</w:t>
      </w:r>
      <w:r>
        <w:rPr>
          <w:rFonts w:hint="eastAsia" w:ascii="楷体" w:hAnsi="楷体" w:eastAsia="楷体" w:cs="楷体"/>
          <w:sz w:val="24"/>
          <w:szCs w:val="32"/>
        </w:rPr>
        <w:tab/>
      </w:r>
      <w:r>
        <w:rPr>
          <w:rFonts w:hint="eastAsia" w:ascii="楷体" w:hAnsi="楷体" w:eastAsia="楷体" w:cs="楷体"/>
          <w:sz w:val="24"/>
          <w:szCs w:val="32"/>
        </w:rPr>
        <w:fldChar w:fldCharType="begin"/>
      </w:r>
      <w:r>
        <w:rPr>
          <w:rFonts w:hint="eastAsia" w:ascii="楷体" w:hAnsi="楷体" w:eastAsia="楷体" w:cs="楷体"/>
          <w:sz w:val="24"/>
          <w:szCs w:val="32"/>
        </w:rPr>
        <w:instrText xml:space="preserve"> PAGEREF _Toc8549 \h </w:instrText>
      </w:r>
      <w:r>
        <w:rPr>
          <w:rFonts w:hint="eastAsia" w:ascii="楷体" w:hAnsi="楷体" w:eastAsia="楷体" w:cs="楷体"/>
          <w:sz w:val="24"/>
          <w:szCs w:val="32"/>
        </w:rPr>
        <w:fldChar w:fldCharType="separate"/>
      </w:r>
      <w:r>
        <w:rPr>
          <w:rFonts w:hint="eastAsia" w:ascii="楷体" w:hAnsi="楷体" w:eastAsia="楷体" w:cs="楷体"/>
          <w:sz w:val="24"/>
          <w:szCs w:val="32"/>
        </w:rPr>
        <w:t>12</w:t>
      </w:r>
      <w:r>
        <w:rPr>
          <w:rFonts w:hint="eastAsia" w:ascii="楷体" w:hAnsi="楷体" w:eastAsia="楷体" w:cs="楷体"/>
          <w:sz w:val="24"/>
          <w:szCs w:val="32"/>
        </w:rPr>
        <w:fldChar w:fldCharType="end"/>
      </w:r>
      <w:r>
        <w:rPr>
          <w:rFonts w:hint="eastAsia" w:ascii="楷体" w:hAnsi="楷体" w:eastAsia="楷体" w:cs="楷体"/>
          <w:sz w:val="24"/>
          <w:szCs w:val="40"/>
          <w:lang w:val="en-US" w:eastAsia="zh-CN"/>
        </w:rPr>
        <w:fldChar w:fldCharType="end"/>
      </w:r>
    </w:p>
    <w:p w14:paraId="6A16D63B">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32"/>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_Toc16621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32"/>
          <w:lang w:val="en-US" w:eastAsia="zh-CN"/>
        </w:rPr>
        <w:t>数据分析图3：近两年双师型教师与高级专业技术职务专任教师数对比图</w:t>
      </w:r>
      <w:r>
        <w:rPr>
          <w:rFonts w:hint="eastAsia" w:ascii="楷体" w:hAnsi="楷体" w:eastAsia="楷体" w:cs="楷体"/>
          <w:sz w:val="24"/>
          <w:szCs w:val="32"/>
        </w:rPr>
        <w:tab/>
      </w:r>
      <w:r>
        <w:rPr>
          <w:rFonts w:hint="eastAsia" w:ascii="楷体" w:hAnsi="楷体" w:eastAsia="楷体" w:cs="楷体"/>
          <w:sz w:val="24"/>
          <w:szCs w:val="32"/>
        </w:rPr>
        <w:fldChar w:fldCharType="begin"/>
      </w:r>
      <w:r>
        <w:rPr>
          <w:rFonts w:hint="eastAsia" w:ascii="楷体" w:hAnsi="楷体" w:eastAsia="楷体" w:cs="楷体"/>
          <w:sz w:val="24"/>
          <w:szCs w:val="32"/>
        </w:rPr>
        <w:instrText xml:space="preserve"> PAGEREF _Toc16621 \h </w:instrText>
      </w:r>
      <w:r>
        <w:rPr>
          <w:rFonts w:hint="eastAsia" w:ascii="楷体" w:hAnsi="楷体" w:eastAsia="楷体" w:cs="楷体"/>
          <w:sz w:val="24"/>
          <w:szCs w:val="32"/>
        </w:rPr>
        <w:fldChar w:fldCharType="separate"/>
      </w:r>
      <w:r>
        <w:rPr>
          <w:rFonts w:hint="eastAsia" w:ascii="楷体" w:hAnsi="楷体" w:eastAsia="楷体" w:cs="楷体"/>
          <w:sz w:val="24"/>
          <w:szCs w:val="32"/>
        </w:rPr>
        <w:t>12</w:t>
      </w:r>
      <w:r>
        <w:rPr>
          <w:rFonts w:hint="eastAsia" w:ascii="楷体" w:hAnsi="楷体" w:eastAsia="楷体" w:cs="楷体"/>
          <w:sz w:val="24"/>
          <w:szCs w:val="32"/>
        </w:rPr>
        <w:fldChar w:fldCharType="end"/>
      </w:r>
      <w:r>
        <w:rPr>
          <w:rFonts w:hint="eastAsia" w:ascii="楷体" w:hAnsi="楷体" w:eastAsia="楷体" w:cs="楷体"/>
          <w:sz w:val="24"/>
          <w:szCs w:val="40"/>
          <w:lang w:val="en-US" w:eastAsia="zh-CN"/>
        </w:rPr>
        <w:fldChar w:fldCharType="end"/>
      </w:r>
    </w:p>
    <w:p w14:paraId="0C2C912D">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32"/>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_Toc28353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32"/>
          <w:lang w:val="en-US" w:eastAsia="zh-CN"/>
        </w:rPr>
        <w:t>数据分析图4：德育工作队伍情况对比图</w:t>
      </w:r>
      <w:r>
        <w:rPr>
          <w:rFonts w:hint="eastAsia" w:ascii="楷体" w:hAnsi="楷体" w:eastAsia="楷体" w:cs="楷体"/>
          <w:sz w:val="24"/>
          <w:szCs w:val="32"/>
        </w:rPr>
        <w:tab/>
      </w:r>
      <w:r>
        <w:rPr>
          <w:rFonts w:hint="eastAsia" w:ascii="楷体" w:hAnsi="楷体" w:eastAsia="楷体" w:cs="楷体"/>
          <w:sz w:val="24"/>
          <w:szCs w:val="32"/>
        </w:rPr>
        <w:fldChar w:fldCharType="begin"/>
      </w:r>
      <w:r>
        <w:rPr>
          <w:rFonts w:hint="eastAsia" w:ascii="楷体" w:hAnsi="楷体" w:eastAsia="楷体" w:cs="楷体"/>
          <w:sz w:val="24"/>
          <w:szCs w:val="32"/>
        </w:rPr>
        <w:instrText xml:space="preserve"> PAGEREF _Toc28353 \h </w:instrText>
      </w:r>
      <w:r>
        <w:rPr>
          <w:rFonts w:hint="eastAsia" w:ascii="楷体" w:hAnsi="楷体" w:eastAsia="楷体" w:cs="楷体"/>
          <w:sz w:val="24"/>
          <w:szCs w:val="32"/>
        </w:rPr>
        <w:fldChar w:fldCharType="separate"/>
      </w:r>
      <w:r>
        <w:rPr>
          <w:rFonts w:hint="eastAsia" w:ascii="楷体" w:hAnsi="楷体" w:eastAsia="楷体" w:cs="楷体"/>
          <w:sz w:val="24"/>
          <w:szCs w:val="32"/>
        </w:rPr>
        <w:t>15</w:t>
      </w:r>
      <w:r>
        <w:rPr>
          <w:rFonts w:hint="eastAsia" w:ascii="楷体" w:hAnsi="楷体" w:eastAsia="楷体" w:cs="楷体"/>
          <w:sz w:val="24"/>
          <w:szCs w:val="32"/>
        </w:rPr>
        <w:fldChar w:fldCharType="end"/>
      </w:r>
      <w:r>
        <w:rPr>
          <w:rFonts w:hint="eastAsia" w:ascii="楷体" w:hAnsi="楷体" w:eastAsia="楷体" w:cs="楷体"/>
          <w:sz w:val="24"/>
          <w:szCs w:val="40"/>
          <w:lang w:val="en-US" w:eastAsia="zh-CN"/>
        </w:rPr>
        <w:fldChar w:fldCharType="end"/>
      </w:r>
    </w:p>
    <w:p w14:paraId="5CD4DC2D">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32"/>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_Toc25328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32"/>
          <w:lang w:val="en-US" w:eastAsia="zh-CN"/>
        </w:rPr>
        <w:t>数据分析图5：朝阳市中职学生素质测评图</w:t>
      </w:r>
      <w:r>
        <w:rPr>
          <w:rFonts w:hint="eastAsia" w:ascii="楷体" w:hAnsi="楷体" w:eastAsia="楷体" w:cs="楷体"/>
          <w:sz w:val="24"/>
          <w:szCs w:val="32"/>
        </w:rPr>
        <w:tab/>
      </w:r>
      <w:r>
        <w:rPr>
          <w:rFonts w:hint="eastAsia" w:ascii="楷体" w:hAnsi="楷体" w:eastAsia="楷体" w:cs="楷体"/>
          <w:sz w:val="24"/>
          <w:szCs w:val="32"/>
        </w:rPr>
        <w:fldChar w:fldCharType="begin"/>
      </w:r>
      <w:r>
        <w:rPr>
          <w:rFonts w:hint="eastAsia" w:ascii="楷体" w:hAnsi="楷体" w:eastAsia="楷体" w:cs="楷体"/>
          <w:sz w:val="24"/>
          <w:szCs w:val="32"/>
        </w:rPr>
        <w:instrText xml:space="preserve"> PAGEREF _Toc25328 \h </w:instrText>
      </w:r>
      <w:r>
        <w:rPr>
          <w:rFonts w:hint="eastAsia" w:ascii="楷体" w:hAnsi="楷体" w:eastAsia="楷体" w:cs="楷体"/>
          <w:sz w:val="24"/>
          <w:szCs w:val="32"/>
        </w:rPr>
        <w:fldChar w:fldCharType="separate"/>
      </w:r>
      <w:r>
        <w:rPr>
          <w:rFonts w:hint="eastAsia" w:ascii="楷体" w:hAnsi="楷体" w:eastAsia="楷体" w:cs="楷体"/>
          <w:sz w:val="24"/>
          <w:szCs w:val="32"/>
        </w:rPr>
        <w:t>19</w:t>
      </w:r>
      <w:r>
        <w:rPr>
          <w:rFonts w:hint="eastAsia" w:ascii="楷体" w:hAnsi="楷体" w:eastAsia="楷体" w:cs="楷体"/>
          <w:sz w:val="24"/>
          <w:szCs w:val="32"/>
        </w:rPr>
        <w:fldChar w:fldCharType="end"/>
      </w:r>
      <w:r>
        <w:rPr>
          <w:rFonts w:hint="eastAsia" w:ascii="楷体" w:hAnsi="楷体" w:eastAsia="楷体" w:cs="楷体"/>
          <w:sz w:val="24"/>
          <w:szCs w:val="40"/>
          <w:lang w:val="en-US" w:eastAsia="zh-CN"/>
        </w:rPr>
        <w:fldChar w:fldCharType="end"/>
      </w:r>
    </w:p>
    <w:p w14:paraId="38166C80">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32"/>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_Toc25744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32"/>
          <w:lang w:val="en-US" w:eastAsia="zh-CN"/>
        </w:rPr>
        <w:t>数据分析图6：技能大赛学生赛项参与情况统计图</w:t>
      </w:r>
      <w:r>
        <w:rPr>
          <w:rFonts w:hint="eastAsia" w:ascii="楷体" w:hAnsi="楷体" w:eastAsia="楷体" w:cs="楷体"/>
          <w:sz w:val="24"/>
          <w:szCs w:val="32"/>
        </w:rPr>
        <w:tab/>
      </w:r>
      <w:r>
        <w:rPr>
          <w:rFonts w:hint="eastAsia" w:ascii="楷体" w:hAnsi="楷体" w:eastAsia="楷体" w:cs="楷体"/>
          <w:sz w:val="24"/>
          <w:szCs w:val="32"/>
        </w:rPr>
        <w:fldChar w:fldCharType="begin"/>
      </w:r>
      <w:r>
        <w:rPr>
          <w:rFonts w:hint="eastAsia" w:ascii="楷体" w:hAnsi="楷体" w:eastAsia="楷体" w:cs="楷体"/>
          <w:sz w:val="24"/>
          <w:szCs w:val="32"/>
        </w:rPr>
        <w:instrText xml:space="preserve"> PAGEREF _Toc25744 \h </w:instrText>
      </w:r>
      <w:r>
        <w:rPr>
          <w:rFonts w:hint="eastAsia" w:ascii="楷体" w:hAnsi="楷体" w:eastAsia="楷体" w:cs="楷体"/>
          <w:sz w:val="24"/>
          <w:szCs w:val="32"/>
        </w:rPr>
        <w:fldChar w:fldCharType="separate"/>
      </w:r>
      <w:r>
        <w:rPr>
          <w:rFonts w:hint="eastAsia" w:ascii="楷体" w:hAnsi="楷体" w:eastAsia="楷体" w:cs="楷体"/>
          <w:sz w:val="24"/>
          <w:szCs w:val="32"/>
        </w:rPr>
        <w:t>25</w:t>
      </w:r>
      <w:r>
        <w:rPr>
          <w:rFonts w:hint="eastAsia" w:ascii="楷体" w:hAnsi="楷体" w:eastAsia="楷体" w:cs="楷体"/>
          <w:sz w:val="24"/>
          <w:szCs w:val="32"/>
        </w:rPr>
        <w:fldChar w:fldCharType="end"/>
      </w:r>
      <w:r>
        <w:rPr>
          <w:rFonts w:hint="eastAsia" w:ascii="楷体" w:hAnsi="楷体" w:eastAsia="楷体" w:cs="楷体"/>
          <w:sz w:val="24"/>
          <w:szCs w:val="40"/>
          <w:lang w:val="en-US" w:eastAsia="zh-CN"/>
        </w:rPr>
        <w:fldChar w:fldCharType="end"/>
      </w:r>
    </w:p>
    <w:p w14:paraId="601513BA">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32"/>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_Toc32667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32"/>
          <w:lang w:val="en-US" w:eastAsia="zh-CN"/>
        </w:rPr>
        <w:t>数据分析图7：近三年“千名专家进园区”开展项目情况统计图</w:t>
      </w:r>
      <w:r>
        <w:rPr>
          <w:rFonts w:hint="eastAsia" w:ascii="楷体" w:hAnsi="楷体" w:eastAsia="楷体" w:cs="楷体"/>
          <w:sz w:val="24"/>
          <w:szCs w:val="32"/>
        </w:rPr>
        <w:tab/>
      </w:r>
      <w:r>
        <w:rPr>
          <w:rFonts w:hint="eastAsia" w:ascii="楷体" w:hAnsi="楷体" w:eastAsia="楷体" w:cs="楷体"/>
          <w:sz w:val="24"/>
          <w:szCs w:val="32"/>
        </w:rPr>
        <w:fldChar w:fldCharType="begin"/>
      </w:r>
      <w:r>
        <w:rPr>
          <w:rFonts w:hint="eastAsia" w:ascii="楷体" w:hAnsi="楷体" w:eastAsia="楷体" w:cs="楷体"/>
          <w:sz w:val="24"/>
          <w:szCs w:val="32"/>
        </w:rPr>
        <w:instrText xml:space="preserve"> PAGEREF _Toc32667 \h </w:instrText>
      </w:r>
      <w:r>
        <w:rPr>
          <w:rFonts w:hint="eastAsia" w:ascii="楷体" w:hAnsi="楷体" w:eastAsia="楷体" w:cs="楷体"/>
          <w:sz w:val="24"/>
          <w:szCs w:val="32"/>
        </w:rPr>
        <w:fldChar w:fldCharType="separate"/>
      </w:r>
      <w:r>
        <w:rPr>
          <w:rFonts w:hint="eastAsia" w:ascii="楷体" w:hAnsi="楷体" w:eastAsia="楷体" w:cs="楷体"/>
          <w:sz w:val="24"/>
          <w:szCs w:val="32"/>
        </w:rPr>
        <w:t>29</w:t>
      </w:r>
      <w:r>
        <w:rPr>
          <w:rFonts w:hint="eastAsia" w:ascii="楷体" w:hAnsi="楷体" w:eastAsia="楷体" w:cs="楷体"/>
          <w:sz w:val="24"/>
          <w:szCs w:val="32"/>
        </w:rPr>
        <w:fldChar w:fldCharType="end"/>
      </w:r>
      <w:r>
        <w:rPr>
          <w:rFonts w:hint="eastAsia" w:ascii="楷体" w:hAnsi="楷体" w:eastAsia="楷体" w:cs="楷体"/>
          <w:sz w:val="24"/>
          <w:szCs w:val="40"/>
          <w:lang w:val="en-US" w:eastAsia="zh-CN"/>
        </w:rPr>
        <w:fldChar w:fldCharType="end"/>
      </w:r>
    </w:p>
    <w:p w14:paraId="52B853B0">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32"/>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_Toc24420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32"/>
          <w:lang w:val="en-US" w:eastAsia="zh-CN"/>
        </w:rPr>
        <w:t>数据分析图8：2024年职业培训情况统计（服务人群）</w:t>
      </w:r>
      <w:r>
        <w:rPr>
          <w:rFonts w:hint="eastAsia" w:ascii="楷体" w:hAnsi="楷体" w:eastAsia="楷体" w:cs="楷体"/>
          <w:sz w:val="24"/>
          <w:szCs w:val="32"/>
        </w:rPr>
        <w:tab/>
      </w:r>
      <w:r>
        <w:rPr>
          <w:rFonts w:hint="eastAsia" w:ascii="楷体" w:hAnsi="楷体" w:eastAsia="楷体" w:cs="楷体"/>
          <w:sz w:val="24"/>
          <w:szCs w:val="32"/>
        </w:rPr>
        <w:fldChar w:fldCharType="begin"/>
      </w:r>
      <w:r>
        <w:rPr>
          <w:rFonts w:hint="eastAsia" w:ascii="楷体" w:hAnsi="楷体" w:eastAsia="楷体" w:cs="楷体"/>
          <w:sz w:val="24"/>
          <w:szCs w:val="32"/>
        </w:rPr>
        <w:instrText xml:space="preserve"> PAGEREF _Toc24420 \h </w:instrText>
      </w:r>
      <w:r>
        <w:rPr>
          <w:rFonts w:hint="eastAsia" w:ascii="楷体" w:hAnsi="楷体" w:eastAsia="楷体" w:cs="楷体"/>
          <w:sz w:val="24"/>
          <w:szCs w:val="32"/>
        </w:rPr>
        <w:fldChar w:fldCharType="separate"/>
      </w:r>
      <w:r>
        <w:rPr>
          <w:rFonts w:hint="eastAsia" w:ascii="楷体" w:hAnsi="楷体" w:eastAsia="楷体" w:cs="楷体"/>
          <w:sz w:val="24"/>
          <w:szCs w:val="32"/>
        </w:rPr>
        <w:t>31</w:t>
      </w:r>
      <w:r>
        <w:rPr>
          <w:rFonts w:hint="eastAsia" w:ascii="楷体" w:hAnsi="楷体" w:eastAsia="楷体" w:cs="楷体"/>
          <w:sz w:val="24"/>
          <w:szCs w:val="32"/>
        </w:rPr>
        <w:fldChar w:fldCharType="end"/>
      </w:r>
      <w:r>
        <w:rPr>
          <w:rFonts w:hint="eastAsia" w:ascii="楷体" w:hAnsi="楷体" w:eastAsia="楷体" w:cs="楷体"/>
          <w:sz w:val="24"/>
          <w:szCs w:val="40"/>
          <w:lang w:val="en-US" w:eastAsia="zh-CN"/>
        </w:rPr>
        <w:fldChar w:fldCharType="end"/>
      </w:r>
    </w:p>
    <w:p w14:paraId="51A44968">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32"/>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_Toc15162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32"/>
          <w:lang w:val="en-US" w:eastAsia="zh-CN"/>
        </w:rPr>
        <w:t>数据分析图9：2024年职业培训情况统计图（重点行业）</w:t>
      </w:r>
      <w:r>
        <w:rPr>
          <w:rFonts w:hint="eastAsia" w:ascii="楷体" w:hAnsi="楷体" w:eastAsia="楷体" w:cs="楷体"/>
          <w:sz w:val="24"/>
          <w:szCs w:val="32"/>
        </w:rPr>
        <w:tab/>
      </w:r>
      <w:r>
        <w:rPr>
          <w:rFonts w:hint="eastAsia" w:ascii="楷体" w:hAnsi="楷体" w:eastAsia="楷体" w:cs="楷体"/>
          <w:sz w:val="24"/>
          <w:szCs w:val="32"/>
        </w:rPr>
        <w:fldChar w:fldCharType="begin"/>
      </w:r>
      <w:r>
        <w:rPr>
          <w:rFonts w:hint="eastAsia" w:ascii="楷体" w:hAnsi="楷体" w:eastAsia="楷体" w:cs="楷体"/>
          <w:sz w:val="24"/>
          <w:szCs w:val="32"/>
        </w:rPr>
        <w:instrText xml:space="preserve"> PAGEREF _Toc15162 \h </w:instrText>
      </w:r>
      <w:r>
        <w:rPr>
          <w:rFonts w:hint="eastAsia" w:ascii="楷体" w:hAnsi="楷体" w:eastAsia="楷体" w:cs="楷体"/>
          <w:sz w:val="24"/>
          <w:szCs w:val="32"/>
        </w:rPr>
        <w:fldChar w:fldCharType="separate"/>
      </w:r>
      <w:r>
        <w:rPr>
          <w:rFonts w:hint="eastAsia" w:ascii="楷体" w:hAnsi="楷体" w:eastAsia="楷体" w:cs="楷体"/>
          <w:sz w:val="24"/>
          <w:szCs w:val="32"/>
        </w:rPr>
        <w:t>31</w:t>
      </w:r>
      <w:r>
        <w:rPr>
          <w:rFonts w:hint="eastAsia" w:ascii="楷体" w:hAnsi="楷体" w:eastAsia="楷体" w:cs="楷体"/>
          <w:sz w:val="24"/>
          <w:szCs w:val="32"/>
        </w:rPr>
        <w:fldChar w:fldCharType="end"/>
      </w:r>
      <w:r>
        <w:rPr>
          <w:rFonts w:hint="eastAsia" w:ascii="楷体" w:hAnsi="楷体" w:eastAsia="楷体" w:cs="楷体"/>
          <w:sz w:val="24"/>
          <w:szCs w:val="40"/>
          <w:lang w:val="en-US" w:eastAsia="zh-CN"/>
        </w:rPr>
        <w:fldChar w:fldCharType="end"/>
      </w:r>
    </w:p>
    <w:p w14:paraId="58DC8A47">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32"/>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_Toc19544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32"/>
          <w:lang w:val="en-US" w:eastAsia="zh-CN"/>
        </w:rPr>
        <w:t>数据分析图10：2024年“技能成才强国有我”系列活动开展情况统计图</w:t>
      </w:r>
      <w:r>
        <w:rPr>
          <w:rFonts w:hint="eastAsia" w:ascii="楷体" w:hAnsi="楷体" w:eastAsia="楷体" w:cs="楷体"/>
          <w:sz w:val="24"/>
          <w:szCs w:val="32"/>
        </w:rPr>
        <w:tab/>
      </w:r>
      <w:r>
        <w:rPr>
          <w:rFonts w:hint="eastAsia" w:ascii="楷体" w:hAnsi="楷体" w:eastAsia="楷体" w:cs="楷体"/>
          <w:sz w:val="24"/>
          <w:szCs w:val="32"/>
        </w:rPr>
        <w:fldChar w:fldCharType="begin"/>
      </w:r>
      <w:r>
        <w:rPr>
          <w:rFonts w:hint="eastAsia" w:ascii="楷体" w:hAnsi="楷体" w:eastAsia="楷体" w:cs="楷体"/>
          <w:sz w:val="24"/>
          <w:szCs w:val="32"/>
        </w:rPr>
        <w:instrText xml:space="preserve"> PAGEREF _Toc19544 \h </w:instrText>
      </w:r>
      <w:r>
        <w:rPr>
          <w:rFonts w:hint="eastAsia" w:ascii="楷体" w:hAnsi="楷体" w:eastAsia="楷体" w:cs="楷体"/>
          <w:sz w:val="24"/>
          <w:szCs w:val="32"/>
        </w:rPr>
        <w:fldChar w:fldCharType="separate"/>
      </w:r>
      <w:r>
        <w:rPr>
          <w:rFonts w:hint="eastAsia" w:ascii="楷体" w:hAnsi="楷体" w:eastAsia="楷体" w:cs="楷体"/>
          <w:sz w:val="24"/>
          <w:szCs w:val="32"/>
        </w:rPr>
        <w:t>40</w:t>
      </w:r>
      <w:r>
        <w:rPr>
          <w:rFonts w:hint="eastAsia" w:ascii="楷体" w:hAnsi="楷体" w:eastAsia="楷体" w:cs="楷体"/>
          <w:sz w:val="24"/>
          <w:szCs w:val="32"/>
        </w:rPr>
        <w:fldChar w:fldCharType="end"/>
      </w:r>
      <w:r>
        <w:rPr>
          <w:rFonts w:hint="eastAsia" w:ascii="楷体" w:hAnsi="楷体" w:eastAsia="楷体" w:cs="楷体"/>
          <w:sz w:val="24"/>
          <w:szCs w:val="40"/>
          <w:lang w:val="en-US" w:eastAsia="zh-CN"/>
        </w:rPr>
        <w:fldChar w:fldCharType="end"/>
      </w:r>
    </w:p>
    <w:p w14:paraId="64E0F2F5">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32"/>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_Toc10379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32"/>
          <w:lang w:val="en-US" w:eastAsia="zh-CN"/>
        </w:rPr>
        <w:t xml:space="preserve">数据分析图11：凌源市职业教育中心岗位实习学生收入数据 </w:t>
      </w:r>
      <w:r>
        <w:rPr>
          <w:rFonts w:hint="eastAsia" w:ascii="楷体" w:hAnsi="楷体" w:eastAsia="楷体" w:cs="楷体"/>
          <w:sz w:val="24"/>
          <w:szCs w:val="32"/>
        </w:rPr>
        <w:tab/>
      </w:r>
      <w:r>
        <w:rPr>
          <w:rFonts w:hint="eastAsia" w:ascii="楷体" w:hAnsi="楷体" w:eastAsia="楷体" w:cs="楷体"/>
          <w:sz w:val="24"/>
          <w:szCs w:val="32"/>
        </w:rPr>
        <w:fldChar w:fldCharType="begin"/>
      </w:r>
      <w:r>
        <w:rPr>
          <w:rFonts w:hint="eastAsia" w:ascii="楷体" w:hAnsi="楷体" w:eastAsia="楷体" w:cs="楷体"/>
          <w:sz w:val="24"/>
          <w:szCs w:val="32"/>
        </w:rPr>
        <w:instrText xml:space="preserve"> PAGEREF _Toc10379 \h </w:instrText>
      </w:r>
      <w:r>
        <w:rPr>
          <w:rFonts w:hint="eastAsia" w:ascii="楷体" w:hAnsi="楷体" w:eastAsia="楷体" w:cs="楷体"/>
          <w:sz w:val="24"/>
          <w:szCs w:val="32"/>
        </w:rPr>
        <w:fldChar w:fldCharType="separate"/>
      </w:r>
      <w:r>
        <w:rPr>
          <w:rFonts w:hint="eastAsia" w:ascii="楷体" w:hAnsi="楷体" w:eastAsia="楷体" w:cs="楷体"/>
          <w:sz w:val="24"/>
          <w:szCs w:val="32"/>
        </w:rPr>
        <w:t>50</w:t>
      </w:r>
      <w:r>
        <w:rPr>
          <w:rFonts w:hint="eastAsia" w:ascii="楷体" w:hAnsi="楷体" w:eastAsia="楷体" w:cs="楷体"/>
          <w:sz w:val="24"/>
          <w:szCs w:val="32"/>
        </w:rPr>
        <w:fldChar w:fldCharType="end"/>
      </w:r>
      <w:r>
        <w:rPr>
          <w:rFonts w:hint="eastAsia" w:ascii="楷体" w:hAnsi="楷体" w:eastAsia="楷体" w:cs="楷体"/>
          <w:sz w:val="24"/>
          <w:szCs w:val="40"/>
          <w:lang w:val="en-US" w:eastAsia="zh-CN"/>
        </w:rPr>
        <w:fldChar w:fldCharType="end"/>
      </w:r>
    </w:p>
    <w:p w14:paraId="645ACA84">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32"/>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_Toc11511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32"/>
          <w:lang w:val="en-US" w:eastAsia="zh-CN"/>
        </w:rPr>
        <w:t>数据分析图12：朝阳市入选省首批乡村振兴学院数据分析图</w:t>
      </w:r>
      <w:r>
        <w:rPr>
          <w:rFonts w:hint="eastAsia" w:ascii="楷体" w:hAnsi="楷体" w:eastAsia="楷体" w:cs="楷体"/>
          <w:sz w:val="24"/>
          <w:szCs w:val="32"/>
        </w:rPr>
        <w:tab/>
      </w:r>
      <w:r>
        <w:rPr>
          <w:rFonts w:hint="eastAsia" w:ascii="楷体" w:hAnsi="楷体" w:eastAsia="楷体" w:cs="楷体"/>
          <w:sz w:val="24"/>
          <w:szCs w:val="32"/>
        </w:rPr>
        <w:fldChar w:fldCharType="begin"/>
      </w:r>
      <w:r>
        <w:rPr>
          <w:rFonts w:hint="eastAsia" w:ascii="楷体" w:hAnsi="楷体" w:eastAsia="楷体" w:cs="楷体"/>
          <w:sz w:val="24"/>
          <w:szCs w:val="32"/>
        </w:rPr>
        <w:instrText xml:space="preserve"> PAGEREF _Toc11511 \h </w:instrText>
      </w:r>
      <w:r>
        <w:rPr>
          <w:rFonts w:hint="eastAsia" w:ascii="楷体" w:hAnsi="楷体" w:eastAsia="楷体" w:cs="楷体"/>
          <w:sz w:val="24"/>
          <w:szCs w:val="32"/>
        </w:rPr>
        <w:fldChar w:fldCharType="separate"/>
      </w:r>
      <w:r>
        <w:rPr>
          <w:rFonts w:hint="eastAsia" w:ascii="楷体" w:hAnsi="楷体" w:eastAsia="楷体" w:cs="楷体"/>
          <w:sz w:val="24"/>
          <w:szCs w:val="32"/>
        </w:rPr>
        <w:t>51</w:t>
      </w:r>
      <w:r>
        <w:rPr>
          <w:rFonts w:hint="eastAsia" w:ascii="楷体" w:hAnsi="楷体" w:eastAsia="楷体" w:cs="楷体"/>
          <w:sz w:val="24"/>
          <w:szCs w:val="32"/>
        </w:rPr>
        <w:fldChar w:fldCharType="end"/>
      </w:r>
      <w:r>
        <w:rPr>
          <w:rFonts w:hint="eastAsia" w:ascii="楷体" w:hAnsi="楷体" w:eastAsia="楷体" w:cs="楷体"/>
          <w:sz w:val="24"/>
          <w:szCs w:val="40"/>
          <w:lang w:val="en-US" w:eastAsia="zh-CN"/>
        </w:rPr>
        <w:fldChar w:fldCharType="end"/>
      </w:r>
    </w:p>
    <w:p w14:paraId="7E285635">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32"/>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_Toc15763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32"/>
          <w:lang w:val="en-US" w:eastAsia="zh-CN"/>
        </w:rPr>
        <w:t>数据分析图13：朝阳市与京津冀地区企业对接合作订单班情况分析</w:t>
      </w:r>
      <w:r>
        <w:rPr>
          <w:rFonts w:hint="eastAsia" w:ascii="楷体" w:hAnsi="楷体" w:eastAsia="楷体" w:cs="楷体"/>
          <w:sz w:val="24"/>
          <w:szCs w:val="32"/>
        </w:rPr>
        <w:tab/>
      </w:r>
      <w:r>
        <w:rPr>
          <w:rFonts w:hint="eastAsia" w:ascii="楷体" w:hAnsi="楷体" w:eastAsia="楷体" w:cs="楷体"/>
          <w:sz w:val="24"/>
          <w:szCs w:val="32"/>
        </w:rPr>
        <w:fldChar w:fldCharType="begin"/>
      </w:r>
      <w:r>
        <w:rPr>
          <w:rFonts w:hint="eastAsia" w:ascii="楷体" w:hAnsi="楷体" w:eastAsia="楷体" w:cs="楷体"/>
          <w:sz w:val="24"/>
          <w:szCs w:val="32"/>
        </w:rPr>
        <w:instrText xml:space="preserve"> PAGEREF _Toc15763 \h </w:instrText>
      </w:r>
      <w:r>
        <w:rPr>
          <w:rFonts w:hint="eastAsia" w:ascii="楷体" w:hAnsi="楷体" w:eastAsia="楷体" w:cs="楷体"/>
          <w:sz w:val="24"/>
          <w:szCs w:val="32"/>
        </w:rPr>
        <w:fldChar w:fldCharType="separate"/>
      </w:r>
      <w:r>
        <w:rPr>
          <w:rFonts w:hint="eastAsia" w:ascii="楷体" w:hAnsi="楷体" w:eastAsia="楷体" w:cs="楷体"/>
          <w:sz w:val="24"/>
          <w:szCs w:val="32"/>
        </w:rPr>
        <w:t>54</w:t>
      </w:r>
      <w:r>
        <w:rPr>
          <w:rFonts w:hint="eastAsia" w:ascii="楷体" w:hAnsi="楷体" w:eastAsia="楷体" w:cs="楷体"/>
          <w:sz w:val="24"/>
          <w:szCs w:val="32"/>
        </w:rPr>
        <w:fldChar w:fldCharType="end"/>
      </w:r>
      <w:r>
        <w:rPr>
          <w:rFonts w:hint="eastAsia" w:ascii="楷体" w:hAnsi="楷体" w:eastAsia="楷体" w:cs="楷体"/>
          <w:sz w:val="24"/>
          <w:szCs w:val="40"/>
          <w:lang w:val="en-US" w:eastAsia="zh-CN"/>
        </w:rPr>
        <w:fldChar w:fldCharType="end"/>
      </w:r>
    </w:p>
    <w:p w14:paraId="50E83D2D">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32"/>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_Toc14162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32"/>
          <w:lang w:val="en-US" w:eastAsia="zh-CN"/>
        </w:rPr>
        <w:t>数据分析图14：免学费、助学金资金数据对比分析图</w:t>
      </w:r>
      <w:r>
        <w:rPr>
          <w:rFonts w:hint="eastAsia" w:ascii="楷体" w:hAnsi="楷体" w:eastAsia="楷体" w:cs="楷体"/>
          <w:sz w:val="24"/>
          <w:szCs w:val="32"/>
        </w:rPr>
        <w:tab/>
      </w:r>
      <w:r>
        <w:rPr>
          <w:rFonts w:hint="eastAsia" w:ascii="楷体" w:hAnsi="楷体" w:eastAsia="楷体" w:cs="楷体"/>
          <w:sz w:val="24"/>
          <w:szCs w:val="32"/>
        </w:rPr>
        <w:fldChar w:fldCharType="begin"/>
      </w:r>
      <w:r>
        <w:rPr>
          <w:rFonts w:hint="eastAsia" w:ascii="楷体" w:hAnsi="楷体" w:eastAsia="楷体" w:cs="楷体"/>
          <w:sz w:val="24"/>
          <w:szCs w:val="32"/>
        </w:rPr>
        <w:instrText xml:space="preserve"> PAGEREF _Toc14162 \h </w:instrText>
      </w:r>
      <w:r>
        <w:rPr>
          <w:rFonts w:hint="eastAsia" w:ascii="楷体" w:hAnsi="楷体" w:eastAsia="楷体" w:cs="楷体"/>
          <w:sz w:val="24"/>
          <w:szCs w:val="32"/>
        </w:rPr>
        <w:fldChar w:fldCharType="separate"/>
      </w:r>
      <w:r>
        <w:rPr>
          <w:rFonts w:hint="eastAsia" w:ascii="楷体" w:hAnsi="楷体" w:eastAsia="楷体" w:cs="楷体"/>
          <w:sz w:val="24"/>
          <w:szCs w:val="32"/>
        </w:rPr>
        <w:t>66</w:t>
      </w:r>
      <w:r>
        <w:rPr>
          <w:rFonts w:hint="eastAsia" w:ascii="楷体" w:hAnsi="楷体" w:eastAsia="楷体" w:cs="楷体"/>
          <w:sz w:val="24"/>
          <w:szCs w:val="32"/>
        </w:rPr>
        <w:fldChar w:fldCharType="end"/>
      </w:r>
      <w:r>
        <w:rPr>
          <w:rFonts w:hint="eastAsia" w:ascii="楷体" w:hAnsi="楷体" w:eastAsia="楷体" w:cs="楷体"/>
          <w:sz w:val="24"/>
          <w:szCs w:val="40"/>
          <w:lang w:val="en-US" w:eastAsia="zh-CN"/>
        </w:rPr>
        <w:fldChar w:fldCharType="end"/>
      </w:r>
    </w:p>
    <w:p w14:paraId="422F218E">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32"/>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_Toc30674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32"/>
          <w:lang w:val="en-US" w:eastAsia="zh-CN"/>
        </w:rPr>
        <w:t>数据分析图15：免学费、助学金资助人次数据对比分析图</w:t>
      </w:r>
      <w:r>
        <w:rPr>
          <w:rFonts w:hint="eastAsia" w:ascii="楷体" w:hAnsi="楷体" w:eastAsia="楷体" w:cs="楷体"/>
          <w:sz w:val="24"/>
          <w:szCs w:val="32"/>
        </w:rPr>
        <w:tab/>
      </w:r>
      <w:r>
        <w:rPr>
          <w:rFonts w:hint="eastAsia" w:ascii="楷体" w:hAnsi="楷体" w:eastAsia="楷体" w:cs="楷体"/>
          <w:sz w:val="24"/>
          <w:szCs w:val="32"/>
        </w:rPr>
        <w:fldChar w:fldCharType="begin"/>
      </w:r>
      <w:r>
        <w:rPr>
          <w:rFonts w:hint="eastAsia" w:ascii="楷体" w:hAnsi="楷体" w:eastAsia="楷体" w:cs="楷体"/>
          <w:sz w:val="24"/>
          <w:szCs w:val="32"/>
        </w:rPr>
        <w:instrText xml:space="preserve"> PAGEREF _Toc30674 \h </w:instrText>
      </w:r>
      <w:r>
        <w:rPr>
          <w:rFonts w:hint="eastAsia" w:ascii="楷体" w:hAnsi="楷体" w:eastAsia="楷体" w:cs="楷体"/>
          <w:sz w:val="24"/>
          <w:szCs w:val="32"/>
        </w:rPr>
        <w:fldChar w:fldCharType="separate"/>
      </w:r>
      <w:r>
        <w:rPr>
          <w:rFonts w:hint="eastAsia" w:ascii="楷体" w:hAnsi="楷体" w:eastAsia="楷体" w:cs="楷体"/>
          <w:sz w:val="24"/>
          <w:szCs w:val="32"/>
        </w:rPr>
        <w:t>66</w:t>
      </w:r>
      <w:r>
        <w:rPr>
          <w:rFonts w:hint="eastAsia" w:ascii="楷体" w:hAnsi="楷体" w:eastAsia="楷体" w:cs="楷体"/>
          <w:sz w:val="24"/>
          <w:szCs w:val="32"/>
        </w:rPr>
        <w:fldChar w:fldCharType="end"/>
      </w:r>
      <w:r>
        <w:rPr>
          <w:rFonts w:hint="eastAsia" w:ascii="楷体" w:hAnsi="楷体" w:eastAsia="楷体" w:cs="楷体"/>
          <w:sz w:val="24"/>
          <w:szCs w:val="40"/>
          <w:lang w:val="en-US" w:eastAsia="zh-CN"/>
        </w:rPr>
        <w:fldChar w:fldCharType="end"/>
      </w:r>
    </w:p>
    <w:p w14:paraId="6801ABCD">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_Toc23501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32"/>
          <w:lang w:val="en-US" w:eastAsia="zh-CN"/>
        </w:rPr>
        <w:t>数据分析图16：生均教学科研仪器设备值对比分析图</w:t>
      </w:r>
      <w:r>
        <w:rPr>
          <w:rFonts w:hint="eastAsia" w:ascii="楷体" w:hAnsi="楷体" w:eastAsia="楷体" w:cs="楷体"/>
          <w:sz w:val="24"/>
          <w:szCs w:val="32"/>
        </w:rPr>
        <w:tab/>
      </w:r>
      <w:r>
        <w:rPr>
          <w:rFonts w:hint="eastAsia" w:ascii="楷体" w:hAnsi="楷体" w:eastAsia="楷体" w:cs="楷体"/>
          <w:sz w:val="24"/>
          <w:szCs w:val="32"/>
        </w:rPr>
        <w:fldChar w:fldCharType="begin"/>
      </w:r>
      <w:r>
        <w:rPr>
          <w:rFonts w:hint="eastAsia" w:ascii="楷体" w:hAnsi="楷体" w:eastAsia="楷体" w:cs="楷体"/>
          <w:sz w:val="24"/>
          <w:szCs w:val="32"/>
        </w:rPr>
        <w:instrText xml:space="preserve"> PAGEREF _Toc23501 \h </w:instrText>
      </w:r>
      <w:r>
        <w:rPr>
          <w:rFonts w:hint="eastAsia" w:ascii="楷体" w:hAnsi="楷体" w:eastAsia="楷体" w:cs="楷体"/>
          <w:sz w:val="24"/>
          <w:szCs w:val="32"/>
        </w:rPr>
        <w:fldChar w:fldCharType="separate"/>
      </w:r>
      <w:r>
        <w:rPr>
          <w:rFonts w:hint="eastAsia" w:ascii="楷体" w:hAnsi="楷体" w:eastAsia="楷体" w:cs="楷体"/>
          <w:sz w:val="24"/>
          <w:szCs w:val="32"/>
        </w:rPr>
        <w:t>67</w:t>
      </w:r>
      <w:r>
        <w:rPr>
          <w:rFonts w:hint="eastAsia" w:ascii="楷体" w:hAnsi="楷体" w:eastAsia="楷体" w:cs="楷体"/>
          <w:sz w:val="24"/>
          <w:szCs w:val="32"/>
        </w:rPr>
        <w:fldChar w:fldCharType="end"/>
      </w:r>
      <w:r>
        <w:rPr>
          <w:rFonts w:hint="eastAsia" w:ascii="楷体" w:hAnsi="楷体" w:eastAsia="楷体" w:cs="楷体"/>
          <w:sz w:val="24"/>
          <w:szCs w:val="40"/>
          <w:lang w:val="en-US" w:eastAsia="zh-CN"/>
        </w:rPr>
        <w:fldChar w:fldCharType="end"/>
      </w:r>
    </w:p>
    <w:p w14:paraId="2035D6EE">
      <w:pPr>
        <w:pStyle w:val="14"/>
        <w:keepNext w:val="0"/>
        <w:keepLines w:val="0"/>
        <w:pageBreakBefore w:val="0"/>
        <w:widowControl w:val="0"/>
        <w:tabs>
          <w:tab w:val="right" w:leader="dot" w:pos="8306"/>
        </w:tabs>
        <w:kinsoku/>
        <w:wordWrap/>
        <w:overflowPunct/>
        <w:topLinePunct w:val="0"/>
        <w:autoSpaceDE/>
        <w:autoSpaceDN/>
        <w:bidi w:val="0"/>
        <w:adjustRightInd/>
        <w:snapToGrid/>
        <w:spacing w:line="480" w:lineRule="exact"/>
        <w:ind w:left="0" w:leftChars="0" w:firstLine="0" w:firstLineChars="0"/>
        <w:textAlignment w:val="auto"/>
        <w:rPr>
          <w:rFonts w:hint="eastAsia" w:ascii="楷体" w:hAnsi="楷体" w:eastAsia="楷体" w:cs="楷体"/>
          <w:sz w:val="24"/>
          <w:szCs w:val="32"/>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楷体" w:hAnsi="楷体" w:eastAsia="楷体" w:cs="楷体"/>
          <w:szCs w:val="32"/>
          <w:lang w:val="en-US" w:eastAsia="zh-CN"/>
        </w:rPr>
        <w:fldChar w:fldCharType="end"/>
      </w:r>
    </w:p>
    <w:p w14:paraId="36F9818E">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sz w:val="32"/>
          <w:szCs w:val="32"/>
        </w:rPr>
      </w:pPr>
      <w:bookmarkStart w:id="3" w:name="_Toc1807827503_WPSOffice_Level1"/>
      <w:r>
        <w:rPr>
          <w:rFonts w:hint="eastAsia" w:ascii="方正小标宋简体" w:hAnsi="方正小标宋简体" w:eastAsia="方正小标宋简体" w:cs="方正小标宋简体"/>
          <w:sz w:val="32"/>
          <w:szCs w:val="32"/>
          <w:lang w:val="en-US" w:eastAsia="zh-CN"/>
        </w:rPr>
        <w:t>数据分析表</w:t>
      </w:r>
      <w:r>
        <w:rPr>
          <w:rFonts w:hint="eastAsia" w:ascii="方正小标宋简体" w:hAnsi="方正小标宋简体" w:eastAsia="方正小标宋简体" w:cs="方正小标宋简体"/>
          <w:sz w:val="32"/>
          <w:szCs w:val="32"/>
        </w:rPr>
        <w:t>目录</w:t>
      </w:r>
    </w:p>
    <w:p w14:paraId="1AEC44B4">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40"/>
          <w:lang w:val="en-US" w:eastAsia="zh-CN"/>
        </w:rPr>
      </w:pPr>
    </w:p>
    <w:p w14:paraId="3CB7D0D1">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40"/>
          <w:lang w:val="en-US" w:eastAsia="zh-CN"/>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TOC \t "表目录,1" \h</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_Toc1430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数据分析表1：在校生情况统计表</w:t>
      </w:r>
      <w:r>
        <w:rPr>
          <w:rFonts w:hint="eastAsia" w:ascii="楷体" w:hAnsi="楷体" w:eastAsia="楷体" w:cs="楷体"/>
          <w:sz w:val="24"/>
          <w:szCs w:val="40"/>
          <w:lang w:val="en-US" w:eastAsia="zh-CN"/>
        </w:rPr>
        <w:tab/>
      </w: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PAGEREF _Toc1430 \h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10</w:t>
      </w:r>
      <w:r>
        <w:rPr>
          <w:rFonts w:hint="eastAsia" w:ascii="楷体" w:hAnsi="楷体" w:eastAsia="楷体" w:cs="楷体"/>
          <w:sz w:val="24"/>
          <w:szCs w:val="40"/>
          <w:lang w:val="en-US" w:eastAsia="zh-CN"/>
        </w:rPr>
        <w:fldChar w:fldCharType="end"/>
      </w:r>
      <w:r>
        <w:rPr>
          <w:rFonts w:hint="eastAsia" w:ascii="楷体" w:hAnsi="楷体" w:eastAsia="楷体" w:cs="楷体"/>
          <w:sz w:val="24"/>
          <w:szCs w:val="40"/>
          <w:lang w:val="en-US" w:eastAsia="zh-CN"/>
        </w:rPr>
        <w:fldChar w:fldCharType="end"/>
      </w:r>
    </w:p>
    <w:p w14:paraId="2C10C65D">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40"/>
          <w:lang w:val="en-US" w:eastAsia="zh-CN"/>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_Toc2130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数据分析表2：朝阳市中职学校教师情况统计表</w:t>
      </w:r>
      <w:r>
        <w:rPr>
          <w:rFonts w:hint="eastAsia" w:ascii="楷体" w:hAnsi="楷体" w:eastAsia="楷体" w:cs="楷体"/>
          <w:sz w:val="24"/>
          <w:szCs w:val="40"/>
          <w:lang w:val="en-US" w:eastAsia="zh-CN"/>
        </w:rPr>
        <w:tab/>
      </w: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PAGEREF _Toc2130 \h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12</w:t>
      </w:r>
      <w:r>
        <w:rPr>
          <w:rFonts w:hint="eastAsia" w:ascii="楷体" w:hAnsi="楷体" w:eastAsia="楷体" w:cs="楷体"/>
          <w:sz w:val="24"/>
          <w:szCs w:val="40"/>
          <w:lang w:val="en-US" w:eastAsia="zh-CN"/>
        </w:rPr>
        <w:fldChar w:fldCharType="end"/>
      </w:r>
      <w:r>
        <w:rPr>
          <w:rFonts w:hint="eastAsia" w:ascii="楷体" w:hAnsi="楷体" w:eastAsia="楷体" w:cs="楷体"/>
          <w:sz w:val="24"/>
          <w:szCs w:val="40"/>
          <w:lang w:val="en-US" w:eastAsia="zh-CN"/>
        </w:rPr>
        <w:fldChar w:fldCharType="end"/>
      </w:r>
    </w:p>
    <w:p w14:paraId="7C7426AF">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40"/>
          <w:lang w:val="en-US" w:eastAsia="zh-CN"/>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_Toc3322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数据分析表3：近三年申报获批“千名专家进园区”对接项目情况统计表</w:t>
      </w:r>
      <w:r>
        <w:rPr>
          <w:rFonts w:hint="eastAsia" w:ascii="楷体" w:hAnsi="楷体" w:eastAsia="楷体" w:cs="楷体"/>
          <w:sz w:val="24"/>
          <w:szCs w:val="40"/>
          <w:lang w:val="en-US" w:eastAsia="zh-CN"/>
        </w:rPr>
        <w:tab/>
      </w: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PAGEREF _Toc3322 \h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14</w:t>
      </w:r>
      <w:r>
        <w:rPr>
          <w:rFonts w:hint="eastAsia" w:ascii="楷体" w:hAnsi="楷体" w:eastAsia="楷体" w:cs="楷体"/>
          <w:sz w:val="24"/>
          <w:szCs w:val="40"/>
          <w:lang w:val="en-US" w:eastAsia="zh-CN"/>
        </w:rPr>
        <w:fldChar w:fldCharType="end"/>
      </w:r>
      <w:r>
        <w:rPr>
          <w:rFonts w:hint="eastAsia" w:ascii="楷体" w:hAnsi="楷体" w:eastAsia="楷体" w:cs="楷体"/>
          <w:sz w:val="24"/>
          <w:szCs w:val="40"/>
          <w:lang w:val="en-US" w:eastAsia="zh-CN"/>
        </w:rPr>
        <w:fldChar w:fldCharType="end"/>
      </w:r>
    </w:p>
    <w:p w14:paraId="19742629">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40"/>
          <w:lang w:val="en-US" w:eastAsia="zh-CN"/>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_Toc31261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数据分析表4：朝阳市中职学生素质测评表</w:t>
      </w:r>
      <w:r>
        <w:rPr>
          <w:rFonts w:hint="eastAsia" w:ascii="楷体" w:hAnsi="楷体" w:eastAsia="楷体" w:cs="楷体"/>
          <w:sz w:val="24"/>
          <w:szCs w:val="40"/>
          <w:lang w:val="en-US" w:eastAsia="zh-CN"/>
        </w:rPr>
        <w:tab/>
      </w: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PAGEREF _Toc31261 \h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19</w:t>
      </w:r>
      <w:r>
        <w:rPr>
          <w:rFonts w:hint="eastAsia" w:ascii="楷体" w:hAnsi="楷体" w:eastAsia="楷体" w:cs="楷体"/>
          <w:sz w:val="24"/>
          <w:szCs w:val="40"/>
          <w:lang w:val="en-US" w:eastAsia="zh-CN"/>
        </w:rPr>
        <w:fldChar w:fldCharType="end"/>
      </w:r>
      <w:r>
        <w:rPr>
          <w:rFonts w:hint="eastAsia" w:ascii="楷体" w:hAnsi="楷体" w:eastAsia="楷体" w:cs="楷体"/>
          <w:sz w:val="24"/>
          <w:szCs w:val="40"/>
          <w:lang w:val="en-US" w:eastAsia="zh-CN"/>
        </w:rPr>
        <w:fldChar w:fldCharType="end"/>
      </w:r>
    </w:p>
    <w:p w14:paraId="4724CB6B">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40"/>
          <w:lang w:val="en-US" w:eastAsia="zh-CN"/>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_Toc7254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数据分析表5：技能大赛教师赛项参与情况统计表</w:t>
      </w:r>
      <w:r>
        <w:rPr>
          <w:rFonts w:hint="eastAsia" w:ascii="楷体" w:hAnsi="楷体" w:eastAsia="楷体" w:cs="楷体"/>
          <w:sz w:val="24"/>
          <w:szCs w:val="40"/>
          <w:lang w:val="en-US" w:eastAsia="zh-CN"/>
        </w:rPr>
        <w:tab/>
      </w: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PAGEREF _Toc7254 \h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25</w:t>
      </w:r>
      <w:r>
        <w:rPr>
          <w:rFonts w:hint="eastAsia" w:ascii="楷体" w:hAnsi="楷体" w:eastAsia="楷体" w:cs="楷体"/>
          <w:sz w:val="24"/>
          <w:szCs w:val="40"/>
          <w:lang w:val="en-US" w:eastAsia="zh-CN"/>
        </w:rPr>
        <w:fldChar w:fldCharType="end"/>
      </w:r>
      <w:r>
        <w:rPr>
          <w:rFonts w:hint="eastAsia" w:ascii="楷体" w:hAnsi="楷体" w:eastAsia="楷体" w:cs="楷体"/>
          <w:sz w:val="24"/>
          <w:szCs w:val="40"/>
          <w:lang w:val="en-US" w:eastAsia="zh-CN"/>
        </w:rPr>
        <w:fldChar w:fldCharType="end"/>
      </w:r>
    </w:p>
    <w:p w14:paraId="7B12C12A">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40"/>
          <w:lang w:val="en-US" w:eastAsia="zh-CN"/>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_Toc10229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数据分析表6：技能大赛学生赛项参与情况统计表</w:t>
      </w:r>
      <w:r>
        <w:rPr>
          <w:rFonts w:hint="eastAsia" w:ascii="楷体" w:hAnsi="楷体" w:eastAsia="楷体" w:cs="楷体"/>
          <w:sz w:val="24"/>
          <w:szCs w:val="40"/>
          <w:lang w:val="en-US" w:eastAsia="zh-CN"/>
        </w:rPr>
        <w:tab/>
      </w: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PAGEREF _Toc10229 \h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25</w:t>
      </w:r>
      <w:r>
        <w:rPr>
          <w:rFonts w:hint="eastAsia" w:ascii="楷体" w:hAnsi="楷体" w:eastAsia="楷体" w:cs="楷体"/>
          <w:sz w:val="24"/>
          <w:szCs w:val="40"/>
          <w:lang w:val="en-US" w:eastAsia="zh-CN"/>
        </w:rPr>
        <w:fldChar w:fldCharType="end"/>
      </w:r>
      <w:r>
        <w:rPr>
          <w:rFonts w:hint="eastAsia" w:ascii="楷体" w:hAnsi="楷体" w:eastAsia="楷体" w:cs="楷体"/>
          <w:sz w:val="24"/>
          <w:szCs w:val="40"/>
          <w:lang w:val="en-US" w:eastAsia="zh-CN"/>
        </w:rPr>
        <w:fldChar w:fldCharType="end"/>
      </w:r>
    </w:p>
    <w:p w14:paraId="4FB792F2">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40"/>
          <w:lang w:val="en-US" w:eastAsia="zh-CN"/>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_Toc24746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数据分析表7：朝阳市入选省首批乡村振兴学院建设名单</w:t>
      </w:r>
      <w:r>
        <w:rPr>
          <w:rFonts w:hint="eastAsia" w:ascii="楷体" w:hAnsi="楷体" w:eastAsia="楷体" w:cs="楷体"/>
          <w:sz w:val="24"/>
          <w:szCs w:val="40"/>
          <w:lang w:val="en-US" w:eastAsia="zh-CN"/>
        </w:rPr>
        <w:tab/>
      </w: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PAGEREF _Toc24746 \h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29</w:t>
      </w:r>
      <w:r>
        <w:rPr>
          <w:rFonts w:hint="eastAsia" w:ascii="楷体" w:hAnsi="楷体" w:eastAsia="楷体" w:cs="楷体"/>
          <w:sz w:val="24"/>
          <w:szCs w:val="40"/>
          <w:lang w:val="en-US" w:eastAsia="zh-CN"/>
        </w:rPr>
        <w:fldChar w:fldCharType="end"/>
      </w:r>
      <w:r>
        <w:rPr>
          <w:rFonts w:hint="eastAsia" w:ascii="楷体" w:hAnsi="楷体" w:eastAsia="楷体" w:cs="楷体"/>
          <w:sz w:val="24"/>
          <w:szCs w:val="40"/>
          <w:lang w:val="en-US" w:eastAsia="zh-CN"/>
        </w:rPr>
        <w:fldChar w:fldCharType="end"/>
      </w:r>
    </w:p>
    <w:p w14:paraId="7367281C">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40"/>
          <w:lang w:val="en-US" w:eastAsia="zh-CN"/>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_Toc19587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数据分析表8：2024年职业培训情况统计表（服务人群）</w:t>
      </w:r>
      <w:r>
        <w:rPr>
          <w:rFonts w:hint="eastAsia" w:ascii="楷体" w:hAnsi="楷体" w:eastAsia="楷体" w:cs="楷体"/>
          <w:sz w:val="24"/>
          <w:szCs w:val="40"/>
          <w:lang w:val="en-US" w:eastAsia="zh-CN"/>
        </w:rPr>
        <w:tab/>
      </w: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PAGEREF _Toc19587 \h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30</w:t>
      </w:r>
      <w:r>
        <w:rPr>
          <w:rFonts w:hint="eastAsia" w:ascii="楷体" w:hAnsi="楷体" w:eastAsia="楷体" w:cs="楷体"/>
          <w:sz w:val="24"/>
          <w:szCs w:val="40"/>
          <w:lang w:val="en-US" w:eastAsia="zh-CN"/>
        </w:rPr>
        <w:fldChar w:fldCharType="end"/>
      </w:r>
      <w:r>
        <w:rPr>
          <w:rFonts w:hint="eastAsia" w:ascii="楷体" w:hAnsi="楷体" w:eastAsia="楷体" w:cs="楷体"/>
          <w:sz w:val="24"/>
          <w:szCs w:val="40"/>
          <w:lang w:val="en-US" w:eastAsia="zh-CN"/>
        </w:rPr>
        <w:fldChar w:fldCharType="end"/>
      </w:r>
    </w:p>
    <w:p w14:paraId="1E8B718E">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40"/>
          <w:lang w:val="en-US" w:eastAsia="zh-CN"/>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_Toc3326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数据分析表9：2024年职业培训情况统计表（重点行业）</w:t>
      </w:r>
      <w:r>
        <w:rPr>
          <w:rFonts w:hint="eastAsia" w:ascii="楷体" w:hAnsi="楷体" w:eastAsia="楷体" w:cs="楷体"/>
          <w:sz w:val="24"/>
          <w:szCs w:val="40"/>
          <w:lang w:val="en-US" w:eastAsia="zh-CN"/>
        </w:rPr>
        <w:tab/>
      </w: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PAGEREF _Toc3326 \h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31</w:t>
      </w:r>
      <w:r>
        <w:rPr>
          <w:rFonts w:hint="eastAsia" w:ascii="楷体" w:hAnsi="楷体" w:eastAsia="楷体" w:cs="楷体"/>
          <w:sz w:val="24"/>
          <w:szCs w:val="40"/>
          <w:lang w:val="en-US" w:eastAsia="zh-CN"/>
        </w:rPr>
        <w:fldChar w:fldCharType="end"/>
      </w:r>
      <w:r>
        <w:rPr>
          <w:rFonts w:hint="eastAsia" w:ascii="楷体" w:hAnsi="楷体" w:eastAsia="楷体" w:cs="楷体"/>
          <w:sz w:val="24"/>
          <w:szCs w:val="40"/>
          <w:lang w:val="en-US" w:eastAsia="zh-CN"/>
        </w:rPr>
        <w:fldChar w:fldCharType="end"/>
      </w:r>
    </w:p>
    <w:p w14:paraId="47C5CEA1">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40"/>
          <w:lang w:val="en-US" w:eastAsia="zh-CN"/>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_Toc11691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数据分析表10：2024年“技能成才强国有我”系列活动开展情况统计表</w:t>
      </w:r>
      <w:r>
        <w:rPr>
          <w:rFonts w:hint="eastAsia" w:ascii="楷体" w:hAnsi="楷体" w:eastAsia="楷体" w:cs="楷体"/>
          <w:sz w:val="24"/>
          <w:szCs w:val="40"/>
          <w:lang w:val="en-US" w:eastAsia="zh-CN"/>
        </w:rPr>
        <w:tab/>
      </w: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PAGEREF _Toc11691 \h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40</w:t>
      </w:r>
      <w:r>
        <w:rPr>
          <w:rFonts w:hint="eastAsia" w:ascii="楷体" w:hAnsi="楷体" w:eastAsia="楷体" w:cs="楷体"/>
          <w:sz w:val="24"/>
          <w:szCs w:val="40"/>
          <w:lang w:val="en-US" w:eastAsia="zh-CN"/>
        </w:rPr>
        <w:fldChar w:fldCharType="end"/>
      </w:r>
      <w:r>
        <w:rPr>
          <w:rFonts w:hint="eastAsia" w:ascii="楷体" w:hAnsi="楷体" w:eastAsia="楷体" w:cs="楷体"/>
          <w:sz w:val="24"/>
          <w:szCs w:val="40"/>
          <w:lang w:val="en-US" w:eastAsia="zh-CN"/>
        </w:rPr>
        <w:fldChar w:fldCharType="end"/>
      </w:r>
    </w:p>
    <w:p w14:paraId="2E08902F">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40"/>
          <w:lang w:val="en-US" w:eastAsia="zh-CN"/>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_Toc6841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数据分析表11：凌源市职业教育中心岗位实习学生收入数据</w:t>
      </w:r>
      <w:r>
        <w:rPr>
          <w:rFonts w:hint="eastAsia" w:ascii="楷体" w:hAnsi="楷体" w:eastAsia="楷体" w:cs="楷体"/>
          <w:sz w:val="24"/>
          <w:szCs w:val="40"/>
          <w:lang w:val="en-US" w:eastAsia="zh-CN"/>
        </w:rPr>
        <w:tab/>
      </w: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PAGEREF _Toc6841 \h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50</w:t>
      </w:r>
      <w:r>
        <w:rPr>
          <w:rFonts w:hint="eastAsia" w:ascii="楷体" w:hAnsi="楷体" w:eastAsia="楷体" w:cs="楷体"/>
          <w:sz w:val="24"/>
          <w:szCs w:val="40"/>
          <w:lang w:val="en-US" w:eastAsia="zh-CN"/>
        </w:rPr>
        <w:fldChar w:fldCharType="end"/>
      </w:r>
      <w:r>
        <w:rPr>
          <w:rFonts w:hint="eastAsia" w:ascii="楷体" w:hAnsi="楷体" w:eastAsia="楷体" w:cs="楷体"/>
          <w:sz w:val="24"/>
          <w:szCs w:val="40"/>
          <w:lang w:val="en-US" w:eastAsia="zh-CN"/>
        </w:rPr>
        <w:fldChar w:fldCharType="end"/>
      </w:r>
    </w:p>
    <w:p w14:paraId="1B2288C1">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40"/>
          <w:lang w:val="en-US" w:eastAsia="zh-CN"/>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_Toc3520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数据分析表12：朝阳市入选省首批乡村振兴学院数据统计表</w:t>
      </w:r>
      <w:r>
        <w:rPr>
          <w:rFonts w:hint="eastAsia" w:ascii="楷体" w:hAnsi="楷体" w:eastAsia="楷体" w:cs="楷体"/>
          <w:sz w:val="24"/>
          <w:szCs w:val="40"/>
          <w:lang w:val="en-US" w:eastAsia="zh-CN"/>
        </w:rPr>
        <w:tab/>
      </w: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PAGEREF _Toc3520 \h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51</w:t>
      </w:r>
      <w:r>
        <w:rPr>
          <w:rFonts w:hint="eastAsia" w:ascii="楷体" w:hAnsi="楷体" w:eastAsia="楷体" w:cs="楷体"/>
          <w:sz w:val="24"/>
          <w:szCs w:val="40"/>
          <w:lang w:val="en-US" w:eastAsia="zh-CN"/>
        </w:rPr>
        <w:fldChar w:fldCharType="end"/>
      </w:r>
      <w:r>
        <w:rPr>
          <w:rFonts w:hint="eastAsia" w:ascii="楷体" w:hAnsi="楷体" w:eastAsia="楷体" w:cs="楷体"/>
          <w:sz w:val="24"/>
          <w:szCs w:val="40"/>
          <w:lang w:val="en-US" w:eastAsia="zh-CN"/>
        </w:rPr>
        <w:fldChar w:fldCharType="end"/>
      </w:r>
    </w:p>
    <w:p w14:paraId="313721FE">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40"/>
          <w:lang w:val="en-US" w:eastAsia="zh-CN"/>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_Toc14066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数据分析表13：</w:t>
      </w:r>
      <w:r>
        <w:rPr>
          <w:rFonts w:hint="default" w:ascii="楷体" w:hAnsi="楷体" w:eastAsia="楷体" w:cs="楷体"/>
          <w:sz w:val="24"/>
          <w:szCs w:val="40"/>
          <w:lang w:val="en-US" w:eastAsia="zh-CN"/>
        </w:rPr>
        <w:t>朝阳市与京津冀地区企业对接合作订单班情况统计表</w:t>
      </w:r>
      <w:r>
        <w:rPr>
          <w:rFonts w:hint="eastAsia" w:ascii="楷体" w:hAnsi="楷体" w:eastAsia="楷体" w:cs="楷体"/>
          <w:sz w:val="24"/>
          <w:szCs w:val="40"/>
          <w:lang w:val="en-US" w:eastAsia="zh-CN"/>
        </w:rPr>
        <w:tab/>
      </w: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PAGEREF _Toc14066 \h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54</w:t>
      </w:r>
      <w:r>
        <w:rPr>
          <w:rFonts w:hint="eastAsia" w:ascii="楷体" w:hAnsi="楷体" w:eastAsia="楷体" w:cs="楷体"/>
          <w:sz w:val="24"/>
          <w:szCs w:val="40"/>
          <w:lang w:val="en-US" w:eastAsia="zh-CN"/>
        </w:rPr>
        <w:fldChar w:fldCharType="end"/>
      </w:r>
      <w:r>
        <w:rPr>
          <w:rFonts w:hint="eastAsia" w:ascii="楷体" w:hAnsi="楷体" w:eastAsia="楷体" w:cs="楷体"/>
          <w:sz w:val="24"/>
          <w:szCs w:val="40"/>
          <w:lang w:val="en-US" w:eastAsia="zh-CN"/>
        </w:rPr>
        <w:fldChar w:fldCharType="end"/>
      </w:r>
    </w:p>
    <w:p w14:paraId="27CA8F79">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40"/>
          <w:lang w:val="en-US" w:eastAsia="zh-CN"/>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_Toc25215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数据分析表14：免学费、助学金资金数据对比分析表</w:t>
      </w:r>
      <w:r>
        <w:rPr>
          <w:rFonts w:hint="eastAsia" w:ascii="楷体" w:hAnsi="楷体" w:eastAsia="楷体" w:cs="楷体"/>
          <w:sz w:val="24"/>
          <w:szCs w:val="40"/>
          <w:lang w:val="en-US" w:eastAsia="zh-CN"/>
        </w:rPr>
        <w:tab/>
      </w: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PAGEREF _Toc25215 \h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65</w:t>
      </w:r>
      <w:r>
        <w:rPr>
          <w:rFonts w:hint="eastAsia" w:ascii="楷体" w:hAnsi="楷体" w:eastAsia="楷体" w:cs="楷体"/>
          <w:sz w:val="24"/>
          <w:szCs w:val="40"/>
          <w:lang w:val="en-US" w:eastAsia="zh-CN"/>
        </w:rPr>
        <w:fldChar w:fldCharType="end"/>
      </w:r>
      <w:r>
        <w:rPr>
          <w:rFonts w:hint="eastAsia" w:ascii="楷体" w:hAnsi="楷体" w:eastAsia="楷体" w:cs="楷体"/>
          <w:sz w:val="24"/>
          <w:szCs w:val="40"/>
          <w:lang w:val="en-US" w:eastAsia="zh-CN"/>
        </w:rPr>
        <w:fldChar w:fldCharType="end"/>
      </w:r>
    </w:p>
    <w:p w14:paraId="762F3196">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40"/>
          <w:lang w:val="en-US" w:eastAsia="zh-CN"/>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_Toc12578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数据分析表15：免学费、助学金资助人次数据对比分析表</w:t>
      </w:r>
      <w:r>
        <w:rPr>
          <w:rFonts w:hint="eastAsia" w:ascii="楷体" w:hAnsi="楷体" w:eastAsia="楷体" w:cs="楷体"/>
          <w:sz w:val="24"/>
          <w:szCs w:val="40"/>
          <w:lang w:val="en-US" w:eastAsia="zh-CN"/>
        </w:rPr>
        <w:tab/>
      </w: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PAGEREF _Toc12578 \h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66</w:t>
      </w:r>
      <w:r>
        <w:rPr>
          <w:rFonts w:hint="eastAsia" w:ascii="楷体" w:hAnsi="楷体" w:eastAsia="楷体" w:cs="楷体"/>
          <w:sz w:val="24"/>
          <w:szCs w:val="40"/>
          <w:lang w:val="en-US" w:eastAsia="zh-CN"/>
        </w:rPr>
        <w:fldChar w:fldCharType="end"/>
      </w:r>
      <w:r>
        <w:rPr>
          <w:rFonts w:hint="eastAsia" w:ascii="楷体" w:hAnsi="楷体" w:eastAsia="楷体" w:cs="楷体"/>
          <w:sz w:val="24"/>
          <w:szCs w:val="40"/>
          <w:lang w:val="en-US" w:eastAsia="zh-CN"/>
        </w:rPr>
        <w:fldChar w:fldCharType="end"/>
      </w:r>
    </w:p>
    <w:p w14:paraId="566587C7">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40"/>
          <w:lang w:val="en-US" w:eastAsia="zh-CN"/>
        </w:rPr>
      </w:pP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HYPERLINK \l _Toc15689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数据分析表16：教学资源数据对比分析表</w:t>
      </w:r>
      <w:r>
        <w:rPr>
          <w:rFonts w:hint="eastAsia" w:ascii="楷体" w:hAnsi="楷体" w:eastAsia="楷体" w:cs="楷体"/>
          <w:sz w:val="24"/>
          <w:szCs w:val="40"/>
          <w:lang w:val="en-US" w:eastAsia="zh-CN"/>
        </w:rPr>
        <w:tab/>
      </w:r>
      <w:r>
        <w:rPr>
          <w:rFonts w:hint="eastAsia" w:ascii="楷体" w:hAnsi="楷体" w:eastAsia="楷体" w:cs="楷体"/>
          <w:sz w:val="24"/>
          <w:szCs w:val="40"/>
          <w:lang w:val="en-US" w:eastAsia="zh-CN"/>
        </w:rPr>
        <w:fldChar w:fldCharType="begin"/>
      </w:r>
      <w:r>
        <w:rPr>
          <w:rFonts w:hint="eastAsia" w:ascii="楷体" w:hAnsi="楷体" w:eastAsia="楷体" w:cs="楷体"/>
          <w:sz w:val="24"/>
          <w:szCs w:val="40"/>
          <w:lang w:val="en-US" w:eastAsia="zh-CN"/>
        </w:rPr>
        <w:instrText xml:space="preserve"> PAGEREF _Toc15689 \h </w:instrText>
      </w:r>
      <w:r>
        <w:rPr>
          <w:rFonts w:hint="eastAsia" w:ascii="楷体" w:hAnsi="楷体" w:eastAsia="楷体" w:cs="楷体"/>
          <w:sz w:val="24"/>
          <w:szCs w:val="40"/>
          <w:lang w:val="en-US" w:eastAsia="zh-CN"/>
        </w:rPr>
        <w:fldChar w:fldCharType="separate"/>
      </w:r>
      <w:r>
        <w:rPr>
          <w:rFonts w:hint="eastAsia" w:ascii="楷体" w:hAnsi="楷体" w:eastAsia="楷体" w:cs="楷体"/>
          <w:sz w:val="24"/>
          <w:szCs w:val="40"/>
          <w:lang w:val="en-US" w:eastAsia="zh-CN"/>
        </w:rPr>
        <w:t>67</w:t>
      </w:r>
      <w:r>
        <w:rPr>
          <w:rFonts w:hint="eastAsia" w:ascii="楷体" w:hAnsi="楷体" w:eastAsia="楷体" w:cs="楷体"/>
          <w:sz w:val="24"/>
          <w:szCs w:val="40"/>
          <w:lang w:val="en-US" w:eastAsia="zh-CN"/>
        </w:rPr>
        <w:fldChar w:fldCharType="end"/>
      </w:r>
      <w:r>
        <w:rPr>
          <w:rFonts w:hint="eastAsia" w:ascii="楷体" w:hAnsi="楷体" w:eastAsia="楷体" w:cs="楷体"/>
          <w:sz w:val="24"/>
          <w:szCs w:val="40"/>
          <w:lang w:val="en-US" w:eastAsia="zh-CN"/>
        </w:rPr>
        <w:fldChar w:fldCharType="end"/>
      </w:r>
    </w:p>
    <w:p w14:paraId="58CE6805">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40"/>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楷体" w:hAnsi="楷体" w:eastAsia="楷体" w:cs="楷体"/>
          <w:sz w:val="24"/>
          <w:szCs w:val="40"/>
          <w:lang w:val="en-US" w:eastAsia="zh-CN"/>
        </w:rPr>
        <w:fldChar w:fldCharType="end"/>
      </w:r>
    </w:p>
    <w:p w14:paraId="599216B8">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lang w:val="en-US" w:eastAsia="zh-CN"/>
        </w:rPr>
        <w:t>图</w:t>
      </w:r>
      <w:r>
        <w:rPr>
          <w:rFonts w:hint="eastAsia" w:ascii="方正小标宋简体" w:hAnsi="方正小标宋简体" w:eastAsia="方正小标宋简体" w:cs="方正小标宋简体"/>
          <w:sz w:val="32"/>
          <w:szCs w:val="32"/>
        </w:rPr>
        <w:t>目录</w:t>
      </w:r>
    </w:p>
    <w:p w14:paraId="1BB3CBE6">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p>
    <w:p w14:paraId="32F1CF46">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TOC \t "图表目录,1" \h</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_Toc6878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图1：眼视光与配镜专业</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_Toc6878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10</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2553A89F">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_Toc9097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图2：</w:t>
      </w:r>
      <w:r>
        <w:rPr>
          <w:rFonts w:hint="eastAsia" w:ascii="楷体" w:hAnsi="楷体" w:eastAsia="楷体" w:cs="楷体"/>
          <w:spacing w:val="-6"/>
          <w:kern w:val="2"/>
          <w:sz w:val="24"/>
          <w:szCs w:val="24"/>
          <w:lang w:val="en-US" w:eastAsia="zh-CN" w:bidi="ar-SA"/>
        </w:rPr>
        <w:t>“大力弘扬教育家精神，加快建设教育强市”主题师德师风巡讲报告会...</w:t>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_Toc9097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11</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6A3C2B99">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_Toc1777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图3：专家进园区-北票市职教中心教师指导企业改进电除尘器技术</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_Toc1777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14</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1B663CB6">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_Toc21232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图4：“中职思政课课改培训”分享研讨会</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_Toc21232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16</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357CF6EE">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_Toc258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图5：建平县职教中心思想政治实践课</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_Toc258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16</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5456F293">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_Toc8846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图6：姜昊先进事迹报告会</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_Toc8846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17</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45F75939">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_Toc21719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图7 ：凌源市职教中心校园文化艺术节</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_Toc21719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17</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0D9A806D">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_Toc27299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图8：学生运动会舞龙表演</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_Toc27299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18</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2AD43BE4">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_Toc3831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图9：书法社团活动</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_Toc3831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18</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77363191">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_Toc28092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图10：志愿服务</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_Toc28092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19</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507F49A5">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_Toc14173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图11：心理健康教育课堂</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_Toc14173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22</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0EBD20EA">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_Toc3360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图12：花艺社团活动</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_Toc3360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23</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5515E22D">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_Toc1688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图13：技能大赛护理赛项比赛现场</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_Toc1688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26</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3FB50461">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_Toc12763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图14：技能大赛幼儿保育技能赛项比赛现场</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_Toc12763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26</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2E02E240">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_Toc4414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图15：技能大赛焊接技术赛项比赛现场</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_Toc4414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26</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3610F494">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_Toc5892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图17：建平县职教中心2024年安全生产培训</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_Toc5892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32</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00BD89A0">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_Toc918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图18：北票市职教中心开展面点培训</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_Toc918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32</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730AA982">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_Toc18211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图19：教师深入乡村开展培育技术指导</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_Toc18211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33</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13B02263">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_Toc6113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图20：朝阳市卫生学校开展心肺复苏培训</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_Toc6113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36</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72B2FE80">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_Toc28138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图21：建平县老年大学舞蹈课</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_Toc28138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38</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188F88F0">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_Toc946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图22：国际护士节主题活动——护理操作技能展演</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_Toc946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39</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16587F24">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_Toc26785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图23：烈士陵园扫墓</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_Toc26785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42</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45D00167">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_Toc15662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图24：绘制“缅怀先烈、致敬英雄”主题黑板报</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_Toc15662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42</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280ED6B5">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_Toc4844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图25：建平县“十王会”非遗传承人技艺展示活动现场</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_Toc4844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44</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6729CAE1">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_Toc16176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图26：朝阳市财经学校学生非遗手工作品展</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_Toc16176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45</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170F7BB6">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_Toc31452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图27：曲艺进校园</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_Toc31452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46</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1DD1FF8D">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_Toc27553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图28：“传承红色基因强国复兴有我”诗文诵读比赛</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_Toc27553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46</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0EC6A7AA">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_Toc15975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图29：建平县职教中心电子商务产业园</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_Toc15975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51</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12CFF84D">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_Toc25992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图30：建平县职教中心电商专业小平房实训基地揭牌仪式</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_Toc25992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52</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17587F24">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_Toc9657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图31：辽宁农业职业技术学院建平县乡村振兴学院签约仪式</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_Toc9657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53</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62C829E0">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_Toc18588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图32：朝阳工程技术学校校企合作签约仪式</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_Toc18588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55</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614AFBF0">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_Toc26879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图33：合作企业对实习学生进行岗前培训</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_Toc26879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55</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0C607E19">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_Toc4702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图34：朝阳县职教中心异地新建项目鸟瞰效果图</w:t>
      </w:r>
      <w:r>
        <w:rPr>
          <w:rFonts w:hint="eastAsia" w:ascii="楷体" w:hAnsi="楷体" w:eastAsia="楷体" w:cs="楷体"/>
          <w:kern w:val="2"/>
          <w:sz w:val="24"/>
          <w:szCs w:val="24"/>
          <w:lang w:val="en-US" w:eastAsia="zh-CN" w:bidi="ar-SA"/>
        </w:rPr>
        <w:tab/>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PAGEREF _Toc4702 \h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t>65</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end"/>
      </w:r>
    </w:p>
    <w:p w14:paraId="685FC25D">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fldChar w:fldCharType="end"/>
      </w:r>
    </w:p>
    <w:p w14:paraId="6A73CE17">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bookmarkEnd w:id="3"/>
    <w:p w14:paraId="7B6FE07F">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sz w:val="32"/>
          <w:szCs w:val="32"/>
        </w:rPr>
      </w:pPr>
      <w:bookmarkStart w:id="4" w:name="_Toc354548092_WPSOffice_Level1"/>
      <w:r>
        <w:rPr>
          <w:rFonts w:hint="eastAsia" w:ascii="方正小标宋简体" w:hAnsi="方正小标宋简体" w:eastAsia="方正小标宋简体" w:cs="方正小标宋简体"/>
          <w:sz w:val="32"/>
          <w:szCs w:val="32"/>
          <w:lang w:val="en-US" w:eastAsia="zh-CN"/>
        </w:rPr>
        <w:t>案例</w:t>
      </w:r>
      <w:r>
        <w:rPr>
          <w:rFonts w:hint="eastAsia" w:ascii="方正小标宋简体" w:hAnsi="方正小标宋简体" w:eastAsia="方正小标宋简体" w:cs="方正小标宋简体"/>
          <w:sz w:val="32"/>
          <w:szCs w:val="32"/>
        </w:rPr>
        <w:t>目录</w:t>
      </w:r>
    </w:p>
    <w:p w14:paraId="16A137C0">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kern w:val="2"/>
          <w:sz w:val="24"/>
          <w:szCs w:val="24"/>
          <w:lang w:val="en-US" w:eastAsia="zh-CN" w:bidi="ar-SA"/>
        </w:rPr>
      </w:pPr>
    </w:p>
    <w:p w14:paraId="348916D2">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24"/>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TOC \f \t "标题 4,1" \h \u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_Toc1665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典型案例 1：</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_Toc26863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抓住契机，提升德育品质</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_Toc26863 \h </w:instrText>
      </w:r>
      <w:r>
        <w:rPr>
          <w:rFonts w:hint="eastAsia" w:ascii="楷体" w:hAnsi="楷体" w:eastAsia="楷体" w:cs="楷体"/>
          <w:sz w:val="24"/>
          <w:szCs w:val="24"/>
        </w:rPr>
        <w:fldChar w:fldCharType="separate"/>
      </w:r>
      <w:r>
        <w:rPr>
          <w:rFonts w:hint="eastAsia" w:ascii="楷体" w:hAnsi="楷体" w:eastAsia="楷体" w:cs="楷体"/>
          <w:sz w:val="24"/>
          <w:szCs w:val="24"/>
        </w:rPr>
        <w:t>19</w:t>
      </w:r>
      <w:r>
        <w:rPr>
          <w:rFonts w:hint="eastAsia" w:ascii="楷体" w:hAnsi="楷体" w:eastAsia="楷体" w:cs="楷体"/>
          <w:sz w:val="24"/>
          <w:szCs w:val="24"/>
        </w:rPr>
        <w:fldChar w:fldCharType="end"/>
      </w:r>
      <w:r>
        <w:rPr>
          <w:rFonts w:hint="eastAsia" w:ascii="楷体" w:hAnsi="楷体" w:eastAsia="楷体" w:cs="楷体"/>
          <w:kern w:val="2"/>
          <w:sz w:val="24"/>
          <w:szCs w:val="24"/>
          <w:lang w:val="en-US" w:eastAsia="zh-CN" w:bidi="ar-SA"/>
        </w:rPr>
        <w:fldChar w:fldCharType="end"/>
      </w:r>
    </w:p>
    <w:p w14:paraId="0B6FA267">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24"/>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_Toc32005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典型案例 2：</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_Toc16465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传承文化，墨香育人</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_Toc16465 \h </w:instrText>
      </w:r>
      <w:r>
        <w:rPr>
          <w:rFonts w:hint="eastAsia" w:ascii="楷体" w:hAnsi="楷体" w:eastAsia="楷体" w:cs="楷体"/>
          <w:sz w:val="24"/>
          <w:szCs w:val="24"/>
        </w:rPr>
        <w:fldChar w:fldCharType="separate"/>
      </w:r>
      <w:r>
        <w:rPr>
          <w:rFonts w:hint="eastAsia" w:ascii="楷体" w:hAnsi="楷体" w:eastAsia="楷体" w:cs="楷体"/>
          <w:sz w:val="24"/>
          <w:szCs w:val="24"/>
        </w:rPr>
        <w:t>23</w:t>
      </w:r>
      <w:r>
        <w:rPr>
          <w:rFonts w:hint="eastAsia" w:ascii="楷体" w:hAnsi="楷体" w:eastAsia="楷体" w:cs="楷体"/>
          <w:sz w:val="24"/>
          <w:szCs w:val="24"/>
        </w:rPr>
        <w:fldChar w:fldCharType="end"/>
      </w:r>
      <w:r>
        <w:rPr>
          <w:rFonts w:hint="eastAsia" w:ascii="楷体" w:hAnsi="楷体" w:eastAsia="楷体" w:cs="楷体"/>
          <w:kern w:val="2"/>
          <w:sz w:val="24"/>
          <w:szCs w:val="24"/>
          <w:lang w:val="en-US" w:eastAsia="zh-CN" w:bidi="ar-SA"/>
        </w:rPr>
        <w:fldChar w:fldCharType="end"/>
      </w:r>
    </w:p>
    <w:p w14:paraId="67943EE9">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24"/>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_Toc8885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典型案例 3：</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_Toc13799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以“技能大赛”为契机 推动三教改革</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_Toc13799 \h </w:instrText>
      </w:r>
      <w:r>
        <w:rPr>
          <w:rFonts w:hint="eastAsia" w:ascii="楷体" w:hAnsi="楷体" w:eastAsia="楷体" w:cs="楷体"/>
          <w:sz w:val="24"/>
          <w:szCs w:val="24"/>
        </w:rPr>
        <w:fldChar w:fldCharType="separate"/>
      </w:r>
      <w:r>
        <w:rPr>
          <w:rFonts w:hint="eastAsia" w:ascii="楷体" w:hAnsi="楷体" w:eastAsia="楷体" w:cs="楷体"/>
          <w:sz w:val="24"/>
          <w:szCs w:val="24"/>
        </w:rPr>
        <w:t>27</w:t>
      </w:r>
      <w:r>
        <w:rPr>
          <w:rFonts w:hint="eastAsia" w:ascii="楷体" w:hAnsi="楷体" w:eastAsia="楷体" w:cs="楷体"/>
          <w:sz w:val="24"/>
          <w:szCs w:val="24"/>
        </w:rPr>
        <w:fldChar w:fldCharType="end"/>
      </w:r>
      <w:r>
        <w:rPr>
          <w:rFonts w:hint="eastAsia" w:ascii="楷体" w:hAnsi="楷体" w:eastAsia="楷体" w:cs="楷体"/>
          <w:kern w:val="2"/>
          <w:sz w:val="24"/>
          <w:szCs w:val="24"/>
          <w:lang w:val="en-US" w:eastAsia="zh-CN" w:bidi="ar-SA"/>
        </w:rPr>
        <w:fldChar w:fldCharType="end"/>
      </w:r>
    </w:p>
    <w:p w14:paraId="5DD5C0C2">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24"/>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_Toc16660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典型案例4：</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_Toc18102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多渠道开创实习、就业新局面</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_Toc18102 \h </w:instrText>
      </w:r>
      <w:r>
        <w:rPr>
          <w:rFonts w:hint="eastAsia" w:ascii="楷体" w:hAnsi="楷体" w:eastAsia="楷体" w:cs="楷体"/>
          <w:sz w:val="24"/>
          <w:szCs w:val="24"/>
        </w:rPr>
        <w:fldChar w:fldCharType="separate"/>
      </w:r>
      <w:r>
        <w:rPr>
          <w:rFonts w:hint="eastAsia" w:ascii="楷体" w:hAnsi="楷体" w:eastAsia="楷体" w:cs="楷体"/>
          <w:sz w:val="24"/>
          <w:szCs w:val="24"/>
        </w:rPr>
        <w:t>33</w:t>
      </w:r>
      <w:r>
        <w:rPr>
          <w:rFonts w:hint="eastAsia" w:ascii="楷体" w:hAnsi="楷体" w:eastAsia="楷体" w:cs="楷体"/>
          <w:sz w:val="24"/>
          <w:szCs w:val="24"/>
        </w:rPr>
        <w:fldChar w:fldCharType="end"/>
      </w:r>
      <w:r>
        <w:rPr>
          <w:rFonts w:hint="eastAsia" w:ascii="楷体" w:hAnsi="楷体" w:eastAsia="楷体" w:cs="楷体"/>
          <w:kern w:val="2"/>
          <w:sz w:val="24"/>
          <w:szCs w:val="24"/>
          <w:lang w:val="en-US" w:eastAsia="zh-CN" w:bidi="ar-SA"/>
        </w:rPr>
        <w:fldChar w:fldCharType="end"/>
      </w:r>
    </w:p>
    <w:p w14:paraId="6A87C738">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24"/>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_Toc9792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典型案例5：</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_Toc31675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建完备培训体系，发挥县级职教职能</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_Toc31675 \h </w:instrText>
      </w:r>
      <w:r>
        <w:rPr>
          <w:rFonts w:hint="eastAsia" w:ascii="楷体" w:hAnsi="楷体" w:eastAsia="楷体" w:cs="楷体"/>
          <w:sz w:val="24"/>
          <w:szCs w:val="24"/>
        </w:rPr>
        <w:fldChar w:fldCharType="separate"/>
      </w:r>
      <w:r>
        <w:rPr>
          <w:rFonts w:hint="eastAsia" w:ascii="楷体" w:hAnsi="楷体" w:eastAsia="楷体" w:cs="楷体"/>
          <w:sz w:val="24"/>
          <w:szCs w:val="24"/>
        </w:rPr>
        <w:t>34</w:t>
      </w:r>
      <w:r>
        <w:rPr>
          <w:rFonts w:hint="eastAsia" w:ascii="楷体" w:hAnsi="楷体" w:eastAsia="楷体" w:cs="楷体"/>
          <w:sz w:val="24"/>
          <w:szCs w:val="24"/>
        </w:rPr>
        <w:fldChar w:fldCharType="end"/>
      </w:r>
      <w:r>
        <w:rPr>
          <w:rFonts w:hint="eastAsia" w:ascii="楷体" w:hAnsi="楷体" w:eastAsia="楷体" w:cs="楷体"/>
          <w:kern w:val="2"/>
          <w:sz w:val="24"/>
          <w:szCs w:val="24"/>
          <w:lang w:val="en-US" w:eastAsia="zh-CN" w:bidi="ar-SA"/>
        </w:rPr>
        <w:fldChar w:fldCharType="end"/>
      </w:r>
    </w:p>
    <w:p w14:paraId="02CBAA04">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24"/>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_Toc3763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典型案例6：</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_Toc3203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应急救护知识进社会</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_Toc3203 \h </w:instrText>
      </w:r>
      <w:r>
        <w:rPr>
          <w:rFonts w:hint="eastAsia" w:ascii="楷体" w:hAnsi="楷体" w:eastAsia="楷体" w:cs="楷体"/>
          <w:sz w:val="24"/>
          <w:szCs w:val="24"/>
        </w:rPr>
        <w:fldChar w:fldCharType="separate"/>
      </w:r>
      <w:r>
        <w:rPr>
          <w:rFonts w:hint="eastAsia" w:ascii="楷体" w:hAnsi="楷体" w:eastAsia="楷体" w:cs="楷体"/>
          <w:sz w:val="24"/>
          <w:szCs w:val="24"/>
        </w:rPr>
        <w:t>36</w:t>
      </w:r>
      <w:r>
        <w:rPr>
          <w:rFonts w:hint="eastAsia" w:ascii="楷体" w:hAnsi="楷体" w:eastAsia="楷体" w:cs="楷体"/>
          <w:sz w:val="24"/>
          <w:szCs w:val="24"/>
        </w:rPr>
        <w:fldChar w:fldCharType="end"/>
      </w:r>
      <w:r>
        <w:rPr>
          <w:rFonts w:hint="eastAsia" w:ascii="楷体" w:hAnsi="楷体" w:eastAsia="楷体" w:cs="楷体"/>
          <w:kern w:val="2"/>
          <w:sz w:val="24"/>
          <w:szCs w:val="24"/>
          <w:lang w:val="en-US" w:eastAsia="zh-CN" w:bidi="ar-SA"/>
        </w:rPr>
        <w:fldChar w:fldCharType="end"/>
      </w:r>
    </w:p>
    <w:p w14:paraId="0C20C22A">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24"/>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_Toc23574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典型案例 7：</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_Toc2757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关爱老年群体，建设学习家园</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_Toc2757 \h </w:instrText>
      </w:r>
      <w:r>
        <w:rPr>
          <w:rFonts w:hint="eastAsia" w:ascii="楷体" w:hAnsi="楷体" w:eastAsia="楷体" w:cs="楷体"/>
          <w:sz w:val="24"/>
          <w:szCs w:val="24"/>
        </w:rPr>
        <w:fldChar w:fldCharType="separate"/>
      </w:r>
      <w:r>
        <w:rPr>
          <w:rFonts w:hint="eastAsia" w:ascii="楷体" w:hAnsi="楷体" w:eastAsia="楷体" w:cs="楷体"/>
          <w:sz w:val="24"/>
          <w:szCs w:val="24"/>
        </w:rPr>
        <w:t>38</w:t>
      </w:r>
      <w:r>
        <w:rPr>
          <w:rFonts w:hint="eastAsia" w:ascii="楷体" w:hAnsi="楷体" w:eastAsia="楷体" w:cs="楷体"/>
          <w:sz w:val="24"/>
          <w:szCs w:val="24"/>
        </w:rPr>
        <w:fldChar w:fldCharType="end"/>
      </w:r>
      <w:r>
        <w:rPr>
          <w:rFonts w:hint="eastAsia" w:ascii="楷体" w:hAnsi="楷体" w:eastAsia="楷体" w:cs="楷体"/>
          <w:kern w:val="2"/>
          <w:sz w:val="24"/>
          <w:szCs w:val="24"/>
          <w:lang w:val="en-US" w:eastAsia="zh-CN" w:bidi="ar-SA"/>
        </w:rPr>
        <w:fldChar w:fldCharType="end"/>
      </w:r>
    </w:p>
    <w:p w14:paraId="479DFE4E">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24"/>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_Toc32055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典型案例 8：</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_Toc26198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弘扬雷锋精神，传承红色基因</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_Toc26198 \h </w:instrText>
      </w:r>
      <w:r>
        <w:rPr>
          <w:rFonts w:hint="eastAsia" w:ascii="楷体" w:hAnsi="楷体" w:eastAsia="楷体" w:cs="楷体"/>
          <w:sz w:val="24"/>
          <w:szCs w:val="24"/>
        </w:rPr>
        <w:fldChar w:fldCharType="separate"/>
      </w:r>
      <w:r>
        <w:rPr>
          <w:rFonts w:hint="eastAsia" w:ascii="楷体" w:hAnsi="楷体" w:eastAsia="楷体" w:cs="楷体"/>
          <w:sz w:val="24"/>
          <w:szCs w:val="24"/>
        </w:rPr>
        <w:t>41</w:t>
      </w:r>
      <w:r>
        <w:rPr>
          <w:rFonts w:hint="eastAsia" w:ascii="楷体" w:hAnsi="楷体" w:eastAsia="楷体" w:cs="楷体"/>
          <w:sz w:val="24"/>
          <w:szCs w:val="24"/>
        </w:rPr>
        <w:fldChar w:fldCharType="end"/>
      </w:r>
      <w:r>
        <w:rPr>
          <w:rFonts w:hint="eastAsia" w:ascii="楷体" w:hAnsi="楷体" w:eastAsia="楷体" w:cs="楷体"/>
          <w:kern w:val="2"/>
          <w:sz w:val="24"/>
          <w:szCs w:val="24"/>
          <w:lang w:val="en-US" w:eastAsia="zh-CN" w:bidi="ar-SA"/>
        </w:rPr>
        <w:fldChar w:fldCharType="end"/>
      </w:r>
    </w:p>
    <w:p w14:paraId="62B9D8C2">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24"/>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_Toc30153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典型案例9</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t>：</w:t>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_Toc622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让赵尚志精神绽放时代光芒</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_Toc622 \h </w:instrText>
      </w:r>
      <w:r>
        <w:rPr>
          <w:rFonts w:hint="eastAsia" w:ascii="楷体" w:hAnsi="楷体" w:eastAsia="楷体" w:cs="楷体"/>
          <w:sz w:val="24"/>
          <w:szCs w:val="24"/>
        </w:rPr>
        <w:fldChar w:fldCharType="separate"/>
      </w:r>
      <w:r>
        <w:rPr>
          <w:rFonts w:hint="eastAsia" w:ascii="楷体" w:hAnsi="楷体" w:eastAsia="楷体" w:cs="楷体"/>
          <w:sz w:val="24"/>
          <w:szCs w:val="24"/>
        </w:rPr>
        <w:t>43</w:t>
      </w:r>
      <w:r>
        <w:rPr>
          <w:rFonts w:hint="eastAsia" w:ascii="楷体" w:hAnsi="楷体" w:eastAsia="楷体" w:cs="楷体"/>
          <w:sz w:val="24"/>
          <w:szCs w:val="24"/>
        </w:rPr>
        <w:fldChar w:fldCharType="end"/>
      </w:r>
      <w:r>
        <w:rPr>
          <w:rFonts w:hint="eastAsia" w:ascii="楷体" w:hAnsi="楷体" w:eastAsia="楷体" w:cs="楷体"/>
          <w:kern w:val="2"/>
          <w:sz w:val="24"/>
          <w:szCs w:val="24"/>
          <w:lang w:val="en-US" w:eastAsia="zh-CN" w:bidi="ar-SA"/>
        </w:rPr>
        <w:fldChar w:fldCharType="end"/>
      </w:r>
    </w:p>
    <w:p w14:paraId="3C48B85D">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24"/>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_Toc6448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典型案例 10：</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_Toc5576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传统文化“三进”活动</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_Toc5576 \h </w:instrText>
      </w:r>
      <w:r>
        <w:rPr>
          <w:rFonts w:hint="eastAsia" w:ascii="楷体" w:hAnsi="楷体" w:eastAsia="楷体" w:cs="楷体"/>
          <w:sz w:val="24"/>
          <w:szCs w:val="24"/>
        </w:rPr>
        <w:fldChar w:fldCharType="separate"/>
      </w:r>
      <w:r>
        <w:rPr>
          <w:rFonts w:hint="eastAsia" w:ascii="楷体" w:hAnsi="楷体" w:eastAsia="楷体" w:cs="楷体"/>
          <w:sz w:val="24"/>
          <w:szCs w:val="24"/>
        </w:rPr>
        <w:t>46</w:t>
      </w:r>
      <w:r>
        <w:rPr>
          <w:rFonts w:hint="eastAsia" w:ascii="楷体" w:hAnsi="楷体" w:eastAsia="楷体" w:cs="楷体"/>
          <w:sz w:val="24"/>
          <w:szCs w:val="24"/>
        </w:rPr>
        <w:fldChar w:fldCharType="end"/>
      </w:r>
      <w:r>
        <w:rPr>
          <w:rFonts w:hint="eastAsia" w:ascii="楷体" w:hAnsi="楷体" w:eastAsia="楷体" w:cs="楷体"/>
          <w:kern w:val="2"/>
          <w:sz w:val="24"/>
          <w:szCs w:val="24"/>
          <w:lang w:val="en-US" w:eastAsia="zh-CN" w:bidi="ar-SA"/>
        </w:rPr>
        <w:fldChar w:fldCharType="end"/>
      </w:r>
    </w:p>
    <w:p w14:paraId="2A0361BE">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24"/>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_Toc14488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典型案例 11：</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_Toc13517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国粹进校园 美育润心田</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_Toc13517 \h </w:instrText>
      </w:r>
      <w:r>
        <w:rPr>
          <w:rFonts w:hint="eastAsia" w:ascii="楷体" w:hAnsi="楷体" w:eastAsia="楷体" w:cs="楷体"/>
          <w:sz w:val="24"/>
          <w:szCs w:val="24"/>
        </w:rPr>
        <w:fldChar w:fldCharType="separate"/>
      </w:r>
      <w:r>
        <w:rPr>
          <w:rFonts w:hint="eastAsia" w:ascii="楷体" w:hAnsi="楷体" w:eastAsia="楷体" w:cs="楷体"/>
          <w:sz w:val="24"/>
          <w:szCs w:val="24"/>
        </w:rPr>
        <w:t>47</w:t>
      </w:r>
      <w:r>
        <w:rPr>
          <w:rFonts w:hint="eastAsia" w:ascii="楷体" w:hAnsi="楷体" w:eastAsia="楷体" w:cs="楷体"/>
          <w:sz w:val="24"/>
          <w:szCs w:val="24"/>
        </w:rPr>
        <w:fldChar w:fldCharType="end"/>
      </w:r>
      <w:r>
        <w:rPr>
          <w:rFonts w:hint="eastAsia" w:ascii="楷体" w:hAnsi="楷体" w:eastAsia="楷体" w:cs="楷体"/>
          <w:kern w:val="2"/>
          <w:sz w:val="24"/>
          <w:szCs w:val="24"/>
          <w:lang w:val="en-US" w:eastAsia="zh-CN" w:bidi="ar-SA"/>
        </w:rPr>
        <w:fldChar w:fldCharType="end"/>
      </w:r>
    </w:p>
    <w:p w14:paraId="26890970">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24"/>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_Toc18158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典型案例 12：</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_Toc7739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校企合作办公  共筑就业桥梁</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_Toc7739 \h </w:instrText>
      </w:r>
      <w:r>
        <w:rPr>
          <w:rFonts w:hint="eastAsia" w:ascii="楷体" w:hAnsi="楷体" w:eastAsia="楷体" w:cs="楷体"/>
          <w:sz w:val="24"/>
          <w:szCs w:val="24"/>
        </w:rPr>
        <w:fldChar w:fldCharType="separate"/>
      </w:r>
      <w:r>
        <w:rPr>
          <w:rFonts w:hint="eastAsia" w:ascii="楷体" w:hAnsi="楷体" w:eastAsia="楷体" w:cs="楷体"/>
          <w:sz w:val="24"/>
          <w:szCs w:val="24"/>
        </w:rPr>
        <w:t>49</w:t>
      </w:r>
      <w:r>
        <w:rPr>
          <w:rFonts w:hint="eastAsia" w:ascii="楷体" w:hAnsi="楷体" w:eastAsia="楷体" w:cs="楷体"/>
          <w:sz w:val="24"/>
          <w:szCs w:val="24"/>
        </w:rPr>
        <w:fldChar w:fldCharType="end"/>
      </w:r>
      <w:r>
        <w:rPr>
          <w:rFonts w:hint="eastAsia" w:ascii="楷体" w:hAnsi="楷体" w:eastAsia="楷体" w:cs="楷体"/>
          <w:kern w:val="2"/>
          <w:sz w:val="24"/>
          <w:szCs w:val="24"/>
          <w:lang w:val="en-US" w:eastAsia="zh-CN" w:bidi="ar-SA"/>
        </w:rPr>
        <w:fldChar w:fldCharType="end"/>
      </w:r>
    </w:p>
    <w:p w14:paraId="420A5BC7">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24"/>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_Toc18802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典型案例 13：</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_Toc26086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校企携手 振兴乡村</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_Toc26086 \h </w:instrText>
      </w:r>
      <w:r>
        <w:rPr>
          <w:rFonts w:hint="eastAsia" w:ascii="楷体" w:hAnsi="楷体" w:eastAsia="楷体" w:cs="楷体"/>
          <w:sz w:val="24"/>
          <w:szCs w:val="24"/>
        </w:rPr>
        <w:fldChar w:fldCharType="separate"/>
      </w:r>
      <w:r>
        <w:rPr>
          <w:rFonts w:hint="eastAsia" w:ascii="楷体" w:hAnsi="楷体" w:eastAsia="楷体" w:cs="楷体"/>
          <w:sz w:val="24"/>
          <w:szCs w:val="24"/>
        </w:rPr>
        <w:t>52</w:t>
      </w:r>
      <w:r>
        <w:rPr>
          <w:rFonts w:hint="eastAsia" w:ascii="楷体" w:hAnsi="楷体" w:eastAsia="楷体" w:cs="楷体"/>
          <w:sz w:val="24"/>
          <w:szCs w:val="24"/>
        </w:rPr>
        <w:fldChar w:fldCharType="end"/>
      </w:r>
      <w:r>
        <w:rPr>
          <w:rFonts w:hint="eastAsia" w:ascii="楷体" w:hAnsi="楷体" w:eastAsia="楷体" w:cs="楷体"/>
          <w:kern w:val="2"/>
          <w:sz w:val="24"/>
          <w:szCs w:val="24"/>
          <w:lang w:val="en-US" w:eastAsia="zh-CN" w:bidi="ar-SA"/>
        </w:rPr>
        <w:fldChar w:fldCharType="end"/>
      </w:r>
    </w:p>
    <w:p w14:paraId="6CA5CD08">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24"/>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_Toc25076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典型案例 14：</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_Toc13945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校企合作创新，助力企业技术升级</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_Toc13945 \h </w:instrText>
      </w:r>
      <w:r>
        <w:rPr>
          <w:rFonts w:hint="eastAsia" w:ascii="楷体" w:hAnsi="楷体" w:eastAsia="楷体" w:cs="楷体"/>
          <w:sz w:val="24"/>
          <w:szCs w:val="24"/>
        </w:rPr>
        <w:fldChar w:fldCharType="separate"/>
      </w:r>
      <w:r>
        <w:rPr>
          <w:rFonts w:hint="eastAsia" w:ascii="楷体" w:hAnsi="楷体" w:eastAsia="楷体" w:cs="楷体"/>
          <w:sz w:val="24"/>
          <w:szCs w:val="24"/>
        </w:rPr>
        <w:t>56</w:t>
      </w:r>
      <w:r>
        <w:rPr>
          <w:rFonts w:hint="eastAsia" w:ascii="楷体" w:hAnsi="楷体" w:eastAsia="楷体" w:cs="楷体"/>
          <w:sz w:val="24"/>
          <w:szCs w:val="24"/>
        </w:rPr>
        <w:fldChar w:fldCharType="end"/>
      </w:r>
      <w:r>
        <w:rPr>
          <w:rFonts w:hint="eastAsia" w:ascii="楷体" w:hAnsi="楷体" w:eastAsia="楷体" w:cs="楷体"/>
          <w:kern w:val="2"/>
          <w:sz w:val="24"/>
          <w:szCs w:val="24"/>
          <w:lang w:val="en-US" w:eastAsia="zh-CN" w:bidi="ar-SA"/>
        </w:rPr>
        <w:fldChar w:fldCharType="end"/>
      </w:r>
    </w:p>
    <w:p w14:paraId="5BA39563">
      <w:pPr>
        <w:pStyle w:val="12"/>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楷体" w:hAnsi="楷体" w:eastAsia="楷体" w:cs="楷体"/>
          <w:sz w:val="24"/>
          <w:szCs w:val="24"/>
        </w:rPr>
      </w:pP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_Toc26632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典型案例15：</w:t>
      </w:r>
      <w:r>
        <w:rPr>
          <w:rFonts w:hint="eastAsia" w:ascii="楷体" w:hAnsi="楷体" w:eastAsia="楷体" w:cs="楷体"/>
          <w:kern w:val="2"/>
          <w:sz w:val="24"/>
          <w:szCs w:val="24"/>
          <w:lang w:val="en-US" w:eastAsia="zh-CN" w:bidi="ar-SA"/>
        </w:rPr>
        <w:fldChar w:fldCharType="end"/>
      </w:r>
      <w:r>
        <w:rPr>
          <w:rFonts w:hint="eastAsia" w:ascii="楷体" w:hAnsi="楷体" w:eastAsia="楷体" w:cs="楷体"/>
          <w:kern w:val="2"/>
          <w:sz w:val="24"/>
          <w:szCs w:val="24"/>
          <w:lang w:val="en-US" w:eastAsia="zh-CN" w:bidi="ar-SA"/>
        </w:rPr>
        <w:fldChar w:fldCharType="begin"/>
      </w:r>
      <w:r>
        <w:rPr>
          <w:rFonts w:hint="eastAsia" w:ascii="楷体" w:hAnsi="楷体" w:eastAsia="楷体" w:cs="楷体"/>
          <w:kern w:val="2"/>
          <w:sz w:val="24"/>
          <w:szCs w:val="24"/>
          <w:lang w:val="en-US" w:eastAsia="zh-CN" w:bidi="ar-SA"/>
        </w:rPr>
        <w:instrText xml:space="preserve"> HYPERLINK \l _Toc27248 </w:instrText>
      </w:r>
      <w:r>
        <w:rPr>
          <w:rFonts w:hint="eastAsia" w:ascii="楷体" w:hAnsi="楷体" w:eastAsia="楷体" w:cs="楷体"/>
          <w:kern w:val="2"/>
          <w:sz w:val="24"/>
          <w:szCs w:val="24"/>
          <w:lang w:val="en-US" w:eastAsia="zh-CN" w:bidi="ar-SA"/>
        </w:rPr>
        <w:fldChar w:fldCharType="separate"/>
      </w:r>
      <w:r>
        <w:rPr>
          <w:rFonts w:hint="eastAsia" w:ascii="楷体" w:hAnsi="楷体" w:eastAsia="楷体" w:cs="楷体"/>
          <w:sz w:val="24"/>
          <w:szCs w:val="24"/>
          <w:lang w:val="en-US" w:eastAsia="zh-CN"/>
        </w:rPr>
        <w:t>校企合作服务地方产业发展</w:t>
      </w:r>
      <w:r>
        <w:rPr>
          <w:rFonts w:hint="eastAsia" w:ascii="楷体" w:hAnsi="楷体" w:eastAsia="楷体" w:cs="楷体"/>
          <w:sz w:val="24"/>
          <w:szCs w:val="24"/>
        </w:rPr>
        <w:tab/>
      </w:r>
      <w:r>
        <w:rPr>
          <w:rFonts w:hint="eastAsia" w:ascii="楷体" w:hAnsi="楷体" w:eastAsia="楷体" w:cs="楷体"/>
          <w:sz w:val="24"/>
          <w:szCs w:val="24"/>
        </w:rPr>
        <w:fldChar w:fldCharType="begin"/>
      </w:r>
      <w:r>
        <w:rPr>
          <w:rFonts w:hint="eastAsia" w:ascii="楷体" w:hAnsi="楷体" w:eastAsia="楷体" w:cs="楷体"/>
          <w:sz w:val="24"/>
          <w:szCs w:val="24"/>
        </w:rPr>
        <w:instrText xml:space="preserve"> PAGEREF _Toc27248 \h </w:instrText>
      </w:r>
      <w:r>
        <w:rPr>
          <w:rFonts w:hint="eastAsia" w:ascii="楷体" w:hAnsi="楷体" w:eastAsia="楷体" w:cs="楷体"/>
          <w:sz w:val="24"/>
          <w:szCs w:val="24"/>
        </w:rPr>
        <w:fldChar w:fldCharType="separate"/>
      </w:r>
      <w:r>
        <w:rPr>
          <w:rFonts w:hint="eastAsia" w:ascii="楷体" w:hAnsi="楷体" w:eastAsia="楷体" w:cs="楷体"/>
          <w:sz w:val="24"/>
          <w:szCs w:val="24"/>
        </w:rPr>
        <w:t>56</w:t>
      </w:r>
      <w:r>
        <w:rPr>
          <w:rFonts w:hint="eastAsia" w:ascii="楷体" w:hAnsi="楷体" w:eastAsia="楷体" w:cs="楷体"/>
          <w:sz w:val="24"/>
          <w:szCs w:val="24"/>
        </w:rPr>
        <w:fldChar w:fldCharType="end"/>
      </w:r>
      <w:r>
        <w:rPr>
          <w:rFonts w:hint="eastAsia" w:ascii="楷体" w:hAnsi="楷体" w:eastAsia="楷体" w:cs="楷体"/>
          <w:kern w:val="2"/>
          <w:sz w:val="24"/>
          <w:szCs w:val="24"/>
          <w:lang w:val="en-US" w:eastAsia="zh-CN" w:bidi="ar-SA"/>
        </w:rPr>
        <w:fldChar w:fldCharType="end"/>
      </w:r>
    </w:p>
    <w:p w14:paraId="5C28EFE1">
      <w:pPr>
        <w:keepNext w:val="0"/>
        <w:keepLines w:val="0"/>
        <w:pageBreakBefore w:val="0"/>
        <w:widowControl w:val="0"/>
        <w:kinsoku/>
        <w:wordWrap/>
        <w:overflowPunct/>
        <w:topLinePunct w:val="0"/>
        <w:autoSpaceDE/>
        <w:autoSpaceDN/>
        <w:bidi w:val="0"/>
        <w:adjustRightInd/>
        <w:snapToGrid/>
        <w:spacing w:before="0" w:beforeLines="0" w:after="0" w:afterLines="0" w:line="480" w:lineRule="exact"/>
        <w:ind w:left="0" w:leftChars="0" w:right="0" w:rightChars="0" w:firstLine="0" w:firstLineChars="0"/>
        <w:jc w:val="center"/>
        <w:textAlignment w:val="auto"/>
        <w:rPr>
          <w:rFonts w:hint="eastAsia" w:ascii="宋体" w:hAnsi="宋体" w:eastAsia="宋体" w:cstheme="minorBidi"/>
          <w:kern w:val="2"/>
          <w:sz w:val="36"/>
          <w:szCs w:val="44"/>
          <w:lang w:val="en-US" w:eastAsia="zh-CN" w:bidi="ar-SA"/>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楷体" w:hAnsi="楷体" w:eastAsia="楷体" w:cs="楷体"/>
          <w:kern w:val="2"/>
          <w:sz w:val="24"/>
          <w:szCs w:val="24"/>
          <w:lang w:val="en-US" w:eastAsia="zh-CN" w:bidi="ar-SA"/>
        </w:rPr>
        <w:fldChar w:fldCharType="end"/>
      </w:r>
    </w:p>
    <w:bookmarkEnd w:id="4"/>
    <w:p w14:paraId="23AA02F4">
      <w:pPr>
        <w:spacing w:before="0" w:beforeLines="0" w:after="0" w:afterLines="0" w:line="240" w:lineRule="auto"/>
        <w:ind w:left="0" w:leftChars="0" w:right="0" w:rightChars="0" w:firstLine="0" w:firstLineChars="0"/>
        <w:jc w:val="center"/>
        <w:outlineLvl w:val="0"/>
        <w:rPr>
          <w:rFonts w:hint="eastAsia" w:ascii="方正小标宋简体" w:hAnsi="方正小标宋简体" w:eastAsia="方正小标宋简体" w:cs="方正小标宋简体"/>
          <w:kern w:val="2"/>
          <w:sz w:val="44"/>
          <w:szCs w:val="44"/>
          <w:lang w:val="en-US" w:eastAsia="zh-CN" w:bidi="ar-SA"/>
        </w:rPr>
      </w:pPr>
      <w:bookmarkStart w:id="5" w:name="_Toc27387"/>
      <w:r>
        <w:rPr>
          <w:rFonts w:hint="eastAsia" w:ascii="方正小标宋简体" w:hAnsi="方正小标宋简体" w:eastAsia="方正小标宋简体" w:cs="方正小标宋简体"/>
          <w:kern w:val="2"/>
          <w:sz w:val="44"/>
          <w:szCs w:val="44"/>
          <w:lang w:val="en-US" w:eastAsia="zh-CN" w:bidi="ar-SA"/>
        </w:rPr>
        <w:t>前   言</w:t>
      </w:r>
      <w:bookmarkEnd w:id="5"/>
    </w:p>
    <w:p w14:paraId="44C78630">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根据教育部职成司和辽宁省教育厅工作部署，结合朝阳市职业教育工作实际，朝阳市教育局组织编制了《朝阳市中等职业教育质量报告（2024年度）》。</w:t>
      </w:r>
    </w:p>
    <w:p w14:paraId="6B9F2F62">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textAlignment w:val="auto"/>
        <w:rPr>
          <w:rFonts w:hint="eastAsia" w:ascii="仿宋_GB2312" w:hAnsi="仿宋_GB2312" w:eastAsia="仿宋_GB2312" w:cs="仿宋_GB2312"/>
          <w:sz w:val="32"/>
          <w:szCs w:val="32"/>
          <w:lang w:val="en-US" w:eastAsia="zh-CN"/>
        </w:rPr>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仿宋_GB2312" w:hAnsi="仿宋_GB2312" w:eastAsia="仿宋_GB2312" w:cs="仿宋_GB2312"/>
          <w:sz w:val="32"/>
          <w:szCs w:val="32"/>
          <w:lang w:val="en-US" w:eastAsia="zh-CN"/>
        </w:rPr>
        <w:t>2024年，全市有中等职业学校13所，其中公办9所，民办4所（职业高中）。在校生16396人、教职工2183人，其中专任教师1660人。开设有畜禽生产技术、建筑工程施工、电子商务、幼儿保育、新能源汽车运用与维修、大数据技术应用等135个专业。本报告通过总结工作举措、展示发展成效、发掘典型案例等形式，从人才培养、服务贡献、文化传承、产教融合、发展保障、面临挑战等方面，基本呈现了全市中等职业教育一年来改革发展全貌,可以为社会各界更好地了解、关心、支持中职教育改革发展提供参考。</w:t>
      </w:r>
    </w:p>
    <w:p w14:paraId="46B4F720">
      <w:pPr>
        <w:pStyle w:val="3"/>
        <w:bidi w:val="0"/>
        <w:ind w:firstLine="640" w:firstLineChars="200"/>
        <w:rPr>
          <w:rFonts w:hint="eastAsia" w:ascii="黑体" w:hAnsi="黑体" w:eastAsia="黑体" w:cs="黑体"/>
          <w:b w:val="0"/>
          <w:bCs/>
          <w:sz w:val="32"/>
          <w:szCs w:val="32"/>
          <w:lang w:val="en-US" w:eastAsia="zh-CN"/>
        </w:rPr>
      </w:pPr>
      <w:bookmarkStart w:id="6" w:name="_Toc1728"/>
      <w:r>
        <w:rPr>
          <w:rFonts w:hint="eastAsia" w:ascii="黑体" w:hAnsi="黑体" w:eastAsia="黑体" w:cs="黑体"/>
          <w:b w:val="0"/>
          <w:bCs/>
          <w:sz w:val="32"/>
          <w:szCs w:val="32"/>
          <w:lang w:val="en-US" w:eastAsia="zh-CN"/>
        </w:rPr>
        <w:t>1.基本情况</w:t>
      </w:r>
      <w:bookmarkEnd w:id="6"/>
    </w:p>
    <w:p w14:paraId="15E19767">
      <w:pPr>
        <w:pStyle w:val="2"/>
        <w:numPr>
          <w:ilvl w:val="0"/>
          <w:numId w:val="0"/>
        </w:numPr>
        <w:bidi w:val="0"/>
        <w:ind w:leftChars="200" w:firstLine="321" w:firstLineChars="100"/>
        <w:rPr>
          <w:rFonts w:hint="eastAsia" w:ascii="楷体" w:hAnsi="楷体" w:eastAsia="楷体" w:cs="楷体"/>
          <w:b/>
          <w:bCs w:val="0"/>
          <w:sz w:val="32"/>
          <w:szCs w:val="32"/>
          <w:lang w:val="en-US" w:eastAsia="zh-CN"/>
        </w:rPr>
      </w:pPr>
      <w:bookmarkStart w:id="7" w:name="_Toc28843"/>
      <w:r>
        <w:rPr>
          <w:rFonts w:hint="eastAsia" w:ascii="楷体" w:hAnsi="楷体" w:eastAsia="楷体" w:cs="楷体"/>
          <w:b/>
          <w:bCs w:val="0"/>
          <w:sz w:val="32"/>
          <w:szCs w:val="32"/>
          <w:lang w:val="en-US" w:eastAsia="zh-CN"/>
        </w:rPr>
        <w:t>1.1本市概况</w:t>
      </w:r>
      <w:bookmarkEnd w:id="7"/>
    </w:p>
    <w:p w14:paraId="28E1B26B">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朝阳市教育系统所辖中等职业学校共13所，有专任教师1660人，</w:t>
      </w:r>
      <w:r>
        <w:rPr>
          <w:rFonts w:hint="eastAsia" w:ascii="仿宋_GB2312" w:hAnsi="仿宋_GB2312" w:eastAsia="仿宋_GB2312" w:cs="仿宋_GB2312"/>
          <w:sz w:val="32"/>
          <w:szCs w:val="32"/>
        </w:rPr>
        <w:t>在校生</w:t>
      </w:r>
      <w:r>
        <w:rPr>
          <w:rFonts w:hint="eastAsia" w:ascii="仿宋_GB2312" w:hAnsi="仿宋_GB2312" w:eastAsia="仿宋_GB2312" w:cs="仿宋_GB2312"/>
          <w:sz w:val="32"/>
          <w:szCs w:val="32"/>
          <w:highlight w:val="none"/>
          <w:lang w:val="en-US" w:eastAsia="zh-CN"/>
        </w:rPr>
        <w:t>16396</w:t>
      </w:r>
      <w:r>
        <w:rPr>
          <w:rFonts w:hint="eastAsia" w:ascii="仿宋_GB2312" w:hAnsi="仿宋_GB2312" w:eastAsia="仿宋_GB2312" w:cs="仿宋_GB2312"/>
          <w:sz w:val="32"/>
          <w:szCs w:val="32"/>
          <w:highlight w:val="none"/>
        </w:rPr>
        <w:t>人。</w:t>
      </w:r>
      <w:r>
        <w:rPr>
          <w:rFonts w:hint="eastAsia" w:ascii="仿宋_GB2312" w:hAnsi="仿宋_GB2312" w:eastAsia="仿宋_GB2312" w:cs="仿宋_GB2312"/>
          <w:sz w:val="32"/>
          <w:szCs w:val="32"/>
          <w:lang w:eastAsia="zh-CN"/>
        </w:rPr>
        <w:t>国家级中职改革发展示范校</w:t>
      </w:r>
      <w:r>
        <w:rPr>
          <w:rFonts w:hint="eastAsia" w:ascii="仿宋_GB2312" w:hAnsi="仿宋_GB2312" w:eastAsia="仿宋_GB2312" w:cs="仿宋_GB2312"/>
          <w:sz w:val="32"/>
          <w:szCs w:val="32"/>
          <w:lang w:val="en-US" w:eastAsia="zh-CN"/>
        </w:rPr>
        <w:t>2所，省级中职改革发展示范校3所、县级职教中心转型发展示范校2所、</w:t>
      </w:r>
      <w:r>
        <w:rPr>
          <w:rFonts w:hint="eastAsia" w:ascii="仿宋_GB2312" w:hAnsi="仿宋_GB2312" w:eastAsia="仿宋_GB2312" w:cs="仿宋_GB2312"/>
          <w:sz w:val="32"/>
          <w:szCs w:val="32"/>
        </w:rPr>
        <w:t>省中等职业教育优秀学校建设项目5所。</w:t>
      </w:r>
    </w:p>
    <w:p w14:paraId="71848AD3">
      <w:pPr>
        <w:pStyle w:val="2"/>
        <w:numPr>
          <w:ilvl w:val="0"/>
          <w:numId w:val="0"/>
        </w:numPr>
        <w:bidi w:val="0"/>
        <w:ind w:leftChars="200" w:firstLine="321" w:firstLineChars="100"/>
        <w:rPr>
          <w:rFonts w:hint="eastAsia" w:ascii="楷体" w:hAnsi="楷体" w:eastAsia="楷体" w:cs="楷体"/>
          <w:b/>
          <w:bCs w:val="0"/>
          <w:sz w:val="32"/>
          <w:szCs w:val="32"/>
          <w:lang w:val="en-US" w:eastAsia="zh-CN"/>
        </w:rPr>
      </w:pPr>
      <w:bookmarkStart w:id="8" w:name="_Toc12711"/>
      <w:r>
        <w:rPr>
          <w:rFonts w:hint="eastAsia" w:ascii="楷体" w:hAnsi="楷体" w:eastAsia="楷体" w:cs="楷体"/>
          <w:b/>
          <w:bCs w:val="0"/>
          <w:sz w:val="32"/>
          <w:szCs w:val="32"/>
          <w:lang w:val="en-US" w:eastAsia="zh-CN"/>
        </w:rPr>
        <w:t>1.2专业设置</w:t>
      </w:r>
      <w:bookmarkEnd w:id="8"/>
    </w:p>
    <w:p w14:paraId="6A1B4CAB">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紧密对接区域产业发展需求，2024年共撤销招生效果差、办学效益低的专业34个，新增发展亟需专业14个，目前，全市中等职业学校现开设有畜禽生产技术、建筑工程施工、幼儿保育、新能源汽车运用与维修、大数据技术应用等135个中职专业，其中，护理、电子商务、机电技术应用等18个专业是省中等职业教育优质专业建设项目。目前，各中职学校有500多个基础实验室与专业技能实训室，为机械加工技术、幼儿保育、畜禽生产技术、新能源汽车制造与检测等近40个专业提供教育教学与技能训练保障。</w:t>
      </w:r>
    </w:p>
    <w:p w14:paraId="7D54943C">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坚持中等职业教育升学与就业并重，持续提升“3+2”中高职贯通培养规模，畅通职业教育纵向贯通渠道。</w:t>
      </w:r>
      <w:r>
        <w:rPr>
          <w:rFonts w:hint="default" w:ascii="仿宋_GB2312" w:hAnsi="仿宋_GB2312" w:eastAsia="仿宋_GB2312" w:cs="仿宋_GB2312"/>
          <w:sz w:val="32"/>
          <w:szCs w:val="32"/>
          <w:lang w:val="en-US" w:eastAsia="zh-CN"/>
        </w:rPr>
        <w:fldChar w:fldCharType="begin"/>
      </w:r>
      <w:r>
        <w:rPr>
          <w:rFonts w:hint="default" w:ascii="仿宋_GB2312" w:hAnsi="仿宋_GB2312" w:eastAsia="仿宋_GB2312" w:cs="仿宋_GB2312"/>
          <w:sz w:val="32"/>
          <w:szCs w:val="32"/>
          <w:lang w:val="en-US" w:eastAsia="zh-CN"/>
        </w:rPr>
        <w:instrText xml:space="preserve"> HYPERLINK "javascript:;" \o "表情" </w:instrText>
      </w:r>
      <w:r>
        <w:rPr>
          <w:rFonts w:hint="default" w:ascii="仿宋_GB2312" w:hAnsi="仿宋_GB2312" w:eastAsia="仿宋_GB2312" w:cs="仿宋_GB2312"/>
          <w:sz w:val="32"/>
          <w:szCs w:val="32"/>
          <w:lang w:val="en-US" w:eastAsia="zh-CN"/>
        </w:rPr>
        <w:fldChar w:fldCharType="separate"/>
      </w:r>
      <w:r>
        <w:rPr>
          <w:rFonts w:hint="default" w:ascii="仿宋_GB2312" w:hAnsi="仿宋_GB2312" w:eastAsia="仿宋_GB2312" w:cs="仿宋_GB2312"/>
          <w:sz w:val="32"/>
          <w:szCs w:val="32"/>
          <w:lang w:val="en-US" w:eastAsia="zh-CN"/>
        </w:rPr>
        <w:fldChar w:fldCharType="end"/>
      </w:r>
      <w:r>
        <w:rPr>
          <w:rFonts w:hint="eastAsia" w:ascii="仿宋_GB2312" w:hAnsi="仿宋_GB2312" w:eastAsia="仿宋_GB2312" w:cs="仿宋_GB2312"/>
          <w:sz w:val="32"/>
          <w:szCs w:val="32"/>
          <w:lang w:val="en-US" w:eastAsia="zh-CN"/>
        </w:rPr>
        <w:t>2024年，全市中职学校与辽宁省交通高等专科学校、辽宁农业职业技术学院、渤海船舶职业学院、营口职业技术学院等17所省内高职院校合作，在数控技术、工程测量技术、汽车制造与实验技术、畜牧兽医、电子商务、计算机应用技术、护理等32个专业上实施中高职贯通培养合作。</w:t>
      </w:r>
    </w:p>
    <w:p w14:paraId="75E3EA27">
      <w:pPr>
        <w:pStyle w:val="17"/>
        <w:keepNext w:val="0"/>
        <w:keepLines w:val="0"/>
        <w:pageBreakBefore w:val="0"/>
        <w:widowControl w:val="0"/>
        <w:kinsoku/>
        <w:wordWrap/>
        <w:overflowPunct/>
        <w:topLinePunct w:val="0"/>
        <w:autoSpaceDE/>
        <w:autoSpaceDN/>
        <w:bidi w:val="0"/>
        <w:adjustRightInd/>
        <w:snapToGrid/>
        <w:spacing w:before="0" w:beforeAutospacing="0" w:after="157" w:afterLines="50" w:afterAutospacing="0"/>
        <w:jc w:val="center"/>
        <w:textAlignment w:val="auto"/>
        <w:rPr>
          <w:rFonts w:hint="eastAsia"/>
          <w:lang w:eastAsia="zh-CN"/>
        </w:rPr>
      </w:pPr>
      <w:r>
        <w:rPr>
          <w:rFonts w:hint="eastAsia"/>
          <w:lang w:eastAsia="zh-CN"/>
        </w:rPr>
        <w:drawing>
          <wp:inline distT="0" distB="0" distL="114300" distR="114300">
            <wp:extent cx="4533265" cy="2445385"/>
            <wp:effectExtent l="0" t="0" r="635" b="12065"/>
            <wp:docPr id="54" name="图片 54" descr="C:\Users\ASUS\Desktop\专业.png专业"/>
            <wp:cNvGraphicFramePr/>
            <a:graphic xmlns:a="http://schemas.openxmlformats.org/drawingml/2006/main">
              <a:graphicData uri="http://schemas.openxmlformats.org/drawingml/2006/picture">
                <pic:pic xmlns:pic="http://schemas.openxmlformats.org/drawingml/2006/picture">
                  <pic:nvPicPr>
                    <pic:cNvPr id="54" name="图片 54" descr="C:\Users\ASUS\Desktop\专业.png专业"/>
                    <pic:cNvPicPr/>
                  </pic:nvPicPr>
                  <pic:blipFill>
                    <a:blip r:embed="rId10"/>
                    <a:srcRect/>
                    <a:stretch>
                      <a:fillRect/>
                    </a:stretch>
                  </pic:blipFill>
                  <pic:spPr>
                    <a:xfrm>
                      <a:off x="0" y="0"/>
                      <a:ext cx="4533265" cy="2445385"/>
                    </a:xfrm>
                    <a:prstGeom prst="rect">
                      <a:avLst/>
                    </a:prstGeom>
                  </pic:spPr>
                </pic:pic>
              </a:graphicData>
            </a:graphic>
          </wp:inline>
        </w:drawing>
      </w:r>
    </w:p>
    <w:p w14:paraId="50A3BE89">
      <w:pPr>
        <w:pStyle w:val="14"/>
        <w:bidi w:val="0"/>
        <w:jc w:val="center"/>
        <w:rPr>
          <w:rFonts w:hint="eastAsia"/>
          <w:lang w:val="en-US" w:eastAsia="zh-CN"/>
        </w:rPr>
      </w:pPr>
      <w:bookmarkStart w:id="9" w:name="_Toc7935"/>
      <w:bookmarkStart w:id="10" w:name="_Toc2622"/>
      <w:bookmarkStart w:id="11" w:name="_Toc6878"/>
      <w:bookmarkStart w:id="12" w:name="_Toc31565"/>
      <w:r>
        <w:rPr>
          <w:rFonts w:hint="eastAsia"/>
          <w:lang w:val="en-US" w:eastAsia="zh-CN"/>
        </w:rPr>
        <w:t>图1：眼视光与配镜专业（来源：朝阳工程技术学校）</w:t>
      </w:r>
      <w:bookmarkEnd w:id="9"/>
      <w:bookmarkEnd w:id="10"/>
      <w:bookmarkEnd w:id="11"/>
      <w:bookmarkEnd w:id="12"/>
    </w:p>
    <w:p w14:paraId="3E55B516">
      <w:pPr>
        <w:pStyle w:val="2"/>
        <w:numPr>
          <w:ilvl w:val="0"/>
          <w:numId w:val="0"/>
        </w:numPr>
        <w:bidi w:val="0"/>
        <w:ind w:leftChars="200" w:firstLine="321" w:firstLineChars="100"/>
        <w:rPr>
          <w:rFonts w:hint="eastAsia" w:ascii="楷体" w:hAnsi="楷体" w:eastAsia="楷体" w:cs="楷体"/>
          <w:b/>
          <w:bCs w:val="0"/>
          <w:sz w:val="32"/>
          <w:szCs w:val="32"/>
          <w:highlight w:val="none"/>
          <w:lang w:val="en-US" w:eastAsia="zh-CN"/>
        </w:rPr>
      </w:pPr>
      <w:bookmarkStart w:id="13" w:name="_Toc3878"/>
      <w:r>
        <w:rPr>
          <w:rFonts w:hint="eastAsia" w:ascii="楷体" w:hAnsi="楷体" w:eastAsia="楷体" w:cs="楷体"/>
          <w:b/>
          <w:bCs w:val="0"/>
          <w:sz w:val="32"/>
          <w:szCs w:val="32"/>
          <w:lang w:val="en-US" w:eastAsia="zh-CN"/>
        </w:rPr>
        <w:t>1.3</w:t>
      </w:r>
      <w:r>
        <w:rPr>
          <w:rFonts w:hint="eastAsia" w:ascii="楷体" w:hAnsi="楷体" w:eastAsia="楷体" w:cs="楷体"/>
          <w:b/>
          <w:bCs w:val="0"/>
          <w:sz w:val="32"/>
          <w:szCs w:val="32"/>
          <w:highlight w:val="none"/>
          <w:lang w:val="en-US" w:eastAsia="zh-CN"/>
        </w:rPr>
        <w:t>学生结构</w:t>
      </w:r>
      <w:bookmarkEnd w:id="13"/>
    </w:p>
    <w:p w14:paraId="7170C037">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textAlignment w:val="auto"/>
        <w:rPr>
          <w:rFonts w:hint="eastAsia" w:asciiTheme="minorEastAsia" w:hAnsiTheme="minorEastAsia" w:eastAsiaTheme="minorEastAsia" w:cstheme="minorEastAsia"/>
          <w:sz w:val="21"/>
          <w:szCs w:val="21"/>
          <w:lang w:val="en-US" w:eastAsia="zh-CN"/>
        </w:rPr>
      </w:pPr>
      <w:r>
        <w:rPr>
          <w:rFonts w:hint="eastAsia" w:ascii="仿宋_GB2312" w:hAnsi="仿宋_GB2312" w:eastAsia="仿宋_GB2312" w:cs="仿宋_GB2312"/>
          <w:color w:val="auto"/>
          <w:sz w:val="32"/>
          <w:szCs w:val="32"/>
          <w:highlight w:val="none"/>
          <w:lang w:val="en-US" w:eastAsia="zh-CN"/>
        </w:rPr>
        <w:t>2024年，在校生总数16396人，其中2022级学生5850人，2023级学生5447人，2024级学生5099人，绝大多数在校生为市域内农村学生，其余小部分在校生为市（县）学生。</w:t>
      </w:r>
    </w:p>
    <w:p w14:paraId="5EBDCB95">
      <w:pPr>
        <w:pStyle w:val="28"/>
        <w:bidi w:val="0"/>
        <w:rPr>
          <w:rFonts w:hint="eastAsia"/>
          <w:lang w:val="en-US" w:eastAsia="zh-CN"/>
        </w:rPr>
      </w:pPr>
      <w:bookmarkStart w:id="14" w:name="_Toc1430"/>
      <w:bookmarkStart w:id="15" w:name="_Toc30271"/>
      <w:r>
        <w:rPr>
          <w:rFonts w:hint="eastAsia"/>
          <w:lang w:val="en-US" w:eastAsia="zh-CN"/>
        </w:rPr>
        <w:t>数据分析表1：在校生情况统计表</w:t>
      </w:r>
      <w:bookmarkEnd w:id="14"/>
      <w:bookmarkEnd w:id="15"/>
    </w:p>
    <w:tbl>
      <w:tblPr>
        <w:tblStyle w:val="20"/>
        <w:tblW w:w="78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9"/>
        <w:gridCol w:w="2094"/>
        <w:gridCol w:w="2095"/>
        <w:gridCol w:w="1900"/>
      </w:tblGrid>
      <w:tr w14:paraId="50B85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1729" w:type="dxa"/>
            <w:tcBorders>
              <w:top w:val="single" w:color="FFFFFF" w:sz="4" w:space="0"/>
              <w:left w:val="single" w:color="FFFFFF" w:sz="4" w:space="0"/>
              <w:bottom w:val="single" w:color="FFFFFF" w:sz="4" w:space="0"/>
              <w:right w:val="single" w:color="FFFFFF" w:sz="4" w:space="0"/>
              <w:tl2br w:val="nil"/>
            </w:tcBorders>
            <w:shd w:val="clear" w:color="auto" w:fill="4472C4"/>
            <w:vAlign w:val="center"/>
          </w:tcPr>
          <w:p w14:paraId="2309A34C">
            <w:pPr>
              <w:pStyle w:val="17"/>
              <w:keepNext w:val="0"/>
              <w:keepLines w:val="0"/>
              <w:pageBreakBefore w:val="0"/>
              <w:widowControl w:val="0"/>
              <w:kinsoku/>
              <w:wordWrap/>
              <w:overflowPunct/>
              <w:topLinePunct w:val="0"/>
              <w:autoSpaceDE/>
              <w:autoSpaceDN/>
              <w:bidi w:val="0"/>
              <w:adjustRightInd/>
              <w:snapToGrid/>
              <w:spacing w:beforeAutospacing="0" w:line="360" w:lineRule="auto"/>
              <w:jc w:val="center"/>
              <w:textAlignment w:val="auto"/>
              <w:rPr>
                <w:rFonts w:hint="eastAsia"/>
                <w:sz w:val="28"/>
                <w:szCs w:val="28"/>
                <w:lang w:val="en-US" w:eastAsia="zh-CN"/>
              </w:rPr>
            </w:pPr>
            <w:r>
              <w:rPr>
                <w:rFonts w:hint="eastAsia"/>
                <w:sz w:val="28"/>
                <w:szCs w:val="28"/>
                <w:lang w:val="en-US" w:eastAsia="zh-CN"/>
              </w:rPr>
              <w:t>年级</w:t>
            </w:r>
          </w:p>
        </w:tc>
        <w:tc>
          <w:tcPr>
            <w:tcW w:w="2094" w:type="dxa"/>
            <w:tcBorders>
              <w:top w:val="single" w:color="FFFFFF" w:sz="4" w:space="0"/>
              <w:left w:val="single" w:color="FFFFFF" w:sz="4" w:space="0"/>
              <w:bottom w:val="single" w:color="FFFFFF" w:sz="4" w:space="0"/>
              <w:right w:val="single" w:color="FFFFFF" w:sz="4" w:space="0"/>
            </w:tcBorders>
            <w:shd w:val="clear" w:color="auto" w:fill="4472C4"/>
            <w:vAlign w:val="center"/>
          </w:tcPr>
          <w:p w14:paraId="0B2A90DB">
            <w:pPr>
              <w:pStyle w:val="17"/>
              <w:keepNext w:val="0"/>
              <w:keepLines w:val="0"/>
              <w:pageBreakBefore w:val="0"/>
              <w:widowControl w:val="0"/>
              <w:kinsoku/>
              <w:wordWrap/>
              <w:overflowPunct/>
              <w:topLinePunct w:val="0"/>
              <w:autoSpaceDE/>
              <w:autoSpaceDN/>
              <w:bidi w:val="0"/>
              <w:adjustRightInd/>
              <w:snapToGrid/>
              <w:spacing w:beforeAutospacing="0" w:line="360" w:lineRule="auto"/>
              <w:jc w:val="center"/>
              <w:textAlignment w:val="auto"/>
              <w:rPr>
                <w:rFonts w:hint="default"/>
                <w:sz w:val="28"/>
                <w:szCs w:val="28"/>
                <w:lang w:val="en-US" w:eastAsia="zh-CN"/>
              </w:rPr>
            </w:pPr>
            <w:r>
              <w:rPr>
                <w:rFonts w:hint="eastAsia"/>
                <w:sz w:val="28"/>
                <w:szCs w:val="28"/>
                <w:lang w:val="en-US" w:eastAsia="zh-CN"/>
              </w:rPr>
              <w:t>2022级</w:t>
            </w:r>
          </w:p>
        </w:tc>
        <w:tc>
          <w:tcPr>
            <w:tcW w:w="2095" w:type="dxa"/>
            <w:tcBorders>
              <w:top w:val="single" w:color="FFFFFF" w:sz="4" w:space="0"/>
              <w:left w:val="single" w:color="FFFFFF" w:sz="4" w:space="0"/>
              <w:bottom w:val="single" w:color="FFFFFF" w:sz="4" w:space="0"/>
              <w:right w:val="single" w:color="FFFFFF" w:sz="4" w:space="0"/>
            </w:tcBorders>
            <w:shd w:val="clear" w:color="auto" w:fill="4472C4"/>
            <w:vAlign w:val="center"/>
          </w:tcPr>
          <w:p w14:paraId="7C9A656C">
            <w:pPr>
              <w:pStyle w:val="17"/>
              <w:keepNext w:val="0"/>
              <w:keepLines w:val="0"/>
              <w:pageBreakBefore w:val="0"/>
              <w:widowControl w:val="0"/>
              <w:kinsoku/>
              <w:wordWrap/>
              <w:overflowPunct/>
              <w:topLinePunct w:val="0"/>
              <w:autoSpaceDE/>
              <w:autoSpaceDN/>
              <w:bidi w:val="0"/>
              <w:adjustRightInd/>
              <w:snapToGrid/>
              <w:spacing w:beforeAutospacing="0" w:line="360" w:lineRule="auto"/>
              <w:jc w:val="center"/>
              <w:textAlignment w:val="auto"/>
              <w:rPr>
                <w:rFonts w:hint="default"/>
                <w:sz w:val="28"/>
                <w:szCs w:val="28"/>
                <w:lang w:val="en-US" w:eastAsia="zh-CN"/>
              </w:rPr>
            </w:pPr>
            <w:r>
              <w:rPr>
                <w:rFonts w:hint="eastAsia"/>
                <w:sz w:val="28"/>
                <w:szCs w:val="28"/>
                <w:lang w:val="en-US" w:eastAsia="zh-CN"/>
              </w:rPr>
              <w:t>2023级</w:t>
            </w:r>
          </w:p>
        </w:tc>
        <w:tc>
          <w:tcPr>
            <w:tcW w:w="1900" w:type="dxa"/>
            <w:tcBorders>
              <w:top w:val="single" w:color="FFFFFF" w:sz="4" w:space="0"/>
              <w:left w:val="single" w:color="FFFFFF" w:sz="4" w:space="0"/>
              <w:bottom w:val="single" w:color="FFFFFF" w:sz="4" w:space="0"/>
              <w:right w:val="single" w:color="FFFFFF" w:sz="4" w:space="0"/>
            </w:tcBorders>
            <w:shd w:val="clear" w:color="auto" w:fill="4472C4"/>
            <w:vAlign w:val="center"/>
          </w:tcPr>
          <w:p w14:paraId="5A781926">
            <w:pPr>
              <w:pStyle w:val="17"/>
              <w:keepNext w:val="0"/>
              <w:keepLines w:val="0"/>
              <w:pageBreakBefore w:val="0"/>
              <w:widowControl w:val="0"/>
              <w:kinsoku/>
              <w:wordWrap/>
              <w:overflowPunct/>
              <w:topLinePunct w:val="0"/>
              <w:autoSpaceDE/>
              <w:autoSpaceDN/>
              <w:bidi w:val="0"/>
              <w:adjustRightInd/>
              <w:snapToGrid/>
              <w:spacing w:beforeAutospacing="0" w:line="360" w:lineRule="auto"/>
              <w:jc w:val="center"/>
              <w:textAlignment w:val="auto"/>
              <w:rPr>
                <w:rFonts w:hint="default"/>
                <w:sz w:val="28"/>
                <w:szCs w:val="28"/>
                <w:lang w:val="en-US" w:eastAsia="zh-CN"/>
              </w:rPr>
            </w:pPr>
            <w:r>
              <w:rPr>
                <w:rFonts w:hint="eastAsia"/>
                <w:sz w:val="28"/>
                <w:szCs w:val="28"/>
                <w:lang w:val="en-US" w:eastAsia="zh-CN"/>
              </w:rPr>
              <w:t>2024级</w:t>
            </w:r>
          </w:p>
        </w:tc>
      </w:tr>
      <w:tr w14:paraId="000C7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7" w:hRule="atLeast"/>
          <w:jc w:val="center"/>
        </w:trPr>
        <w:tc>
          <w:tcPr>
            <w:tcW w:w="1729" w:type="dxa"/>
            <w:tcBorders>
              <w:top w:val="single" w:color="FFFFFF" w:sz="4" w:space="0"/>
              <w:left w:val="single" w:color="FFFFFF" w:sz="4" w:space="0"/>
              <w:bottom w:val="single" w:color="FFFFFF" w:sz="4" w:space="0"/>
              <w:right w:val="single" w:color="FFFFFF" w:sz="4" w:space="0"/>
            </w:tcBorders>
            <w:shd w:val="clear" w:color="auto" w:fill="D9E3F3"/>
            <w:vAlign w:val="center"/>
          </w:tcPr>
          <w:p w14:paraId="5AA1C923">
            <w:pPr>
              <w:pStyle w:val="17"/>
              <w:keepNext w:val="0"/>
              <w:keepLines w:val="0"/>
              <w:pageBreakBefore w:val="0"/>
              <w:widowControl w:val="0"/>
              <w:kinsoku/>
              <w:wordWrap/>
              <w:overflowPunct/>
              <w:topLinePunct w:val="0"/>
              <w:autoSpaceDE/>
              <w:autoSpaceDN/>
              <w:bidi w:val="0"/>
              <w:adjustRightInd/>
              <w:snapToGrid/>
              <w:spacing w:beforeAutospacing="0" w:line="360" w:lineRule="auto"/>
              <w:jc w:val="center"/>
              <w:textAlignment w:val="auto"/>
              <w:rPr>
                <w:rFonts w:hint="default"/>
                <w:sz w:val="28"/>
                <w:szCs w:val="28"/>
                <w:lang w:val="en-US" w:eastAsia="zh-CN"/>
              </w:rPr>
            </w:pPr>
            <w:r>
              <w:rPr>
                <w:rFonts w:hint="eastAsia"/>
                <w:sz w:val="28"/>
                <w:szCs w:val="28"/>
                <w:lang w:val="en-US" w:eastAsia="zh-CN"/>
              </w:rPr>
              <w:t>学生人数</w:t>
            </w:r>
          </w:p>
        </w:tc>
        <w:tc>
          <w:tcPr>
            <w:tcW w:w="2094" w:type="dxa"/>
            <w:tcBorders>
              <w:top w:val="single" w:color="FFFFFF" w:sz="4" w:space="0"/>
              <w:left w:val="single" w:color="FFFFFF" w:sz="4" w:space="0"/>
              <w:bottom w:val="single" w:color="FFFFFF" w:sz="4" w:space="0"/>
              <w:right w:val="single" w:color="FFFFFF" w:sz="4" w:space="0"/>
            </w:tcBorders>
            <w:shd w:val="clear" w:color="auto" w:fill="D9E3F3"/>
            <w:vAlign w:val="center"/>
          </w:tcPr>
          <w:p w14:paraId="7284266D">
            <w:pPr>
              <w:pStyle w:val="17"/>
              <w:keepNext w:val="0"/>
              <w:keepLines w:val="0"/>
              <w:pageBreakBefore w:val="0"/>
              <w:widowControl w:val="0"/>
              <w:kinsoku/>
              <w:wordWrap/>
              <w:overflowPunct/>
              <w:topLinePunct w:val="0"/>
              <w:autoSpaceDE/>
              <w:autoSpaceDN/>
              <w:bidi w:val="0"/>
              <w:adjustRightInd/>
              <w:snapToGrid/>
              <w:spacing w:beforeAutospacing="0" w:line="360" w:lineRule="auto"/>
              <w:jc w:val="center"/>
              <w:textAlignment w:val="auto"/>
              <w:rPr>
                <w:rFonts w:hint="default"/>
                <w:sz w:val="28"/>
                <w:szCs w:val="28"/>
                <w:lang w:val="en-US" w:eastAsia="zh-CN"/>
              </w:rPr>
            </w:pPr>
            <w:r>
              <w:rPr>
                <w:rFonts w:hint="eastAsia"/>
                <w:sz w:val="28"/>
                <w:szCs w:val="28"/>
                <w:lang w:val="en-US" w:eastAsia="zh-CN"/>
              </w:rPr>
              <w:t>5850</w:t>
            </w:r>
          </w:p>
        </w:tc>
        <w:tc>
          <w:tcPr>
            <w:tcW w:w="2095" w:type="dxa"/>
            <w:tcBorders>
              <w:top w:val="single" w:color="FFFFFF" w:sz="4" w:space="0"/>
              <w:left w:val="single" w:color="FFFFFF" w:sz="4" w:space="0"/>
              <w:bottom w:val="single" w:color="FFFFFF" w:sz="4" w:space="0"/>
              <w:right w:val="single" w:color="FFFFFF" w:sz="4" w:space="0"/>
            </w:tcBorders>
            <w:shd w:val="clear" w:color="auto" w:fill="D9E3F3"/>
            <w:vAlign w:val="center"/>
          </w:tcPr>
          <w:p w14:paraId="64765ECE">
            <w:pPr>
              <w:pStyle w:val="17"/>
              <w:keepNext w:val="0"/>
              <w:keepLines w:val="0"/>
              <w:pageBreakBefore w:val="0"/>
              <w:widowControl w:val="0"/>
              <w:kinsoku/>
              <w:wordWrap/>
              <w:overflowPunct/>
              <w:topLinePunct w:val="0"/>
              <w:autoSpaceDE/>
              <w:autoSpaceDN/>
              <w:bidi w:val="0"/>
              <w:adjustRightInd/>
              <w:snapToGrid/>
              <w:spacing w:beforeAutospacing="0" w:line="360" w:lineRule="auto"/>
              <w:jc w:val="center"/>
              <w:textAlignment w:val="auto"/>
              <w:rPr>
                <w:rFonts w:hint="default"/>
                <w:sz w:val="28"/>
                <w:szCs w:val="28"/>
                <w:lang w:val="en-US" w:eastAsia="zh-CN"/>
              </w:rPr>
            </w:pPr>
            <w:r>
              <w:rPr>
                <w:rFonts w:hint="eastAsia"/>
                <w:sz w:val="28"/>
                <w:szCs w:val="28"/>
                <w:lang w:val="en-US" w:eastAsia="zh-CN"/>
              </w:rPr>
              <w:t>5447</w:t>
            </w:r>
          </w:p>
        </w:tc>
        <w:tc>
          <w:tcPr>
            <w:tcW w:w="1900" w:type="dxa"/>
            <w:tcBorders>
              <w:top w:val="single" w:color="FFFFFF" w:sz="4" w:space="0"/>
              <w:left w:val="single" w:color="FFFFFF" w:sz="4" w:space="0"/>
              <w:bottom w:val="single" w:color="FFFFFF" w:sz="4" w:space="0"/>
              <w:right w:val="single" w:color="FFFFFF" w:sz="4" w:space="0"/>
            </w:tcBorders>
            <w:shd w:val="clear" w:color="auto" w:fill="D9E3F3"/>
            <w:vAlign w:val="center"/>
          </w:tcPr>
          <w:p w14:paraId="1B747E45">
            <w:pPr>
              <w:pStyle w:val="17"/>
              <w:keepNext w:val="0"/>
              <w:keepLines w:val="0"/>
              <w:pageBreakBefore w:val="0"/>
              <w:widowControl w:val="0"/>
              <w:kinsoku/>
              <w:wordWrap/>
              <w:overflowPunct/>
              <w:topLinePunct w:val="0"/>
              <w:autoSpaceDE/>
              <w:autoSpaceDN/>
              <w:bidi w:val="0"/>
              <w:adjustRightInd/>
              <w:snapToGrid/>
              <w:spacing w:beforeAutospacing="0" w:line="360" w:lineRule="auto"/>
              <w:jc w:val="center"/>
              <w:textAlignment w:val="auto"/>
              <w:rPr>
                <w:rFonts w:hint="default"/>
                <w:sz w:val="28"/>
                <w:szCs w:val="28"/>
                <w:lang w:val="en-US" w:eastAsia="zh-CN"/>
              </w:rPr>
            </w:pPr>
            <w:r>
              <w:rPr>
                <w:rFonts w:hint="eastAsia"/>
                <w:sz w:val="28"/>
                <w:szCs w:val="28"/>
                <w:lang w:val="en-US" w:eastAsia="zh-CN"/>
              </w:rPr>
              <w:t>5099</w:t>
            </w:r>
          </w:p>
        </w:tc>
      </w:tr>
    </w:tbl>
    <w:p w14:paraId="64824315">
      <w:pPr>
        <w:pStyle w:val="6"/>
        <w:keepNext w:val="0"/>
        <w:keepLines w:val="0"/>
        <w:pageBreakBefore w:val="0"/>
        <w:widowControl w:val="0"/>
        <w:kinsoku/>
        <w:wordWrap/>
        <w:overflowPunct/>
        <w:topLinePunct w:val="0"/>
        <w:autoSpaceDE/>
        <w:autoSpaceDN/>
        <w:bidi w:val="0"/>
        <w:adjustRightInd/>
        <w:snapToGrid/>
        <w:spacing w:beforeAutospacing="0" w:line="360" w:lineRule="auto"/>
        <w:ind w:left="0" w:leftChars="0" w:firstLine="0" w:firstLineChars="0"/>
        <w:jc w:val="center"/>
        <w:textAlignment w:val="auto"/>
        <w:rPr>
          <w:rFonts w:hint="eastAsia"/>
          <w:sz w:val="20"/>
          <w:szCs w:val="20"/>
          <w:lang w:val="en-US" w:eastAsia="zh-CN"/>
        </w:rPr>
      </w:pPr>
    </w:p>
    <w:p w14:paraId="73DA23A7">
      <w:pPr>
        <w:pStyle w:val="6"/>
        <w:keepNext w:val="0"/>
        <w:keepLines w:val="0"/>
        <w:pageBreakBefore w:val="0"/>
        <w:widowControl w:val="0"/>
        <w:kinsoku/>
        <w:wordWrap/>
        <w:overflowPunct/>
        <w:topLinePunct w:val="0"/>
        <w:autoSpaceDE/>
        <w:autoSpaceDN/>
        <w:bidi w:val="0"/>
        <w:adjustRightInd/>
        <w:snapToGrid/>
        <w:spacing w:beforeAutospacing="0" w:line="360" w:lineRule="auto"/>
        <w:ind w:left="0" w:leftChars="0" w:firstLine="0" w:firstLineChars="0"/>
        <w:jc w:val="center"/>
        <w:textAlignment w:val="auto"/>
        <w:rPr>
          <w:rFonts w:hint="eastAsia"/>
          <w:sz w:val="20"/>
          <w:szCs w:val="20"/>
          <w:lang w:val="en-US" w:eastAsia="zh-CN"/>
        </w:rPr>
      </w:pPr>
      <w:r>
        <w:rPr>
          <w:rFonts w:hint="eastAsia"/>
          <w:sz w:val="20"/>
          <w:szCs w:val="20"/>
          <w:lang w:val="en-US" w:eastAsia="zh-CN"/>
        </w:rPr>
        <w:drawing>
          <wp:inline distT="0" distB="0" distL="114300" distR="114300">
            <wp:extent cx="4832350" cy="2303780"/>
            <wp:effectExtent l="5080" t="4445" r="20320" b="15875"/>
            <wp:docPr id="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1590A25">
      <w:pPr>
        <w:pStyle w:val="29"/>
        <w:bidi w:val="0"/>
        <w:rPr>
          <w:rFonts w:hint="eastAsia"/>
          <w:lang w:val="en-US" w:eastAsia="zh-CN"/>
        </w:rPr>
      </w:pPr>
      <w:bookmarkStart w:id="16" w:name="_Toc11317"/>
      <w:r>
        <w:rPr>
          <w:rFonts w:hint="eastAsia"/>
          <w:lang w:val="en-US" w:eastAsia="zh-CN"/>
        </w:rPr>
        <w:t>数据分析图1：近三年在校生数情况统计图</w:t>
      </w:r>
      <w:bookmarkEnd w:id="16"/>
    </w:p>
    <w:p w14:paraId="2520E5CA">
      <w:pPr>
        <w:pStyle w:val="2"/>
        <w:numPr>
          <w:ilvl w:val="0"/>
          <w:numId w:val="0"/>
        </w:numPr>
        <w:bidi w:val="0"/>
        <w:ind w:leftChars="200" w:firstLine="321" w:firstLineChars="100"/>
        <w:rPr>
          <w:rFonts w:hint="eastAsia" w:ascii="楷体" w:hAnsi="楷体" w:eastAsia="楷体" w:cs="楷体"/>
          <w:b/>
          <w:bCs w:val="0"/>
          <w:sz w:val="32"/>
          <w:szCs w:val="32"/>
          <w:lang w:val="en-US" w:eastAsia="zh-CN"/>
        </w:rPr>
      </w:pPr>
      <w:bookmarkStart w:id="17" w:name="_Toc32580"/>
      <w:r>
        <w:rPr>
          <w:rFonts w:hint="eastAsia" w:ascii="楷体" w:hAnsi="楷体" w:eastAsia="楷体" w:cs="楷体"/>
          <w:b/>
          <w:bCs w:val="0"/>
          <w:sz w:val="32"/>
          <w:szCs w:val="32"/>
          <w:lang w:val="en-US" w:eastAsia="zh-CN"/>
        </w:rPr>
        <w:t>1.4教师队伍</w:t>
      </w:r>
      <w:bookmarkEnd w:id="17"/>
    </w:p>
    <w:p w14:paraId="12CDAFFA">
      <w:pPr>
        <w:pStyle w:val="6"/>
        <w:keepNext w:val="0"/>
        <w:keepLines w:val="0"/>
        <w:pageBreakBefore w:val="0"/>
        <w:widowControl w:val="0"/>
        <w:kinsoku/>
        <w:wordWrap/>
        <w:overflowPunct/>
        <w:topLinePunct w:val="0"/>
        <w:autoSpaceDE/>
        <w:autoSpaceDN/>
        <w:bidi w:val="0"/>
        <w:adjustRightInd/>
        <w:snapToGrid/>
        <w:spacing w:line="540" w:lineRule="exact"/>
        <w:ind w:left="0" w:leftChars="0" w:firstLine="640" w:firstLineChars="200"/>
        <w:textAlignment w:val="auto"/>
        <w:rPr>
          <w:rFonts w:hint="eastAsia" w:ascii="Times New Roman" w:hAnsi="Times New Roman" w:eastAsia="仿宋_GB2312"/>
          <w:sz w:val="32"/>
          <w:szCs w:val="32"/>
          <w:lang w:val="en-US" w:eastAsia="zh-CN"/>
        </w:rPr>
      </w:pPr>
      <w:r>
        <w:rPr>
          <w:rFonts w:hint="eastAsia" w:ascii="Times New Roman" w:hAnsi="Times New Roman" w:eastAsia="仿宋_GB2312"/>
          <w:sz w:val="32"/>
          <w:szCs w:val="32"/>
          <w:lang w:val="en-US" w:eastAsia="zh-CN"/>
        </w:rPr>
        <w:t>朝阳市紧紧围绕全国教育大会提出“要实施教育家精神铸魂强师行动，加强师德师风建设”精神要求，聚焦“大力弘扬教育家精神，加快建设教育强市”的主题，全面加强师资队伍建设，并在各县（市）区及学校开展巡回演讲，在教育系统掀起“学先进、做表率、当模范”的热潮，同时在全社会营造了尊师重教的良好氛围。让职业教育学校的教师热爱职业教育，具有职业理想、敬业精神，以人格魅力、学识魅力、职业魅力感染学生，做学生职业生涯发展的指导者和健康成长的引路人。</w:t>
      </w:r>
    </w:p>
    <w:p w14:paraId="7500A5B3">
      <w:pPr>
        <w:pStyle w:val="8"/>
        <w:jc w:val="center"/>
        <w:rPr>
          <w:rFonts w:hint="eastAsia"/>
          <w:lang w:val="en-US" w:eastAsia="zh-CN"/>
        </w:rPr>
      </w:pPr>
      <w:r>
        <w:rPr>
          <w:rFonts w:hint="eastAsia"/>
          <w:lang w:val="en-US" w:eastAsia="zh-CN"/>
        </w:rPr>
        <w:drawing>
          <wp:inline distT="0" distB="0" distL="114300" distR="114300">
            <wp:extent cx="4678680" cy="3119755"/>
            <wp:effectExtent l="0" t="0" r="7620" b="4445"/>
            <wp:docPr id="10" name="图片 10" descr="C:\Users\Lenovo\Desktop\1.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Lenovo\Desktop\1.jpg1"/>
                    <pic:cNvPicPr>
                      <a:picLocks noChangeAspect="1"/>
                    </pic:cNvPicPr>
                  </pic:nvPicPr>
                  <pic:blipFill>
                    <a:blip r:embed="rId12"/>
                    <a:srcRect/>
                    <a:stretch>
                      <a:fillRect/>
                    </a:stretch>
                  </pic:blipFill>
                  <pic:spPr>
                    <a:xfrm>
                      <a:off x="0" y="0"/>
                      <a:ext cx="4678680" cy="3119755"/>
                    </a:xfrm>
                    <a:prstGeom prst="rect">
                      <a:avLst/>
                    </a:prstGeom>
                  </pic:spPr>
                </pic:pic>
              </a:graphicData>
            </a:graphic>
          </wp:inline>
        </w:drawing>
      </w:r>
    </w:p>
    <w:p w14:paraId="42B56FE0">
      <w:pPr>
        <w:pStyle w:val="14"/>
        <w:bidi w:val="0"/>
        <w:jc w:val="center"/>
        <w:rPr>
          <w:rFonts w:hint="default"/>
          <w:lang w:val="en-US" w:eastAsia="zh-CN"/>
        </w:rPr>
      </w:pPr>
      <w:bookmarkStart w:id="18" w:name="_Toc9097"/>
      <w:bookmarkStart w:id="19" w:name="_Toc23368"/>
      <w:bookmarkStart w:id="20" w:name="_Toc13278"/>
      <w:bookmarkStart w:id="21" w:name="_Toc4989"/>
      <w:r>
        <w:rPr>
          <w:rFonts w:hint="eastAsia"/>
          <w:lang w:val="en-US" w:eastAsia="zh-CN"/>
        </w:rPr>
        <w:t>图2：“大力弘扬教育家精神，加快建设教育强市”主题师德师风巡讲报告会</w:t>
      </w:r>
      <w:bookmarkEnd w:id="18"/>
      <w:bookmarkEnd w:id="19"/>
      <w:bookmarkEnd w:id="20"/>
      <w:bookmarkEnd w:id="21"/>
    </w:p>
    <w:p w14:paraId="6FC9B555">
      <w:pPr>
        <w:pStyle w:val="7"/>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lang w:val="en-US" w:eastAsia="zh-CN"/>
        </w:rPr>
      </w:pPr>
      <w:r>
        <w:rPr>
          <w:rFonts w:hint="eastAsia" w:ascii="仿宋_GB2312" w:hAnsi="仿宋_GB2312" w:eastAsia="仿宋_GB2312" w:cs="仿宋_GB2312"/>
          <w:b w:val="0"/>
          <w:bCs w:val="0"/>
          <w:spacing w:val="0"/>
          <w:kern w:val="2"/>
          <w:sz w:val="32"/>
          <w:szCs w:val="32"/>
          <w:lang w:val="en-US" w:eastAsia="zh-CN" w:bidi="ar-SA"/>
        </w:rPr>
        <w:t>全市中等职业学校共有教职员工2183人，其中专任教师1660人，“双师”专任专业教师461人，高级专业技术职务专任教师505人，兼职教师223人，外聘教师101人，体育课专任教师92人，美育课专任教师86人，思政课专任教师86人（见下表）。全市中等职业学校共有名班主任工作室5个，其中省级名班主任工作室3个，地市级名班主任工作室2个。</w:t>
      </w:r>
      <w:bookmarkStart w:id="22" w:name="_Toc26503"/>
      <w:bookmarkStart w:id="23" w:name="_Toc2130"/>
    </w:p>
    <w:p w14:paraId="1430F324">
      <w:pPr>
        <w:pStyle w:val="28"/>
        <w:bidi w:val="0"/>
        <w:rPr>
          <w:rFonts w:hint="eastAsia"/>
          <w:lang w:val="en-US" w:eastAsia="zh-CN"/>
        </w:rPr>
      </w:pPr>
      <w:r>
        <w:rPr>
          <w:rFonts w:hint="eastAsia"/>
          <w:lang w:val="en-US" w:eastAsia="zh-CN"/>
        </w:rPr>
        <w:t>数据分析表2：朝阳市中职学校教师情况统计表</w:t>
      </w:r>
      <w:bookmarkEnd w:id="22"/>
      <w:bookmarkEnd w:id="23"/>
    </w:p>
    <w:tbl>
      <w:tblPr>
        <w:tblStyle w:val="20"/>
        <w:tblpPr w:leftFromText="180" w:rightFromText="180" w:vertAnchor="text" w:horzAnchor="page" w:tblpX="1762" w:tblpY="111"/>
        <w:tblOverlap w:val="never"/>
        <w:tblW w:w="85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0"/>
        <w:gridCol w:w="1011"/>
        <w:gridCol w:w="922"/>
        <w:gridCol w:w="1071"/>
        <w:gridCol w:w="1190"/>
        <w:gridCol w:w="685"/>
        <w:gridCol w:w="707"/>
        <w:gridCol w:w="740"/>
        <w:gridCol w:w="728"/>
        <w:gridCol w:w="825"/>
      </w:tblGrid>
      <w:tr w14:paraId="611A3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7" w:hRule="atLeast"/>
        </w:trPr>
        <w:tc>
          <w:tcPr>
            <w:tcW w:w="690" w:type="dxa"/>
            <w:tcBorders>
              <w:top w:val="single" w:color="4F81BD" w:sz="8" w:space="0"/>
              <w:left w:val="single" w:color="4F81BD" w:sz="8" w:space="0"/>
              <w:bottom w:val="single" w:color="FFFFFF" w:sz="18" w:space="0"/>
              <w:right w:val="dotted" w:color="auto" w:sz="4" w:space="0"/>
            </w:tcBorders>
            <w:shd w:val="clear" w:color="auto" w:fill="4F81BD"/>
            <w:vAlign w:val="center"/>
          </w:tcPr>
          <w:p w14:paraId="1048C74E">
            <w:pPr>
              <w:pStyle w:val="6"/>
              <w:ind w:left="0" w:leftChars="0" w:firstLine="0" w:firstLineChars="0"/>
              <w:jc w:val="center"/>
              <w:rPr>
                <w:rFonts w:hint="eastAsia"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年份</w:t>
            </w:r>
          </w:p>
        </w:tc>
        <w:tc>
          <w:tcPr>
            <w:tcW w:w="1011" w:type="dxa"/>
            <w:tcBorders>
              <w:top w:val="single" w:color="4F81BD" w:sz="8" w:space="0"/>
              <w:left w:val="dotted" w:color="auto" w:sz="4" w:space="0"/>
              <w:bottom w:val="single" w:color="FFFFFF" w:sz="18" w:space="0"/>
              <w:right w:val="dotted" w:color="auto" w:sz="4" w:space="0"/>
            </w:tcBorders>
            <w:shd w:val="clear" w:color="auto" w:fill="4F81BD"/>
            <w:vAlign w:val="center"/>
          </w:tcPr>
          <w:p w14:paraId="282061D4">
            <w:pPr>
              <w:pStyle w:val="6"/>
              <w:ind w:left="0" w:leftChars="0" w:firstLine="0" w:firstLineChars="0"/>
              <w:jc w:val="center"/>
              <w:rPr>
                <w:rFonts w:hint="eastAsia"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教职员工数</w:t>
            </w:r>
          </w:p>
        </w:tc>
        <w:tc>
          <w:tcPr>
            <w:tcW w:w="922" w:type="dxa"/>
            <w:tcBorders>
              <w:top w:val="single" w:color="4F81BD" w:sz="8" w:space="0"/>
              <w:left w:val="dotted" w:color="auto" w:sz="4" w:space="0"/>
              <w:bottom w:val="single" w:color="FFFFFF" w:sz="18" w:space="0"/>
              <w:right w:val="dotted" w:color="auto" w:sz="4" w:space="0"/>
            </w:tcBorders>
            <w:shd w:val="clear" w:color="auto" w:fill="4F81BD"/>
            <w:vAlign w:val="center"/>
          </w:tcPr>
          <w:p w14:paraId="2ED6B59E">
            <w:pPr>
              <w:pStyle w:val="6"/>
              <w:ind w:left="0" w:leftChars="0" w:firstLine="0" w:firstLineChars="0"/>
              <w:jc w:val="center"/>
              <w:rPr>
                <w:rFonts w:hint="eastAsia"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专任</w:t>
            </w:r>
          </w:p>
          <w:p w14:paraId="0AE958C8">
            <w:pPr>
              <w:pStyle w:val="6"/>
              <w:ind w:left="0" w:leftChars="0" w:firstLine="0" w:firstLineChars="0"/>
              <w:jc w:val="center"/>
              <w:rPr>
                <w:rFonts w:hint="eastAsia"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教师数</w:t>
            </w:r>
          </w:p>
        </w:tc>
        <w:tc>
          <w:tcPr>
            <w:tcW w:w="1071" w:type="dxa"/>
            <w:tcBorders>
              <w:top w:val="single" w:color="4F81BD" w:sz="8" w:space="0"/>
              <w:left w:val="dotted" w:color="auto" w:sz="4" w:space="0"/>
              <w:bottom w:val="single" w:color="FFFFFF" w:sz="18" w:space="0"/>
              <w:right w:val="dotted" w:color="auto" w:sz="4" w:space="0"/>
            </w:tcBorders>
            <w:shd w:val="clear" w:color="auto" w:fill="4F81BD"/>
            <w:vAlign w:val="center"/>
          </w:tcPr>
          <w:p w14:paraId="70DA2E85">
            <w:pPr>
              <w:pStyle w:val="6"/>
              <w:ind w:left="0" w:leftChars="0" w:firstLine="0" w:firstLineChars="0"/>
              <w:jc w:val="center"/>
              <w:rPr>
                <w:rFonts w:hint="eastAsia"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“双师”专任专业教师数</w:t>
            </w:r>
          </w:p>
        </w:tc>
        <w:tc>
          <w:tcPr>
            <w:tcW w:w="1190" w:type="dxa"/>
            <w:tcBorders>
              <w:top w:val="single" w:color="4F81BD" w:sz="8" w:space="0"/>
              <w:left w:val="dotted" w:color="auto" w:sz="4" w:space="0"/>
              <w:bottom w:val="single" w:color="FFFFFF" w:sz="18" w:space="0"/>
              <w:right w:val="dotted" w:color="auto" w:sz="4" w:space="0"/>
            </w:tcBorders>
            <w:shd w:val="clear" w:color="auto" w:fill="4F81BD"/>
            <w:vAlign w:val="center"/>
          </w:tcPr>
          <w:p w14:paraId="11D31852">
            <w:pPr>
              <w:pStyle w:val="6"/>
              <w:ind w:left="0" w:leftChars="0" w:firstLine="0" w:firstLineChars="0"/>
              <w:jc w:val="center"/>
              <w:rPr>
                <w:rFonts w:hint="eastAsia"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高级专业技术职务专任教师数</w:t>
            </w:r>
          </w:p>
        </w:tc>
        <w:tc>
          <w:tcPr>
            <w:tcW w:w="685" w:type="dxa"/>
            <w:tcBorders>
              <w:top w:val="single" w:color="4F81BD" w:sz="8" w:space="0"/>
              <w:left w:val="dotted" w:color="auto" w:sz="4" w:space="0"/>
              <w:bottom w:val="single" w:color="FFFFFF" w:sz="18" w:space="0"/>
              <w:right w:val="dotted" w:color="auto" w:sz="4" w:space="0"/>
            </w:tcBorders>
            <w:shd w:val="clear" w:color="auto" w:fill="4F81BD"/>
            <w:vAlign w:val="center"/>
          </w:tcPr>
          <w:p w14:paraId="43FE3BF4">
            <w:pPr>
              <w:pStyle w:val="6"/>
              <w:ind w:left="0" w:leftChars="0" w:firstLine="0" w:firstLineChars="0"/>
              <w:jc w:val="center"/>
              <w:rPr>
                <w:rFonts w:hint="eastAsia"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兼职教师数</w:t>
            </w:r>
          </w:p>
        </w:tc>
        <w:tc>
          <w:tcPr>
            <w:tcW w:w="707" w:type="dxa"/>
            <w:tcBorders>
              <w:top w:val="single" w:color="4F81BD" w:sz="8" w:space="0"/>
              <w:left w:val="dotted" w:color="auto" w:sz="4" w:space="0"/>
              <w:bottom w:val="single" w:color="FFFFFF" w:sz="18" w:space="0"/>
              <w:right w:val="dotted" w:color="auto" w:sz="4" w:space="0"/>
            </w:tcBorders>
            <w:shd w:val="clear" w:color="auto" w:fill="4F81BD"/>
            <w:vAlign w:val="center"/>
          </w:tcPr>
          <w:p w14:paraId="649AA286">
            <w:pPr>
              <w:pStyle w:val="6"/>
              <w:ind w:left="0" w:leftChars="0" w:firstLine="0" w:firstLineChars="0"/>
              <w:jc w:val="center"/>
              <w:rPr>
                <w:rFonts w:hint="eastAsia"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外聘教师数</w:t>
            </w:r>
          </w:p>
        </w:tc>
        <w:tc>
          <w:tcPr>
            <w:tcW w:w="740" w:type="dxa"/>
            <w:tcBorders>
              <w:top w:val="single" w:color="4F81BD" w:sz="8" w:space="0"/>
              <w:left w:val="dotted" w:color="auto" w:sz="4" w:space="0"/>
              <w:bottom w:val="single" w:color="FFFFFF" w:sz="18" w:space="0"/>
              <w:right w:val="dotted" w:color="auto" w:sz="4" w:space="0"/>
            </w:tcBorders>
            <w:shd w:val="clear" w:color="auto" w:fill="4F81BD"/>
            <w:vAlign w:val="center"/>
          </w:tcPr>
          <w:p w14:paraId="2A512C2A">
            <w:pPr>
              <w:pStyle w:val="6"/>
              <w:ind w:left="0" w:leftChars="0" w:firstLine="0" w:firstLineChars="0"/>
              <w:jc w:val="center"/>
              <w:rPr>
                <w:rFonts w:hint="eastAsia"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体育专任教师数</w:t>
            </w:r>
          </w:p>
        </w:tc>
        <w:tc>
          <w:tcPr>
            <w:tcW w:w="728" w:type="dxa"/>
            <w:tcBorders>
              <w:top w:val="single" w:color="4F81BD" w:sz="8" w:space="0"/>
              <w:left w:val="dotted" w:color="auto" w:sz="4" w:space="0"/>
              <w:bottom w:val="single" w:color="FFFFFF" w:sz="18" w:space="0"/>
              <w:right w:val="dotted" w:color="auto" w:sz="4" w:space="0"/>
            </w:tcBorders>
            <w:shd w:val="clear" w:color="auto" w:fill="4F81BD"/>
            <w:vAlign w:val="center"/>
          </w:tcPr>
          <w:p w14:paraId="3311A4E7">
            <w:pPr>
              <w:pStyle w:val="6"/>
              <w:ind w:left="0" w:leftChars="0" w:firstLine="0" w:firstLineChars="0"/>
              <w:jc w:val="center"/>
              <w:rPr>
                <w:rFonts w:hint="eastAsia"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美育专任教师数</w:t>
            </w:r>
          </w:p>
        </w:tc>
        <w:tc>
          <w:tcPr>
            <w:tcW w:w="825" w:type="dxa"/>
            <w:tcBorders>
              <w:top w:val="single" w:color="4F81BD" w:sz="8" w:space="0"/>
              <w:left w:val="dotted" w:color="auto" w:sz="4" w:space="0"/>
              <w:bottom w:val="single" w:color="FFFFFF" w:sz="18" w:space="0"/>
              <w:right w:val="dotted" w:color="auto" w:sz="4" w:space="0"/>
            </w:tcBorders>
            <w:shd w:val="clear" w:color="auto" w:fill="4F81BD"/>
            <w:vAlign w:val="center"/>
          </w:tcPr>
          <w:p w14:paraId="34ECE51A">
            <w:pPr>
              <w:pStyle w:val="6"/>
              <w:ind w:left="0" w:leftChars="0" w:firstLine="0" w:firstLineChars="0"/>
              <w:jc w:val="center"/>
              <w:rPr>
                <w:rFonts w:hint="eastAsia"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思政课专任教师数</w:t>
            </w:r>
          </w:p>
        </w:tc>
      </w:tr>
      <w:tr w14:paraId="224DF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690" w:type="dxa"/>
            <w:tcBorders>
              <w:top w:val="single" w:color="4F81BD" w:sz="8" w:space="0"/>
              <w:left w:val="single" w:color="4F81BD" w:sz="8" w:space="0"/>
              <w:bottom w:val="single" w:color="FFFFFF" w:sz="18" w:space="0"/>
              <w:right w:val="dotted" w:color="auto" w:sz="4" w:space="0"/>
            </w:tcBorders>
            <w:shd w:val="clear" w:color="auto" w:fill="4F81BD"/>
            <w:vAlign w:val="center"/>
          </w:tcPr>
          <w:p w14:paraId="6A3820D9">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2023</w:t>
            </w:r>
          </w:p>
        </w:tc>
        <w:tc>
          <w:tcPr>
            <w:tcW w:w="1011" w:type="dxa"/>
            <w:tcBorders>
              <w:top w:val="single" w:color="4F81BD" w:sz="8" w:space="0"/>
              <w:left w:val="dotted" w:color="auto" w:sz="4" w:space="0"/>
              <w:bottom w:val="single" w:color="FFFFFF" w:sz="18" w:space="0"/>
              <w:right w:val="dotted" w:color="auto" w:sz="4" w:space="0"/>
            </w:tcBorders>
            <w:shd w:val="clear" w:color="auto" w:fill="4F81BD"/>
            <w:vAlign w:val="center"/>
          </w:tcPr>
          <w:p w14:paraId="56E54D8B">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2181</w:t>
            </w:r>
          </w:p>
        </w:tc>
        <w:tc>
          <w:tcPr>
            <w:tcW w:w="922" w:type="dxa"/>
            <w:tcBorders>
              <w:top w:val="single" w:color="4F81BD" w:sz="8" w:space="0"/>
              <w:left w:val="dotted" w:color="auto" w:sz="4" w:space="0"/>
              <w:bottom w:val="single" w:color="FFFFFF" w:sz="18" w:space="0"/>
              <w:right w:val="dotted" w:color="auto" w:sz="4" w:space="0"/>
            </w:tcBorders>
            <w:shd w:val="clear" w:color="auto" w:fill="4F81BD"/>
            <w:vAlign w:val="center"/>
          </w:tcPr>
          <w:p w14:paraId="2D5DBA0A">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1683</w:t>
            </w:r>
          </w:p>
        </w:tc>
        <w:tc>
          <w:tcPr>
            <w:tcW w:w="1071" w:type="dxa"/>
            <w:tcBorders>
              <w:top w:val="single" w:color="4F81BD" w:sz="8" w:space="0"/>
              <w:left w:val="dotted" w:color="auto" w:sz="4" w:space="0"/>
              <w:bottom w:val="single" w:color="FFFFFF" w:sz="18" w:space="0"/>
              <w:right w:val="dotted" w:color="auto" w:sz="4" w:space="0"/>
            </w:tcBorders>
            <w:shd w:val="clear" w:color="auto" w:fill="4F81BD"/>
            <w:vAlign w:val="center"/>
          </w:tcPr>
          <w:p w14:paraId="2253EB05">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513</w:t>
            </w:r>
          </w:p>
        </w:tc>
        <w:tc>
          <w:tcPr>
            <w:tcW w:w="1190" w:type="dxa"/>
            <w:tcBorders>
              <w:top w:val="single" w:color="4F81BD" w:sz="8" w:space="0"/>
              <w:left w:val="dotted" w:color="auto" w:sz="4" w:space="0"/>
              <w:bottom w:val="single" w:color="FFFFFF" w:sz="18" w:space="0"/>
              <w:right w:val="dotted" w:color="auto" w:sz="4" w:space="0"/>
            </w:tcBorders>
            <w:shd w:val="clear" w:color="auto" w:fill="4F81BD"/>
            <w:vAlign w:val="center"/>
          </w:tcPr>
          <w:p w14:paraId="2FEE1EA7">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515</w:t>
            </w:r>
          </w:p>
        </w:tc>
        <w:tc>
          <w:tcPr>
            <w:tcW w:w="685" w:type="dxa"/>
            <w:tcBorders>
              <w:top w:val="single" w:color="4F81BD" w:sz="8" w:space="0"/>
              <w:left w:val="dotted" w:color="auto" w:sz="4" w:space="0"/>
              <w:bottom w:val="single" w:color="FFFFFF" w:sz="18" w:space="0"/>
              <w:right w:val="dotted" w:color="auto" w:sz="4" w:space="0"/>
            </w:tcBorders>
            <w:shd w:val="clear" w:color="auto" w:fill="4F81BD"/>
            <w:vAlign w:val="center"/>
          </w:tcPr>
          <w:p w14:paraId="70F1D97C">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227</w:t>
            </w:r>
          </w:p>
        </w:tc>
        <w:tc>
          <w:tcPr>
            <w:tcW w:w="707" w:type="dxa"/>
            <w:tcBorders>
              <w:top w:val="single" w:color="4F81BD" w:sz="8" w:space="0"/>
              <w:left w:val="dotted" w:color="auto" w:sz="4" w:space="0"/>
              <w:bottom w:val="single" w:color="FFFFFF" w:sz="18" w:space="0"/>
              <w:right w:val="dotted" w:color="auto" w:sz="4" w:space="0"/>
            </w:tcBorders>
            <w:shd w:val="clear" w:color="auto" w:fill="4F81BD"/>
            <w:vAlign w:val="center"/>
          </w:tcPr>
          <w:p w14:paraId="55167A0E">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107</w:t>
            </w:r>
          </w:p>
        </w:tc>
        <w:tc>
          <w:tcPr>
            <w:tcW w:w="740" w:type="dxa"/>
            <w:tcBorders>
              <w:top w:val="single" w:color="4F81BD" w:sz="8" w:space="0"/>
              <w:left w:val="dotted" w:color="auto" w:sz="4" w:space="0"/>
              <w:bottom w:val="single" w:color="FFFFFF" w:sz="18" w:space="0"/>
              <w:right w:val="dotted" w:color="auto" w:sz="4" w:space="0"/>
            </w:tcBorders>
            <w:shd w:val="clear" w:color="auto" w:fill="4F81BD"/>
            <w:vAlign w:val="center"/>
          </w:tcPr>
          <w:p w14:paraId="616FFAC0">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90</w:t>
            </w:r>
          </w:p>
        </w:tc>
        <w:tc>
          <w:tcPr>
            <w:tcW w:w="728" w:type="dxa"/>
            <w:tcBorders>
              <w:top w:val="single" w:color="4F81BD" w:sz="8" w:space="0"/>
              <w:left w:val="dotted" w:color="auto" w:sz="4" w:space="0"/>
              <w:bottom w:val="single" w:color="FFFFFF" w:sz="18" w:space="0"/>
              <w:right w:val="dotted" w:color="auto" w:sz="4" w:space="0"/>
            </w:tcBorders>
            <w:shd w:val="clear" w:color="auto" w:fill="4F81BD"/>
            <w:vAlign w:val="center"/>
          </w:tcPr>
          <w:p w14:paraId="332D9029">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84</w:t>
            </w:r>
          </w:p>
        </w:tc>
        <w:tc>
          <w:tcPr>
            <w:tcW w:w="825" w:type="dxa"/>
            <w:tcBorders>
              <w:top w:val="single" w:color="4F81BD" w:sz="8" w:space="0"/>
              <w:left w:val="dotted" w:color="auto" w:sz="4" w:space="0"/>
              <w:bottom w:val="single" w:color="FFFFFF" w:sz="18" w:space="0"/>
              <w:right w:val="dotted" w:color="auto" w:sz="4" w:space="0"/>
            </w:tcBorders>
            <w:shd w:val="clear" w:color="auto" w:fill="4F81BD"/>
            <w:vAlign w:val="center"/>
          </w:tcPr>
          <w:p w14:paraId="6AC32A2D">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84</w:t>
            </w:r>
          </w:p>
        </w:tc>
      </w:tr>
      <w:tr w14:paraId="6B59C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690" w:type="dxa"/>
            <w:tcBorders>
              <w:top w:val="dotted" w:color="auto" w:sz="4" w:space="0"/>
              <w:left w:val="single" w:color="4F81BD" w:sz="8" w:space="0"/>
              <w:bottom w:val="single" w:color="4F81BD" w:sz="8" w:space="0"/>
              <w:right w:val="dotted" w:color="auto" w:sz="4" w:space="0"/>
            </w:tcBorders>
            <w:shd w:val="clear" w:color="auto" w:fill="4F81BD"/>
            <w:vAlign w:val="center"/>
          </w:tcPr>
          <w:p w14:paraId="4E2A787F">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2024</w:t>
            </w:r>
          </w:p>
        </w:tc>
        <w:tc>
          <w:tcPr>
            <w:tcW w:w="1011" w:type="dxa"/>
            <w:tcBorders>
              <w:top w:val="dotted" w:color="auto" w:sz="4" w:space="0"/>
              <w:left w:val="dotted" w:color="auto" w:sz="4" w:space="0"/>
              <w:bottom w:val="single" w:color="4F81BD" w:sz="8" w:space="0"/>
              <w:right w:val="dotted" w:color="auto" w:sz="4" w:space="0"/>
            </w:tcBorders>
            <w:shd w:val="clear" w:color="auto" w:fill="4F81BD"/>
            <w:vAlign w:val="center"/>
          </w:tcPr>
          <w:p w14:paraId="133E1A7A">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2183</w:t>
            </w:r>
          </w:p>
        </w:tc>
        <w:tc>
          <w:tcPr>
            <w:tcW w:w="922" w:type="dxa"/>
            <w:tcBorders>
              <w:top w:val="dotted" w:color="auto" w:sz="4" w:space="0"/>
              <w:left w:val="dotted" w:color="auto" w:sz="4" w:space="0"/>
              <w:bottom w:val="single" w:color="4F81BD" w:sz="8" w:space="0"/>
              <w:right w:val="dotted" w:color="auto" w:sz="4" w:space="0"/>
            </w:tcBorders>
            <w:shd w:val="clear" w:color="auto" w:fill="4F81BD"/>
            <w:vAlign w:val="center"/>
          </w:tcPr>
          <w:p w14:paraId="2B651D45">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1660</w:t>
            </w:r>
          </w:p>
        </w:tc>
        <w:tc>
          <w:tcPr>
            <w:tcW w:w="1071" w:type="dxa"/>
            <w:tcBorders>
              <w:top w:val="dotted" w:color="auto" w:sz="4" w:space="0"/>
              <w:left w:val="dotted" w:color="auto" w:sz="4" w:space="0"/>
              <w:bottom w:val="single" w:color="4F81BD" w:sz="8" w:space="0"/>
              <w:right w:val="dotted" w:color="auto" w:sz="4" w:space="0"/>
            </w:tcBorders>
            <w:shd w:val="clear" w:color="auto" w:fill="4F81BD"/>
            <w:vAlign w:val="center"/>
          </w:tcPr>
          <w:p w14:paraId="4EAD51B6">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461</w:t>
            </w:r>
          </w:p>
        </w:tc>
        <w:tc>
          <w:tcPr>
            <w:tcW w:w="1190" w:type="dxa"/>
            <w:tcBorders>
              <w:top w:val="dotted" w:color="auto" w:sz="4" w:space="0"/>
              <w:left w:val="dotted" w:color="auto" w:sz="4" w:space="0"/>
              <w:bottom w:val="single" w:color="4F81BD" w:sz="8" w:space="0"/>
              <w:right w:val="dotted" w:color="auto" w:sz="4" w:space="0"/>
            </w:tcBorders>
            <w:shd w:val="clear" w:color="auto" w:fill="4F81BD"/>
            <w:vAlign w:val="center"/>
          </w:tcPr>
          <w:p w14:paraId="15097A15">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505</w:t>
            </w:r>
          </w:p>
        </w:tc>
        <w:tc>
          <w:tcPr>
            <w:tcW w:w="685" w:type="dxa"/>
            <w:tcBorders>
              <w:top w:val="dotted" w:color="auto" w:sz="4" w:space="0"/>
              <w:left w:val="dotted" w:color="auto" w:sz="4" w:space="0"/>
              <w:bottom w:val="single" w:color="4F81BD" w:sz="8" w:space="0"/>
              <w:right w:val="dotted" w:color="auto" w:sz="4" w:space="0"/>
            </w:tcBorders>
            <w:shd w:val="clear" w:color="auto" w:fill="4F81BD"/>
            <w:vAlign w:val="center"/>
          </w:tcPr>
          <w:p w14:paraId="3FCF8C44">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223</w:t>
            </w:r>
          </w:p>
        </w:tc>
        <w:tc>
          <w:tcPr>
            <w:tcW w:w="707" w:type="dxa"/>
            <w:tcBorders>
              <w:top w:val="dotted" w:color="auto" w:sz="4" w:space="0"/>
              <w:left w:val="dotted" w:color="auto" w:sz="4" w:space="0"/>
              <w:bottom w:val="single" w:color="4F81BD" w:sz="8" w:space="0"/>
              <w:right w:val="dotted" w:color="auto" w:sz="4" w:space="0"/>
            </w:tcBorders>
            <w:shd w:val="clear" w:color="auto" w:fill="4F81BD"/>
            <w:vAlign w:val="center"/>
          </w:tcPr>
          <w:p w14:paraId="1799330D">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101</w:t>
            </w:r>
          </w:p>
        </w:tc>
        <w:tc>
          <w:tcPr>
            <w:tcW w:w="740" w:type="dxa"/>
            <w:tcBorders>
              <w:top w:val="dotted" w:color="auto" w:sz="4" w:space="0"/>
              <w:left w:val="dotted" w:color="auto" w:sz="4" w:space="0"/>
              <w:bottom w:val="single" w:color="4F81BD" w:sz="8" w:space="0"/>
              <w:right w:val="dotted" w:color="auto" w:sz="4" w:space="0"/>
            </w:tcBorders>
            <w:shd w:val="clear" w:color="auto" w:fill="4F81BD"/>
            <w:vAlign w:val="center"/>
          </w:tcPr>
          <w:p w14:paraId="21264447">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92</w:t>
            </w:r>
          </w:p>
        </w:tc>
        <w:tc>
          <w:tcPr>
            <w:tcW w:w="728" w:type="dxa"/>
            <w:tcBorders>
              <w:top w:val="dotted" w:color="auto" w:sz="4" w:space="0"/>
              <w:left w:val="dotted" w:color="auto" w:sz="4" w:space="0"/>
              <w:bottom w:val="single" w:color="4F81BD" w:sz="8" w:space="0"/>
              <w:right w:val="dotted" w:color="auto" w:sz="4" w:space="0"/>
            </w:tcBorders>
            <w:shd w:val="clear" w:color="auto" w:fill="4F81BD"/>
            <w:vAlign w:val="center"/>
          </w:tcPr>
          <w:p w14:paraId="49C4AF08">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86</w:t>
            </w:r>
          </w:p>
        </w:tc>
        <w:tc>
          <w:tcPr>
            <w:tcW w:w="825" w:type="dxa"/>
            <w:tcBorders>
              <w:top w:val="dotted" w:color="auto" w:sz="4" w:space="0"/>
              <w:left w:val="dotted" w:color="auto" w:sz="4" w:space="0"/>
              <w:bottom w:val="single" w:color="4F81BD" w:sz="8" w:space="0"/>
              <w:right w:val="dotted" w:color="auto" w:sz="4" w:space="0"/>
            </w:tcBorders>
            <w:shd w:val="clear" w:color="auto" w:fill="4F81BD"/>
            <w:vAlign w:val="center"/>
          </w:tcPr>
          <w:p w14:paraId="1F923CAD">
            <w:pPr>
              <w:pStyle w:val="6"/>
              <w:ind w:left="0" w:leftChars="0" w:firstLine="0" w:firstLineChars="0"/>
              <w:jc w:val="center"/>
              <w:rPr>
                <w:rFonts w:hint="default" w:ascii="宋体" w:hAnsi="宋体" w:eastAsia="宋体" w:cs="宋体"/>
                <w:b w:val="0"/>
                <w:bCs w:val="0"/>
                <w:color w:val="FFFFFF"/>
                <w:spacing w:val="0"/>
                <w:kern w:val="2"/>
                <w:sz w:val="22"/>
                <w:szCs w:val="22"/>
                <w:highlight w:val="none"/>
                <w:vertAlign w:val="baseline"/>
                <w:lang w:val="en-US" w:eastAsia="zh-CN" w:bidi="ar-SA"/>
              </w:rPr>
            </w:pPr>
            <w:r>
              <w:rPr>
                <w:rFonts w:hint="eastAsia" w:ascii="宋体" w:hAnsi="宋体" w:eastAsia="宋体" w:cs="宋体"/>
                <w:b w:val="0"/>
                <w:bCs w:val="0"/>
                <w:color w:val="FFFFFF"/>
                <w:spacing w:val="0"/>
                <w:kern w:val="2"/>
                <w:sz w:val="22"/>
                <w:szCs w:val="22"/>
                <w:highlight w:val="none"/>
                <w:vertAlign w:val="baseline"/>
                <w:lang w:val="en-US" w:eastAsia="zh-CN" w:bidi="ar-SA"/>
              </w:rPr>
              <w:t>86</w:t>
            </w:r>
          </w:p>
        </w:tc>
      </w:tr>
    </w:tbl>
    <w:p w14:paraId="3C8B8E3D">
      <w:pPr>
        <w:pStyle w:val="8"/>
        <w:jc w:val="center"/>
        <w:rPr>
          <w:rFonts w:hint="eastAsia"/>
          <w:sz w:val="20"/>
          <w:szCs w:val="20"/>
          <w:lang w:val="en-US" w:eastAsia="zh-CN"/>
        </w:rPr>
      </w:pPr>
    </w:p>
    <w:p w14:paraId="3FAD8E38">
      <w:pPr>
        <w:pStyle w:val="6"/>
        <w:ind w:left="0" w:leftChars="0" w:firstLine="0" w:firstLineChars="0"/>
        <w:jc w:val="center"/>
        <w:rPr>
          <w:rFonts w:hint="eastAsia"/>
          <w:sz w:val="20"/>
          <w:szCs w:val="20"/>
          <w:highlight w:val="none"/>
          <w:lang w:val="en-US" w:eastAsia="zh-CN"/>
        </w:rPr>
      </w:pPr>
      <w:r>
        <w:rPr>
          <w:rFonts w:hint="eastAsia"/>
          <w:lang w:val="en-US" w:eastAsia="zh-CN"/>
        </w:rPr>
        <w:drawing>
          <wp:inline distT="0" distB="0" distL="114300" distR="114300">
            <wp:extent cx="4577715" cy="2155825"/>
            <wp:effectExtent l="4445" t="5080" r="8890" b="10795"/>
            <wp:docPr id="43" name="图表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A24A7C0">
      <w:pPr>
        <w:pStyle w:val="29"/>
        <w:bidi w:val="0"/>
        <w:rPr>
          <w:rFonts w:hint="eastAsia"/>
          <w:lang w:val="en-US" w:eastAsia="zh-CN"/>
        </w:rPr>
      </w:pPr>
      <w:bookmarkStart w:id="24" w:name="_Toc8549"/>
      <w:r>
        <w:rPr>
          <w:rFonts w:hint="eastAsia"/>
          <w:lang w:val="en-US" w:eastAsia="zh-CN"/>
        </w:rPr>
        <w:t>数据分析图2：近两年教职工与专任教师数量对比图</w:t>
      </w:r>
      <w:bookmarkEnd w:id="24"/>
    </w:p>
    <w:p w14:paraId="70491065">
      <w:pPr>
        <w:pStyle w:val="6"/>
        <w:ind w:left="0" w:leftChars="0" w:firstLine="0" w:firstLineChars="0"/>
        <w:jc w:val="center"/>
        <w:rPr>
          <w:rFonts w:hint="eastAsia" w:asciiTheme="minorEastAsia" w:hAnsiTheme="minorEastAsia" w:eastAsiaTheme="minorEastAsia" w:cstheme="minorEastAsia"/>
          <w:sz w:val="21"/>
          <w:szCs w:val="21"/>
          <w:lang w:val="en-US" w:eastAsia="zh-CN"/>
        </w:rPr>
      </w:pPr>
      <w:r>
        <w:rPr>
          <w:rFonts w:hint="default"/>
          <w:lang w:val="en-US" w:eastAsia="zh-CN"/>
        </w:rPr>
        <w:drawing>
          <wp:inline distT="0" distB="0" distL="114300" distR="114300">
            <wp:extent cx="4585970" cy="2618105"/>
            <wp:effectExtent l="4445" t="5080" r="19685" b="5715"/>
            <wp:docPr id="3"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00BE8F5">
      <w:pPr>
        <w:pStyle w:val="29"/>
        <w:bidi w:val="0"/>
        <w:rPr>
          <w:rFonts w:hint="eastAsia"/>
          <w:lang w:val="en-US" w:eastAsia="zh-CN"/>
        </w:rPr>
      </w:pPr>
      <w:bookmarkStart w:id="25" w:name="_Toc16621"/>
      <w:r>
        <w:rPr>
          <w:rFonts w:hint="eastAsia"/>
          <w:lang w:val="en-US" w:eastAsia="zh-CN"/>
        </w:rPr>
        <w:t>数据分析图3：近两年双师型教师与高级专业技术职务专任教师数量对比图</w:t>
      </w:r>
      <w:bookmarkEnd w:id="25"/>
    </w:p>
    <w:p w14:paraId="7010652A">
      <w:pPr>
        <w:pStyle w:val="7"/>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b w:val="0"/>
          <w:bCs w:val="0"/>
          <w:spacing w:val="0"/>
          <w:kern w:val="2"/>
          <w:sz w:val="32"/>
          <w:szCs w:val="32"/>
          <w:lang w:val="en-US" w:eastAsia="zh-CN" w:bidi="ar-SA"/>
        </w:rPr>
        <w:t>紧密对接省赛赛事标准，举办朝阳市中职学校技能大赛教师能力类比赛，设置教学能力比赛、思政课程教学能力比赛和班主任能力比赛3项赛事，全市共29支队伍98名教师入围决赛，评定一等奖5项，二等奖10项，三等奖14项；择优推荐18支队伍参加省赛，获得一等奖3项、二等奖1项，并有3支团队（教师）推荐参加国赛。</w:t>
      </w:r>
    </w:p>
    <w:p w14:paraId="080A05BD">
      <w:pPr>
        <w:pStyle w:val="7"/>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b w:val="0"/>
          <w:bCs w:val="0"/>
          <w:spacing w:val="0"/>
          <w:kern w:val="2"/>
          <w:sz w:val="32"/>
          <w:szCs w:val="32"/>
          <w:highlight w:val="none"/>
          <w:lang w:val="en-US" w:eastAsia="zh-CN" w:bidi="ar-SA"/>
        </w:rPr>
      </w:pPr>
      <w:r>
        <w:rPr>
          <w:rFonts w:hint="eastAsia" w:ascii="仿宋_GB2312" w:hAnsi="仿宋_GB2312" w:eastAsia="仿宋_GB2312" w:cs="仿宋_GB2312"/>
          <w:b w:val="0"/>
          <w:bCs w:val="0"/>
          <w:spacing w:val="0"/>
          <w:kern w:val="2"/>
          <w:sz w:val="32"/>
          <w:szCs w:val="32"/>
          <w:lang w:val="en-US" w:eastAsia="zh-CN" w:bidi="ar-SA"/>
        </w:rPr>
        <w:t>持续实施职业院校教师素质提升计划。指导全市中等职业学校深入开展特色校本培训，特别是针对新入职教师实施“青蓝工程”，充分发挥优秀老教师的“传、帮、带”作用，帮助新入职教师提高教学能力，实现快速成长。选派优秀骨干教师积极参与省职业院校教师素质提升计划系列培训，开阔视野、开拓思路，引入新的教育教学理念，助推全市职业院校教师队伍教学能力提升。</w:t>
      </w:r>
      <w:r>
        <w:rPr>
          <w:rFonts w:hint="eastAsia" w:ascii="仿宋_GB2312" w:hAnsi="仿宋_GB2312" w:eastAsia="仿宋_GB2312" w:cs="仿宋_GB2312"/>
          <w:b w:val="0"/>
          <w:bCs w:val="0"/>
          <w:spacing w:val="0"/>
          <w:kern w:val="2"/>
          <w:sz w:val="32"/>
          <w:szCs w:val="32"/>
          <w:highlight w:val="none"/>
          <w:lang w:val="en-US" w:eastAsia="zh-CN" w:bidi="ar-SA"/>
        </w:rPr>
        <w:t>高度重视教师培训工作，组织27位德育与思想政治教育教师参加中国教育干部网络学院主办的德育与思想政治教育教师网络培训班。</w:t>
      </w:r>
    </w:p>
    <w:p w14:paraId="133CF7BD">
      <w:pPr>
        <w:pStyle w:val="2"/>
        <w:numPr>
          <w:ilvl w:val="0"/>
          <w:numId w:val="0"/>
        </w:numPr>
        <w:bidi w:val="0"/>
        <w:ind w:firstLine="643" w:firstLineChars="200"/>
        <w:rPr>
          <w:rFonts w:hint="eastAsia" w:ascii="楷体" w:hAnsi="楷体" w:eastAsia="楷体" w:cs="楷体"/>
          <w:b/>
          <w:bCs w:val="0"/>
          <w:sz w:val="32"/>
          <w:szCs w:val="32"/>
          <w:lang w:val="en-US" w:eastAsia="zh-CN"/>
        </w:rPr>
      </w:pPr>
      <w:bookmarkStart w:id="26" w:name="_Toc5962"/>
      <w:r>
        <w:rPr>
          <w:rFonts w:hint="eastAsia" w:ascii="楷体" w:hAnsi="楷体" w:eastAsia="楷体" w:cs="楷体"/>
          <w:b/>
          <w:bCs w:val="0"/>
          <w:sz w:val="32"/>
          <w:szCs w:val="32"/>
          <w:lang w:val="en-US" w:eastAsia="zh-CN"/>
        </w:rPr>
        <w:t>1.5基本办学条件</w:t>
      </w:r>
      <w:bookmarkEnd w:id="26"/>
    </w:p>
    <w:p w14:paraId="03087E66">
      <w:pPr>
        <w:pStyle w:val="6"/>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Times New Roman" w:hAnsi="Times New Roman" w:eastAsia="仿宋_GB2312"/>
          <w:sz w:val="32"/>
          <w:szCs w:val="32"/>
          <w:lang w:val="en-US" w:eastAsia="zh-CN"/>
        </w:rPr>
      </w:pPr>
      <w:r>
        <w:rPr>
          <w:rFonts w:hint="eastAsia" w:ascii="Times New Roman" w:hAnsi="Times New Roman" w:eastAsia="仿宋_GB2312"/>
          <w:sz w:val="32"/>
          <w:szCs w:val="32"/>
          <w:lang w:val="en-US" w:eastAsia="zh-CN"/>
        </w:rPr>
        <w:t>配合省教育厅开展全省职业学校办学条件达标互检工作，扎实做好迎检与实地检查工作，与相关城市相互交流借鉴，认真查找和梳理全市中职学校办学条件达标工作的问题和不足并针对性实施整改。同时，结合往年毕业及招生情况，采取调控招生计划、加大财力投入、强化调度督导、划拨土地建筑、招聘专任教师、购置设备图书和增加举办者等方式，推动办学条件大幅提升。</w:t>
      </w:r>
    </w:p>
    <w:p w14:paraId="7DC4DB4B">
      <w:pPr>
        <w:pStyle w:val="2"/>
        <w:numPr>
          <w:ilvl w:val="0"/>
          <w:numId w:val="0"/>
        </w:numPr>
        <w:bidi w:val="0"/>
        <w:ind w:firstLine="643" w:firstLineChars="200"/>
        <w:rPr>
          <w:rFonts w:hint="eastAsia" w:ascii="楷体" w:hAnsi="楷体" w:eastAsia="楷体" w:cs="楷体"/>
          <w:b/>
          <w:bCs w:val="0"/>
          <w:sz w:val="32"/>
          <w:szCs w:val="32"/>
          <w:lang w:val="en-US" w:eastAsia="zh-CN"/>
        </w:rPr>
      </w:pPr>
      <w:bookmarkStart w:id="27" w:name="_Toc20362"/>
      <w:r>
        <w:rPr>
          <w:rFonts w:hint="eastAsia" w:ascii="楷体" w:hAnsi="楷体" w:eastAsia="楷体" w:cs="楷体"/>
          <w:b/>
          <w:bCs w:val="0"/>
          <w:sz w:val="32"/>
          <w:szCs w:val="32"/>
          <w:lang w:val="en-US" w:eastAsia="zh-CN"/>
        </w:rPr>
        <w:t>1.6本地亮点特色</w:t>
      </w:r>
      <w:bookmarkEnd w:id="27"/>
    </w:p>
    <w:p w14:paraId="687A4EA1">
      <w:pPr>
        <w:pStyle w:val="6"/>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发动职业院校积极参与申报全市“千名专家进园区”活动，组织专家团队积极对接产业园区与行业企业，通过与园区企业开展联合科研攻关、设备升级改造、职业技能培训、技术成果转化等，助力园区企业发展，提升服务地方经济发展能力。全市职业院校2022年获批“千名专家进园区”对接项目42个，为园区企业创造经济效益近千万元；2023年申报获批对接项目35个；2024年申报获批对接项目31个。</w:t>
      </w:r>
    </w:p>
    <w:p w14:paraId="2C54C0AC">
      <w:pPr>
        <w:pStyle w:val="24"/>
        <w:bidi w:val="0"/>
        <w:jc w:val="center"/>
        <w:rPr>
          <w:rFonts w:hint="eastAsia"/>
          <w:lang w:val="en-US" w:eastAsia="zh-CN"/>
        </w:rPr>
      </w:pPr>
    </w:p>
    <w:p w14:paraId="0362689C">
      <w:pPr>
        <w:pStyle w:val="8"/>
        <w:keepNext w:val="0"/>
        <w:keepLines w:val="0"/>
        <w:pageBreakBefore w:val="0"/>
        <w:widowControl w:val="0"/>
        <w:kinsoku/>
        <w:wordWrap/>
        <w:overflowPunct/>
        <w:topLinePunct w:val="0"/>
        <w:autoSpaceDE/>
        <w:autoSpaceDN/>
        <w:bidi w:val="0"/>
        <w:adjustRightInd/>
        <w:snapToGrid w:val="0"/>
        <w:spacing w:after="157" w:afterLines="50"/>
        <w:jc w:val="center"/>
        <w:textAlignment w:val="auto"/>
        <w:rPr>
          <w:rFonts w:hint="eastAsia"/>
          <w:sz w:val="20"/>
          <w:szCs w:val="20"/>
          <w:highlight w:val="none"/>
          <w:lang w:val="en-US" w:eastAsia="zh-CN"/>
        </w:rPr>
      </w:pPr>
      <w:r>
        <w:rPr>
          <w:rFonts w:hint="eastAsia"/>
          <w:sz w:val="20"/>
          <w:szCs w:val="20"/>
          <w:highlight w:val="none"/>
          <w:lang w:val="en-US" w:eastAsia="zh-CN"/>
        </w:rPr>
        <w:drawing>
          <wp:inline distT="0" distB="0" distL="114300" distR="114300">
            <wp:extent cx="5154930" cy="3436620"/>
            <wp:effectExtent l="0" t="0" r="7620" b="11430"/>
            <wp:docPr id="44" name="图片 44" descr="1851517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851517110"/>
                    <pic:cNvPicPr>
                      <a:picLocks noChangeAspect="1"/>
                    </pic:cNvPicPr>
                  </pic:nvPicPr>
                  <pic:blipFill>
                    <a:blip r:embed="rId15"/>
                    <a:stretch>
                      <a:fillRect/>
                    </a:stretch>
                  </pic:blipFill>
                  <pic:spPr>
                    <a:xfrm>
                      <a:off x="0" y="0"/>
                      <a:ext cx="5154930" cy="3436620"/>
                    </a:xfrm>
                    <a:prstGeom prst="rect">
                      <a:avLst/>
                    </a:prstGeom>
                  </pic:spPr>
                </pic:pic>
              </a:graphicData>
            </a:graphic>
          </wp:inline>
        </w:drawing>
      </w:r>
    </w:p>
    <w:p w14:paraId="72F28180">
      <w:pPr>
        <w:pStyle w:val="14"/>
        <w:bidi w:val="0"/>
        <w:jc w:val="center"/>
        <w:rPr>
          <w:rFonts w:hint="eastAsia"/>
          <w:lang w:val="en-US" w:eastAsia="zh-CN"/>
        </w:rPr>
      </w:pPr>
      <w:bookmarkStart w:id="28" w:name="_Toc3977"/>
      <w:bookmarkStart w:id="29" w:name="_Toc10502"/>
      <w:bookmarkStart w:id="30" w:name="_Toc1777"/>
      <w:bookmarkStart w:id="31" w:name="_Toc4740"/>
      <w:r>
        <w:rPr>
          <w:rFonts w:hint="eastAsia"/>
          <w:lang w:val="en-US" w:eastAsia="zh-CN"/>
        </w:rPr>
        <w:t>图3：专家进园区-北票市职教中心教师指导企业改进电除尘器技术（来源：朝阳发布）</w:t>
      </w:r>
      <w:bookmarkEnd w:id="28"/>
      <w:bookmarkEnd w:id="29"/>
      <w:bookmarkEnd w:id="30"/>
      <w:bookmarkEnd w:id="31"/>
    </w:p>
    <w:p w14:paraId="46AF4269">
      <w:pPr>
        <w:pStyle w:val="28"/>
        <w:bidi w:val="0"/>
        <w:rPr>
          <w:rFonts w:hint="eastAsia"/>
          <w:lang w:val="en-US" w:eastAsia="zh-CN"/>
        </w:rPr>
      </w:pPr>
      <w:bookmarkStart w:id="32" w:name="_Toc3322"/>
      <w:bookmarkStart w:id="33" w:name="_Toc5114"/>
      <w:r>
        <w:rPr>
          <w:rFonts w:hint="eastAsia"/>
          <w:lang w:val="en-US" w:eastAsia="zh-CN"/>
        </w:rPr>
        <w:t>数据分析表3：近三年申报获批“千名专家进园区”对接项目情况统计表</w:t>
      </w:r>
      <w:bookmarkEnd w:id="32"/>
      <w:bookmarkEnd w:id="33"/>
    </w:p>
    <w:tbl>
      <w:tblPr>
        <w:tblStyle w:val="19"/>
        <w:tblW w:w="8826"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206"/>
        <w:gridCol w:w="2206"/>
        <w:gridCol w:w="2206"/>
        <w:gridCol w:w="2208"/>
      </w:tblGrid>
      <w:tr w14:paraId="61C524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35" w:hRule="atLeast"/>
        </w:trPr>
        <w:tc>
          <w:tcPr>
            <w:tcW w:w="2206" w:type="dxa"/>
            <w:tcBorders>
              <w:top w:val="single" w:color="FFFFFF" w:sz="8" w:space="0"/>
              <w:left w:val="single" w:color="FFFFFF" w:sz="8" w:space="0"/>
              <w:bottom w:val="single" w:color="FFFFFF" w:sz="8" w:space="0"/>
              <w:right w:val="single" w:color="FFFFFF" w:sz="8" w:space="0"/>
            </w:tcBorders>
            <w:shd w:val="clear" w:color="auto" w:fill="4472C4"/>
            <w:vAlign w:val="center"/>
          </w:tcPr>
          <w:p w14:paraId="5234D4C2">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年份</w:t>
            </w:r>
          </w:p>
        </w:tc>
        <w:tc>
          <w:tcPr>
            <w:tcW w:w="2206" w:type="dxa"/>
            <w:tcBorders>
              <w:top w:val="single" w:color="FFFFFF" w:sz="8" w:space="0"/>
              <w:left w:val="nil"/>
              <w:bottom w:val="single" w:color="FFFFFF" w:sz="8" w:space="0"/>
              <w:right w:val="single" w:color="FFFFFF" w:sz="8" w:space="0"/>
            </w:tcBorders>
            <w:shd w:val="clear" w:color="auto" w:fill="4472C4"/>
            <w:vAlign w:val="center"/>
          </w:tcPr>
          <w:p w14:paraId="59FC537D">
            <w:pPr>
              <w:keepNext w:val="0"/>
              <w:keepLines w:val="0"/>
              <w:widowControl/>
              <w:suppressLineNumbers w:val="0"/>
              <w:jc w:val="center"/>
              <w:textAlignment w:val="center"/>
              <w:rPr>
                <w:rFonts w:ascii="Calibri" w:hAnsi="Calibri" w:eastAsia="宋体" w:cs="Calibri"/>
                <w:i w:val="0"/>
                <w:color w:val="000000"/>
                <w:sz w:val="28"/>
                <w:szCs w:val="28"/>
                <w:u w:val="none"/>
              </w:rPr>
            </w:pPr>
            <w:r>
              <w:rPr>
                <w:rFonts w:hint="default" w:ascii="Calibri" w:hAnsi="Calibri" w:eastAsia="宋体" w:cs="Calibri"/>
                <w:i w:val="0"/>
                <w:color w:val="000000"/>
                <w:kern w:val="0"/>
                <w:sz w:val="28"/>
                <w:szCs w:val="28"/>
                <w:u w:val="none"/>
                <w:lang w:val="en-US" w:eastAsia="zh-CN" w:bidi="ar"/>
              </w:rPr>
              <w:t>2022</w:t>
            </w:r>
            <w:r>
              <w:rPr>
                <w:rStyle w:val="30"/>
                <w:lang w:val="en-US" w:eastAsia="zh-CN" w:bidi="ar"/>
              </w:rPr>
              <w:t>年</w:t>
            </w:r>
          </w:p>
        </w:tc>
        <w:tc>
          <w:tcPr>
            <w:tcW w:w="2206" w:type="dxa"/>
            <w:tcBorders>
              <w:top w:val="single" w:color="FFFFFF" w:sz="8" w:space="0"/>
              <w:left w:val="nil"/>
              <w:bottom w:val="single" w:color="FFFFFF" w:sz="8" w:space="0"/>
              <w:right w:val="single" w:color="FFFFFF" w:sz="8" w:space="0"/>
            </w:tcBorders>
            <w:shd w:val="clear" w:color="auto" w:fill="4472C4"/>
            <w:vAlign w:val="center"/>
          </w:tcPr>
          <w:p w14:paraId="1C18E778">
            <w:pPr>
              <w:keepNext w:val="0"/>
              <w:keepLines w:val="0"/>
              <w:widowControl/>
              <w:suppressLineNumbers w:val="0"/>
              <w:jc w:val="center"/>
              <w:textAlignment w:val="center"/>
              <w:rPr>
                <w:rFonts w:hint="default" w:ascii="Calibri" w:hAnsi="Calibri" w:eastAsia="宋体" w:cs="Calibri"/>
                <w:i w:val="0"/>
                <w:color w:val="000000"/>
                <w:sz w:val="28"/>
                <w:szCs w:val="28"/>
                <w:u w:val="none"/>
              </w:rPr>
            </w:pPr>
            <w:r>
              <w:rPr>
                <w:rFonts w:hint="default" w:ascii="Calibri" w:hAnsi="Calibri" w:eastAsia="宋体" w:cs="Calibri"/>
                <w:i w:val="0"/>
                <w:color w:val="000000"/>
                <w:kern w:val="0"/>
                <w:sz w:val="28"/>
                <w:szCs w:val="28"/>
                <w:u w:val="none"/>
                <w:lang w:val="en-US" w:eastAsia="zh-CN" w:bidi="ar"/>
              </w:rPr>
              <w:t>2023</w:t>
            </w:r>
            <w:r>
              <w:rPr>
                <w:rStyle w:val="30"/>
                <w:lang w:val="en-US" w:eastAsia="zh-CN" w:bidi="ar"/>
              </w:rPr>
              <w:t>年</w:t>
            </w:r>
          </w:p>
        </w:tc>
        <w:tc>
          <w:tcPr>
            <w:tcW w:w="2208" w:type="dxa"/>
            <w:tcBorders>
              <w:top w:val="single" w:color="FFFFFF" w:sz="8" w:space="0"/>
              <w:left w:val="nil"/>
              <w:bottom w:val="single" w:color="FFFFFF" w:sz="8" w:space="0"/>
              <w:right w:val="single" w:color="FFFFFF" w:sz="8" w:space="0"/>
            </w:tcBorders>
            <w:shd w:val="clear" w:color="auto" w:fill="4472C4"/>
            <w:vAlign w:val="center"/>
          </w:tcPr>
          <w:p w14:paraId="3A03FE58">
            <w:pPr>
              <w:keepNext w:val="0"/>
              <w:keepLines w:val="0"/>
              <w:widowControl/>
              <w:suppressLineNumbers w:val="0"/>
              <w:jc w:val="center"/>
              <w:textAlignment w:val="center"/>
              <w:rPr>
                <w:rFonts w:hint="default" w:ascii="Calibri" w:hAnsi="Calibri" w:eastAsia="宋体" w:cs="Calibri"/>
                <w:i w:val="0"/>
                <w:color w:val="000000"/>
                <w:sz w:val="28"/>
                <w:szCs w:val="28"/>
                <w:u w:val="none"/>
              </w:rPr>
            </w:pPr>
            <w:r>
              <w:rPr>
                <w:rFonts w:hint="default" w:ascii="Calibri" w:hAnsi="Calibri" w:eastAsia="宋体" w:cs="Calibri"/>
                <w:i w:val="0"/>
                <w:color w:val="000000"/>
                <w:kern w:val="0"/>
                <w:sz w:val="28"/>
                <w:szCs w:val="28"/>
                <w:u w:val="none"/>
                <w:lang w:val="en-US" w:eastAsia="zh-CN" w:bidi="ar"/>
              </w:rPr>
              <w:t>2024</w:t>
            </w:r>
            <w:r>
              <w:rPr>
                <w:rStyle w:val="30"/>
                <w:lang w:val="en-US" w:eastAsia="zh-CN" w:bidi="ar"/>
              </w:rPr>
              <w:t>年</w:t>
            </w:r>
          </w:p>
        </w:tc>
      </w:tr>
      <w:tr w14:paraId="01F185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1" w:hRule="atLeast"/>
        </w:trPr>
        <w:tc>
          <w:tcPr>
            <w:tcW w:w="2206" w:type="dxa"/>
            <w:tcBorders>
              <w:top w:val="nil"/>
              <w:left w:val="single" w:color="FFFFFF" w:sz="8" w:space="0"/>
              <w:bottom w:val="single" w:color="FFFFFF" w:sz="8" w:space="0"/>
              <w:right w:val="single" w:color="FFFFFF" w:sz="8" w:space="0"/>
            </w:tcBorders>
            <w:shd w:val="clear" w:color="auto" w:fill="D9E3F3"/>
            <w:vAlign w:val="center"/>
          </w:tcPr>
          <w:p w14:paraId="00120EA0">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获批项目</w:t>
            </w:r>
          </w:p>
        </w:tc>
        <w:tc>
          <w:tcPr>
            <w:tcW w:w="2206" w:type="dxa"/>
            <w:tcBorders>
              <w:top w:val="nil"/>
              <w:left w:val="nil"/>
              <w:bottom w:val="single" w:color="FFFFFF" w:sz="8" w:space="0"/>
              <w:right w:val="single" w:color="FFFFFF" w:sz="8" w:space="0"/>
            </w:tcBorders>
            <w:shd w:val="clear" w:color="auto" w:fill="D9E3F3"/>
            <w:vAlign w:val="center"/>
          </w:tcPr>
          <w:p w14:paraId="432970AF">
            <w:pPr>
              <w:keepNext w:val="0"/>
              <w:keepLines w:val="0"/>
              <w:widowControl/>
              <w:suppressLineNumbers w:val="0"/>
              <w:jc w:val="center"/>
              <w:textAlignment w:val="center"/>
              <w:rPr>
                <w:rFonts w:hint="default" w:ascii="Calibri" w:hAnsi="Calibri" w:eastAsia="宋体" w:cs="Calibri"/>
                <w:i w:val="0"/>
                <w:color w:val="000000"/>
                <w:sz w:val="28"/>
                <w:szCs w:val="28"/>
                <w:u w:val="none"/>
              </w:rPr>
            </w:pPr>
            <w:r>
              <w:rPr>
                <w:rFonts w:hint="default" w:ascii="Calibri" w:hAnsi="Calibri" w:eastAsia="宋体" w:cs="Calibri"/>
                <w:i w:val="0"/>
                <w:color w:val="000000"/>
                <w:kern w:val="0"/>
                <w:sz w:val="28"/>
                <w:szCs w:val="28"/>
                <w:u w:val="none"/>
                <w:lang w:val="en-US" w:eastAsia="zh-CN" w:bidi="ar"/>
              </w:rPr>
              <w:t>42</w:t>
            </w:r>
          </w:p>
        </w:tc>
        <w:tc>
          <w:tcPr>
            <w:tcW w:w="2206" w:type="dxa"/>
            <w:tcBorders>
              <w:top w:val="nil"/>
              <w:left w:val="nil"/>
              <w:bottom w:val="single" w:color="FFFFFF" w:sz="8" w:space="0"/>
              <w:right w:val="single" w:color="FFFFFF" w:sz="8" w:space="0"/>
            </w:tcBorders>
            <w:shd w:val="clear" w:color="auto" w:fill="D9E3F3"/>
            <w:vAlign w:val="center"/>
          </w:tcPr>
          <w:p w14:paraId="43C71D51">
            <w:pPr>
              <w:keepNext w:val="0"/>
              <w:keepLines w:val="0"/>
              <w:widowControl/>
              <w:suppressLineNumbers w:val="0"/>
              <w:jc w:val="center"/>
              <w:textAlignment w:val="center"/>
              <w:rPr>
                <w:rFonts w:hint="default" w:ascii="Calibri" w:hAnsi="Calibri" w:eastAsia="宋体" w:cs="Calibri"/>
                <w:i w:val="0"/>
                <w:color w:val="000000"/>
                <w:sz w:val="28"/>
                <w:szCs w:val="28"/>
                <w:u w:val="none"/>
              </w:rPr>
            </w:pPr>
            <w:r>
              <w:rPr>
                <w:rFonts w:hint="default" w:ascii="Calibri" w:hAnsi="Calibri" w:eastAsia="宋体" w:cs="Calibri"/>
                <w:i w:val="0"/>
                <w:color w:val="000000"/>
                <w:kern w:val="0"/>
                <w:sz w:val="28"/>
                <w:szCs w:val="28"/>
                <w:u w:val="none"/>
                <w:lang w:val="en-US" w:eastAsia="zh-CN" w:bidi="ar"/>
              </w:rPr>
              <w:t>35</w:t>
            </w:r>
          </w:p>
        </w:tc>
        <w:tc>
          <w:tcPr>
            <w:tcW w:w="2208" w:type="dxa"/>
            <w:tcBorders>
              <w:top w:val="nil"/>
              <w:left w:val="nil"/>
              <w:bottom w:val="single" w:color="FFFFFF" w:sz="8" w:space="0"/>
              <w:right w:val="single" w:color="FFFFFF" w:sz="8" w:space="0"/>
            </w:tcBorders>
            <w:shd w:val="clear" w:color="auto" w:fill="D9E3F3"/>
            <w:vAlign w:val="center"/>
          </w:tcPr>
          <w:p w14:paraId="5AF63101">
            <w:pPr>
              <w:keepNext w:val="0"/>
              <w:keepLines w:val="0"/>
              <w:widowControl/>
              <w:suppressLineNumbers w:val="0"/>
              <w:jc w:val="center"/>
              <w:textAlignment w:val="center"/>
              <w:rPr>
                <w:rFonts w:hint="default" w:ascii="Calibri" w:hAnsi="Calibri" w:eastAsia="宋体" w:cs="Calibri"/>
                <w:i w:val="0"/>
                <w:color w:val="000000"/>
                <w:sz w:val="28"/>
                <w:szCs w:val="28"/>
                <w:u w:val="none"/>
              </w:rPr>
            </w:pPr>
            <w:r>
              <w:rPr>
                <w:rFonts w:hint="default" w:ascii="Calibri" w:hAnsi="Calibri" w:eastAsia="宋体" w:cs="Calibri"/>
                <w:i w:val="0"/>
                <w:color w:val="000000"/>
                <w:kern w:val="0"/>
                <w:sz w:val="28"/>
                <w:szCs w:val="28"/>
                <w:u w:val="none"/>
                <w:lang w:val="en-US" w:eastAsia="zh-CN" w:bidi="ar"/>
              </w:rPr>
              <w:t>31</w:t>
            </w:r>
          </w:p>
        </w:tc>
      </w:tr>
    </w:tbl>
    <w:p w14:paraId="7ADBC648">
      <w:pPr>
        <w:pStyle w:val="3"/>
        <w:pageBreakBefore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b w:val="0"/>
          <w:bCs/>
          <w:sz w:val="32"/>
          <w:szCs w:val="32"/>
          <w:lang w:val="en-US" w:eastAsia="zh-CN"/>
        </w:rPr>
      </w:pPr>
      <w:bookmarkStart w:id="34" w:name="_Toc14726"/>
      <w:r>
        <w:rPr>
          <w:rFonts w:hint="eastAsia" w:ascii="黑体" w:hAnsi="黑体" w:eastAsia="黑体" w:cs="黑体"/>
          <w:b w:val="0"/>
          <w:bCs/>
          <w:sz w:val="32"/>
          <w:szCs w:val="32"/>
          <w:lang w:val="en-US" w:eastAsia="zh-CN"/>
        </w:rPr>
        <w:t>2.人才培养</w:t>
      </w:r>
      <w:bookmarkEnd w:id="34"/>
    </w:p>
    <w:p w14:paraId="05AA97BE">
      <w:pPr>
        <w:pStyle w:val="2"/>
        <w:pageBreakBefore w:val="0"/>
        <w:kinsoku/>
        <w:wordWrap/>
        <w:overflowPunct/>
        <w:topLinePunct w:val="0"/>
        <w:autoSpaceDE/>
        <w:autoSpaceDN/>
        <w:bidi w:val="0"/>
        <w:adjustRightInd/>
        <w:snapToGrid/>
        <w:spacing w:line="560" w:lineRule="exact"/>
        <w:ind w:left="0" w:leftChars="0" w:firstLine="643" w:firstLineChars="200"/>
        <w:textAlignment w:val="auto"/>
        <w:rPr>
          <w:rFonts w:hint="eastAsia" w:ascii="楷体" w:hAnsi="楷体" w:eastAsia="楷体" w:cs="楷体"/>
          <w:b/>
          <w:bCs w:val="0"/>
          <w:sz w:val="32"/>
          <w:szCs w:val="32"/>
          <w:lang w:val="en-US" w:eastAsia="zh-CN"/>
        </w:rPr>
      </w:pPr>
      <w:bookmarkStart w:id="35" w:name="_Toc18508"/>
      <w:r>
        <w:rPr>
          <w:rFonts w:hint="eastAsia" w:ascii="楷体" w:hAnsi="楷体" w:eastAsia="楷体" w:cs="楷体"/>
          <w:b/>
          <w:bCs w:val="0"/>
          <w:sz w:val="32"/>
          <w:szCs w:val="32"/>
          <w:lang w:val="en-US" w:eastAsia="zh-CN"/>
        </w:rPr>
        <w:t>2.1立德树人</w:t>
      </w:r>
      <w:bookmarkEnd w:id="35"/>
    </w:p>
    <w:p w14:paraId="6D803BA1">
      <w:pPr>
        <w:pStyle w:val="4"/>
        <w:keepNext/>
        <w:keepLines/>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bCs w:val="0"/>
          <w:sz w:val="32"/>
          <w:szCs w:val="32"/>
          <w:lang w:val="en-US" w:eastAsia="zh-CN"/>
        </w:rPr>
      </w:pPr>
      <w:bookmarkStart w:id="36" w:name="_Toc1760377064_WPSOffice_Level3"/>
      <w:bookmarkStart w:id="37" w:name="_Toc26361"/>
      <w:r>
        <w:rPr>
          <w:rFonts w:hint="eastAsia" w:ascii="仿宋_GB2312" w:hAnsi="仿宋_GB2312" w:eastAsia="仿宋_GB2312" w:cs="仿宋_GB2312"/>
          <w:b/>
          <w:bCs w:val="0"/>
          <w:sz w:val="32"/>
          <w:szCs w:val="32"/>
          <w:lang w:val="en-US" w:eastAsia="zh-CN"/>
        </w:rPr>
        <w:t>2.1.1 德育工作队伍建设</w:t>
      </w:r>
      <w:bookmarkEnd w:id="36"/>
      <w:bookmarkEnd w:id="37"/>
      <w:r>
        <w:rPr>
          <w:rFonts w:hint="eastAsia" w:ascii="仿宋_GB2312" w:hAnsi="仿宋_GB2312" w:eastAsia="仿宋_GB2312" w:cs="仿宋_GB2312"/>
          <w:b/>
          <w:bCs w:val="0"/>
          <w:sz w:val="32"/>
          <w:szCs w:val="32"/>
          <w:lang w:val="en-US" w:eastAsia="zh-CN"/>
        </w:rPr>
        <w:t xml:space="preserve"> </w:t>
      </w:r>
    </w:p>
    <w:p w14:paraId="270C6F41">
      <w:pPr>
        <w:pStyle w:val="7"/>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仿宋_GB2312" w:hAnsi="仿宋_GB2312" w:eastAsia="仿宋_GB2312" w:cs="仿宋_GB2312"/>
          <w:b w:val="0"/>
          <w:bCs w:val="0"/>
          <w:spacing w:val="0"/>
          <w:kern w:val="2"/>
          <w:sz w:val="32"/>
          <w:szCs w:val="32"/>
          <w:lang w:val="en-US" w:eastAsia="zh-CN" w:bidi="ar-SA"/>
        </w:rPr>
      </w:pPr>
      <w:r>
        <w:rPr>
          <w:rFonts w:hint="eastAsia" w:ascii="仿宋_GB2312" w:hAnsi="仿宋_GB2312" w:eastAsia="仿宋_GB2312" w:cs="仿宋_GB2312"/>
          <w:b w:val="0"/>
          <w:bCs w:val="0"/>
          <w:spacing w:val="0"/>
          <w:kern w:val="2"/>
          <w:sz w:val="32"/>
          <w:szCs w:val="32"/>
          <w:lang w:val="en-US" w:eastAsia="zh-CN" w:bidi="ar-SA"/>
        </w:rPr>
        <w:t>全市中等职业学校共有思想政治课教学创新团队6个；思想政治课专任教师86人；德育管理人员327人，较去年增长5.8%。</w:t>
      </w:r>
    </w:p>
    <w:p w14:paraId="795B47CA">
      <w:pPr>
        <w:pStyle w:val="8"/>
        <w:rPr>
          <w:rFonts w:hint="eastAsia"/>
          <w:lang w:val="en-US" w:eastAsia="zh-CN"/>
        </w:rPr>
      </w:pPr>
    </w:p>
    <w:p w14:paraId="4C815F42">
      <w:pPr>
        <w:pStyle w:val="8"/>
        <w:jc w:val="center"/>
        <w:rPr>
          <w:rFonts w:hint="eastAsia" w:asciiTheme="minorEastAsia" w:hAnsiTheme="minorEastAsia" w:eastAsiaTheme="minorEastAsia" w:cstheme="minorEastAsia"/>
          <w:sz w:val="21"/>
          <w:szCs w:val="21"/>
          <w:lang w:val="en-US" w:eastAsia="zh-CN"/>
        </w:rPr>
      </w:pPr>
      <w:r>
        <w:rPr>
          <w:rFonts w:hint="eastAsia"/>
          <w:lang w:val="en-US" w:eastAsia="zh-CN"/>
        </w:rPr>
        <w:drawing>
          <wp:inline distT="0" distB="0" distL="114300" distR="114300">
            <wp:extent cx="4453255" cy="3193415"/>
            <wp:effectExtent l="4445" t="4445" r="19050" b="21590"/>
            <wp:docPr id="45" name="图表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CFEFEA7">
      <w:pPr>
        <w:pStyle w:val="29"/>
        <w:bidi w:val="0"/>
        <w:rPr>
          <w:rFonts w:hint="eastAsia"/>
          <w:lang w:val="en-US" w:eastAsia="zh-CN"/>
        </w:rPr>
      </w:pPr>
      <w:bookmarkStart w:id="38" w:name="_Toc28353"/>
      <w:r>
        <w:rPr>
          <w:rFonts w:hint="eastAsia"/>
          <w:lang w:val="en-US" w:eastAsia="zh-CN"/>
        </w:rPr>
        <w:t>数据分析图4：德育工作队伍情况对比图</w:t>
      </w:r>
      <w:bookmarkEnd w:id="38"/>
    </w:p>
    <w:p w14:paraId="0611186D">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left"/>
        <w:textAlignment w:val="auto"/>
        <w:rPr>
          <w:rFonts w:hint="eastAsia" w:ascii="仿宋_GB2312" w:hAnsi="仿宋_GB2312" w:eastAsia="仿宋_GB2312" w:cs="仿宋_GB2312"/>
          <w:b w:val="0"/>
          <w:bCs w:val="0"/>
          <w:spacing w:val="0"/>
          <w:kern w:val="2"/>
          <w:sz w:val="32"/>
          <w:szCs w:val="32"/>
          <w:lang w:val="en-US" w:eastAsia="zh-CN" w:bidi="ar-SA"/>
        </w:rPr>
      </w:pPr>
      <w:r>
        <w:rPr>
          <w:rFonts w:hint="eastAsia" w:ascii="仿宋_GB2312" w:hAnsi="仿宋_GB2312" w:eastAsia="仿宋_GB2312" w:cs="仿宋_GB2312"/>
          <w:b w:val="0"/>
          <w:bCs w:val="0"/>
          <w:spacing w:val="0"/>
          <w:kern w:val="2"/>
          <w:sz w:val="32"/>
          <w:szCs w:val="32"/>
          <w:lang w:val="en-US" w:eastAsia="zh-CN" w:bidi="ar-SA"/>
        </w:rPr>
        <w:t>坚持以习近平新时代中国特色社会主义思想为指导，把职业教育摆在教育改革创新和经济社会发展中更加突出的位置。以立德树人为根本，以提高质量、服务发展为核心，以产教融合、校企合作为路径，进一步健全和完善职业教育校企协同育人体制机制，全市中职学校按照部颁《大纲》要求开设德育课程，选择教育部规划教材，不断创新学生喜闻乐见的教学方法，严格按照大纲规定的内容、课时标准，指导教师实施课堂教学，遵循学生身心发展规律与特点，坚持“教育必须为社会主义现代化建设服务、为人民服务，必须与生产劳动和社会实践相结合，培养德智体美劳全面发展的社会主义建设者和接班人”。</w:t>
      </w:r>
    </w:p>
    <w:p w14:paraId="2869FEFF">
      <w:pPr>
        <w:pStyle w:val="8"/>
        <w:jc w:val="center"/>
        <w:rPr>
          <w:rFonts w:hint="eastAsia"/>
          <w:lang w:val="en-US" w:eastAsia="zh-CN"/>
        </w:rPr>
      </w:pPr>
      <w:r>
        <w:rPr>
          <w:rFonts w:hint="eastAsia"/>
          <w:lang w:val="en-US" w:eastAsia="zh-CN"/>
        </w:rPr>
        <w:drawing>
          <wp:inline distT="0" distB="0" distL="114300" distR="114300">
            <wp:extent cx="4304030" cy="2426970"/>
            <wp:effectExtent l="0" t="0" r="1270" b="11430"/>
            <wp:docPr id="21" name="图片 21" descr="10"/>
            <wp:cNvGraphicFramePr/>
            <a:graphic xmlns:a="http://schemas.openxmlformats.org/drawingml/2006/main">
              <a:graphicData uri="http://schemas.openxmlformats.org/drawingml/2006/picture">
                <pic:pic xmlns:pic="http://schemas.openxmlformats.org/drawingml/2006/picture">
                  <pic:nvPicPr>
                    <pic:cNvPr id="21" name="图片 21" descr="10"/>
                    <pic:cNvPicPr/>
                  </pic:nvPicPr>
                  <pic:blipFill>
                    <a:blip r:embed="rId17"/>
                    <a:srcRect b="10616"/>
                    <a:stretch>
                      <a:fillRect/>
                    </a:stretch>
                  </pic:blipFill>
                  <pic:spPr>
                    <a:xfrm>
                      <a:off x="0" y="0"/>
                      <a:ext cx="4304030" cy="2426970"/>
                    </a:xfrm>
                    <a:prstGeom prst="rect">
                      <a:avLst/>
                    </a:prstGeom>
                  </pic:spPr>
                </pic:pic>
              </a:graphicData>
            </a:graphic>
          </wp:inline>
        </w:drawing>
      </w:r>
    </w:p>
    <w:p w14:paraId="64E10C7E">
      <w:pPr>
        <w:pStyle w:val="8"/>
        <w:jc w:val="center"/>
        <w:rPr>
          <w:rFonts w:hint="eastAsia"/>
          <w:lang w:val="en-US" w:eastAsia="zh-CN"/>
        </w:rPr>
      </w:pPr>
    </w:p>
    <w:p w14:paraId="0320920C">
      <w:pPr>
        <w:pStyle w:val="14"/>
        <w:bidi w:val="0"/>
        <w:jc w:val="center"/>
        <w:rPr>
          <w:rFonts w:hint="eastAsia"/>
          <w:lang w:val="en-US" w:eastAsia="zh-CN"/>
        </w:rPr>
      </w:pPr>
      <w:bookmarkStart w:id="39" w:name="_Toc21232"/>
      <w:bookmarkStart w:id="40" w:name="_Toc12982"/>
      <w:bookmarkStart w:id="41" w:name="_Toc21356"/>
      <w:bookmarkStart w:id="42" w:name="_Toc1920"/>
      <w:r>
        <w:rPr>
          <w:rFonts w:hint="eastAsia"/>
          <w:lang w:val="en-US" w:eastAsia="zh-CN"/>
        </w:rPr>
        <w:t>图4：“中职思政课课改培训”分享研讨会（来源：朝阳市卫生学校）</w:t>
      </w:r>
      <w:bookmarkEnd w:id="39"/>
      <w:bookmarkEnd w:id="40"/>
      <w:bookmarkEnd w:id="41"/>
      <w:bookmarkEnd w:id="42"/>
    </w:p>
    <w:p w14:paraId="33FF340F">
      <w:pPr>
        <w:pStyle w:val="7"/>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Times New Roman" w:hAnsi="Times New Roman" w:eastAsia="仿宋_GB2312" w:cstheme="minorBidi"/>
          <w:b w:val="0"/>
          <w:bCs w:val="0"/>
          <w:spacing w:val="0"/>
          <w:kern w:val="2"/>
          <w:sz w:val="32"/>
          <w:szCs w:val="32"/>
          <w:lang w:val="en-US" w:eastAsia="zh-CN" w:bidi="ar-SA"/>
        </w:rPr>
      </w:pPr>
      <w:r>
        <w:rPr>
          <w:rFonts w:hint="eastAsia" w:ascii="Times New Roman" w:hAnsi="Times New Roman" w:eastAsia="仿宋_GB2312" w:cstheme="minorBidi"/>
          <w:b w:val="0"/>
          <w:bCs w:val="0"/>
          <w:spacing w:val="0"/>
          <w:kern w:val="2"/>
          <w:sz w:val="32"/>
          <w:szCs w:val="32"/>
          <w:lang w:val="en-US" w:eastAsia="zh-CN" w:bidi="ar-SA"/>
        </w:rPr>
        <w:t xml:space="preserve">在师资队伍建设上，支持各校针对课程思政教师开展专项培训与交流活动，鼓励专业教师与思政课教师组建跨学科教学团队，共同开展教学研究与课程设计，促进两类教师之间的经验分享与优势互补，为课程思政与思政课程的高质量发展提供坚实的人才支撑，激励教师不断提升课程思政和思政课程的教学水平。 </w:t>
      </w:r>
    </w:p>
    <w:p w14:paraId="6A8838E7">
      <w:pPr>
        <w:pStyle w:val="7"/>
        <w:keepNext w:val="0"/>
        <w:keepLines w:val="0"/>
        <w:pageBreakBefore w:val="0"/>
        <w:widowControl w:val="0"/>
        <w:kinsoku/>
        <w:wordWrap/>
        <w:overflowPunct/>
        <w:topLinePunct w:val="0"/>
        <w:autoSpaceDE/>
        <w:autoSpaceDN/>
        <w:bidi w:val="0"/>
        <w:adjustRightInd/>
        <w:snapToGrid/>
        <w:spacing w:line="560" w:lineRule="exact"/>
        <w:ind w:firstLine="616" w:firstLineChars="200"/>
        <w:textAlignment w:val="auto"/>
        <w:rPr>
          <w:rFonts w:hint="eastAsia"/>
          <w:lang w:val="en-US" w:eastAsia="zh-CN"/>
        </w:rPr>
      </w:pPr>
      <w:r>
        <w:rPr>
          <w:rFonts w:hint="eastAsia" w:ascii="Times New Roman" w:hAnsi="Times New Roman" w:eastAsia="仿宋_GB2312" w:cstheme="minorBidi"/>
          <w:b w:val="0"/>
          <w:bCs w:val="0"/>
          <w:spacing w:val="-6"/>
          <w:kern w:val="2"/>
          <w:sz w:val="32"/>
          <w:szCs w:val="32"/>
          <w:lang w:val="en-US" w:eastAsia="zh-CN" w:bidi="ar-SA"/>
        </w:rPr>
        <w:t>鉴于不同中职学校在生源特点、地域文化、办学条件等方面存在显著差异，</w:t>
      </w:r>
      <w:r>
        <w:rPr>
          <w:rFonts w:hint="eastAsia" w:eastAsia="仿宋_GB2312" w:cstheme="minorBidi"/>
          <w:b w:val="0"/>
          <w:bCs w:val="0"/>
          <w:spacing w:val="-6"/>
          <w:kern w:val="2"/>
          <w:sz w:val="32"/>
          <w:szCs w:val="32"/>
          <w:lang w:val="en-US" w:eastAsia="zh-CN" w:bidi="ar-SA"/>
        </w:rPr>
        <w:t>引导各校</w:t>
      </w:r>
      <w:r>
        <w:rPr>
          <w:rFonts w:hint="eastAsia" w:ascii="Times New Roman" w:hAnsi="Times New Roman" w:eastAsia="仿宋_GB2312" w:cstheme="minorBidi"/>
          <w:b w:val="0"/>
          <w:bCs w:val="0"/>
          <w:spacing w:val="-6"/>
          <w:kern w:val="2"/>
          <w:sz w:val="32"/>
          <w:szCs w:val="32"/>
          <w:lang w:val="en-US" w:eastAsia="zh-CN" w:bidi="ar-SA"/>
        </w:rPr>
        <w:t>立足校情，创新教学方法、优化教学内容、</w:t>
      </w:r>
      <w:r>
        <w:rPr>
          <w:rFonts w:hint="eastAsia" w:ascii="Times New Roman" w:hAnsi="Times New Roman" w:eastAsia="仿宋_GB2312" w:cstheme="minorBidi"/>
          <w:b w:val="0"/>
          <w:bCs w:val="0"/>
          <w:spacing w:val="-11"/>
          <w:kern w:val="2"/>
          <w:sz w:val="32"/>
          <w:szCs w:val="32"/>
          <w:lang w:val="en-US" w:eastAsia="zh-CN" w:bidi="ar-SA"/>
        </w:rPr>
        <w:t>拓展教学途径，</w:t>
      </w:r>
      <w:r>
        <w:rPr>
          <w:rFonts w:hint="eastAsia" w:eastAsia="仿宋_GB2312" w:cstheme="minorBidi"/>
          <w:b w:val="0"/>
          <w:bCs w:val="0"/>
          <w:spacing w:val="-11"/>
          <w:kern w:val="2"/>
          <w:sz w:val="32"/>
          <w:szCs w:val="32"/>
          <w:lang w:val="en-US" w:eastAsia="zh-CN" w:bidi="ar-SA"/>
        </w:rPr>
        <w:t>通过实践活动</w:t>
      </w:r>
      <w:r>
        <w:rPr>
          <w:rFonts w:hint="eastAsia" w:ascii="Times New Roman" w:hAnsi="Times New Roman" w:eastAsia="仿宋_GB2312" w:cstheme="minorBidi"/>
          <w:b w:val="0"/>
          <w:bCs w:val="0"/>
          <w:spacing w:val="-11"/>
          <w:kern w:val="2"/>
          <w:sz w:val="32"/>
          <w:szCs w:val="32"/>
          <w:lang w:val="en-US" w:eastAsia="zh-CN" w:bidi="ar-SA"/>
        </w:rPr>
        <w:t>切实提升思政教学的实效性与针对性。</w:t>
      </w:r>
    </w:p>
    <w:p w14:paraId="2E7F02EE">
      <w:pPr>
        <w:keepNext w:val="0"/>
        <w:keepLines w:val="0"/>
        <w:widowControl/>
        <w:suppressLineNumbers w:val="0"/>
        <w:jc w:val="center"/>
        <w:rPr>
          <w:rFonts w:hint="eastAsia"/>
          <w:lang w:val="en-US" w:eastAsia="zh-CN"/>
        </w:rPr>
      </w:pPr>
      <w:r>
        <w:rPr>
          <w:rFonts w:hint="eastAsia"/>
          <w:lang w:val="en-US" w:eastAsia="zh-CN"/>
        </w:rPr>
        <w:drawing>
          <wp:inline distT="0" distB="0" distL="114300" distR="114300">
            <wp:extent cx="4650740" cy="2457450"/>
            <wp:effectExtent l="0" t="0" r="16510" b="0"/>
            <wp:docPr id="15" name="图片 1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
                    <pic:cNvPicPr>
                      <a:picLocks noChangeAspect="1"/>
                    </pic:cNvPicPr>
                  </pic:nvPicPr>
                  <pic:blipFill>
                    <a:blip r:embed="rId18"/>
                    <a:srcRect t="7152"/>
                    <a:stretch>
                      <a:fillRect/>
                    </a:stretch>
                  </pic:blipFill>
                  <pic:spPr>
                    <a:xfrm>
                      <a:off x="0" y="0"/>
                      <a:ext cx="4650740" cy="2457450"/>
                    </a:xfrm>
                    <a:prstGeom prst="rect">
                      <a:avLst/>
                    </a:prstGeom>
                  </pic:spPr>
                </pic:pic>
              </a:graphicData>
            </a:graphic>
          </wp:inline>
        </w:drawing>
      </w:r>
    </w:p>
    <w:p w14:paraId="044D628E">
      <w:pPr>
        <w:pStyle w:val="14"/>
        <w:bidi w:val="0"/>
        <w:jc w:val="center"/>
        <w:rPr>
          <w:rFonts w:hint="eastAsia"/>
          <w:lang w:val="en-US" w:eastAsia="zh-CN"/>
        </w:rPr>
      </w:pPr>
      <w:bookmarkStart w:id="43" w:name="_Toc17222"/>
      <w:bookmarkStart w:id="44" w:name="_Toc258"/>
      <w:bookmarkStart w:id="45" w:name="_Toc12597"/>
      <w:bookmarkStart w:id="46" w:name="_Toc29090"/>
      <w:r>
        <w:rPr>
          <w:rFonts w:hint="eastAsia"/>
          <w:lang w:val="en-US" w:eastAsia="zh-CN"/>
        </w:rPr>
        <w:t>图5：建平县职教中心思想政治实践课（来源：建平县职业教育中心）</w:t>
      </w:r>
      <w:bookmarkEnd w:id="43"/>
      <w:bookmarkEnd w:id="44"/>
      <w:bookmarkEnd w:id="45"/>
      <w:bookmarkEnd w:id="46"/>
    </w:p>
    <w:p w14:paraId="51142AAC">
      <w:pPr>
        <w:pStyle w:val="4"/>
        <w:keepNext/>
        <w:keepLines/>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val="0"/>
          <w:sz w:val="32"/>
          <w:szCs w:val="32"/>
          <w:lang w:val="en-US" w:eastAsia="zh-CN"/>
        </w:rPr>
      </w:pPr>
      <w:bookmarkStart w:id="47" w:name="_Toc22115"/>
      <w:bookmarkStart w:id="48" w:name="_Toc1807827503_WPSOffice_Level3"/>
      <w:r>
        <w:rPr>
          <w:rFonts w:hint="eastAsia" w:ascii="仿宋_GB2312" w:hAnsi="仿宋_GB2312" w:eastAsia="仿宋_GB2312" w:cs="仿宋_GB2312"/>
          <w:b/>
          <w:bCs w:val="0"/>
          <w:sz w:val="32"/>
          <w:szCs w:val="32"/>
          <w:lang w:val="en-US" w:eastAsia="zh-CN"/>
        </w:rPr>
        <w:t>2.1.2全面落实立德树人根本任务</w:t>
      </w:r>
      <w:bookmarkEnd w:id="47"/>
      <w:bookmarkEnd w:id="48"/>
    </w:p>
    <w:p w14:paraId="1F0EE766">
      <w:pPr>
        <w:pStyle w:val="7"/>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Times New Roman" w:hAnsi="Times New Roman" w:eastAsia="仿宋_GB2312" w:cstheme="minorBidi"/>
          <w:b w:val="0"/>
          <w:bCs w:val="0"/>
          <w:spacing w:val="0"/>
          <w:kern w:val="2"/>
          <w:sz w:val="32"/>
          <w:szCs w:val="32"/>
          <w:lang w:val="en-US" w:eastAsia="zh-CN" w:bidi="ar-SA"/>
        </w:rPr>
      </w:pPr>
      <w:r>
        <w:rPr>
          <w:rFonts w:hint="eastAsia" w:ascii="Times New Roman" w:hAnsi="Times New Roman" w:eastAsia="仿宋_GB2312" w:cstheme="minorBidi"/>
          <w:b/>
          <w:bCs/>
          <w:spacing w:val="0"/>
          <w:kern w:val="2"/>
          <w:sz w:val="32"/>
          <w:szCs w:val="32"/>
          <w:lang w:val="en-US" w:eastAsia="zh-CN" w:bidi="ar-SA"/>
        </w:rPr>
        <w:t>一是坚持育人为本、德育为先。</w:t>
      </w:r>
      <w:r>
        <w:rPr>
          <w:rFonts w:hint="eastAsia" w:ascii="Times New Roman" w:hAnsi="Times New Roman" w:eastAsia="仿宋_GB2312" w:cstheme="minorBidi"/>
          <w:b w:val="0"/>
          <w:bCs w:val="0"/>
          <w:spacing w:val="0"/>
          <w:kern w:val="2"/>
          <w:sz w:val="32"/>
          <w:szCs w:val="32"/>
          <w:lang w:val="en-US" w:eastAsia="zh-CN" w:bidi="ar-SA"/>
        </w:rPr>
        <w:t>将立德树人作为教育的根本任务，注意让学生把“以德润心”的理论知识落实到生活中，让学生“在活动中体验”“在力行中成长”。引导中职</w:t>
      </w:r>
      <w:r>
        <w:rPr>
          <w:rFonts w:hint="eastAsia" w:eastAsia="仿宋_GB2312" w:cstheme="minorBidi"/>
          <w:b w:val="0"/>
          <w:bCs w:val="0"/>
          <w:spacing w:val="0"/>
          <w:kern w:val="2"/>
          <w:sz w:val="32"/>
          <w:szCs w:val="32"/>
          <w:lang w:val="en-US" w:eastAsia="zh-CN" w:bidi="ar-SA"/>
        </w:rPr>
        <w:t>学</w:t>
      </w:r>
      <w:r>
        <w:rPr>
          <w:rFonts w:hint="eastAsia" w:ascii="Times New Roman" w:hAnsi="Times New Roman" w:eastAsia="仿宋_GB2312" w:cstheme="minorBidi"/>
          <w:b w:val="0"/>
          <w:bCs w:val="0"/>
          <w:spacing w:val="0"/>
          <w:kern w:val="2"/>
          <w:sz w:val="32"/>
          <w:szCs w:val="32"/>
          <w:lang w:val="en-US" w:eastAsia="zh-CN" w:bidi="ar-SA"/>
        </w:rPr>
        <w:t>生树立正确的世界观、人生观、价值观，增强中职学生务实好学的思想意识，培养合格的社会主义建设者和接班人。</w:t>
      </w:r>
    </w:p>
    <w:p w14:paraId="3CF90026">
      <w:pPr>
        <w:pStyle w:val="8"/>
        <w:rPr>
          <w:rFonts w:hint="eastAsia"/>
          <w:lang w:val="en-US" w:eastAsia="zh-CN"/>
        </w:rPr>
      </w:pPr>
    </w:p>
    <w:p w14:paraId="75428957">
      <w:pPr>
        <w:pStyle w:val="8"/>
        <w:jc w:val="center"/>
        <w:rPr>
          <w:rFonts w:hint="eastAsia"/>
          <w:lang w:val="en-US" w:eastAsia="zh-CN"/>
        </w:rPr>
      </w:pPr>
      <w:r>
        <w:rPr>
          <w:rFonts w:hint="eastAsia"/>
          <w:lang w:val="en-US" w:eastAsia="zh-CN"/>
        </w:rPr>
        <w:drawing>
          <wp:inline distT="0" distB="0" distL="114300" distR="114300">
            <wp:extent cx="4735830" cy="2358390"/>
            <wp:effectExtent l="0" t="0" r="7620" b="3810"/>
            <wp:docPr id="63" name="图片 63" descr="C:\Users\ASUS\Desktop\3.png3"/>
            <wp:cNvGraphicFramePr/>
            <a:graphic xmlns:a="http://schemas.openxmlformats.org/drawingml/2006/main">
              <a:graphicData uri="http://schemas.openxmlformats.org/drawingml/2006/picture">
                <pic:pic xmlns:pic="http://schemas.openxmlformats.org/drawingml/2006/picture">
                  <pic:nvPicPr>
                    <pic:cNvPr id="63" name="图片 63" descr="C:\Users\ASUS\Desktop\3.png3"/>
                    <pic:cNvPicPr/>
                  </pic:nvPicPr>
                  <pic:blipFill>
                    <a:blip r:embed="rId19"/>
                    <a:srcRect t="7978"/>
                    <a:stretch>
                      <a:fillRect/>
                    </a:stretch>
                  </pic:blipFill>
                  <pic:spPr>
                    <a:xfrm>
                      <a:off x="0" y="0"/>
                      <a:ext cx="4735830" cy="2358390"/>
                    </a:xfrm>
                    <a:prstGeom prst="rect">
                      <a:avLst/>
                    </a:prstGeom>
                  </pic:spPr>
                </pic:pic>
              </a:graphicData>
            </a:graphic>
          </wp:inline>
        </w:drawing>
      </w:r>
    </w:p>
    <w:p w14:paraId="3ADEB2EB">
      <w:pPr>
        <w:pStyle w:val="14"/>
        <w:bidi w:val="0"/>
        <w:jc w:val="center"/>
        <w:rPr>
          <w:rFonts w:hint="eastAsia"/>
          <w:lang w:val="en-US" w:eastAsia="zh-CN"/>
        </w:rPr>
      </w:pPr>
      <w:bookmarkStart w:id="49" w:name="_Toc6789"/>
      <w:bookmarkStart w:id="50" w:name="_Toc26825"/>
      <w:bookmarkStart w:id="51" w:name="_Toc8846"/>
      <w:bookmarkStart w:id="52" w:name="_Toc15738"/>
      <w:r>
        <w:rPr>
          <w:rFonts w:hint="eastAsia"/>
          <w:lang w:val="en-US" w:eastAsia="zh-CN"/>
        </w:rPr>
        <w:t>图6：姜昊先进事迹报告会（来源：北票市职教中心）</w:t>
      </w:r>
      <w:bookmarkEnd w:id="49"/>
      <w:bookmarkEnd w:id="50"/>
      <w:bookmarkEnd w:id="51"/>
      <w:bookmarkEnd w:id="52"/>
    </w:p>
    <w:p w14:paraId="13646425">
      <w:pPr>
        <w:pStyle w:val="7"/>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Times New Roman" w:hAnsi="Times New Roman" w:eastAsia="仿宋_GB2312" w:cstheme="minorBidi"/>
          <w:b w:val="0"/>
          <w:bCs w:val="0"/>
          <w:spacing w:val="0"/>
          <w:kern w:val="2"/>
          <w:sz w:val="32"/>
          <w:szCs w:val="32"/>
          <w:lang w:val="en-US" w:eastAsia="zh-CN" w:bidi="ar-SA"/>
        </w:rPr>
      </w:pPr>
      <w:r>
        <w:rPr>
          <w:rFonts w:hint="eastAsia" w:ascii="Times New Roman" w:hAnsi="Times New Roman" w:eastAsia="仿宋_GB2312" w:cstheme="minorBidi"/>
          <w:b/>
          <w:bCs/>
          <w:spacing w:val="0"/>
          <w:kern w:val="2"/>
          <w:sz w:val="32"/>
          <w:szCs w:val="32"/>
          <w:lang w:val="en-US" w:eastAsia="zh-CN" w:bidi="ar-SA"/>
        </w:rPr>
        <w:t>二是增强学习能力、提升核心素养。</w:t>
      </w:r>
      <w:r>
        <w:rPr>
          <w:rFonts w:hint="eastAsia" w:ascii="Times New Roman" w:hAnsi="Times New Roman" w:eastAsia="仿宋_GB2312" w:cstheme="minorBidi"/>
          <w:b w:val="0"/>
          <w:bCs w:val="0"/>
          <w:spacing w:val="0"/>
          <w:kern w:val="2"/>
          <w:sz w:val="32"/>
          <w:szCs w:val="32"/>
          <w:lang w:val="en-US" w:eastAsia="zh-CN" w:bidi="ar-SA"/>
        </w:rPr>
        <w:t>在尊重学生身心发展规律的基础上，循序渐进引导学生增强学习能力，结合社会发展需要，通过车间实操实训，培养学生认识问题、分析问题、解决问题的综合能力，真正提高学生的核心素养，充分展现中职学校的建设成果与专业特色。</w:t>
      </w:r>
    </w:p>
    <w:p w14:paraId="4C551C52">
      <w:pPr>
        <w:pStyle w:val="8"/>
        <w:jc w:val="center"/>
        <w:rPr>
          <w:rFonts w:hint="eastAsia"/>
          <w:lang w:val="en-US" w:eastAsia="zh-CN"/>
        </w:rPr>
      </w:pPr>
      <w:r>
        <w:rPr>
          <w:rFonts w:hint="eastAsia"/>
          <w:lang w:val="en-US" w:eastAsia="zh-CN"/>
        </w:rPr>
        <w:drawing>
          <wp:inline distT="0" distB="0" distL="114300" distR="114300">
            <wp:extent cx="5029200" cy="1938020"/>
            <wp:effectExtent l="0" t="0" r="0" b="5080"/>
            <wp:docPr id="20" name="图片 20" descr="微信图片_2025011510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图片_20250115102359"/>
                    <pic:cNvPicPr>
                      <a:picLocks noChangeAspect="1"/>
                    </pic:cNvPicPr>
                  </pic:nvPicPr>
                  <pic:blipFill>
                    <a:blip r:embed="rId20"/>
                    <a:srcRect t="10792" b="12428"/>
                    <a:stretch>
                      <a:fillRect/>
                    </a:stretch>
                  </pic:blipFill>
                  <pic:spPr>
                    <a:xfrm>
                      <a:off x="0" y="0"/>
                      <a:ext cx="5029200" cy="1938020"/>
                    </a:xfrm>
                    <a:prstGeom prst="rect">
                      <a:avLst/>
                    </a:prstGeom>
                  </pic:spPr>
                </pic:pic>
              </a:graphicData>
            </a:graphic>
          </wp:inline>
        </w:drawing>
      </w:r>
    </w:p>
    <w:p w14:paraId="75B8F00E">
      <w:pPr>
        <w:pStyle w:val="14"/>
        <w:bidi w:val="0"/>
        <w:jc w:val="center"/>
        <w:rPr>
          <w:rFonts w:hint="eastAsia"/>
          <w:lang w:val="en-US" w:eastAsia="zh-CN"/>
        </w:rPr>
      </w:pPr>
      <w:bookmarkStart w:id="53" w:name="_Toc21719"/>
      <w:bookmarkStart w:id="54" w:name="_Toc25177"/>
      <w:bookmarkStart w:id="55" w:name="_Toc498"/>
      <w:bookmarkStart w:id="56" w:name="_Toc4736"/>
      <w:r>
        <w:rPr>
          <w:rFonts w:hint="eastAsia"/>
          <w:lang w:val="en-US" w:eastAsia="zh-CN"/>
        </w:rPr>
        <w:t>图7 ：凌源市职教中心校园文化艺术节（来源：凌源市职业教育中心）</w:t>
      </w:r>
      <w:bookmarkEnd w:id="53"/>
      <w:bookmarkEnd w:id="54"/>
      <w:bookmarkEnd w:id="55"/>
      <w:bookmarkEnd w:id="56"/>
    </w:p>
    <w:p w14:paraId="5B0E696F">
      <w:pPr>
        <w:pStyle w:val="7"/>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Times New Roman" w:hAnsi="Times New Roman" w:eastAsia="仿宋_GB2312" w:cstheme="minorBidi"/>
          <w:b w:val="0"/>
          <w:bCs w:val="0"/>
          <w:spacing w:val="0"/>
          <w:kern w:val="2"/>
          <w:sz w:val="32"/>
          <w:szCs w:val="32"/>
          <w:lang w:val="en-US" w:eastAsia="zh-CN" w:bidi="ar-SA"/>
        </w:rPr>
      </w:pPr>
      <w:r>
        <w:rPr>
          <w:rFonts w:hint="eastAsia" w:ascii="Times New Roman" w:hAnsi="Times New Roman" w:eastAsia="仿宋_GB2312" w:cstheme="minorBidi"/>
          <w:b/>
          <w:bCs/>
          <w:spacing w:val="0"/>
          <w:kern w:val="2"/>
          <w:sz w:val="32"/>
          <w:szCs w:val="32"/>
          <w:lang w:val="en-US" w:eastAsia="zh-CN" w:bidi="ar-SA"/>
        </w:rPr>
        <w:t>三是增强学生体魄、提高身体素质。</w:t>
      </w:r>
      <w:r>
        <w:rPr>
          <w:rFonts w:hint="eastAsia" w:ascii="Times New Roman" w:hAnsi="Times New Roman" w:eastAsia="仿宋_GB2312" w:cstheme="minorBidi"/>
          <w:b w:val="0"/>
          <w:bCs w:val="0"/>
          <w:spacing w:val="0"/>
          <w:kern w:val="2"/>
          <w:sz w:val="32"/>
          <w:szCs w:val="32"/>
          <w:lang w:val="en-US" w:eastAsia="zh-CN" w:bidi="ar-SA"/>
        </w:rPr>
        <w:t>良好的身体素质是增强学习能力、适应激烈竞争环境的前提与基础，加强体育教学，使学生在不断坚持的过程中磨练坚强意志，形成健康良好的身体素质和心理素质。</w:t>
      </w:r>
    </w:p>
    <w:p w14:paraId="724A4646">
      <w:pPr>
        <w:pStyle w:val="8"/>
        <w:jc w:val="center"/>
      </w:pPr>
      <w:r>
        <w:drawing>
          <wp:inline distT="0" distB="0" distL="114300" distR="114300">
            <wp:extent cx="4865370" cy="1962785"/>
            <wp:effectExtent l="0" t="0" r="11430" b="18415"/>
            <wp:docPr id="25" name="图片 1" descr="C:\Users\ASUS\Desktop\运动会.png运动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descr="C:\Users\ASUS\Desktop\运动会.png运动会"/>
                    <pic:cNvPicPr>
                      <a:picLocks noChangeAspect="1"/>
                    </pic:cNvPicPr>
                  </pic:nvPicPr>
                  <pic:blipFill>
                    <a:blip r:embed="rId21"/>
                    <a:srcRect/>
                    <a:stretch>
                      <a:fillRect/>
                    </a:stretch>
                  </pic:blipFill>
                  <pic:spPr>
                    <a:xfrm>
                      <a:off x="0" y="0"/>
                      <a:ext cx="4865370" cy="1962785"/>
                    </a:xfrm>
                    <a:prstGeom prst="rect">
                      <a:avLst/>
                    </a:prstGeom>
                    <a:noFill/>
                    <a:ln>
                      <a:noFill/>
                    </a:ln>
                  </pic:spPr>
                </pic:pic>
              </a:graphicData>
            </a:graphic>
          </wp:inline>
        </w:drawing>
      </w:r>
    </w:p>
    <w:p w14:paraId="7A864E81">
      <w:pPr>
        <w:pStyle w:val="14"/>
        <w:bidi w:val="0"/>
        <w:jc w:val="center"/>
        <w:rPr>
          <w:rFonts w:hint="eastAsia"/>
          <w:lang w:val="en-US" w:eastAsia="zh-CN"/>
        </w:rPr>
      </w:pPr>
      <w:bookmarkStart w:id="57" w:name="_Toc6727"/>
      <w:bookmarkStart w:id="58" w:name="_Toc10516"/>
      <w:bookmarkStart w:id="59" w:name="_Toc27299"/>
      <w:bookmarkStart w:id="60" w:name="_Toc10338"/>
      <w:r>
        <w:rPr>
          <w:rFonts w:hint="eastAsia"/>
          <w:lang w:val="en-US" w:eastAsia="zh-CN"/>
        </w:rPr>
        <w:t>图8：学生运动会舞龙表演（来源：朝阳市卫生学校）</w:t>
      </w:r>
      <w:bookmarkEnd w:id="57"/>
      <w:bookmarkEnd w:id="58"/>
      <w:bookmarkEnd w:id="59"/>
      <w:bookmarkEnd w:id="60"/>
    </w:p>
    <w:p w14:paraId="52253906">
      <w:pPr>
        <w:pStyle w:val="7"/>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Times New Roman" w:hAnsi="Times New Roman" w:eastAsia="仿宋_GB2312" w:cstheme="minorBidi"/>
          <w:b w:val="0"/>
          <w:bCs w:val="0"/>
          <w:spacing w:val="0"/>
          <w:kern w:val="2"/>
          <w:sz w:val="32"/>
          <w:szCs w:val="32"/>
          <w:lang w:val="en-US" w:eastAsia="zh-CN" w:bidi="ar-SA"/>
        </w:rPr>
      </w:pPr>
      <w:r>
        <w:rPr>
          <w:rFonts w:hint="eastAsia" w:ascii="Times New Roman" w:hAnsi="Times New Roman" w:eastAsia="仿宋_GB2312" w:cstheme="minorBidi"/>
          <w:b/>
          <w:bCs/>
          <w:spacing w:val="0"/>
          <w:kern w:val="2"/>
          <w:sz w:val="32"/>
          <w:szCs w:val="32"/>
          <w:lang w:val="en-US" w:eastAsia="zh-CN" w:bidi="ar-SA"/>
        </w:rPr>
        <w:t>四是引导学生树立正确的审美观。</w:t>
      </w:r>
      <w:r>
        <w:rPr>
          <w:rFonts w:hint="eastAsia" w:ascii="Times New Roman" w:hAnsi="Times New Roman" w:eastAsia="仿宋_GB2312" w:cstheme="minorBidi"/>
          <w:b w:val="0"/>
          <w:bCs w:val="0"/>
          <w:spacing w:val="0"/>
          <w:kern w:val="2"/>
          <w:sz w:val="32"/>
          <w:szCs w:val="32"/>
          <w:lang w:val="en-US" w:eastAsia="zh-CN" w:bidi="ar-SA"/>
        </w:rPr>
        <w:t>通过教育提升学生认识美、理解美、欣赏美、创作美的能力，指导学校开展相关课程活动，让学生学习富有文化内涵的美学知识，注重发掘学生的潜能，培养学生运用自己的智慧和才能创造美好事物。</w:t>
      </w:r>
    </w:p>
    <w:p w14:paraId="79A191F9">
      <w:pPr>
        <w:pStyle w:val="8"/>
        <w:jc w:val="center"/>
        <w:rPr>
          <w:rFonts w:hint="eastAsia"/>
          <w:lang w:val="en-US" w:eastAsia="zh-CN"/>
        </w:rPr>
      </w:pPr>
      <w:r>
        <w:rPr>
          <w:rFonts w:hint="eastAsia"/>
          <w:lang w:val="en-US" w:eastAsia="zh-CN"/>
        </w:rPr>
        <w:drawing>
          <wp:inline distT="0" distB="0" distL="114300" distR="114300">
            <wp:extent cx="4742180" cy="2672080"/>
            <wp:effectExtent l="0" t="0" r="1270" b="13970"/>
            <wp:docPr id="71" name="图片 71" descr="C:\Users\ASUS\Desktop\9.pn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Users\ASUS\Desktop\9.png9"/>
                    <pic:cNvPicPr>
                      <a:picLocks noChangeAspect="1"/>
                    </pic:cNvPicPr>
                  </pic:nvPicPr>
                  <pic:blipFill>
                    <a:blip r:embed="rId22"/>
                    <a:srcRect/>
                    <a:stretch>
                      <a:fillRect/>
                    </a:stretch>
                  </pic:blipFill>
                  <pic:spPr>
                    <a:xfrm>
                      <a:off x="0" y="0"/>
                      <a:ext cx="4742180" cy="2672080"/>
                    </a:xfrm>
                    <a:prstGeom prst="rect">
                      <a:avLst/>
                    </a:prstGeom>
                  </pic:spPr>
                </pic:pic>
              </a:graphicData>
            </a:graphic>
          </wp:inline>
        </w:drawing>
      </w:r>
    </w:p>
    <w:p w14:paraId="228B1ADA">
      <w:pPr>
        <w:pStyle w:val="14"/>
        <w:bidi w:val="0"/>
        <w:jc w:val="center"/>
        <w:rPr>
          <w:rFonts w:hint="eastAsia"/>
          <w:lang w:val="en-US" w:eastAsia="zh-CN"/>
        </w:rPr>
      </w:pPr>
      <w:bookmarkStart w:id="61" w:name="_Toc3831"/>
      <w:bookmarkStart w:id="62" w:name="_Toc2683"/>
      <w:bookmarkStart w:id="63" w:name="_Toc2349"/>
      <w:bookmarkStart w:id="64" w:name="_Toc14619"/>
      <w:r>
        <w:rPr>
          <w:rFonts w:hint="eastAsia"/>
          <w:lang w:val="en-US" w:eastAsia="zh-CN"/>
        </w:rPr>
        <w:t>图9：书法社团活动（来源：建平县职教中心）</w:t>
      </w:r>
      <w:bookmarkEnd w:id="61"/>
      <w:bookmarkEnd w:id="62"/>
      <w:bookmarkEnd w:id="63"/>
      <w:bookmarkEnd w:id="64"/>
    </w:p>
    <w:p w14:paraId="41467820">
      <w:pPr>
        <w:pStyle w:val="7"/>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Times New Roman" w:hAnsi="Times New Roman" w:eastAsia="仿宋_GB2312" w:cstheme="minorBidi"/>
          <w:b w:val="0"/>
          <w:bCs w:val="0"/>
          <w:spacing w:val="0"/>
          <w:kern w:val="2"/>
          <w:sz w:val="32"/>
          <w:szCs w:val="32"/>
          <w:lang w:val="en-US" w:eastAsia="zh-CN" w:bidi="ar-SA"/>
        </w:rPr>
      </w:pPr>
      <w:r>
        <w:rPr>
          <w:rFonts w:hint="eastAsia" w:ascii="Times New Roman" w:hAnsi="Times New Roman" w:eastAsia="仿宋_GB2312" w:cstheme="minorBidi"/>
          <w:b/>
          <w:bCs/>
          <w:spacing w:val="0"/>
          <w:kern w:val="2"/>
          <w:sz w:val="32"/>
          <w:szCs w:val="32"/>
          <w:lang w:val="en-US" w:eastAsia="zh-CN" w:bidi="ar-SA"/>
        </w:rPr>
        <w:t>五是开展劳动教育，促进全面发展。</w:t>
      </w:r>
      <w:r>
        <w:rPr>
          <w:rFonts w:hint="eastAsia" w:ascii="Times New Roman" w:hAnsi="Times New Roman" w:eastAsia="仿宋_GB2312" w:cstheme="minorBidi"/>
          <w:b w:val="0"/>
          <w:bCs w:val="0"/>
          <w:spacing w:val="0"/>
          <w:kern w:val="2"/>
          <w:sz w:val="32"/>
          <w:szCs w:val="32"/>
          <w:lang w:val="en-US" w:eastAsia="zh-CN" w:bidi="ar-SA"/>
        </w:rPr>
        <w:t>对于中职学生来讲，需要积极开展劳动实践教育来培养学生劳动意识和劳动行为。通过劳动培养学生的素质技能，提高学生的认识世界的能力，促进学生坚强意志品质和道德素养的形成，通过劳动使学生更加直观高效的接触社会生活，走进社会生活。</w:t>
      </w:r>
    </w:p>
    <w:p w14:paraId="78F96C4A">
      <w:pPr>
        <w:pStyle w:val="8"/>
        <w:jc w:val="center"/>
        <w:rPr>
          <w:rFonts w:hint="eastAsia"/>
          <w:lang w:val="en-US" w:eastAsia="zh-CN"/>
        </w:rPr>
      </w:pPr>
      <w:r>
        <w:rPr>
          <w:rFonts w:hint="eastAsia"/>
          <w:lang w:val="en-US" w:eastAsia="zh-CN"/>
        </w:rPr>
        <w:drawing>
          <wp:inline distT="0" distB="0" distL="114300" distR="114300">
            <wp:extent cx="4302760" cy="2126615"/>
            <wp:effectExtent l="0" t="0" r="2540" b="6985"/>
            <wp:docPr id="66" name="图片 66" descr="C:\Users\ASUS\Desktop\6.png6"/>
            <wp:cNvGraphicFramePr/>
            <a:graphic xmlns:a="http://schemas.openxmlformats.org/drawingml/2006/main">
              <a:graphicData uri="http://schemas.openxmlformats.org/drawingml/2006/picture">
                <pic:pic xmlns:pic="http://schemas.openxmlformats.org/drawingml/2006/picture">
                  <pic:nvPicPr>
                    <pic:cNvPr id="66" name="图片 66" descr="C:\Users\ASUS\Desktop\6.png6"/>
                    <pic:cNvPicPr/>
                  </pic:nvPicPr>
                  <pic:blipFill>
                    <a:blip r:embed="rId23"/>
                    <a:srcRect/>
                    <a:stretch>
                      <a:fillRect/>
                    </a:stretch>
                  </pic:blipFill>
                  <pic:spPr>
                    <a:xfrm>
                      <a:off x="0" y="0"/>
                      <a:ext cx="4302760" cy="2126615"/>
                    </a:xfrm>
                    <a:prstGeom prst="rect">
                      <a:avLst/>
                    </a:prstGeom>
                  </pic:spPr>
                </pic:pic>
              </a:graphicData>
            </a:graphic>
          </wp:inline>
        </w:drawing>
      </w:r>
    </w:p>
    <w:p w14:paraId="609324A1">
      <w:pPr>
        <w:pStyle w:val="14"/>
        <w:bidi w:val="0"/>
        <w:jc w:val="center"/>
        <w:rPr>
          <w:rFonts w:hint="eastAsia"/>
          <w:lang w:val="en-US" w:eastAsia="zh-CN"/>
        </w:rPr>
      </w:pPr>
      <w:bookmarkStart w:id="65" w:name="_Toc11088"/>
      <w:bookmarkStart w:id="66" w:name="_Toc24371"/>
      <w:bookmarkStart w:id="67" w:name="_Toc4388"/>
      <w:bookmarkStart w:id="68" w:name="_Toc28092"/>
      <w:r>
        <w:rPr>
          <w:rFonts w:hint="eastAsia"/>
          <w:lang w:val="en-US" w:eastAsia="zh-CN"/>
        </w:rPr>
        <w:t>图10：志愿服务（来源：朝阳市财经学校）</w:t>
      </w:r>
      <w:bookmarkEnd w:id="65"/>
      <w:bookmarkEnd w:id="66"/>
      <w:bookmarkEnd w:id="67"/>
      <w:bookmarkEnd w:id="68"/>
    </w:p>
    <w:p w14:paraId="3541AD17">
      <w:pPr>
        <w:pStyle w:val="28"/>
        <w:bidi w:val="0"/>
        <w:rPr>
          <w:rFonts w:hint="eastAsia"/>
          <w:lang w:val="en-US" w:eastAsia="zh-CN"/>
        </w:rPr>
      </w:pPr>
      <w:bookmarkStart w:id="69" w:name="_Toc31261"/>
      <w:bookmarkStart w:id="70" w:name="_Toc3759"/>
      <w:r>
        <w:rPr>
          <w:rFonts w:hint="eastAsia"/>
          <w:lang w:val="en-US" w:eastAsia="zh-CN"/>
        </w:rPr>
        <w:t>数据分析表4：朝阳市中职学生素质测评表</w:t>
      </w:r>
      <w:bookmarkEnd w:id="69"/>
      <w:bookmarkEnd w:id="70"/>
    </w:p>
    <w:tbl>
      <w:tblPr>
        <w:tblStyle w:val="20"/>
        <w:tblW w:w="84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2"/>
        <w:gridCol w:w="2363"/>
        <w:gridCol w:w="2015"/>
      </w:tblGrid>
      <w:tr w14:paraId="5F60D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2" w:type="dxa"/>
            <w:tcBorders>
              <w:top w:val="single" w:color="4F81BD" w:sz="8" w:space="0"/>
              <w:left w:val="single" w:color="4F81BD" w:sz="8" w:space="0"/>
              <w:bottom w:val="single" w:color="FFFFFF" w:sz="18" w:space="0"/>
              <w:right w:val="dotted" w:color="auto" w:sz="4" w:space="0"/>
            </w:tcBorders>
            <w:shd w:val="clear" w:color="auto" w:fill="4F81BD"/>
            <w:vAlign w:val="center"/>
          </w:tcPr>
          <w:p w14:paraId="481AE6B9">
            <w:pPr>
              <w:pStyle w:val="7"/>
              <w:jc w:val="center"/>
              <w:rPr>
                <w:rFonts w:hint="eastAsia" w:asciiTheme="minorEastAsia" w:hAnsiTheme="minorEastAsia" w:eastAsiaTheme="minorEastAsia" w:cstheme="minorEastAsia"/>
                <w:color w:val="FFFFFF"/>
                <w:vertAlign w:val="baseline"/>
                <w:lang w:val="en-US" w:eastAsia="zh-CN"/>
              </w:rPr>
            </w:pPr>
          </w:p>
        </w:tc>
        <w:tc>
          <w:tcPr>
            <w:tcW w:w="2363" w:type="dxa"/>
            <w:tcBorders>
              <w:top w:val="single" w:color="4F81BD" w:sz="8" w:space="0"/>
              <w:left w:val="dotted" w:color="auto" w:sz="4" w:space="0"/>
              <w:bottom w:val="single" w:color="FFFFFF" w:sz="18" w:space="0"/>
              <w:right w:val="dotted" w:color="auto" w:sz="4" w:space="0"/>
            </w:tcBorders>
            <w:shd w:val="clear" w:color="auto" w:fill="4F81BD"/>
            <w:vAlign w:val="center"/>
          </w:tcPr>
          <w:p w14:paraId="222FD991">
            <w:pPr>
              <w:pStyle w:val="7"/>
              <w:jc w:val="center"/>
              <w:rPr>
                <w:rFonts w:hint="eastAsia" w:asciiTheme="minorEastAsia" w:hAnsiTheme="minorEastAsia" w:eastAsiaTheme="minorEastAsia" w:cstheme="minorEastAsia"/>
                <w:color w:val="FFFFFF"/>
                <w:vertAlign w:val="baseline"/>
                <w:lang w:val="en-US" w:eastAsia="zh-CN"/>
              </w:rPr>
            </w:pPr>
            <w:r>
              <w:rPr>
                <w:rFonts w:hint="eastAsia" w:asciiTheme="minorEastAsia" w:hAnsiTheme="minorEastAsia" w:eastAsiaTheme="minorEastAsia" w:cstheme="minorEastAsia"/>
                <w:color w:val="FFFFFF"/>
                <w:vertAlign w:val="baseline"/>
                <w:lang w:val="en-US" w:eastAsia="zh-CN"/>
              </w:rPr>
              <w:t>2023年</w:t>
            </w:r>
          </w:p>
        </w:tc>
        <w:tc>
          <w:tcPr>
            <w:tcW w:w="2015" w:type="dxa"/>
            <w:tcBorders>
              <w:top w:val="single" w:color="4F81BD" w:sz="8" w:space="0"/>
              <w:left w:val="dotted" w:color="auto" w:sz="4" w:space="0"/>
              <w:bottom w:val="single" w:color="FFFFFF" w:sz="18" w:space="0"/>
              <w:right w:val="dotted" w:color="auto" w:sz="4" w:space="0"/>
            </w:tcBorders>
            <w:shd w:val="clear" w:color="auto" w:fill="4F81BD"/>
            <w:vAlign w:val="center"/>
          </w:tcPr>
          <w:p w14:paraId="754432BF">
            <w:pPr>
              <w:pStyle w:val="7"/>
              <w:jc w:val="center"/>
              <w:rPr>
                <w:rFonts w:hint="eastAsia" w:asciiTheme="minorEastAsia" w:hAnsiTheme="minorEastAsia" w:eastAsiaTheme="minorEastAsia" w:cstheme="minorEastAsia"/>
                <w:color w:val="FFFFFF"/>
                <w:vertAlign w:val="baseline"/>
                <w:lang w:val="en-US" w:eastAsia="zh-CN"/>
              </w:rPr>
            </w:pPr>
            <w:r>
              <w:rPr>
                <w:rFonts w:hint="eastAsia" w:asciiTheme="minorEastAsia" w:hAnsiTheme="minorEastAsia" w:eastAsiaTheme="minorEastAsia" w:cstheme="minorEastAsia"/>
                <w:color w:val="FFFFFF"/>
                <w:vertAlign w:val="baseline"/>
                <w:lang w:val="en-US" w:eastAsia="zh-CN"/>
              </w:rPr>
              <w:t>2024年</w:t>
            </w:r>
          </w:p>
        </w:tc>
      </w:tr>
      <w:tr w14:paraId="3430D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2" w:type="dxa"/>
            <w:tcBorders>
              <w:top w:val="single" w:color="FFFFFF" w:sz="18" w:space="0"/>
              <w:left w:val="single" w:color="4F81BD" w:sz="8" w:space="0"/>
              <w:bottom w:val="dotted" w:color="auto" w:sz="4" w:space="0"/>
              <w:right w:val="dotted" w:color="auto" w:sz="4" w:space="0"/>
            </w:tcBorders>
            <w:shd w:val="clear" w:color="auto" w:fill="95B3D7"/>
            <w:vAlign w:val="center"/>
          </w:tcPr>
          <w:p w14:paraId="5B4E8091">
            <w:pPr>
              <w:pStyle w:val="7"/>
              <w:jc w:val="center"/>
              <w:rPr>
                <w:rFonts w:hint="eastAsia" w:asciiTheme="minorEastAsia" w:hAnsiTheme="minorEastAsia" w:eastAsiaTheme="minorEastAsia" w:cstheme="minorEastAsia"/>
                <w:color w:val="FFFFFF"/>
                <w:vertAlign w:val="baseline"/>
                <w:lang w:val="en-US" w:eastAsia="zh-CN"/>
              </w:rPr>
            </w:pPr>
            <w:r>
              <w:rPr>
                <w:rFonts w:hint="eastAsia" w:asciiTheme="minorEastAsia" w:hAnsiTheme="minorEastAsia" w:eastAsiaTheme="minorEastAsia" w:cstheme="minorEastAsia"/>
                <w:color w:val="FFFFFF"/>
                <w:vertAlign w:val="baseline"/>
                <w:lang w:val="en-US" w:eastAsia="zh-CN"/>
              </w:rPr>
              <w:t>学生文化基础课合格率（%）</w:t>
            </w:r>
          </w:p>
        </w:tc>
        <w:tc>
          <w:tcPr>
            <w:tcW w:w="2363" w:type="dxa"/>
            <w:tcBorders>
              <w:top w:val="single" w:color="FFFFFF" w:sz="18" w:space="0"/>
              <w:left w:val="dotted" w:color="auto" w:sz="4" w:space="0"/>
              <w:bottom w:val="dotted" w:color="auto" w:sz="4" w:space="0"/>
              <w:right w:val="dotted" w:color="auto" w:sz="4" w:space="0"/>
            </w:tcBorders>
            <w:shd w:val="clear" w:color="auto" w:fill="95B3D7"/>
            <w:vAlign w:val="center"/>
          </w:tcPr>
          <w:p w14:paraId="55268258">
            <w:pPr>
              <w:pStyle w:val="7"/>
              <w:jc w:val="center"/>
              <w:rPr>
                <w:rFonts w:hint="eastAsia" w:asciiTheme="minorEastAsia" w:hAnsiTheme="minorEastAsia" w:eastAsiaTheme="minorEastAsia" w:cstheme="minorEastAsia"/>
                <w:color w:val="FFFFFF"/>
                <w:vertAlign w:val="baseline"/>
                <w:lang w:val="en-US" w:eastAsia="zh-CN"/>
              </w:rPr>
            </w:pPr>
            <w:r>
              <w:rPr>
                <w:rFonts w:hint="eastAsia" w:asciiTheme="minorEastAsia" w:hAnsiTheme="minorEastAsia" w:eastAsiaTheme="minorEastAsia" w:cstheme="minorEastAsia"/>
                <w:color w:val="FFFFFF"/>
                <w:vertAlign w:val="baseline"/>
                <w:lang w:val="en-US" w:eastAsia="zh-CN"/>
              </w:rPr>
              <w:t>92.53</w:t>
            </w:r>
          </w:p>
        </w:tc>
        <w:tc>
          <w:tcPr>
            <w:tcW w:w="2015" w:type="dxa"/>
            <w:tcBorders>
              <w:top w:val="single" w:color="FFFFFF" w:sz="18" w:space="0"/>
              <w:left w:val="dotted" w:color="auto" w:sz="4" w:space="0"/>
              <w:bottom w:val="dotted" w:color="auto" w:sz="4" w:space="0"/>
              <w:right w:val="dotted" w:color="auto" w:sz="4" w:space="0"/>
            </w:tcBorders>
            <w:shd w:val="clear" w:color="auto" w:fill="95B3D7"/>
            <w:vAlign w:val="center"/>
          </w:tcPr>
          <w:p w14:paraId="73378539">
            <w:pPr>
              <w:pStyle w:val="7"/>
              <w:jc w:val="center"/>
              <w:rPr>
                <w:rFonts w:hint="eastAsia" w:asciiTheme="minorEastAsia" w:hAnsiTheme="minorEastAsia" w:eastAsiaTheme="minorEastAsia" w:cstheme="minorEastAsia"/>
                <w:color w:val="FFFFFF"/>
                <w:vertAlign w:val="baseline"/>
                <w:lang w:val="en-US" w:eastAsia="zh-CN"/>
              </w:rPr>
            </w:pPr>
            <w:r>
              <w:rPr>
                <w:rFonts w:hint="eastAsia" w:asciiTheme="minorEastAsia" w:hAnsiTheme="minorEastAsia" w:eastAsiaTheme="minorEastAsia" w:cstheme="minorEastAsia"/>
                <w:color w:val="FFFFFF"/>
                <w:vertAlign w:val="baseline"/>
                <w:lang w:val="en-US" w:eastAsia="zh-CN"/>
              </w:rPr>
              <w:t>95.55</w:t>
            </w:r>
          </w:p>
        </w:tc>
      </w:tr>
      <w:tr w14:paraId="6FF61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2" w:type="dxa"/>
            <w:tcBorders>
              <w:top w:val="dotted" w:color="auto" w:sz="4" w:space="0"/>
              <w:left w:val="single" w:color="4F81BD" w:sz="8" w:space="0"/>
              <w:bottom w:val="dotted" w:color="auto" w:sz="4" w:space="0"/>
              <w:right w:val="dotted" w:color="auto" w:sz="4" w:space="0"/>
            </w:tcBorders>
            <w:shd w:val="clear" w:color="auto" w:fill="4F81BD"/>
            <w:vAlign w:val="center"/>
          </w:tcPr>
          <w:p w14:paraId="6307F02A">
            <w:pPr>
              <w:pStyle w:val="7"/>
              <w:jc w:val="center"/>
              <w:rPr>
                <w:rFonts w:hint="eastAsia" w:asciiTheme="minorEastAsia" w:hAnsiTheme="minorEastAsia" w:eastAsiaTheme="minorEastAsia" w:cstheme="minorEastAsia"/>
                <w:color w:val="FFFFFF"/>
                <w:vertAlign w:val="baseline"/>
                <w:lang w:val="en-US" w:eastAsia="zh-CN"/>
              </w:rPr>
            </w:pPr>
            <w:r>
              <w:rPr>
                <w:rFonts w:hint="eastAsia" w:asciiTheme="minorEastAsia" w:hAnsiTheme="minorEastAsia" w:eastAsiaTheme="minorEastAsia" w:cstheme="minorEastAsia"/>
                <w:color w:val="FFFFFF"/>
                <w:vertAlign w:val="baseline"/>
                <w:lang w:val="en-US" w:eastAsia="zh-CN"/>
              </w:rPr>
              <w:t>学生体质测评合格率（%）</w:t>
            </w:r>
          </w:p>
        </w:tc>
        <w:tc>
          <w:tcPr>
            <w:tcW w:w="2363" w:type="dxa"/>
            <w:tcBorders>
              <w:top w:val="dotted" w:color="auto" w:sz="4" w:space="0"/>
              <w:left w:val="dotted" w:color="auto" w:sz="4" w:space="0"/>
              <w:bottom w:val="dotted" w:color="auto" w:sz="4" w:space="0"/>
              <w:right w:val="dotted" w:color="auto" w:sz="4" w:space="0"/>
            </w:tcBorders>
            <w:shd w:val="clear" w:color="auto" w:fill="4F81BD"/>
            <w:vAlign w:val="center"/>
          </w:tcPr>
          <w:p w14:paraId="077D8393">
            <w:pPr>
              <w:keepNext w:val="0"/>
              <w:keepLines w:val="0"/>
              <w:widowControl/>
              <w:suppressLineNumbers w:val="0"/>
              <w:jc w:val="center"/>
              <w:rPr>
                <w:rFonts w:hint="eastAsia" w:asciiTheme="minorEastAsia" w:hAnsiTheme="minorEastAsia" w:eastAsiaTheme="minorEastAsia" w:cstheme="minorEastAsia"/>
                <w:color w:val="FFFFFF"/>
                <w:vertAlign w:val="baseline"/>
                <w:lang w:val="en-US" w:eastAsia="zh-CN"/>
              </w:rPr>
            </w:pPr>
            <w:r>
              <w:rPr>
                <w:rFonts w:hint="eastAsia" w:asciiTheme="minorEastAsia" w:hAnsiTheme="minorEastAsia" w:eastAsiaTheme="minorEastAsia" w:cstheme="minorEastAsia"/>
                <w:b/>
                <w:bCs/>
                <w:color w:val="FFFFFF"/>
                <w:spacing w:val="0"/>
                <w:kern w:val="2"/>
                <w:sz w:val="21"/>
                <w:szCs w:val="24"/>
                <w:vertAlign w:val="baseline"/>
                <w:lang w:val="en-US" w:eastAsia="zh-CN" w:bidi="ar-SA"/>
              </w:rPr>
              <w:t>89.35</w:t>
            </w:r>
          </w:p>
        </w:tc>
        <w:tc>
          <w:tcPr>
            <w:tcW w:w="2015" w:type="dxa"/>
            <w:tcBorders>
              <w:top w:val="dotted" w:color="auto" w:sz="4" w:space="0"/>
              <w:left w:val="dotted" w:color="auto" w:sz="4" w:space="0"/>
              <w:bottom w:val="dotted" w:color="auto" w:sz="4" w:space="0"/>
              <w:right w:val="dotted" w:color="auto" w:sz="4" w:space="0"/>
            </w:tcBorders>
            <w:shd w:val="clear" w:color="auto" w:fill="4F81BD"/>
            <w:vAlign w:val="center"/>
          </w:tcPr>
          <w:p w14:paraId="7E29E9A0">
            <w:pPr>
              <w:pStyle w:val="7"/>
              <w:jc w:val="center"/>
              <w:rPr>
                <w:rFonts w:hint="eastAsia" w:asciiTheme="minorEastAsia" w:hAnsiTheme="minorEastAsia" w:eastAsiaTheme="minorEastAsia" w:cstheme="minorEastAsia"/>
                <w:color w:val="FFFFFF"/>
                <w:vertAlign w:val="baseline"/>
                <w:lang w:val="en-US" w:eastAsia="zh-CN"/>
              </w:rPr>
            </w:pPr>
            <w:r>
              <w:rPr>
                <w:rFonts w:hint="eastAsia" w:asciiTheme="minorEastAsia" w:hAnsiTheme="minorEastAsia" w:eastAsiaTheme="minorEastAsia" w:cstheme="minorEastAsia"/>
                <w:color w:val="FFFFFF" w:themeColor="background1"/>
                <w:vertAlign w:val="baseline"/>
                <w:lang w:val="en-US" w:eastAsia="zh-CN"/>
                <w14:textFill>
                  <w14:solidFill>
                    <w14:schemeClr w14:val="bg1"/>
                  </w14:solidFill>
                </w14:textFill>
              </w:rPr>
              <w:t>86.91</w:t>
            </w:r>
          </w:p>
        </w:tc>
      </w:tr>
    </w:tbl>
    <w:p w14:paraId="68C09B4F">
      <w:pPr>
        <w:pStyle w:val="6"/>
        <w:keepNext w:val="0"/>
        <w:keepLines w:val="0"/>
        <w:pageBreakBefore w:val="0"/>
        <w:widowControl w:val="0"/>
        <w:kinsoku/>
        <w:wordWrap/>
        <w:overflowPunct/>
        <w:topLinePunct w:val="0"/>
        <w:autoSpaceDE/>
        <w:autoSpaceDN/>
        <w:bidi w:val="0"/>
        <w:adjustRightInd/>
        <w:snapToGrid/>
        <w:spacing w:after="157" w:afterLines="50"/>
        <w:ind w:left="0" w:leftChars="0" w:firstLine="0" w:firstLineChars="0"/>
        <w:jc w:val="both"/>
        <w:textAlignment w:val="auto"/>
        <w:rPr>
          <w:rFonts w:hint="eastAsia" w:asciiTheme="minorEastAsia" w:hAnsiTheme="minorEastAsia" w:eastAsiaTheme="minorEastAsia" w:cstheme="minorEastAsia"/>
          <w:sz w:val="21"/>
          <w:szCs w:val="21"/>
          <w:lang w:val="en-US" w:eastAsia="zh-CN"/>
        </w:rPr>
      </w:pPr>
    </w:p>
    <w:p w14:paraId="41FE1184">
      <w:pPr>
        <w:pStyle w:val="6"/>
        <w:ind w:left="0" w:leftChars="0" w:firstLine="0" w:firstLineChars="0"/>
        <w:jc w:val="center"/>
        <w:rPr>
          <w:rFonts w:hint="eastAsia" w:eastAsiaTheme="minorEastAsia"/>
          <w:lang w:eastAsia="zh-CN"/>
        </w:rPr>
      </w:pPr>
      <w:r>
        <w:rPr>
          <w:rFonts w:hint="eastAsia" w:eastAsiaTheme="minorEastAsia"/>
          <w:lang w:eastAsia="zh-CN"/>
        </w:rPr>
        <w:drawing>
          <wp:inline distT="0" distB="0" distL="114300" distR="114300">
            <wp:extent cx="4285615" cy="2545080"/>
            <wp:effectExtent l="4445" t="4445" r="15240" b="22225"/>
            <wp:docPr id="42" name="图表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E421D92">
      <w:pPr>
        <w:pStyle w:val="29"/>
        <w:bidi w:val="0"/>
        <w:rPr>
          <w:rFonts w:hint="eastAsia"/>
          <w:lang w:val="en-US" w:eastAsia="zh-CN"/>
        </w:rPr>
      </w:pPr>
      <w:bookmarkStart w:id="71" w:name="_Toc25328"/>
      <w:r>
        <w:rPr>
          <w:rFonts w:hint="eastAsia"/>
          <w:lang w:val="en-US" w:eastAsia="zh-CN"/>
        </w:rPr>
        <w:t>数据分析图5：朝阳市中职学生素质测评图</w:t>
      </w:r>
      <w:bookmarkEnd w:id="71"/>
    </w:p>
    <w:p w14:paraId="38FF90A8">
      <w:pPr>
        <w:pStyle w:val="5"/>
        <w:keepNext/>
        <w:keepLines/>
        <w:pageBreakBefore w:val="0"/>
        <w:widowControl w:val="0"/>
        <w:kinsoku/>
        <w:wordWrap/>
        <w:overflowPunct/>
        <w:topLinePunct w:val="0"/>
        <w:autoSpaceDE/>
        <w:autoSpaceDN/>
        <w:bidi w:val="0"/>
        <w:adjustRightInd/>
        <w:snapToGrid/>
        <w:ind w:left="0" w:leftChars="0" w:firstLine="0" w:firstLineChars="0"/>
        <w:jc w:val="left"/>
        <w:textAlignment w:val="auto"/>
        <w:outlineLvl w:val="1"/>
        <w:rPr>
          <w:rFonts w:hint="eastAsia" w:ascii="楷体" w:hAnsi="楷体" w:eastAsia="楷体" w:cs="楷体"/>
          <w:lang w:val="en-US" w:eastAsia="zh-CN"/>
        </w:rPr>
      </w:pPr>
      <w:bookmarkStart w:id="72" w:name="_Toc24712"/>
      <w:bookmarkStart w:id="73" w:name="_Toc1665"/>
      <w:r>
        <w:rPr>
          <w:rFonts w:hint="eastAsia" w:ascii="楷体" w:hAnsi="楷体" w:eastAsia="楷体" w:cs="楷体"/>
          <w:lang w:val="en-US" w:eastAsia="zh-CN"/>
        </w:rPr>
        <w:t>典型案例 1：</w:t>
      </w:r>
      <w:bookmarkEnd w:id="72"/>
      <w:bookmarkEnd w:id="73"/>
    </w:p>
    <w:p w14:paraId="4887A637">
      <w:pPr>
        <w:pStyle w:val="5"/>
        <w:keepNext/>
        <w:keepLines/>
        <w:pageBreakBefore w:val="0"/>
        <w:widowControl w:val="0"/>
        <w:kinsoku/>
        <w:wordWrap/>
        <w:overflowPunct/>
        <w:topLinePunct w:val="0"/>
        <w:autoSpaceDE/>
        <w:autoSpaceDN/>
        <w:bidi w:val="0"/>
        <w:adjustRightInd/>
        <w:snapToGrid/>
        <w:ind w:left="0" w:leftChars="0" w:firstLine="0" w:firstLineChars="0"/>
        <w:textAlignment w:val="auto"/>
        <w:rPr>
          <w:rFonts w:hint="eastAsia" w:ascii="Arial" w:hAnsi="Arial"/>
          <w:b/>
          <w:lang w:val="en-US" w:eastAsia="zh-CN"/>
        </w:rPr>
      </w:pPr>
      <w:bookmarkStart w:id="74" w:name="_Toc354548092_WPSOffice_Level3"/>
      <w:bookmarkStart w:id="75" w:name="_Toc26863"/>
      <w:r>
        <w:rPr>
          <w:rFonts w:hint="eastAsia" w:ascii="Arial" w:hAnsi="Arial"/>
          <w:b/>
          <w:lang w:val="en-US" w:eastAsia="zh-CN"/>
        </w:rPr>
        <w:t>抓住契机，提升德育品质</w:t>
      </w:r>
      <w:bookmarkEnd w:id="74"/>
      <w:bookmarkEnd w:id="75"/>
    </w:p>
    <w:p w14:paraId="6D36A36A">
      <w:pPr>
        <w:keepNext w:val="0"/>
        <w:keepLines w:val="0"/>
        <w:pageBreakBefore w:val="0"/>
        <w:widowControl/>
        <w:suppressLineNumbers w:val="0"/>
        <w:kinsoku/>
        <w:wordWrap/>
        <w:overflowPunct/>
        <w:topLinePunct w:val="0"/>
        <w:autoSpaceDE/>
        <w:autoSpaceDN/>
        <w:bidi w:val="0"/>
        <w:adjustRightInd/>
        <w:snapToGrid/>
        <w:spacing w:line="520" w:lineRule="exact"/>
        <w:jc w:val="right"/>
        <w:textAlignment w:val="auto"/>
        <w:rPr>
          <w:rFonts w:hint="eastAsia" w:ascii="楷体" w:hAnsi="楷体" w:eastAsia="楷体" w:cs="楷体"/>
          <w:color w:val="000000"/>
          <w:kern w:val="0"/>
          <w:sz w:val="28"/>
          <w:szCs w:val="28"/>
          <w:lang w:val="en-US" w:eastAsia="zh-CN" w:bidi="ar"/>
        </w:rPr>
      </w:pPr>
      <w:r>
        <w:rPr>
          <w:rFonts w:hint="eastAsia" w:ascii="楷体" w:hAnsi="楷体" w:eastAsia="楷体" w:cs="楷体"/>
          <w:color w:val="000000"/>
          <w:kern w:val="0"/>
          <w:sz w:val="30"/>
          <w:szCs w:val="30"/>
          <w:lang w:val="en-US" w:eastAsia="zh-CN" w:bidi="ar"/>
        </w:rPr>
        <w:t>——建平县职教中心育人典型案例</w:t>
      </w:r>
    </w:p>
    <w:p w14:paraId="0DFAFD75">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pacing w:val="0"/>
          <w:kern w:val="2"/>
          <w:sz w:val="32"/>
          <w:szCs w:val="32"/>
          <w:lang w:val="en-US" w:eastAsia="zh-CN" w:bidi="ar-SA"/>
        </w:rPr>
      </w:pPr>
      <w:r>
        <w:rPr>
          <w:rFonts w:hint="eastAsia" w:ascii="Times New Roman" w:hAnsi="Times New Roman" w:eastAsia="仿宋_GB2312" w:cstheme="minorBidi"/>
          <w:b/>
          <w:bCs/>
          <w:spacing w:val="0"/>
          <w:kern w:val="2"/>
          <w:sz w:val="32"/>
          <w:szCs w:val="32"/>
          <w:lang w:val="en-US" w:eastAsia="zh-CN" w:bidi="ar-SA"/>
        </w:rPr>
        <w:t>背景：</w:t>
      </w:r>
      <w:r>
        <w:rPr>
          <w:rFonts w:hint="eastAsia" w:ascii="Times New Roman" w:hAnsi="Times New Roman" w:eastAsia="仿宋_GB2312" w:cstheme="minorBidi"/>
          <w:b w:val="0"/>
          <w:bCs w:val="0"/>
          <w:spacing w:val="0"/>
          <w:kern w:val="2"/>
          <w:sz w:val="32"/>
          <w:szCs w:val="32"/>
          <w:lang w:val="en-US" w:eastAsia="zh-CN" w:bidi="ar-SA"/>
        </w:rPr>
        <w:t>五</w:t>
      </w:r>
      <w:r>
        <w:rPr>
          <w:rFonts w:hint="eastAsia" w:ascii="仿宋_GB2312" w:hAnsi="仿宋_GB2312" w:eastAsia="仿宋_GB2312" w:cs="仿宋_GB2312"/>
          <w:b w:val="0"/>
          <w:bCs w:val="0"/>
          <w:spacing w:val="0"/>
          <w:kern w:val="2"/>
          <w:sz w:val="32"/>
          <w:szCs w:val="32"/>
          <w:lang w:val="en-US" w:eastAsia="zh-CN" w:bidi="ar-SA"/>
        </w:rPr>
        <w:t xml:space="preserve">育并举，德育是重中之重，特别是中职学校，面对学生底子较薄，性格多样性等问题，德育工作开展起来尤为困难。为了提升学校德育质量，建平县职业教育中心抓契机，积极推进2345德育模式。 </w:t>
      </w:r>
    </w:p>
    <w:p w14:paraId="31B64BEC">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Times New Roman" w:hAnsi="Times New Roman" w:eastAsia="仿宋_GB2312" w:cstheme="minorBidi"/>
          <w:b w:val="0"/>
          <w:bCs w:val="0"/>
          <w:spacing w:val="0"/>
          <w:kern w:val="2"/>
          <w:sz w:val="32"/>
          <w:szCs w:val="32"/>
          <w:lang w:val="en-US" w:eastAsia="zh-CN" w:bidi="ar-SA"/>
        </w:rPr>
      </w:pPr>
      <w:r>
        <w:rPr>
          <w:rFonts w:hint="eastAsia" w:ascii="Times New Roman" w:hAnsi="Times New Roman" w:eastAsia="仿宋_GB2312" w:cstheme="minorBidi"/>
          <w:b/>
          <w:bCs/>
          <w:spacing w:val="0"/>
          <w:kern w:val="2"/>
          <w:sz w:val="32"/>
          <w:szCs w:val="32"/>
          <w:lang w:val="en-US" w:eastAsia="zh-CN" w:bidi="ar-SA"/>
        </w:rPr>
        <w:t>过程与方法：</w:t>
      </w:r>
      <w:r>
        <w:rPr>
          <w:rFonts w:hint="eastAsia" w:ascii="Times New Roman" w:hAnsi="Times New Roman" w:eastAsia="仿宋_GB2312" w:cstheme="minorBidi"/>
          <w:b w:val="0"/>
          <w:bCs w:val="0"/>
          <w:spacing w:val="0"/>
          <w:kern w:val="2"/>
          <w:sz w:val="32"/>
          <w:szCs w:val="32"/>
          <w:lang w:val="en-US" w:eastAsia="zh-CN" w:bidi="ar-SA"/>
        </w:rPr>
        <w:t>组织学生参观牛河梁考古遗址公园，让学生更全面的了解家乡，增强学生对家乡热爱之情，积极引导学生树立服务县域经济发展，助力乡村振兴的意识；抓住雷锋广场落成这一契机，全面开展弘扬雷锋精神活动，志愿服务队带领各班参观雷锋广场，他们主动承担讲解任务，让学生深入了解雷锋事迹，体会雷锋精神的内涵；组织学生参观学校建校四十周年校史馆，让学生认识到学校由弱到强是一个多么艰辛的历程，尤其是一代代建平</w:t>
      </w:r>
      <w:r>
        <w:rPr>
          <w:rFonts w:hint="eastAsia" w:ascii="Times New Roman" w:hAnsi="Times New Roman" w:eastAsia="仿宋_GB2312" w:cstheme="minorBidi"/>
          <w:b w:val="0"/>
          <w:bCs w:val="0"/>
          <w:spacing w:val="-6"/>
          <w:kern w:val="2"/>
          <w:sz w:val="32"/>
          <w:szCs w:val="32"/>
          <w:lang w:val="en-US" w:eastAsia="zh-CN" w:bidi="ar-SA"/>
        </w:rPr>
        <w:t>职教人的执着与奉献更让学生感动，增强了学生对学校的归属感。</w:t>
      </w:r>
      <w:r>
        <w:rPr>
          <w:rFonts w:hint="eastAsia" w:ascii="Times New Roman" w:hAnsi="Times New Roman" w:eastAsia="仿宋_GB2312" w:cstheme="minorBidi"/>
          <w:b w:val="0"/>
          <w:bCs w:val="0"/>
          <w:spacing w:val="0"/>
          <w:kern w:val="2"/>
          <w:sz w:val="32"/>
          <w:szCs w:val="32"/>
          <w:lang w:val="en-US" w:eastAsia="zh-CN" w:bidi="ar-SA"/>
        </w:rPr>
        <w:t xml:space="preserve"> </w:t>
      </w:r>
    </w:p>
    <w:p w14:paraId="651C9E64">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pacing w:val="0"/>
          <w:kern w:val="2"/>
          <w:sz w:val="32"/>
          <w:szCs w:val="32"/>
          <w:lang w:val="en-US" w:eastAsia="zh-CN" w:bidi="ar-SA"/>
        </w:rPr>
      </w:pPr>
      <w:r>
        <w:rPr>
          <w:rFonts w:hint="eastAsia" w:ascii="Times New Roman" w:hAnsi="Times New Roman" w:eastAsia="仿宋_GB2312" w:cstheme="minorBidi"/>
          <w:b/>
          <w:bCs/>
          <w:spacing w:val="0"/>
          <w:kern w:val="2"/>
          <w:sz w:val="32"/>
          <w:szCs w:val="32"/>
          <w:lang w:val="en-US" w:eastAsia="zh-CN" w:bidi="ar-SA"/>
        </w:rPr>
        <w:t>成效：</w:t>
      </w:r>
      <w:r>
        <w:rPr>
          <w:rFonts w:hint="eastAsia" w:ascii="仿宋_GB2312" w:hAnsi="仿宋_GB2312" w:eastAsia="仿宋_GB2312" w:cs="仿宋_GB2312"/>
          <w:b w:val="0"/>
          <w:bCs w:val="0"/>
          <w:spacing w:val="0"/>
          <w:kern w:val="2"/>
          <w:sz w:val="32"/>
          <w:szCs w:val="32"/>
          <w:lang w:val="en-US" w:eastAsia="zh-CN" w:bidi="ar-SA"/>
        </w:rPr>
        <w:t xml:space="preserve">学校抓住一切契机，推进2345德育模式，基本达成一年成型，二年成人，三年成才的育人目标，收到了良好的德育效果，使学校的德育品质有了很大的提升。为学生培养良好的道德素养、积极的竞技精神、勤奋的学习态度和守法的意识提供了坚实的基础。 </w:t>
      </w:r>
    </w:p>
    <w:p w14:paraId="08C229B9">
      <w:pPr>
        <w:pStyle w:val="2"/>
        <w:bidi w:val="0"/>
        <w:ind w:left="0" w:leftChars="0" w:firstLine="643" w:firstLineChars="200"/>
        <w:rPr>
          <w:rFonts w:hint="eastAsia" w:ascii="楷体" w:hAnsi="楷体" w:eastAsia="楷体" w:cs="楷体"/>
          <w:b/>
          <w:bCs w:val="0"/>
          <w:sz w:val="32"/>
          <w:szCs w:val="32"/>
          <w:lang w:val="en-US" w:eastAsia="zh-CN"/>
        </w:rPr>
      </w:pPr>
      <w:bookmarkStart w:id="76" w:name="_Toc18654"/>
      <w:r>
        <w:rPr>
          <w:rFonts w:hint="eastAsia" w:ascii="楷体" w:hAnsi="楷体" w:eastAsia="楷体" w:cs="楷体"/>
          <w:b/>
          <w:bCs w:val="0"/>
          <w:sz w:val="32"/>
          <w:szCs w:val="32"/>
          <w:lang w:val="en-US" w:eastAsia="zh-CN"/>
        </w:rPr>
        <w:t>2.2多样成长</w:t>
      </w:r>
      <w:bookmarkEnd w:id="76"/>
    </w:p>
    <w:p w14:paraId="691053D3">
      <w:pPr>
        <w:pStyle w:val="4"/>
        <w:keepNext/>
        <w:keepLines/>
        <w:pageBreakBefore w:val="0"/>
        <w:widowControl w:val="0"/>
        <w:kinsoku/>
        <w:wordWrap/>
        <w:overflowPunct/>
        <w:topLinePunct w:val="0"/>
        <w:autoSpaceDE/>
        <w:autoSpaceDN/>
        <w:bidi w:val="0"/>
        <w:adjustRightInd/>
        <w:snapToGrid/>
        <w:ind w:firstLine="643" w:firstLineChars="200"/>
        <w:textAlignment w:val="auto"/>
        <w:rPr>
          <w:rFonts w:hint="eastAsia" w:ascii="仿宋_GB2312" w:hAnsi="仿宋_GB2312" w:eastAsia="仿宋_GB2312" w:cs="仿宋_GB2312"/>
          <w:sz w:val="32"/>
          <w:szCs w:val="32"/>
          <w:lang w:val="en-US" w:eastAsia="zh-CN"/>
        </w:rPr>
      </w:pPr>
      <w:bookmarkStart w:id="77" w:name="_Toc850688253_WPSOffice_Level3"/>
      <w:bookmarkStart w:id="78" w:name="_Toc3002"/>
      <w:r>
        <w:rPr>
          <w:rFonts w:hint="eastAsia" w:ascii="仿宋_GB2312" w:hAnsi="仿宋_GB2312" w:eastAsia="仿宋_GB2312" w:cs="仿宋_GB2312"/>
          <w:sz w:val="32"/>
          <w:szCs w:val="32"/>
          <w:lang w:val="en-US" w:eastAsia="zh-CN"/>
        </w:rPr>
        <w:t>2.2.1心理健康教育</w:t>
      </w:r>
      <w:bookmarkEnd w:id="77"/>
      <w:bookmarkEnd w:id="78"/>
    </w:p>
    <w:p w14:paraId="124C029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Times New Roman" w:hAnsi="Times New Roman" w:eastAsia="仿宋_GB2312" w:cstheme="minorBidi"/>
          <w:b w:val="0"/>
          <w:bCs w:val="0"/>
          <w:spacing w:val="0"/>
          <w:kern w:val="2"/>
          <w:sz w:val="32"/>
          <w:szCs w:val="32"/>
          <w:lang w:val="en-US" w:eastAsia="zh-CN" w:bidi="ar-SA"/>
        </w:rPr>
      </w:pPr>
      <w:r>
        <w:rPr>
          <w:rFonts w:hint="eastAsia" w:ascii="Times New Roman" w:hAnsi="Times New Roman" w:eastAsia="仿宋_GB2312" w:cstheme="minorBidi"/>
          <w:b w:val="0"/>
          <w:bCs w:val="0"/>
          <w:spacing w:val="0"/>
          <w:kern w:val="2"/>
          <w:sz w:val="32"/>
          <w:szCs w:val="32"/>
          <w:lang w:val="en-US" w:eastAsia="zh-CN" w:bidi="ar-SA"/>
        </w:rPr>
        <w:t>为加强中职生心理健康教育，提高中职生心理健康水平，指导各中等职业学校成立“心理健康中心”，及时做好学生的心理疏导工作，使学生正确认识自我，增强调控自我、承受挫折、适应环境的能力，培养学生健全的人格和良好的个性心理品质。</w:t>
      </w:r>
    </w:p>
    <w:p w14:paraId="7F461710">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Times New Roman" w:hAnsi="Times New Roman" w:eastAsia="仿宋_GB2312" w:cstheme="minorBidi"/>
          <w:b w:val="0"/>
          <w:bCs w:val="0"/>
          <w:spacing w:val="0"/>
          <w:kern w:val="2"/>
          <w:sz w:val="32"/>
          <w:szCs w:val="32"/>
          <w:lang w:val="en-US" w:eastAsia="zh-CN" w:bidi="ar-SA"/>
        </w:rPr>
      </w:pPr>
      <w:r>
        <w:rPr>
          <w:rFonts w:hint="eastAsia" w:ascii="Times New Roman" w:hAnsi="Times New Roman" w:eastAsia="仿宋_GB2312" w:cstheme="minorBidi"/>
          <w:b/>
          <w:bCs/>
          <w:spacing w:val="0"/>
          <w:kern w:val="2"/>
          <w:sz w:val="32"/>
          <w:szCs w:val="32"/>
          <w:lang w:val="en-US" w:eastAsia="zh-CN" w:bidi="ar-SA"/>
        </w:rPr>
        <w:t>一是压实工作责任。</w:t>
      </w:r>
      <w:r>
        <w:rPr>
          <w:rFonts w:hint="eastAsia" w:ascii="Times New Roman" w:hAnsi="Times New Roman" w:eastAsia="仿宋_GB2312" w:cstheme="minorBidi"/>
          <w:b w:val="0"/>
          <w:bCs w:val="0"/>
          <w:spacing w:val="0"/>
          <w:kern w:val="2"/>
          <w:sz w:val="32"/>
          <w:szCs w:val="32"/>
          <w:lang w:val="en-US" w:eastAsia="zh-CN" w:bidi="ar-SA"/>
        </w:rPr>
        <w:t>指导各校成立心理健康教育与危机干预工作领导小组，强化党政主要负责人、心理健康教师、班主任的工作责任，注重发挥任课教师作用，分层分级开展好学生心理健康工作。支持各校运用信息技术手段，密切关注学生心理健康状况，定期开展心理健康测评，针对中职学生身心发展规律、技术技能人才成长规律，科学研判可能存在突出问题的领域，重点加强心理监测。</w:t>
      </w:r>
    </w:p>
    <w:p w14:paraId="48E221C0">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pacing w:val="0"/>
          <w:kern w:val="2"/>
          <w:sz w:val="32"/>
          <w:szCs w:val="32"/>
          <w:lang w:val="en-US" w:eastAsia="zh-CN" w:bidi="ar-SA"/>
        </w:rPr>
      </w:pPr>
      <w:r>
        <w:rPr>
          <w:rFonts w:hint="eastAsia" w:ascii="Times New Roman" w:hAnsi="Times New Roman" w:eastAsia="仿宋_GB2312" w:cstheme="minorBidi"/>
          <w:b/>
          <w:bCs/>
          <w:spacing w:val="0"/>
          <w:kern w:val="2"/>
          <w:sz w:val="32"/>
          <w:szCs w:val="32"/>
          <w:lang w:val="en-US" w:eastAsia="zh-CN" w:bidi="ar-SA"/>
        </w:rPr>
        <w:t>二是开设心理健康课程。</w:t>
      </w:r>
      <w:r>
        <w:rPr>
          <w:rFonts w:hint="eastAsia" w:ascii="Times New Roman" w:hAnsi="Times New Roman" w:eastAsia="仿宋_GB2312" w:cstheme="minorBidi"/>
          <w:b w:val="0"/>
          <w:bCs w:val="0"/>
          <w:spacing w:val="0"/>
          <w:kern w:val="2"/>
          <w:sz w:val="32"/>
          <w:szCs w:val="32"/>
          <w:lang w:val="en-US" w:eastAsia="zh-CN" w:bidi="ar-SA"/>
        </w:rPr>
        <w:t>指导各校依据学生特点，严格根据</w:t>
      </w:r>
      <w:r>
        <w:rPr>
          <w:rFonts w:hint="eastAsia" w:ascii="仿宋_GB2312" w:hAnsi="仿宋_GB2312" w:eastAsia="仿宋_GB2312" w:cs="仿宋_GB2312"/>
          <w:b w:val="0"/>
          <w:bCs w:val="0"/>
          <w:spacing w:val="0"/>
          <w:kern w:val="2"/>
          <w:sz w:val="32"/>
          <w:szCs w:val="32"/>
          <w:lang w:val="en-US" w:eastAsia="zh-CN" w:bidi="ar-SA"/>
        </w:rPr>
        <w:t>大纲要求，制定完整的教学安排，按规定开足思想政治课“心理健康与职业生涯”基础模块36学时，充分发挥课堂教学主渠道作用，扎实推进心理健康教育。同时注重多学科联动效应，其他学科授课过程中加强心理健康教育及德育的思想渗透，提升心理健康教育工作的协同提升能力。</w:t>
      </w:r>
    </w:p>
    <w:p w14:paraId="3604AE9C">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Times New Roman" w:hAnsi="Times New Roman" w:eastAsia="仿宋_GB2312" w:cstheme="minorBidi"/>
          <w:b w:val="0"/>
          <w:bCs w:val="0"/>
          <w:spacing w:val="0"/>
          <w:kern w:val="2"/>
          <w:sz w:val="32"/>
          <w:szCs w:val="32"/>
          <w:lang w:val="en-US" w:eastAsia="zh-CN" w:bidi="ar-SA"/>
        </w:rPr>
      </w:pPr>
      <w:r>
        <w:rPr>
          <w:rFonts w:hint="eastAsia" w:ascii="Times New Roman" w:hAnsi="Times New Roman" w:eastAsia="仿宋_GB2312" w:cstheme="minorBidi"/>
          <w:b/>
          <w:bCs/>
          <w:spacing w:val="0"/>
          <w:kern w:val="2"/>
          <w:sz w:val="32"/>
          <w:szCs w:val="32"/>
          <w:lang w:val="en-US" w:eastAsia="zh-CN" w:bidi="ar-SA"/>
        </w:rPr>
        <w:t>三是建立初期心理筛查与长期心理预警防控体系。</w:t>
      </w:r>
      <w:r>
        <w:rPr>
          <w:rFonts w:hint="eastAsia" w:ascii="Times New Roman" w:hAnsi="Times New Roman" w:eastAsia="仿宋_GB2312" w:cstheme="minorBidi"/>
          <w:b w:val="0"/>
          <w:bCs w:val="0"/>
          <w:spacing w:val="0"/>
          <w:kern w:val="2"/>
          <w:sz w:val="32"/>
          <w:szCs w:val="32"/>
          <w:lang w:val="en-US" w:eastAsia="zh-CN" w:bidi="ar-SA"/>
        </w:rPr>
        <w:t>期初，指导各校对新生的心理状况进行摸底，排查心理问题严重的学生。之后由专业心理咨询师对有心理问题倾向的学生进行针对性的咨询和辅导，对于心理问题较轻的学生，及时联系学生家长并做好个案跟踪处理，包括出校入院诊疗等措施，对于心理问题较轻的学生则由学校心理健康教师进行专门心理辅导，引导学生积极克服挫折，提升自信心，以期融入学习生活。紧抓开学季、实习季、毕业季等重要时间节点，结合职业生涯规划教育和“未来工匠”读书行动等，引导中职生正确认识挫折与困难，树立正确的就业观念，保持积极健康的心理状态。</w:t>
      </w:r>
    </w:p>
    <w:p w14:paraId="7DD19900">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Times New Roman" w:hAnsi="Times New Roman" w:eastAsia="仿宋_GB2312" w:cstheme="minorBidi"/>
          <w:b w:val="0"/>
          <w:bCs w:val="0"/>
          <w:spacing w:val="0"/>
          <w:kern w:val="2"/>
          <w:sz w:val="32"/>
          <w:szCs w:val="32"/>
          <w:lang w:val="en-US" w:eastAsia="zh-CN" w:bidi="ar-SA"/>
        </w:rPr>
      </w:pPr>
      <w:r>
        <w:rPr>
          <w:rFonts w:hint="eastAsia" w:ascii="Times New Roman" w:hAnsi="Times New Roman" w:eastAsia="仿宋_GB2312" w:cstheme="minorBidi"/>
          <w:b/>
          <w:bCs/>
          <w:spacing w:val="0"/>
          <w:kern w:val="2"/>
          <w:sz w:val="32"/>
          <w:szCs w:val="32"/>
          <w:lang w:val="en-US" w:eastAsia="zh-CN" w:bidi="ar-SA"/>
        </w:rPr>
        <w:t>四是举办多样化心理专项活动。</w:t>
      </w:r>
      <w:r>
        <w:rPr>
          <w:rFonts w:hint="eastAsia" w:ascii="Times New Roman" w:hAnsi="Times New Roman" w:eastAsia="仿宋_GB2312" w:cstheme="minorBidi"/>
          <w:b w:val="0"/>
          <w:bCs w:val="0"/>
          <w:spacing w:val="0"/>
          <w:kern w:val="2"/>
          <w:sz w:val="32"/>
          <w:szCs w:val="32"/>
          <w:lang w:val="en-US" w:eastAsia="zh-CN" w:bidi="ar-SA"/>
        </w:rPr>
        <w:t>将“心理健康测试题”问卷纳入“新生入学教育”，针对中职生心理特点，将可能存在突出问题的领域重点加强监测，并对测评调查结果给出反馈，做好心理问卷的调查分析，更客观地了解学生的心理状况，对有需要心理介入的专业做出积极关注。同时支持各校开展预防性的心理教育讲座和心理健康班会。利用“全国中学生心理健康日”等机会，通过开发心理沙盘游戏等形式，多渠道开展心理健康教育活动，引导学生正确认识求学阶段，所学专业和未来可能从事职业，树立正确人生理想，保持积极健康的心理状态，帮助学生处理生活、学习和人际交往中所发生的冲突。</w:t>
      </w:r>
    </w:p>
    <w:p w14:paraId="488FE5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仿宋_GB2312" w:cstheme="minorBidi"/>
          <w:b w:val="0"/>
          <w:bCs w:val="0"/>
          <w:spacing w:val="0"/>
          <w:kern w:val="2"/>
          <w:sz w:val="32"/>
          <w:szCs w:val="32"/>
          <w:lang w:val="en-US" w:eastAsia="zh-CN" w:bidi="ar-SA"/>
        </w:rPr>
      </w:pPr>
      <w:r>
        <w:rPr>
          <w:rFonts w:hint="eastAsia" w:ascii="Times New Roman" w:hAnsi="Times New Roman" w:eastAsia="仿宋_GB2312" w:cstheme="minorBidi"/>
          <w:b w:val="0"/>
          <w:bCs w:val="0"/>
          <w:spacing w:val="0"/>
          <w:kern w:val="2"/>
          <w:sz w:val="32"/>
          <w:szCs w:val="32"/>
          <w:lang w:val="en-US" w:eastAsia="zh-CN" w:bidi="ar-SA"/>
        </w:rPr>
        <w:drawing>
          <wp:inline distT="0" distB="0" distL="114300" distR="114300">
            <wp:extent cx="4716145" cy="2555875"/>
            <wp:effectExtent l="0" t="0" r="8255" b="15875"/>
            <wp:docPr id="72" name="图片 72" descr="C:\Users\ASUS\Desktop\心理.png心理"/>
            <wp:cNvGraphicFramePr/>
            <a:graphic xmlns:a="http://schemas.openxmlformats.org/drawingml/2006/main">
              <a:graphicData uri="http://schemas.openxmlformats.org/drawingml/2006/picture">
                <pic:pic xmlns:pic="http://schemas.openxmlformats.org/drawingml/2006/picture">
                  <pic:nvPicPr>
                    <pic:cNvPr id="72" name="图片 72" descr="C:\Users\ASUS\Desktop\心理.png心理"/>
                    <pic:cNvPicPr/>
                  </pic:nvPicPr>
                  <pic:blipFill>
                    <a:blip r:embed="rId25"/>
                    <a:srcRect/>
                    <a:stretch>
                      <a:fillRect/>
                    </a:stretch>
                  </pic:blipFill>
                  <pic:spPr>
                    <a:xfrm>
                      <a:off x="0" y="0"/>
                      <a:ext cx="4716145" cy="2555875"/>
                    </a:xfrm>
                    <a:prstGeom prst="rect">
                      <a:avLst/>
                    </a:prstGeom>
                  </pic:spPr>
                </pic:pic>
              </a:graphicData>
            </a:graphic>
          </wp:inline>
        </w:drawing>
      </w:r>
    </w:p>
    <w:p w14:paraId="330E7B4D">
      <w:pPr>
        <w:pStyle w:val="14"/>
        <w:bidi w:val="0"/>
        <w:jc w:val="center"/>
        <w:rPr>
          <w:rFonts w:hint="eastAsia"/>
          <w:lang w:val="en-US" w:eastAsia="zh-CN"/>
        </w:rPr>
      </w:pPr>
      <w:bookmarkStart w:id="79" w:name="_Toc11965"/>
      <w:bookmarkStart w:id="80" w:name="_Toc21777"/>
      <w:bookmarkStart w:id="81" w:name="_Toc14173"/>
      <w:bookmarkStart w:id="82" w:name="_Toc163"/>
      <w:r>
        <w:rPr>
          <w:rFonts w:hint="eastAsia"/>
          <w:lang w:val="en-US" w:eastAsia="zh-CN"/>
        </w:rPr>
        <w:t>图11：心理健康教育课堂（来源：建平县职教中心）</w:t>
      </w:r>
      <w:bookmarkEnd w:id="79"/>
      <w:bookmarkEnd w:id="80"/>
      <w:bookmarkEnd w:id="81"/>
      <w:bookmarkEnd w:id="82"/>
    </w:p>
    <w:p w14:paraId="1C2AF8D4">
      <w:pPr>
        <w:pStyle w:val="4"/>
        <w:keepNext/>
        <w:keepLines/>
        <w:pageBreakBefore w:val="0"/>
        <w:widowControl w:val="0"/>
        <w:kinsoku/>
        <w:wordWrap/>
        <w:overflowPunct/>
        <w:topLinePunct w:val="0"/>
        <w:autoSpaceDE/>
        <w:autoSpaceDN/>
        <w:bidi w:val="0"/>
        <w:adjustRightInd/>
        <w:snapToGrid/>
        <w:ind w:firstLine="643" w:firstLineChars="200"/>
        <w:textAlignment w:val="auto"/>
        <w:rPr>
          <w:rFonts w:hint="eastAsia" w:ascii="仿宋_GB2312" w:hAnsi="仿宋_GB2312" w:eastAsia="仿宋_GB2312" w:cs="仿宋_GB2312"/>
          <w:sz w:val="32"/>
          <w:szCs w:val="32"/>
          <w:lang w:val="en-US" w:eastAsia="zh-CN"/>
        </w:rPr>
      </w:pPr>
      <w:bookmarkStart w:id="83" w:name="_Toc24319"/>
      <w:bookmarkStart w:id="84" w:name="_Toc650615135_WPSOffice_Level3"/>
      <w:r>
        <w:rPr>
          <w:rFonts w:hint="eastAsia" w:ascii="仿宋_GB2312" w:hAnsi="仿宋_GB2312" w:eastAsia="仿宋_GB2312" w:cs="仿宋_GB2312"/>
          <w:sz w:val="32"/>
          <w:szCs w:val="32"/>
          <w:lang w:val="en-US" w:eastAsia="zh-CN"/>
        </w:rPr>
        <w:t>2.2.2学生社团建设</w:t>
      </w:r>
      <w:bookmarkEnd w:id="83"/>
      <w:bookmarkEnd w:id="84"/>
    </w:p>
    <w:p w14:paraId="0F53F0D8">
      <w:pPr>
        <w:pStyle w:val="15"/>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jc w:val="left"/>
        <w:textAlignment w:val="auto"/>
        <w:rPr>
          <w:rFonts w:hint="eastAsia"/>
          <w:lang w:val="en-US" w:eastAsia="zh-CN"/>
        </w:rPr>
      </w:pPr>
      <w:r>
        <w:rPr>
          <w:rFonts w:hint="eastAsia" w:ascii="仿宋_GB2312" w:hAnsi="仿宋_GB2312" w:eastAsia="仿宋_GB2312" w:cs="仿宋_GB2312"/>
          <w:b w:val="0"/>
          <w:bCs w:val="0"/>
          <w:spacing w:val="0"/>
          <w:kern w:val="2"/>
          <w:sz w:val="32"/>
          <w:szCs w:val="32"/>
          <w:lang w:val="en-US" w:eastAsia="zh-CN" w:bidi="ar-SA"/>
        </w:rPr>
        <w:t>鼓励各校组建学生社团，根据学生的兴趣爱好和发展需要，组建涵括运动项目、文娱项目、书法演讲、棋事竞赛等多类别的学生社团，参与社团活动学生近3000余人。各校选拔具有特殊专长和责任心的教师兼任社团负责人，鼓励、动员学生积极参加社团活动，并对学生参与情况进行综合评价。学校统一安排时间，保证社团开课时间和开课时数，对社团组建和运行情况进行监督</w:t>
      </w:r>
      <w:r>
        <w:rPr>
          <w:rFonts w:hint="eastAsia" w:ascii="Times New Roman" w:hAnsi="Times New Roman" w:eastAsia="仿宋_GB2312" w:cstheme="minorBidi"/>
          <w:b w:val="0"/>
          <w:bCs w:val="0"/>
          <w:spacing w:val="0"/>
          <w:kern w:val="2"/>
          <w:sz w:val="32"/>
          <w:szCs w:val="32"/>
          <w:lang w:val="en-US" w:eastAsia="zh-CN" w:bidi="ar-SA"/>
        </w:rPr>
        <w:t>和指导，确保社团活动的质量和效果。指导各校及时发现社团活动过程中的优秀典型，把活动中涌现出来的优秀作品、活动照片、学生习作、教学案例、经典题型、课外知识等以文字、图片、照片等形式及时在社团阵地中展示出来，激发各社团学生的活动积极性与参与热情。</w:t>
      </w:r>
    </w:p>
    <w:p w14:paraId="59F62618">
      <w:pPr>
        <w:jc w:val="center"/>
        <w:rPr>
          <w:rFonts w:hint="eastAsia"/>
          <w:lang w:val="en-US" w:eastAsia="zh-CN"/>
        </w:rPr>
      </w:pPr>
      <w:r>
        <w:rPr>
          <w:rFonts w:hint="eastAsia"/>
          <w:lang w:val="en-US" w:eastAsia="zh-CN"/>
        </w:rPr>
        <w:drawing>
          <wp:inline distT="0" distB="0" distL="114300" distR="114300">
            <wp:extent cx="4592955" cy="2955925"/>
            <wp:effectExtent l="0" t="0" r="17145" b="15875"/>
            <wp:docPr id="22" name="图片 22" descr="花艺"/>
            <wp:cNvGraphicFramePr/>
            <a:graphic xmlns:a="http://schemas.openxmlformats.org/drawingml/2006/main">
              <a:graphicData uri="http://schemas.openxmlformats.org/drawingml/2006/picture">
                <pic:pic xmlns:pic="http://schemas.openxmlformats.org/drawingml/2006/picture">
                  <pic:nvPicPr>
                    <pic:cNvPr id="22" name="图片 22" descr="花艺"/>
                    <pic:cNvPicPr/>
                  </pic:nvPicPr>
                  <pic:blipFill>
                    <a:blip r:embed="rId26"/>
                    <a:stretch>
                      <a:fillRect/>
                    </a:stretch>
                  </pic:blipFill>
                  <pic:spPr>
                    <a:xfrm>
                      <a:off x="0" y="0"/>
                      <a:ext cx="4592955" cy="2955925"/>
                    </a:xfrm>
                    <a:prstGeom prst="rect">
                      <a:avLst/>
                    </a:prstGeom>
                  </pic:spPr>
                </pic:pic>
              </a:graphicData>
            </a:graphic>
          </wp:inline>
        </w:drawing>
      </w:r>
    </w:p>
    <w:p w14:paraId="5A3A4A11">
      <w:pPr>
        <w:pStyle w:val="14"/>
        <w:bidi w:val="0"/>
        <w:jc w:val="center"/>
        <w:rPr>
          <w:rFonts w:hint="eastAsia"/>
          <w:lang w:val="en-US" w:eastAsia="zh-CN"/>
        </w:rPr>
      </w:pPr>
      <w:bookmarkStart w:id="85" w:name="_Toc24184"/>
      <w:bookmarkStart w:id="86" w:name="_Toc20834"/>
      <w:bookmarkStart w:id="87" w:name="_Toc3360"/>
      <w:bookmarkStart w:id="88" w:name="_Toc22497"/>
      <w:r>
        <w:rPr>
          <w:rFonts w:hint="eastAsia"/>
          <w:lang w:val="en-US" w:eastAsia="zh-CN"/>
        </w:rPr>
        <w:t>图12：花艺社团活动（来源：朝阳工程技术学校）</w:t>
      </w:r>
      <w:bookmarkEnd w:id="85"/>
      <w:bookmarkEnd w:id="86"/>
      <w:bookmarkEnd w:id="87"/>
      <w:bookmarkEnd w:id="88"/>
    </w:p>
    <w:p w14:paraId="6F7F931F">
      <w:pPr>
        <w:pStyle w:val="5"/>
        <w:keepNext/>
        <w:keepLines/>
        <w:pageBreakBefore w:val="0"/>
        <w:widowControl w:val="0"/>
        <w:kinsoku/>
        <w:wordWrap/>
        <w:overflowPunct/>
        <w:topLinePunct w:val="0"/>
        <w:autoSpaceDE/>
        <w:autoSpaceDN/>
        <w:bidi w:val="0"/>
        <w:adjustRightInd/>
        <w:snapToGrid/>
        <w:ind w:left="0" w:leftChars="0" w:firstLine="0" w:firstLineChars="0"/>
        <w:jc w:val="left"/>
        <w:textAlignment w:val="auto"/>
        <w:outlineLvl w:val="1"/>
        <w:rPr>
          <w:rFonts w:hint="eastAsia" w:ascii="楷体" w:hAnsi="楷体" w:eastAsia="楷体" w:cs="楷体"/>
          <w:b/>
          <w:lang w:val="en-US" w:eastAsia="zh-CN"/>
        </w:rPr>
      </w:pPr>
      <w:bookmarkStart w:id="89" w:name="_Toc9046"/>
      <w:bookmarkStart w:id="90" w:name="_Toc32005"/>
      <w:r>
        <w:rPr>
          <w:rFonts w:hint="eastAsia" w:ascii="楷体" w:hAnsi="楷体" w:eastAsia="楷体" w:cs="楷体"/>
          <w:b/>
          <w:lang w:val="en-US" w:eastAsia="zh-CN"/>
        </w:rPr>
        <w:t>典型案例 2：</w:t>
      </w:r>
      <w:bookmarkEnd w:id="89"/>
      <w:bookmarkEnd w:id="90"/>
    </w:p>
    <w:p w14:paraId="1B71139A">
      <w:pPr>
        <w:pStyle w:val="5"/>
        <w:keepNext/>
        <w:keepLines/>
        <w:pageBreakBefore w:val="0"/>
        <w:widowControl w:val="0"/>
        <w:kinsoku/>
        <w:wordWrap/>
        <w:overflowPunct/>
        <w:topLinePunct w:val="0"/>
        <w:autoSpaceDE/>
        <w:autoSpaceDN/>
        <w:bidi w:val="0"/>
        <w:adjustRightInd/>
        <w:snapToGrid/>
        <w:ind w:left="0" w:leftChars="0" w:firstLine="0" w:firstLineChars="0"/>
        <w:textAlignment w:val="auto"/>
        <w:rPr>
          <w:rFonts w:hint="eastAsia" w:ascii="Arial" w:hAnsi="Arial"/>
          <w:b/>
          <w:lang w:val="en-US" w:eastAsia="zh-CN"/>
        </w:rPr>
      </w:pPr>
      <w:bookmarkStart w:id="91" w:name="_Toc1406054913_WPSOffice_Level3"/>
      <w:bookmarkStart w:id="92" w:name="_Toc16465"/>
      <w:r>
        <w:rPr>
          <w:rFonts w:hint="eastAsia" w:ascii="Arial" w:hAnsi="Arial"/>
          <w:b/>
          <w:lang w:val="en-US" w:eastAsia="zh-CN"/>
        </w:rPr>
        <w:t>传承文化，墨香育人</w:t>
      </w:r>
      <w:bookmarkEnd w:id="91"/>
      <w:bookmarkEnd w:id="92"/>
    </w:p>
    <w:p w14:paraId="65110602">
      <w:pPr>
        <w:keepNext w:val="0"/>
        <w:keepLines w:val="0"/>
        <w:pageBreakBefore w:val="0"/>
        <w:widowControl/>
        <w:suppressLineNumbers w:val="0"/>
        <w:kinsoku/>
        <w:wordWrap/>
        <w:overflowPunct/>
        <w:topLinePunct w:val="0"/>
        <w:autoSpaceDE/>
        <w:autoSpaceDN/>
        <w:bidi w:val="0"/>
        <w:adjustRightInd/>
        <w:snapToGrid/>
        <w:jc w:val="right"/>
        <w:textAlignment w:val="auto"/>
        <w:rPr>
          <w:rFonts w:hint="eastAsia" w:ascii="楷体" w:hAnsi="楷体" w:eastAsia="楷体" w:cs="楷体"/>
          <w:color w:val="000000"/>
          <w:kern w:val="0"/>
          <w:sz w:val="30"/>
          <w:szCs w:val="30"/>
          <w:lang w:val="en-US" w:eastAsia="zh-CN" w:bidi="ar"/>
        </w:rPr>
      </w:pPr>
      <w:r>
        <w:rPr>
          <w:rFonts w:hint="eastAsia" w:ascii="楷体" w:hAnsi="楷体" w:eastAsia="楷体" w:cs="楷体"/>
          <w:color w:val="000000"/>
          <w:kern w:val="0"/>
          <w:sz w:val="30"/>
          <w:szCs w:val="30"/>
          <w:lang w:val="en-US" w:eastAsia="zh-CN" w:bidi="ar"/>
        </w:rPr>
        <w:t xml:space="preserve">——建平县职教中心育人典型案例 </w:t>
      </w:r>
    </w:p>
    <w:p w14:paraId="42E9D7AF">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Times New Roman" w:hAnsi="Times New Roman" w:eastAsia="仿宋_GB2312" w:cstheme="minorBidi"/>
          <w:b w:val="0"/>
          <w:bCs w:val="0"/>
          <w:spacing w:val="0"/>
          <w:kern w:val="2"/>
          <w:sz w:val="32"/>
          <w:szCs w:val="32"/>
          <w:lang w:val="en-US" w:eastAsia="zh-CN" w:bidi="ar-SA"/>
        </w:rPr>
      </w:pPr>
      <w:r>
        <w:rPr>
          <w:rFonts w:hint="eastAsia" w:ascii="Times New Roman" w:hAnsi="Times New Roman" w:eastAsia="仿宋_GB2312" w:cstheme="minorBidi"/>
          <w:b/>
          <w:bCs/>
          <w:spacing w:val="0"/>
          <w:kern w:val="2"/>
          <w:sz w:val="32"/>
          <w:szCs w:val="32"/>
          <w:lang w:val="en-US" w:eastAsia="zh-CN" w:bidi="ar-SA"/>
        </w:rPr>
        <w:t>背景：</w:t>
      </w:r>
      <w:r>
        <w:rPr>
          <w:rFonts w:hint="eastAsia" w:ascii="Times New Roman" w:hAnsi="Times New Roman" w:eastAsia="仿宋_GB2312" w:cstheme="minorBidi"/>
          <w:b w:val="0"/>
          <w:bCs w:val="0"/>
          <w:spacing w:val="0"/>
          <w:kern w:val="2"/>
          <w:sz w:val="32"/>
          <w:szCs w:val="32"/>
          <w:lang w:val="en-US" w:eastAsia="zh-CN" w:bidi="ar-SA"/>
        </w:rPr>
        <w:t xml:space="preserve">在传统文化复兴和素质教育日益受到重视的背景下，建平县职业教育中心认识到书法作为中国传统文化的重要组成部分，通过成立书法社团，实行书法教育培养学生的审美情趣、耐心细致和文化自信，让学生在继承和发扬传统文化的同时，提升个人艺术修养和综合素质。 </w:t>
      </w:r>
    </w:p>
    <w:p w14:paraId="41657EF3">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Times New Roman" w:hAnsi="Times New Roman" w:eastAsia="仿宋_GB2312" w:cstheme="minorBidi"/>
          <w:b w:val="0"/>
          <w:bCs w:val="0"/>
          <w:spacing w:val="0"/>
          <w:kern w:val="2"/>
          <w:sz w:val="32"/>
          <w:szCs w:val="32"/>
          <w:lang w:val="en-US" w:eastAsia="zh-CN" w:bidi="ar-SA"/>
        </w:rPr>
      </w:pPr>
      <w:r>
        <w:rPr>
          <w:rFonts w:hint="eastAsia" w:ascii="Times New Roman" w:hAnsi="Times New Roman" w:eastAsia="仿宋_GB2312" w:cstheme="minorBidi"/>
          <w:b/>
          <w:bCs/>
          <w:spacing w:val="0"/>
          <w:kern w:val="2"/>
          <w:sz w:val="32"/>
          <w:szCs w:val="32"/>
          <w:lang w:val="en-US" w:eastAsia="zh-CN" w:bidi="ar-SA"/>
        </w:rPr>
        <w:t>过程与方法：</w:t>
      </w:r>
      <w:r>
        <w:rPr>
          <w:rFonts w:hint="eastAsia" w:ascii="Times New Roman" w:hAnsi="Times New Roman" w:eastAsia="仿宋_GB2312" w:cstheme="minorBidi"/>
          <w:b w:val="0"/>
          <w:bCs w:val="0"/>
          <w:spacing w:val="0"/>
          <w:kern w:val="2"/>
          <w:sz w:val="32"/>
          <w:szCs w:val="32"/>
          <w:lang w:val="en-US" w:eastAsia="zh-CN" w:bidi="ar-SA"/>
        </w:rPr>
        <w:t>书法社团的成立和运作过程中，学校采取了多</w:t>
      </w:r>
      <w:r>
        <w:rPr>
          <w:rFonts w:hint="eastAsia" w:ascii="仿宋_GB2312" w:hAnsi="仿宋_GB2312" w:eastAsia="仿宋_GB2312" w:cs="仿宋_GB2312"/>
          <w:b w:val="0"/>
          <w:bCs w:val="0"/>
          <w:spacing w:val="0"/>
          <w:kern w:val="2"/>
          <w:sz w:val="32"/>
          <w:szCs w:val="32"/>
          <w:lang w:val="en-US" w:eastAsia="zh-CN" w:bidi="ar-SA"/>
        </w:rPr>
        <w:t>元化的方法。首先，安排了2名专业的书法教师，定期为社团成员提供专业的书法指导和教学。其次，社团活动内容丰富，包括书法理论学习、名家作品欣赏、书法技巧训练等，旨在全面提升学生的书法素养。此外，鼓励学生参与校内外的书法比赛和展览，以实践促学习，增强学生的实战经验和自信心。社团还定期</w:t>
      </w:r>
      <w:r>
        <w:rPr>
          <w:rFonts w:hint="eastAsia" w:ascii="Times New Roman" w:hAnsi="Times New Roman" w:eastAsia="仿宋_GB2312" w:cstheme="minorBidi"/>
          <w:b w:val="0"/>
          <w:bCs w:val="0"/>
          <w:spacing w:val="0"/>
          <w:kern w:val="2"/>
          <w:sz w:val="32"/>
          <w:szCs w:val="32"/>
          <w:lang w:val="en-US" w:eastAsia="zh-CN" w:bidi="ar-SA"/>
        </w:rPr>
        <w:t>组织书法作品的展示和交流活动，为学生提供一个展示自我、相互学习和交流的平台。</w:t>
      </w:r>
    </w:p>
    <w:p w14:paraId="0EA4FF3B">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pacing w:val="0"/>
          <w:kern w:val="2"/>
          <w:sz w:val="32"/>
          <w:szCs w:val="32"/>
          <w:lang w:val="en-US" w:eastAsia="zh-CN" w:bidi="ar-SA"/>
        </w:rPr>
      </w:pPr>
      <w:r>
        <w:rPr>
          <w:rFonts w:hint="eastAsia" w:ascii="Times New Roman" w:hAnsi="Times New Roman" w:eastAsia="仿宋_GB2312" w:cstheme="minorBidi"/>
          <w:b/>
          <w:bCs/>
          <w:spacing w:val="0"/>
          <w:kern w:val="2"/>
          <w:sz w:val="32"/>
          <w:szCs w:val="32"/>
          <w:lang w:val="en-US" w:eastAsia="zh-CN" w:bidi="ar-SA"/>
        </w:rPr>
        <w:t>成效</w:t>
      </w:r>
      <w:r>
        <w:rPr>
          <w:rFonts w:hint="eastAsia" w:ascii="Times New Roman" w:hAnsi="Times New Roman" w:eastAsia="仿宋_GB2312" w:cstheme="minorBidi"/>
          <w:b w:val="0"/>
          <w:bCs w:val="0"/>
          <w:spacing w:val="0"/>
          <w:kern w:val="2"/>
          <w:sz w:val="32"/>
          <w:szCs w:val="32"/>
          <w:lang w:val="en-US" w:eastAsia="zh-CN" w:bidi="ar-SA"/>
        </w:rPr>
        <w:t>：通</w:t>
      </w:r>
      <w:r>
        <w:rPr>
          <w:rFonts w:hint="eastAsia" w:ascii="仿宋_GB2312" w:hAnsi="仿宋_GB2312" w:eastAsia="仿宋_GB2312" w:cs="仿宋_GB2312"/>
          <w:b w:val="0"/>
          <w:bCs w:val="0"/>
          <w:spacing w:val="0"/>
          <w:kern w:val="2"/>
          <w:sz w:val="32"/>
          <w:szCs w:val="32"/>
          <w:lang w:val="en-US" w:eastAsia="zh-CN" w:bidi="ar-SA"/>
        </w:rPr>
        <w:t xml:space="preserve">过书法社团的系列活动，学生的书法技能得到了显著提升，多名学生在省市级书法比赛中获奖，社团的影响力和认可度也随之提高。学生的文化自信和审美情趣得到了增强，书法社团成为了学校文化建设的一大亮点。此外，社团活动还促进了学生之间的交流与合作，增强了团队协作能力。书法社团的成功运作，不仅丰富了校园文化生活，也为学生提供了一个展示才华和提升自我价值的平台。 </w:t>
      </w:r>
    </w:p>
    <w:p w14:paraId="59032D5E">
      <w:pPr>
        <w:pStyle w:val="2"/>
        <w:bidi w:val="0"/>
        <w:ind w:left="0" w:leftChars="0" w:firstLine="643" w:firstLineChars="200"/>
        <w:rPr>
          <w:rFonts w:hint="eastAsia" w:ascii="楷体" w:hAnsi="楷体" w:eastAsia="楷体" w:cs="楷体"/>
          <w:b/>
          <w:bCs w:val="0"/>
          <w:sz w:val="32"/>
          <w:szCs w:val="32"/>
          <w:lang w:val="en-US" w:eastAsia="zh-CN"/>
        </w:rPr>
      </w:pPr>
      <w:bookmarkStart w:id="93" w:name="_Toc9935"/>
      <w:r>
        <w:rPr>
          <w:rFonts w:hint="eastAsia" w:ascii="楷体" w:hAnsi="楷体" w:eastAsia="楷体" w:cs="楷体"/>
          <w:b/>
          <w:bCs w:val="0"/>
          <w:sz w:val="32"/>
          <w:szCs w:val="32"/>
          <w:lang w:val="en-US" w:eastAsia="zh-CN"/>
        </w:rPr>
        <w:t>2.3技能成才</w:t>
      </w:r>
      <w:bookmarkEnd w:id="93"/>
    </w:p>
    <w:p w14:paraId="3F9F0629">
      <w:pPr>
        <w:keepNext w:val="0"/>
        <w:keepLines w:val="0"/>
        <w:pageBreakBefore w:val="0"/>
        <w:kinsoku/>
        <w:wordWrap/>
        <w:overflowPunct/>
        <w:topLinePunct w:val="0"/>
        <w:autoSpaceDE/>
        <w:autoSpaceDN/>
        <w:bidi w:val="0"/>
        <w:adjustRightInd/>
        <w:snapToGrid/>
        <w:spacing w:beforeAutospacing="0" w:afterAutospacing="0" w:line="53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b w:val="0"/>
          <w:bCs w:val="0"/>
          <w:spacing w:val="0"/>
          <w:kern w:val="2"/>
          <w:sz w:val="32"/>
          <w:szCs w:val="32"/>
          <w:lang w:val="en-US" w:eastAsia="zh-CN" w:bidi="ar-SA"/>
        </w:rPr>
        <w:t>对接国省赛事标准，组织开展朝阳市第十三届中等职业学校技能大赛，大赛以“强技能 育人才 创未来”为主题，全面落实“以赛促教、以赛促学、以赛促改、以赛促建”的办赛宗旨，为全市中等职业学校师生提供展示专业技能，互相切磋，共同进步的交流平台。本次大赛区分教师组与学生组，教师组设汽车修理、电气安装与维护、计算机平面设计3个比赛项目。学生组设汽车修理、电气安装与维护、数控技术、焊接技术、畜禽生产技术、</w:t>
      </w:r>
      <w:r>
        <w:rPr>
          <w:rFonts w:hint="eastAsia" w:ascii="仿宋_GB2312" w:hAnsi="仿宋_GB2312" w:eastAsia="仿宋_GB2312" w:cs="仿宋_GB2312"/>
          <w:b w:val="0"/>
          <w:bCs w:val="0"/>
          <w:spacing w:val="-6"/>
          <w:kern w:val="2"/>
          <w:sz w:val="32"/>
          <w:szCs w:val="32"/>
          <w:lang w:val="en-US" w:eastAsia="zh-CN" w:bidi="ar-SA"/>
        </w:rPr>
        <w:t>零部件测绘与CAD成图技术、计算机平面设计、网络搭建与应用、电子商务技能、幼儿保育技能、护理技能11个赛项。经过初赛选拔、学校推荐，340名师生参加本次市级技能大</w:t>
      </w:r>
      <w:r>
        <w:rPr>
          <w:rFonts w:hint="eastAsia" w:ascii="仿宋_GB2312" w:hAnsi="仿宋_GB2312" w:eastAsia="仿宋_GB2312" w:cs="仿宋_GB2312"/>
          <w:sz w:val="32"/>
          <w:szCs w:val="32"/>
          <w:lang w:val="en-US" w:eastAsia="zh-CN"/>
        </w:rPr>
        <w:t>赛（见表5、6）。</w:t>
      </w:r>
      <w:r>
        <w:rPr>
          <w:rFonts w:hint="eastAsia" w:ascii="仿宋_GB2312" w:hAnsi="仿宋_GB2312" w:eastAsia="仿宋_GB2312" w:cs="仿宋_GB2312"/>
          <w:b w:val="0"/>
          <w:bCs w:val="0"/>
          <w:spacing w:val="-6"/>
          <w:kern w:val="2"/>
          <w:sz w:val="32"/>
          <w:szCs w:val="32"/>
          <w:lang w:val="en-US" w:eastAsia="zh-CN" w:bidi="ar-SA"/>
        </w:rPr>
        <w:t>同时，积极参加</w:t>
      </w:r>
      <w:r>
        <w:rPr>
          <w:rFonts w:hint="eastAsia" w:ascii="仿宋_GB2312" w:hAnsi="仿宋_GB2312" w:eastAsia="仿宋_GB2312" w:cs="仿宋_GB2312"/>
          <w:sz w:val="32"/>
          <w:szCs w:val="32"/>
          <w:lang w:val="en-US" w:eastAsia="zh-CN"/>
        </w:rPr>
        <w:t>全省第二十一届职业院校技能大赛和第二届职业技能大赛，我市职业院校共获得一等奖4项、二等奖10项、三等奖46项。</w:t>
      </w:r>
    </w:p>
    <w:p w14:paraId="578B7AD4">
      <w:pPr>
        <w:pStyle w:val="28"/>
        <w:bidi w:val="0"/>
        <w:rPr>
          <w:rFonts w:hint="eastAsia"/>
          <w:lang w:val="en-US" w:eastAsia="zh-CN"/>
        </w:rPr>
      </w:pPr>
      <w:bookmarkStart w:id="94" w:name="_Toc23446"/>
      <w:bookmarkStart w:id="95" w:name="_Toc7254"/>
      <w:r>
        <w:rPr>
          <w:rFonts w:hint="eastAsia"/>
          <w:lang w:val="en-US" w:eastAsia="zh-CN"/>
        </w:rPr>
        <w:t>数据分析表5：技能大赛教师赛项参与情况统计表</w:t>
      </w:r>
      <w:bookmarkEnd w:id="94"/>
      <w:bookmarkEnd w:id="95"/>
    </w:p>
    <w:p w14:paraId="5EC75B19">
      <w:pPr>
        <w:pStyle w:val="28"/>
        <w:bidi w:val="0"/>
        <w:jc w:val="both"/>
        <w:rPr>
          <w:rFonts w:hint="eastAsia"/>
          <w:lang w:val="en-US" w:eastAsia="zh-CN"/>
        </w:rPr>
      </w:pPr>
    </w:p>
    <w:tbl>
      <w:tblPr>
        <w:tblStyle w:val="20"/>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1"/>
        <w:gridCol w:w="1533"/>
        <w:gridCol w:w="2467"/>
        <w:gridCol w:w="2511"/>
      </w:tblGrid>
      <w:tr w14:paraId="23EED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2011" w:type="dxa"/>
            <w:tcBorders>
              <w:top w:val="single" w:color="FFFFFF" w:sz="4" w:space="0"/>
              <w:left w:val="single" w:color="FFFFFF" w:sz="4" w:space="0"/>
              <w:bottom w:val="single" w:color="FFFFFF" w:sz="4" w:space="0"/>
              <w:right w:val="single" w:color="FFFFFF" w:sz="4" w:space="0"/>
              <w:tl2br w:val="nil"/>
            </w:tcBorders>
            <w:shd w:val="clear" w:color="auto" w:fill="5B9BD5"/>
            <w:vAlign w:val="center"/>
          </w:tcPr>
          <w:p w14:paraId="7814D898">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b/>
                <w:color w:val="FFFFFF"/>
                <w:sz w:val="24"/>
                <w:szCs w:val="24"/>
                <w:vertAlign w:val="baseline"/>
                <w:lang w:val="en-US" w:eastAsia="zh-CN"/>
              </w:rPr>
            </w:pPr>
            <w:r>
              <w:rPr>
                <w:rFonts w:hint="eastAsia"/>
                <w:b/>
                <w:color w:val="FFFFFF"/>
                <w:sz w:val="24"/>
                <w:szCs w:val="24"/>
                <w:vertAlign w:val="baseline"/>
                <w:lang w:val="en-US" w:eastAsia="zh-CN"/>
              </w:rPr>
              <w:t>赛项</w:t>
            </w:r>
          </w:p>
        </w:tc>
        <w:tc>
          <w:tcPr>
            <w:tcW w:w="1533"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37B7F202">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b w:val="0"/>
                <w:color w:val="000000"/>
                <w:sz w:val="24"/>
                <w:szCs w:val="24"/>
                <w:vertAlign w:val="baseline"/>
                <w:lang w:val="en-US" w:eastAsia="zh-CN"/>
              </w:rPr>
            </w:pPr>
            <w:r>
              <w:rPr>
                <w:rFonts w:hint="eastAsia" w:ascii="Times New Roman" w:hAnsi="Times New Roman" w:eastAsia="仿宋_GB2312" w:cstheme="minorBidi"/>
                <w:b w:val="0"/>
                <w:bCs w:val="0"/>
                <w:spacing w:val="0"/>
                <w:kern w:val="2"/>
                <w:sz w:val="24"/>
                <w:szCs w:val="24"/>
                <w:lang w:val="en-US" w:eastAsia="zh-CN" w:bidi="ar-SA"/>
              </w:rPr>
              <w:t>汽车修理</w:t>
            </w:r>
          </w:p>
        </w:tc>
        <w:tc>
          <w:tcPr>
            <w:tcW w:w="2467"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7FBC287C">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b w:val="0"/>
                <w:color w:val="000000"/>
                <w:sz w:val="24"/>
                <w:szCs w:val="24"/>
                <w:vertAlign w:val="baseline"/>
                <w:lang w:val="en-US" w:eastAsia="zh-CN"/>
              </w:rPr>
            </w:pPr>
            <w:r>
              <w:rPr>
                <w:rFonts w:hint="eastAsia" w:ascii="Times New Roman" w:hAnsi="Times New Roman" w:eastAsia="仿宋_GB2312" w:cstheme="minorBidi"/>
                <w:b w:val="0"/>
                <w:bCs w:val="0"/>
                <w:spacing w:val="0"/>
                <w:kern w:val="2"/>
                <w:sz w:val="24"/>
                <w:szCs w:val="24"/>
                <w:lang w:val="en-US" w:eastAsia="zh-CN" w:bidi="ar-SA"/>
              </w:rPr>
              <w:t>电气安装与维护</w:t>
            </w:r>
          </w:p>
        </w:tc>
        <w:tc>
          <w:tcPr>
            <w:tcW w:w="2511"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0B070AE7">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b w:val="0"/>
                <w:color w:val="000000"/>
                <w:sz w:val="24"/>
                <w:szCs w:val="24"/>
                <w:vertAlign w:val="baseline"/>
                <w:lang w:val="en-US" w:eastAsia="zh-CN"/>
              </w:rPr>
            </w:pPr>
            <w:r>
              <w:rPr>
                <w:rFonts w:hint="eastAsia" w:ascii="Times New Roman" w:hAnsi="Times New Roman" w:eastAsia="仿宋_GB2312" w:cstheme="minorBidi"/>
                <w:b w:val="0"/>
                <w:bCs w:val="0"/>
                <w:spacing w:val="0"/>
                <w:kern w:val="2"/>
                <w:sz w:val="24"/>
                <w:szCs w:val="24"/>
                <w:lang w:val="en-US" w:eastAsia="zh-CN" w:bidi="ar-SA"/>
              </w:rPr>
              <w:t>计算机平面设计</w:t>
            </w:r>
          </w:p>
        </w:tc>
      </w:tr>
      <w:tr w14:paraId="0851E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2011" w:type="dxa"/>
            <w:tcBorders>
              <w:top w:val="single" w:color="FFFFFF" w:sz="4" w:space="0"/>
              <w:left w:val="single" w:color="FFFFFF" w:sz="4" w:space="0"/>
              <w:bottom w:val="single" w:color="FFFFFF" w:sz="4" w:space="0"/>
              <w:right w:val="single" w:color="FFFFFF" w:sz="4" w:space="0"/>
            </w:tcBorders>
            <w:shd w:val="clear" w:color="auto" w:fill="5B9BD5"/>
            <w:vAlign w:val="center"/>
          </w:tcPr>
          <w:p w14:paraId="132816FE">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b/>
                <w:color w:val="FFFFFF"/>
                <w:sz w:val="24"/>
                <w:szCs w:val="24"/>
                <w:vertAlign w:val="baseline"/>
                <w:lang w:val="en-US" w:eastAsia="zh-CN"/>
              </w:rPr>
            </w:pPr>
            <w:r>
              <w:rPr>
                <w:rFonts w:hint="eastAsia"/>
                <w:b/>
                <w:color w:val="FFFFFF"/>
                <w:sz w:val="24"/>
                <w:szCs w:val="24"/>
                <w:vertAlign w:val="baseline"/>
                <w:lang w:val="en-US" w:eastAsia="zh-CN"/>
              </w:rPr>
              <w:t>入围决赛人数</w:t>
            </w:r>
          </w:p>
        </w:tc>
        <w:tc>
          <w:tcPr>
            <w:tcW w:w="1533"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0BE4E42E">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heme="minorEastAsia" w:hAnsiTheme="minorEastAsia" w:eastAsiaTheme="minorEastAsia" w:cstheme="minorEastAsia"/>
                <w:b w:val="0"/>
                <w:color w:val="000000"/>
                <w:sz w:val="24"/>
                <w:szCs w:val="24"/>
                <w:vertAlign w:val="baseline"/>
                <w:lang w:val="en-US" w:eastAsia="zh-CN"/>
              </w:rPr>
            </w:pPr>
            <w:r>
              <w:rPr>
                <w:rFonts w:hint="eastAsia" w:asciiTheme="minorEastAsia" w:hAnsiTheme="minorEastAsia" w:eastAsiaTheme="minorEastAsia" w:cstheme="minorEastAsia"/>
                <w:b w:val="0"/>
                <w:color w:val="000000"/>
                <w:sz w:val="24"/>
                <w:szCs w:val="24"/>
                <w:vertAlign w:val="baseline"/>
                <w:lang w:val="en-US" w:eastAsia="zh-CN"/>
              </w:rPr>
              <w:t>9</w:t>
            </w:r>
          </w:p>
        </w:tc>
        <w:tc>
          <w:tcPr>
            <w:tcW w:w="2467"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3230B135">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heme="minorEastAsia" w:hAnsiTheme="minorEastAsia" w:eastAsiaTheme="minorEastAsia" w:cstheme="minorEastAsia"/>
                <w:b w:val="0"/>
                <w:color w:val="000000"/>
                <w:sz w:val="24"/>
                <w:szCs w:val="24"/>
                <w:vertAlign w:val="baseline"/>
                <w:lang w:val="en-US" w:eastAsia="zh-CN"/>
              </w:rPr>
            </w:pPr>
            <w:r>
              <w:rPr>
                <w:rFonts w:hint="eastAsia" w:asciiTheme="minorEastAsia" w:hAnsiTheme="minorEastAsia" w:eastAsiaTheme="minorEastAsia" w:cstheme="minorEastAsia"/>
                <w:b w:val="0"/>
                <w:color w:val="000000"/>
                <w:sz w:val="24"/>
                <w:szCs w:val="24"/>
                <w:vertAlign w:val="baseline"/>
                <w:lang w:val="en-US" w:eastAsia="zh-CN"/>
              </w:rPr>
              <w:t>7</w:t>
            </w:r>
          </w:p>
        </w:tc>
        <w:tc>
          <w:tcPr>
            <w:tcW w:w="2511"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09889D84">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heme="minorEastAsia" w:hAnsiTheme="minorEastAsia" w:eastAsiaTheme="minorEastAsia" w:cstheme="minorEastAsia"/>
                <w:b w:val="0"/>
                <w:color w:val="000000"/>
                <w:sz w:val="24"/>
                <w:szCs w:val="24"/>
                <w:vertAlign w:val="baseline"/>
                <w:lang w:val="en-US" w:eastAsia="zh-CN"/>
              </w:rPr>
            </w:pPr>
            <w:r>
              <w:rPr>
                <w:rFonts w:hint="eastAsia" w:asciiTheme="minorEastAsia" w:hAnsiTheme="minorEastAsia" w:eastAsiaTheme="minorEastAsia" w:cstheme="minorEastAsia"/>
                <w:b w:val="0"/>
                <w:color w:val="000000"/>
                <w:sz w:val="24"/>
                <w:szCs w:val="24"/>
                <w:vertAlign w:val="baseline"/>
                <w:lang w:val="en-US" w:eastAsia="zh-CN"/>
              </w:rPr>
              <w:t>10</w:t>
            </w:r>
          </w:p>
        </w:tc>
      </w:tr>
    </w:tbl>
    <w:p w14:paraId="019C5AA3">
      <w:pPr>
        <w:pStyle w:val="28"/>
        <w:bidi w:val="0"/>
        <w:jc w:val="both"/>
        <w:rPr>
          <w:rFonts w:hint="eastAsia"/>
          <w:lang w:val="en-US" w:eastAsia="zh-CN"/>
        </w:rPr>
      </w:pPr>
      <w:bookmarkStart w:id="96" w:name="_Toc10229"/>
      <w:bookmarkStart w:id="97" w:name="_Toc17979"/>
    </w:p>
    <w:p w14:paraId="173ABB77">
      <w:pPr>
        <w:pStyle w:val="28"/>
        <w:bidi w:val="0"/>
        <w:rPr>
          <w:rFonts w:hint="eastAsia"/>
          <w:lang w:val="en-US" w:eastAsia="zh-CN"/>
        </w:rPr>
      </w:pPr>
      <w:r>
        <w:rPr>
          <w:rFonts w:hint="eastAsia"/>
          <w:lang w:val="en-US" w:eastAsia="zh-CN"/>
        </w:rPr>
        <w:t>数据分析表6：技能大赛学生赛项参与情况统计表</w:t>
      </w:r>
      <w:bookmarkEnd w:id="96"/>
      <w:bookmarkEnd w:id="97"/>
    </w:p>
    <w:tbl>
      <w:tblPr>
        <w:tblStyle w:val="20"/>
        <w:tblpPr w:leftFromText="180" w:rightFromText="180" w:vertAnchor="text" w:horzAnchor="page" w:tblpX="1664" w:tblpY="479"/>
        <w:tblOverlap w:val="never"/>
        <w:tblW w:w="0" w:type="auto"/>
        <w:tblInd w:w="0" w:type="dxa"/>
        <w:tblBorders>
          <w:top w:val="single" w:color="5B9BD5" w:sz="4" w:space="0"/>
          <w:left w:val="single" w:color="5B9BD5" w:sz="4" w:space="0"/>
          <w:bottom w:val="single" w:color="5B9BD5" w:sz="4" w:space="0"/>
          <w:right w:val="single" w:color="5B9BD5" w:sz="4" w:space="0"/>
          <w:insideH w:val="single" w:color="5B9BD5" w:sz="4" w:space="0"/>
          <w:insideV w:val="single" w:color="5B9BD5" w:sz="4" w:space="0"/>
        </w:tblBorders>
        <w:tblLayout w:type="autofit"/>
        <w:tblCellMar>
          <w:top w:w="0" w:type="dxa"/>
          <w:left w:w="108" w:type="dxa"/>
          <w:bottom w:w="0" w:type="dxa"/>
          <w:right w:w="108" w:type="dxa"/>
        </w:tblCellMar>
      </w:tblPr>
      <w:tblGrid>
        <w:gridCol w:w="701"/>
        <w:gridCol w:w="580"/>
        <w:gridCol w:w="788"/>
        <w:gridCol w:w="641"/>
        <w:gridCol w:w="572"/>
        <w:gridCol w:w="955"/>
        <w:gridCol w:w="627"/>
        <w:gridCol w:w="914"/>
        <w:gridCol w:w="695"/>
        <w:gridCol w:w="846"/>
        <w:gridCol w:w="795"/>
        <w:gridCol w:w="559"/>
      </w:tblGrid>
      <w:tr w14:paraId="79445AEE">
        <w:tblPrEx>
          <w:tblBorders>
            <w:top w:val="single" w:color="5B9BD5" w:sz="4" w:space="0"/>
            <w:left w:val="single" w:color="5B9BD5" w:sz="4" w:space="0"/>
            <w:bottom w:val="single" w:color="5B9BD5" w:sz="4" w:space="0"/>
            <w:right w:val="single" w:color="5B9BD5" w:sz="4" w:space="0"/>
            <w:insideH w:val="single" w:color="5B9BD5" w:sz="4" w:space="0"/>
            <w:insideV w:val="single" w:color="5B9BD5" w:sz="4" w:space="0"/>
          </w:tblBorders>
          <w:tblCellMar>
            <w:top w:w="0" w:type="dxa"/>
            <w:left w:w="108" w:type="dxa"/>
            <w:bottom w:w="0" w:type="dxa"/>
            <w:right w:w="108" w:type="dxa"/>
          </w:tblCellMar>
        </w:tblPrEx>
        <w:trPr>
          <w:trHeight w:val="1191" w:hRule="atLeast"/>
        </w:trPr>
        <w:tc>
          <w:tcPr>
            <w:tcW w:w="701" w:type="dxa"/>
            <w:tcBorders>
              <w:tl2br w:val="nil"/>
            </w:tcBorders>
            <w:shd w:val="clear" w:color="auto" w:fill="9CC4E6"/>
            <w:vAlign w:val="center"/>
          </w:tcPr>
          <w:p w14:paraId="467D9FE9">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b/>
                <w:color w:val="FFFFFF"/>
                <w:sz w:val="24"/>
                <w:szCs w:val="24"/>
                <w:vertAlign w:val="baseline"/>
                <w:lang w:val="en-US" w:eastAsia="zh-CN"/>
              </w:rPr>
            </w:pPr>
            <w:r>
              <w:rPr>
                <w:rFonts w:hint="eastAsia"/>
                <w:b/>
                <w:color w:val="FFFFFF"/>
                <w:sz w:val="24"/>
                <w:szCs w:val="24"/>
                <w:vertAlign w:val="baseline"/>
                <w:lang w:val="en-US" w:eastAsia="zh-CN"/>
              </w:rPr>
              <w:t>赛项</w:t>
            </w:r>
          </w:p>
          <w:p w14:paraId="6B409508">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b/>
                <w:color w:val="FFFFFF"/>
                <w:sz w:val="24"/>
                <w:szCs w:val="24"/>
                <w:vertAlign w:val="baseline"/>
                <w:lang w:val="en-US" w:eastAsia="zh-CN"/>
              </w:rPr>
            </w:pPr>
          </w:p>
        </w:tc>
        <w:tc>
          <w:tcPr>
            <w:tcW w:w="580" w:type="dxa"/>
            <w:shd w:val="clear" w:color="auto" w:fill="FFFFFF"/>
            <w:vAlign w:val="center"/>
          </w:tcPr>
          <w:p w14:paraId="5A31D168">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b w:val="0"/>
                <w:color w:val="000000"/>
                <w:sz w:val="24"/>
                <w:szCs w:val="24"/>
                <w:vertAlign w:val="baseline"/>
                <w:lang w:val="en-US" w:eastAsia="zh-CN"/>
              </w:rPr>
            </w:pPr>
            <w:r>
              <w:rPr>
                <w:rFonts w:hint="eastAsia" w:ascii="Times New Roman" w:hAnsi="Times New Roman" w:eastAsia="仿宋_GB2312" w:cstheme="minorBidi"/>
                <w:b w:val="0"/>
                <w:bCs w:val="0"/>
                <w:spacing w:val="0"/>
                <w:kern w:val="2"/>
                <w:sz w:val="24"/>
                <w:szCs w:val="24"/>
                <w:lang w:val="en-US" w:eastAsia="zh-CN" w:bidi="ar-SA"/>
              </w:rPr>
              <w:t>汽车修理</w:t>
            </w:r>
          </w:p>
        </w:tc>
        <w:tc>
          <w:tcPr>
            <w:tcW w:w="788" w:type="dxa"/>
            <w:shd w:val="clear" w:color="auto" w:fill="FFFFFF"/>
            <w:vAlign w:val="center"/>
          </w:tcPr>
          <w:p w14:paraId="588B6D22">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仿宋_GB2312" w:cstheme="minorBidi"/>
                <w:b w:val="0"/>
                <w:bCs w:val="0"/>
                <w:spacing w:val="0"/>
                <w:kern w:val="2"/>
                <w:sz w:val="24"/>
                <w:szCs w:val="24"/>
                <w:lang w:val="en-US" w:eastAsia="zh-CN" w:bidi="ar-SA"/>
              </w:rPr>
            </w:pPr>
            <w:r>
              <w:rPr>
                <w:rFonts w:hint="eastAsia" w:ascii="Times New Roman" w:hAnsi="Times New Roman" w:eastAsia="仿宋_GB2312" w:cstheme="minorBidi"/>
                <w:b w:val="0"/>
                <w:bCs w:val="0"/>
                <w:spacing w:val="0"/>
                <w:kern w:val="2"/>
                <w:sz w:val="24"/>
                <w:szCs w:val="24"/>
                <w:lang w:val="en-US" w:eastAsia="zh-CN" w:bidi="ar-SA"/>
              </w:rPr>
              <w:t>电气</w:t>
            </w:r>
          </w:p>
          <w:p w14:paraId="059E19CB">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b w:val="0"/>
                <w:color w:val="000000"/>
                <w:sz w:val="24"/>
                <w:szCs w:val="24"/>
                <w:vertAlign w:val="baseline"/>
                <w:lang w:val="en-US" w:eastAsia="zh-CN"/>
              </w:rPr>
            </w:pPr>
            <w:r>
              <w:rPr>
                <w:rFonts w:hint="eastAsia" w:ascii="Times New Roman" w:hAnsi="Times New Roman" w:eastAsia="仿宋_GB2312" w:cstheme="minorBidi"/>
                <w:b w:val="0"/>
                <w:bCs w:val="0"/>
                <w:spacing w:val="0"/>
                <w:kern w:val="2"/>
                <w:sz w:val="24"/>
                <w:szCs w:val="24"/>
                <w:lang w:val="en-US" w:eastAsia="zh-CN" w:bidi="ar-SA"/>
              </w:rPr>
              <w:t>安装与维护</w:t>
            </w:r>
          </w:p>
        </w:tc>
        <w:tc>
          <w:tcPr>
            <w:tcW w:w="641" w:type="dxa"/>
            <w:shd w:val="clear" w:color="auto" w:fill="FFFFFF"/>
            <w:vAlign w:val="center"/>
          </w:tcPr>
          <w:p w14:paraId="0E259BA0">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仿宋_GB2312" w:cstheme="minorBidi"/>
                <w:b w:val="0"/>
                <w:bCs w:val="0"/>
                <w:spacing w:val="0"/>
                <w:kern w:val="2"/>
                <w:sz w:val="24"/>
                <w:szCs w:val="24"/>
                <w:lang w:val="en-US" w:eastAsia="zh-CN" w:bidi="ar-SA"/>
              </w:rPr>
            </w:pPr>
            <w:r>
              <w:rPr>
                <w:rFonts w:hint="eastAsia" w:ascii="Times New Roman" w:hAnsi="Times New Roman" w:eastAsia="仿宋_GB2312" w:cstheme="minorBidi"/>
                <w:b w:val="0"/>
                <w:bCs w:val="0"/>
                <w:spacing w:val="0"/>
                <w:kern w:val="2"/>
                <w:sz w:val="24"/>
                <w:szCs w:val="24"/>
                <w:lang w:val="en-US" w:eastAsia="zh-CN" w:bidi="ar-SA"/>
              </w:rPr>
              <w:t>数</w:t>
            </w:r>
          </w:p>
          <w:p w14:paraId="257D2A49">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lang w:val="en-US" w:eastAsia="zh-CN"/>
              </w:rPr>
            </w:pPr>
            <w:r>
              <w:rPr>
                <w:rFonts w:hint="eastAsia" w:ascii="Times New Roman" w:hAnsi="Times New Roman" w:eastAsia="仿宋_GB2312" w:cstheme="minorBidi"/>
                <w:b w:val="0"/>
                <w:bCs w:val="0"/>
                <w:spacing w:val="0"/>
                <w:kern w:val="2"/>
                <w:sz w:val="24"/>
                <w:szCs w:val="24"/>
                <w:lang w:val="en-US" w:eastAsia="zh-CN" w:bidi="ar-SA"/>
              </w:rPr>
              <w:t>控</w:t>
            </w:r>
          </w:p>
          <w:p w14:paraId="6742FF41">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仿宋_GB2312" w:cstheme="minorBidi"/>
                <w:b w:val="0"/>
                <w:bCs w:val="0"/>
                <w:spacing w:val="0"/>
                <w:kern w:val="2"/>
                <w:sz w:val="24"/>
                <w:szCs w:val="24"/>
                <w:lang w:val="en-US" w:eastAsia="zh-CN" w:bidi="ar-SA"/>
              </w:rPr>
            </w:pPr>
            <w:r>
              <w:rPr>
                <w:rFonts w:hint="eastAsia" w:ascii="Times New Roman" w:hAnsi="Times New Roman" w:eastAsia="仿宋_GB2312" w:cstheme="minorBidi"/>
                <w:b w:val="0"/>
                <w:bCs w:val="0"/>
                <w:spacing w:val="0"/>
                <w:kern w:val="2"/>
                <w:sz w:val="24"/>
                <w:szCs w:val="24"/>
                <w:lang w:val="en-US" w:eastAsia="zh-CN" w:bidi="ar-SA"/>
              </w:rPr>
              <w:t>技</w:t>
            </w:r>
          </w:p>
          <w:p w14:paraId="404A02D1">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b w:val="0"/>
                <w:color w:val="000000"/>
                <w:sz w:val="24"/>
                <w:szCs w:val="24"/>
                <w:vertAlign w:val="baseline"/>
                <w:lang w:val="en-US" w:eastAsia="zh-CN"/>
              </w:rPr>
            </w:pPr>
            <w:r>
              <w:rPr>
                <w:rFonts w:hint="eastAsia" w:ascii="Times New Roman" w:hAnsi="Times New Roman" w:eastAsia="仿宋_GB2312" w:cstheme="minorBidi"/>
                <w:b w:val="0"/>
                <w:bCs w:val="0"/>
                <w:spacing w:val="0"/>
                <w:kern w:val="2"/>
                <w:sz w:val="24"/>
                <w:szCs w:val="24"/>
                <w:lang w:val="en-US" w:eastAsia="zh-CN" w:bidi="ar-SA"/>
              </w:rPr>
              <w:t>术</w:t>
            </w:r>
          </w:p>
        </w:tc>
        <w:tc>
          <w:tcPr>
            <w:tcW w:w="572" w:type="dxa"/>
            <w:shd w:val="clear" w:color="auto" w:fill="FFFFFF"/>
            <w:vAlign w:val="center"/>
          </w:tcPr>
          <w:p w14:paraId="01A6DB49">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仿宋_GB2312" w:cstheme="minorBidi"/>
                <w:b w:val="0"/>
                <w:bCs w:val="0"/>
                <w:spacing w:val="0"/>
                <w:kern w:val="2"/>
                <w:sz w:val="24"/>
                <w:szCs w:val="24"/>
                <w:lang w:val="en-US" w:eastAsia="zh-CN" w:bidi="ar-SA"/>
              </w:rPr>
            </w:pPr>
            <w:r>
              <w:rPr>
                <w:rFonts w:hint="eastAsia" w:ascii="Times New Roman" w:hAnsi="Times New Roman" w:eastAsia="仿宋_GB2312" w:cstheme="minorBidi"/>
                <w:b w:val="0"/>
                <w:bCs w:val="0"/>
                <w:spacing w:val="0"/>
                <w:kern w:val="2"/>
                <w:sz w:val="24"/>
                <w:szCs w:val="24"/>
                <w:lang w:val="en-US" w:eastAsia="zh-CN" w:bidi="ar-SA"/>
              </w:rPr>
              <w:t>焊接</w:t>
            </w:r>
          </w:p>
          <w:p w14:paraId="000608F3">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仿宋_GB2312" w:cstheme="minorBidi"/>
                <w:b w:val="0"/>
                <w:bCs w:val="0"/>
                <w:spacing w:val="0"/>
                <w:kern w:val="2"/>
                <w:sz w:val="24"/>
                <w:szCs w:val="24"/>
                <w:lang w:val="en-US" w:eastAsia="zh-CN" w:bidi="ar-SA"/>
              </w:rPr>
            </w:pPr>
            <w:r>
              <w:rPr>
                <w:rFonts w:hint="eastAsia" w:ascii="Times New Roman" w:hAnsi="Times New Roman" w:eastAsia="仿宋_GB2312" w:cstheme="minorBidi"/>
                <w:b w:val="0"/>
                <w:bCs w:val="0"/>
                <w:spacing w:val="0"/>
                <w:kern w:val="2"/>
                <w:sz w:val="24"/>
                <w:szCs w:val="24"/>
                <w:lang w:val="en-US" w:eastAsia="zh-CN" w:bidi="ar-SA"/>
              </w:rPr>
              <w:t>技术</w:t>
            </w:r>
          </w:p>
        </w:tc>
        <w:tc>
          <w:tcPr>
            <w:tcW w:w="955" w:type="dxa"/>
            <w:shd w:val="clear" w:color="auto" w:fill="FFFFFF"/>
            <w:vAlign w:val="center"/>
          </w:tcPr>
          <w:p w14:paraId="5D489F46">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仿宋_GB2312" w:cstheme="minorBidi"/>
                <w:b w:val="0"/>
                <w:bCs w:val="0"/>
                <w:spacing w:val="0"/>
                <w:kern w:val="2"/>
                <w:sz w:val="24"/>
                <w:szCs w:val="24"/>
                <w:lang w:val="en-US" w:eastAsia="zh-CN" w:bidi="ar-SA"/>
              </w:rPr>
            </w:pPr>
            <w:r>
              <w:rPr>
                <w:rFonts w:hint="eastAsia" w:ascii="Times New Roman" w:hAnsi="Times New Roman" w:eastAsia="仿宋_GB2312" w:cstheme="minorBidi"/>
                <w:b w:val="0"/>
                <w:bCs w:val="0"/>
                <w:spacing w:val="0"/>
                <w:kern w:val="2"/>
                <w:sz w:val="24"/>
                <w:szCs w:val="24"/>
                <w:lang w:val="en-US" w:eastAsia="zh-CN" w:bidi="ar-SA"/>
              </w:rPr>
              <w:t>计算机平面设计</w:t>
            </w:r>
          </w:p>
        </w:tc>
        <w:tc>
          <w:tcPr>
            <w:tcW w:w="627" w:type="dxa"/>
            <w:shd w:val="clear" w:color="auto" w:fill="FFFFFF"/>
            <w:vAlign w:val="center"/>
          </w:tcPr>
          <w:p w14:paraId="42F994E8">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仿宋_GB2312" w:hAnsi="仿宋_GB2312" w:eastAsia="仿宋_GB2312" w:cs="仿宋_GB2312"/>
                <w:b w:val="0"/>
                <w:bCs w:val="0"/>
                <w:spacing w:val="0"/>
                <w:kern w:val="2"/>
                <w:sz w:val="24"/>
                <w:szCs w:val="24"/>
                <w:lang w:val="en-US" w:eastAsia="zh-CN" w:bidi="ar-SA"/>
              </w:rPr>
            </w:pPr>
            <w:r>
              <w:rPr>
                <w:rFonts w:hint="eastAsia" w:ascii="仿宋_GB2312" w:hAnsi="仿宋_GB2312" w:eastAsia="仿宋_GB2312" w:cs="仿宋_GB2312"/>
                <w:b w:val="0"/>
                <w:bCs w:val="0"/>
                <w:spacing w:val="0"/>
                <w:kern w:val="2"/>
                <w:sz w:val="24"/>
                <w:szCs w:val="24"/>
                <w:lang w:val="en-US" w:eastAsia="zh-CN" w:bidi="ar-SA"/>
              </w:rPr>
              <w:t>C</w:t>
            </w:r>
          </w:p>
          <w:p w14:paraId="49A70941">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仿宋_GB2312" w:hAnsi="仿宋_GB2312" w:eastAsia="仿宋_GB2312" w:cs="仿宋_GB2312"/>
                <w:b w:val="0"/>
                <w:bCs w:val="0"/>
                <w:spacing w:val="0"/>
                <w:kern w:val="2"/>
                <w:sz w:val="24"/>
                <w:szCs w:val="24"/>
                <w:lang w:val="en-US" w:eastAsia="zh-CN" w:bidi="ar-SA"/>
              </w:rPr>
            </w:pPr>
            <w:r>
              <w:rPr>
                <w:rFonts w:hint="eastAsia" w:ascii="仿宋_GB2312" w:hAnsi="仿宋_GB2312" w:eastAsia="仿宋_GB2312" w:cs="仿宋_GB2312"/>
                <w:b w:val="0"/>
                <w:bCs w:val="0"/>
                <w:spacing w:val="0"/>
                <w:kern w:val="2"/>
                <w:sz w:val="24"/>
                <w:szCs w:val="24"/>
                <w:lang w:val="en-US" w:eastAsia="zh-CN" w:bidi="ar-SA"/>
              </w:rPr>
              <w:t>A</w:t>
            </w:r>
          </w:p>
          <w:p w14:paraId="5E4E9B13">
            <w:pPr>
              <w:pStyle w:val="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仿宋_GB2312" w:cstheme="minorBidi"/>
                <w:b w:val="0"/>
                <w:bCs w:val="0"/>
                <w:spacing w:val="0"/>
                <w:kern w:val="2"/>
                <w:sz w:val="24"/>
                <w:szCs w:val="24"/>
                <w:lang w:val="en-US" w:eastAsia="zh-CN" w:bidi="ar-SA"/>
              </w:rPr>
            </w:pPr>
            <w:r>
              <w:rPr>
                <w:rFonts w:hint="eastAsia" w:ascii="仿宋_GB2312" w:hAnsi="仿宋_GB2312" w:eastAsia="仿宋_GB2312" w:cs="仿宋_GB2312"/>
                <w:b w:val="0"/>
                <w:bCs w:val="0"/>
                <w:spacing w:val="0"/>
                <w:kern w:val="2"/>
                <w:sz w:val="24"/>
                <w:szCs w:val="24"/>
                <w:lang w:val="en-US" w:eastAsia="zh-CN" w:bidi="ar-SA"/>
              </w:rPr>
              <w:t>D</w:t>
            </w:r>
          </w:p>
        </w:tc>
        <w:tc>
          <w:tcPr>
            <w:tcW w:w="914" w:type="dxa"/>
            <w:shd w:val="clear" w:color="auto" w:fill="FFFFFF"/>
            <w:vAlign w:val="center"/>
          </w:tcPr>
          <w:p w14:paraId="648F617A">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仿宋_GB2312" w:cstheme="minorBidi"/>
                <w:b w:val="0"/>
                <w:bCs w:val="0"/>
                <w:spacing w:val="0"/>
                <w:kern w:val="2"/>
                <w:sz w:val="24"/>
                <w:szCs w:val="24"/>
                <w:lang w:val="en-US" w:eastAsia="zh-CN" w:bidi="ar-SA"/>
              </w:rPr>
            </w:pPr>
            <w:r>
              <w:rPr>
                <w:rFonts w:hint="eastAsia" w:ascii="Times New Roman" w:hAnsi="Times New Roman" w:eastAsia="仿宋_GB2312" w:cstheme="minorBidi"/>
                <w:b w:val="0"/>
                <w:bCs w:val="0"/>
                <w:spacing w:val="0"/>
                <w:kern w:val="2"/>
                <w:sz w:val="24"/>
                <w:szCs w:val="24"/>
                <w:lang w:val="en-US" w:eastAsia="zh-CN" w:bidi="ar-SA"/>
              </w:rPr>
              <w:t>畜禽</w:t>
            </w:r>
          </w:p>
          <w:p w14:paraId="5796AC76">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仿宋_GB2312" w:cstheme="minorBidi"/>
                <w:b w:val="0"/>
                <w:bCs w:val="0"/>
                <w:spacing w:val="0"/>
                <w:kern w:val="2"/>
                <w:sz w:val="24"/>
                <w:szCs w:val="24"/>
                <w:lang w:val="en-US" w:eastAsia="zh-CN" w:bidi="ar-SA"/>
              </w:rPr>
            </w:pPr>
            <w:r>
              <w:rPr>
                <w:rFonts w:hint="eastAsia" w:ascii="Times New Roman" w:hAnsi="Times New Roman" w:eastAsia="仿宋_GB2312" w:cstheme="minorBidi"/>
                <w:b w:val="0"/>
                <w:bCs w:val="0"/>
                <w:spacing w:val="0"/>
                <w:kern w:val="2"/>
                <w:sz w:val="24"/>
                <w:szCs w:val="24"/>
                <w:lang w:val="en-US" w:eastAsia="zh-CN" w:bidi="ar-SA"/>
              </w:rPr>
              <w:t>生产技术</w:t>
            </w:r>
          </w:p>
        </w:tc>
        <w:tc>
          <w:tcPr>
            <w:tcW w:w="695" w:type="dxa"/>
            <w:shd w:val="clear" w:color="auto" w:fill="FFFFFF"/>
            <w:vAlign w:val="center"/>
          </w:tcPr>
          <w:p w14:paraId="15FC12B4">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仿宋_GB2312" w:cstheme="minorBidi"/>
                <w:b w:val="0"/>
                <w:bCs w:val="0"/>
                <w:spacing w:val="0"/>
                <w:kern w:val="2"/>
                <w:sz w:val="24"/>
                <w:szCs w:val="24"/>
                <w:lang w:val="en-US" w:eastAsia="zh-CN" w:bidi="ar-SA"/>
              </w:rPr>
            </w:pPr>
            <w:r>
              <w:rPr>
                <w:rFonts w:hint="eastAsia" w:ascii="Times New Roman" w:hAnsi="Times New Roman" w:eastAsia="仿宋_GB2312" w:cstheme="minorBidi"/>
                <w:b w:val="0"/>
                <w:bCs w:val="0"/>
                <w:spacing w:val="0"/>
                <w:kern w:val="2"/>
                <w:sz w:val="24"/>
                <w:szCs w:val="24"/>
                <w:lang w:val="en-US" w:eastAsia="zh-CN" w:bidi="ar-SA"/>
              </w:rPr>
              <w:t>幼儿保育</w:t>
            </w:r>
          </w:p>
        </w:tc>
        <w:tc>
          <w:tcPr>
            <w:tcW w:w="846" w:type="dxa"/>
            <w:shd w:val="clear" w:color="auto" w:fill="FFFFFF"/>
            <w:vAlign w:val="center"/>
          </w:tcPr>
          <w:p w14:paraId="476017F9">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仿宋_GB2312" w:cstheme="minorBidi"/>
                <w:b w:val="0"/>
                <w:bCs w:val="0"/>
                <w:spacing w:val="0"/>
                <w:kern w:val="2"/>
                <w:sz w:val="24"/>
                <w:szCs w:val="24"/>
                <w:lang w:val="en-US" w:eastAsia="zh-CN" w:bidi="ar-SA"/>
              </w:rPr>
            </w:pPr>
            <w:r>
              <w:rPr>
                <w:rFonts w:hint="eastAsia" w:ascii="Times New Roman" w:hAnsi="Times New Roman" w:eastAsia="仿宋_GB2312" w:cstheme="minorBidi"/>
                <w:b w:val="0"/>
                <w:bCs w:val="0"/>
                <w:spacing w:val="0"/>
                <w:kern w:val="2"/>
                <w:sz w:val="24"/>
                <w:szCs w:val="24"/>
                <w:lang w:val="en-US" w:eastAsia="zh-CN" w:bidi="ar-SA"/>
              </w:rPr>
              <w:t>电子商务</w:t>
            </w:r>
          </w:p>
        </w:tc>
        <w:tc>
          <w:tcPr>
            <w:tcW w:w="795" w:type="dxa"/>
            <w:shd w:val="clear" w:color="auto" w:fill="FFFFFF"/>
            <w:vAlign w:val="center"/>
          </w:tcPr>
          <w:p w14:paraId="29C83F22">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仿宋_GB2312" w:cstheme="minorBidi"/>
                <w:b w:val="0"/>
                <w:bCs w:val="0"/>
                <w:spacing w:val="0"/>
                <w:kern w:val="2"/>
                <w:sz w:val="24"/>
                <w:szCs w:val="24"/>
                <w:lang w:val="en-US" w:eastAsia="zh-CN" w:bidi="ar-SA"/>
              </w:rPr>
            </w:pPr>
            <w:r>
              <w:rPr>
                <w:rFonts w:hint="eastAsia" w:ascii="Times New Roman" w:hAnsi="Times New Roman" w:eastAsia="仿宋_GB2312" w:cstheme="minorBidi"/>
                <w:b w:val="0"/>
                <w:bCs w:val="0"/>
                <w:spacing w:val="0"/>
                <w:kern w:val="2"/>
                <w:sz w:val="24"/>
                <w:szCs w:val="24"/>
                <w:lang w:val="en-US" w:eastAsia="zh-CN" w:bidi="ar-SA"/>
              </w:rPr>
              <w:t>网络</w:t>
            </w:r>
          </w:p>
          <w:p w14:paraId="04C7AEDB">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仿宋_GB2312" w:cstheme="minorBidi"/>
                <w:b w:val="0"/>
                <w:bCs w:val="0"/>
                <w:spacing w:val="0"/>
                <w:kern w:val="2"/>
                <w:sz w:val="24"/>
                <w:szCs w:val="24"/>
                <w:lang w:val="en-US" w:eastAsia="zh-CN" w:bidi="ar-SA"/>
              </w:rPr>
            </w:pPr>
            <w:r>
              <w:rPr>
                <w:rFonts w:hint="eastAsia" w:ascii="Times New Roman" w:hAnsi="Times New Roman" w:eastAsia="仿宋_GB2312" w:cstheme="minorBidi"/>
                <w:b w:val="0"/>
                <w:bCs w:val="0"/>
                <w:spacing w:val="0"/>
                <w:kern w:val="2"/>
                <w:sz w:val="24"/>
                <w:szCs w:val="24"/>
                <w:lang w:val="en-US" w:eastAsia="zh-CN" w:bidi="ar-SA"/>
              </w:rPr>
              <w:t>搭建与应用</w:t>
            </w:r>
          </w:p>
        </w:tc>
        <w:tc>
          <w:tcPr>
            <w:tcW w:w="559" w:type="dxa"/>
            <w:shd w:val="clear" w:color="auto" w:fill="FFFFFF"/>
            <w:vAlign w:val="center"/>
          </w:tcPr>
          <w:p w14:paraId="79C521B4">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仿宋_GB2312" w:cstheme="minorBidi"/>
                <w:b w:val="0"/>
                <w:bCs w:val="0"/>
                <w:spacing w:val="0"/>
                <w:kern w:val="2"/>
                <w:sz w:val="24"/>
                <w:szCs w:val="24"/>
                <w:lang w:val="en-US" w:eastAsia="zh-CN" w:bidi="ar-SA"/>
              </w:rPr>
            </w:pPr>
            <w:r>
              <w:rPr>
                <w:rFonts w:hint="eastAsia" w:ascii="Times New Roman" w:hAnsi="Times New Roman" w:eastAsia="仿宋_GB2312" w:cstheme="minorBidi"/>
                <w:b w:val="0"/>
                <w:bCs w:val="0"/>
                <w:spacing w:val="0"/>
                <w:kern w:val="2"/>
                <w:sz w:val="24"/>
                <w:szCs w:val="24"/>
                <w:lang w:val="en-US" w:eastAsia="zh-CN" w:bidi="ar-SA"/>
              </w:rPr>
              <w:t>护理</w:t>
            </w:r>
          </w:p>
        </w:tc>
      </w:tr>
      <w:tr w14:paraId="0663B489">
        <w:tblPrEx>
          <w:tblBorders>
            <w:top w:val="single" w:color="5B9BD5" w:sz="4" w:space="0"/>
            <w:left w:val="single" w:color="5B9BD5" w:sz="4" w:space="0"/>
            <w:bottom w:val="single" w:color="5B9BD5" w:sz="4" w:space="0"/>
            <w:right w:val="single" w:color="5B9BD5" w:sz="4" w:space="0"/>
            <w:insideH w:val="single" w:color="5B9BD5" w:sz="4" w:space="0"/>
            <w:insideV w:val="single" w:color="5B9BD5" w:sz="4" w:space="0"/>
          </w:tblBorders>
          <w:tblCellMar>
            <w:top w:w="0" w:type="dxa"/>
            <w:left w:w="108" w:type="dxa"/>
            <w:bottom w:w="0" w:type="dxa"/>
            <w:right w:w="108" w:type="dxa"/>
          </w:tblCellMar>
        </w:tblPrEx>
        <w:trPr>
          <w:trHeight w:val="726" w:hRule="atLeast"/>
        </w:trPr>
        <w:tc>
          <w:tcPr>
            <w:tcW w:w="701" w:type="dxa"/>
            <w:shd w:val="clear" w:color="auto" w:fill="9CC4E6"/>
            <w:vAlign w:val="center"/>
          </w:tcPr>
          <w:p w14:paraId="49C4BD1A">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b/>
                <w:color w:val="FFFFFF"/>
                <w:sz w:val="24"/>
                <w:szCs w:val="24"/>
                <w:vertAlign w:val="baseline"/>
                <w:lang w:val="en-US" w:eastAsia="zh-CN"/>
              </w:rPr>
            </w:pPr>
            <w:r>
              <w:rPr>
                <w:rFonts w:hint="eastAsia"/>
                <w:b/>
                <w:color w:val="FFFFFF"/>
                <w:sz w:val="24"/>
                <w:szCs w:val="24"/>
                <w:vertAlign w:val="baseline"/>
                <w:lang w:val="en-US" w:eastAsia="zh-CN"/>
              </w:rPr>
              <w:t>参赛人数</w:t>
            </w:r>
          </w:p>
        </w:tc>
        <w:tc>
          <w:tcPr>
            <w:tcW w:w="580" w:type="dxa"/>
            <w:shd w:val="clear" w:color="auto" w:fill="FFFFFF"/>
            <w:vAlign w:val="center"/>
          </w:tcPr>
          <w:p w14:paraId="37A91078">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heme="minorEastAsia" w:hAnsiTheme="minorEastAsia" w:eastAsiaTheme="minorEastAsia" w:cstheme="minorEastAsia"/>
                <w:b w:val="0"/>
                <w:color w:val="000000"/>
                <w:sz w:val="24"/>
                <w:szCs w:val="24"/>
                <w:vertAlign w:val="baseline"/>
                <w:lang w:val="en-US" w:eastAsia="zh-CN"/>
              </w:rPr>
            </w:pPr>
            <w:r>
              <w:rPr>
                <w:rFonts w:hint="eastAsia" w:asciiTheme="minorEastAsia" w:hAnsiTheme="minorEastAsia" w:eastAsiaTheme="minorEastAsia" w:cstheme="minorEastAsia"/>
                <w:b w:val="0"/>
                <w:color w:val="000000"/>
                <w:sz w:val="24"/>
                <w:szCs w:val="24"/>
                <w:vertAlign w:val="baseline"/>
                <w:lang w:val="en-US" w:eastAsia="zh-CN"/>
              </w:rPr>
              <w:t>24</w:t>
            </w:r>
          </w:p>
        </w:tc>
        <w:tc>
          <w:tcPr>
            <w:tcW w:w="788" w:type="dxa"/>
            <w:shd w:val="clear" w:color="auto" w:fill="FFFFFF"/>
            <w:vAlign w:val="center"/>
          </w:tcPr>
          <w:p w14:paraId="6F7F8D5C">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heme="minorEastAsia" w:hAnsiTheme="minorEastAsia" w:eastAsiaTheme="minorEastAsia" w:cstheme="minorEastAsia"/>
                <w:b w:val="0"/>
                <w:color w:val="000000"/>
                <w:sz w:val="24"/>
                <w:szCs w:val="24"/>
                <w:vertAlign w:val="baseline"/>
                <w:lang w:val="en-US" w:eastAsia="zh-CN"/>
              </w:rPr>
            </w:pPr>
            <w:r>
              <w:rPr>
                <w:rFonts w:hint="eastAsia" w:asciiTheme="minorEastAsia" w:hAnsiTheme="minorEastAsia" w:eastAsiaTheme="minorEastAsia" w:cstheme="minorEastAsia"/>
                <w:b w:val="0"/>
                <w:color w:val="000000"/>
                <w:sz w:val="24"/>
                <w:szCs w:val="24"/>
                <w:vertAlign w:val="baseline"/>
                <w:lang w:val="en-US" w:eastAsia="zh-CN"/>
              </w:rPr>
              <w:t>19</w:t>
            </w:r>
          </w:p>
        </w:tc>
        <w:tc>
          <w:tcPr>
            <w:tcW w:w="641" w:type="dxa"/>
            <w:shd w:val="clear" w:color="auto" w:fill="FFFFFF"/>
            <w:vAlign w:val="center"/>
          </w:tcPr>
          <w:p w14:paraId="45893A81">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heme="minorEastAsia" w:hAnsiTheme="minorEastAsia" w:eastAsiaTheme="minorEastAsia" w:cstheme="minorEastAsia"/>
                <w:b w:val="0"/>
                <w:color w:val="000000"/>
                <w:sz w:val="24"/>
                <w:szCs w:val="24"/>
                <w:vertAlign w:val="baseline"/>
                <w:lang w:val="en-US" w:eastAsia="zh-CN"/>
              </w:rPr>
            </w:pPr>
            <w:r>
              <w:rPr>
                <w:rFonts w:hint="eastAsia" w:asciiTheme="minorEastAsia" w:hAnsiTheme="minorEastAsia" w:eastAsiaTheme="minorEastAsia" w:cstheme="minorEastAsia"/>
                <w:b w:val="0"/>
                <w:color w:val="000000"/>
                <w:sz w:val="24"/>
                <w:szCs w:val="24"/>
                <w:vertAlign w:val="baseline"/>
                <w:lang w:val="en-US" w:eastAsia="zh-CN"/>
              </w:rPr>
              <w:t>25</w:t>
            </w:r>
          </w:p>
        </w:tc>
        <w:tc>
          <w:tcPr>
            <w:tcW w:w="572" w:type="dxa"/>
            <w:shd w:val="clear" w:color="auto" w:fill="FFFFFF"/>
            <w:vAlign w:val="center"/>
          </w:tcPr>
          <w:p w14:paraId="66A71162">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heme="minorEastAsia" w:hAnsiTheme="minorEastAsia" w:eastAsiaTheme="minorEastAsia" w:cstheme="minorEastAsia"/>
                <w:b w:val="0"/>
                <w:color w:val="000000"/>
                <w:sz w:val="24"/>
                <w:szCs w:val="24"/>
                <w:vertAlign w:val="baseline"/>
                <w:lang w:val="en-US" w:eastAsia="zh-CN"/>
              </w:rPr>
            </w:pPr>
            <w:r>
              <w:rPr>
                <w:rFonts w:hint="eastAsia" w:asciiTheme="minorEastAsia" w:hAnsiTheme="minorEastAsia" w:eastAsiaTheme="minorEastAsia" w:cstheme="minorEastAsia"/>
                <w:b w:val="0"/>
                <w:color w:val="000000"/>
                <w:sz w:val="24"/>
                <w:szCs w:val="24"/>
                <w:vertAlign w:val="baseline"/>
                <w:lang w:val="en-US" w:eastAsia="zh-CN"/>
              </w:rPr>
              <w:t>18</w:t>
            </w:r>
          </w:p>
        </w:tc>
        <w:tc>
          <w:tcPr>
            <w:tcW w:w="955" w:type="dxa"/>
            <w:shd w:val="clear" w:color="auto" w:fill="FFFFFF"/>
            <w:vAlign w:val="center"/>
          </w:tcPr>
          <w:p w14:paraId="084C5117">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heme="minorEastAsia" w:hAnsiTheme="minorEastAsia" w:eastAsiaTheme="minorEastAsia" w:cstheme="minorEastAsia"/>
                <w:b w:val="0"/>
                <w:color w:val="000000"/>
                <w:sz w:val="24"/>
                <w:szCs w:val="24"/>
                <w:vertAlign w:val="baseline"/>
                <w:lang w:val="en-US" w:eastAsia="zh-CN"/>
              </w:rPr>
            </w:pPr>
            <w:r>
              <w:rPr>
                <w:rFonts w:hint="eastAsia" w:asciiTheme="minorEastAsia" w:hAnsiTheme="minorEastAsia" w:eastAsiaTheme="minorEastAsia" w:cstheme="minorEastAsia"/>
                <w:b w:val="0"/>
                <w:color w:val="000000"/>
                <w:sz w:val="24"/>
                <w:szCs w:val="24"/>
                <w:vertAlign w:val="baseline"/>
                <w:lang w:val="en-US" w:eastAsia="zh-CN"/>
              </w:rPr>
              <w:t>28</w:t>
            </w:r>
          </w:p>
        </w:tc>
        <w:tc>
          <w:tcPr>
            <w:tcW w:w="627" w:type="dxa"/>
            <w:shd w:val="clear" w:color="auto" w:fill="FFFFFF"/>
            <w:vAlign w:val="center"/>
          </w:tcPr>
          <w:p w14:paraId="7A3DA210">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heme="minorEastAsia" w:hAnsiTheme="minorEastAsia" w:eastAsiaTheme="minorEastAsia" w:cstheme="minorEastAsia"/>
                <w:b w:val="0"/>
                <w:color w:val="000000"/>
                <w:sz w:val="24"/>
                <w:szCs w:val="24"/>
                <w:vertAlign w:val="baseline"/>
                <w:lang w:val="en-US" w:eastAsia="zh-CN"/>
              </w:rPr>
            </w:pPr>
            <w:r>
              <w:rPr>
                <w:rFonts w:hint="eastAsia" w:asciiTheme="minorEastAsia" w:hAnsiTheme="minorEastAsia" w:eastAsiaTheme="minorEastAsia" w:cstheme="minorEastAsia"/>
                <w:b w:val="0"/>
                <w:color w:val="000000"/>
                <w:sz w:val="24"/>
                <w:szCs w:val="24"/>
                <w:vertAlign w:val="baseline"/>
                <w:lang w:val="en-US" w:eastAsia="zh-CN"/>
              </w:rPr>
              <w:t>16</w:t>
            </w:r>
          </w:p>
        </w:tc>
        <w:tc>
          <w:tcPr>
            <w:tcW w:w="914" w:type="dxa"/>
            <w:shd w:val="clear" w:color="auto" w:fill="FFFFFF"/>
            <w:vAlign w:val="center"/>
          </w:tcPr>
          <w:p w14:paraId="3DAB8562">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heme="minorEastAsia" w:hAnsiTheme="minorEastAsia" w:eastAsiaTheme="minorEastAsia" w:cstheme="minorEastAsia"/>
                <w:b w:val="0"/>
                <w:color w:val="000000"/>
                <w:sz w:val="24"/>
                <w:szCs w:val="24"/>
                <w:vertAlign w:val="baseline"/>
                <w:lang w:val="en-US" w:eastAsia="zh-CN"/>
              </w:rPr>
            </w:pPr>
            <w:r>
              <w:rPr>
                <w:rFonts w:hint="eastAsia" w:asciiTheme="minorEastAsia" w:hAnsiTheme="minorEastAsia" w:eastAsiaTheme="minorEastAsia" w:cstheme="minorEastAsia"/>
                <w:b w:val="0"/>
                <w:color w:val="000000"/>
                <w:sz w:val="24"/>
                <w:szCs w:val="24"/>
                <w:vertAlign w:val="baseline"/>
                <w:lang w:val="en-US" w:eastAsia="zh-CN"/>
              </w:rPr>
              <w:t>32</w:t>
            </w:r>
          </w:p>
        </w:tc>
        <w:tc>
          <w:tcPr>
            <w:tcW w:w="695" w:type="dxa"/>
            <w:shd w:val="clear" w:color="auto" w:fill="FFFFFF"/>
            <w:vAlign w:val="center"/>
          </w:tcPr>
          <w:p w14:paraId="198386D5">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heme="minorEastAsia" w:hAnsiTheme="minorEastAsia" w:eastAsiaTheme="minorEastAsia" w:cstheme="minorEastAsia"/>
                <w:b w:val="0"/>
                <w:color w:val="000000"/>
                <w:sz w:val="24"/>
                <w:szCs w:val="24"/>
                <w:vertAlign w:val="baseline"/>
                <w:lang w:val="en-US" w:eastAsia="zh-CN"/>
              </w:rPr>
            </w:pPr>
            <w:r>
              <w:rPr>
                <w:rFonts w:hint="eastAsia" w:asciiTheme="minorEastAsia" w:hAnsiTheme="minorEastAsia" w:eastAsiaTheme="minorEastAsia" w:cstheme="minorEastAsia"/>
                <w:b w:val="0"/>
                <w:color w:val="000000"/>
                <w:sz w:val="24"/>
                <w:szCs w:val="24"/>
                <w:vertAlign w:val="baseline"/>
                <w:lang w:val="en-US" w:eastAsia="zh-CN"/>
              </w:rPr>
              <w:t>22</w:t>
            </w:r>
          </w:p>
        </w:tc>
        <w:tc>
          <w:tcPr>
            <w:tcW w:w="846" w:type="dxa"/>
            <w:shd w:val="clear" w:color="auto" w:fill="FFFFFF"/>
            <w:vAlign w:val="center"/>
          </w:tcPr>
          <w:p w14:paraId="02A7F0A8">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heme="minorEastAsia" w:hAnsiTheme="minorEastAsia" w:eastAsiaTheme="minorEastAsia" w:cstheme="minorEastAsia"/>
                <w:b w:val="0"/>
                <w:color w:val="000000"/>
                <w:sz w:val="24"/>
                <w:szCs w:val="24"/>
                <w:vertAlign w:val="baseline"/>
                <w:lang w:val="en-US" w:eastAsia="zh-CN"/>
              </w:rPr>
            </w:pPr>
            <w:r>
              <w:rPr>
                <w:rFonts w:hint="eastAsia" w:asciiTheme="minorEastAsia" w:hAnsiTheme="minorEastAsia" w:eastAsiaTheme="minorEastAsia" w:cstheme="minorEastAsia"/>
                <w:b w:val="0"/>
                <w:color w:val="000000"/>
                <w:sz w:val="24"/>
                <w:szCs w:val="24"/>
                <w:vertAlign w:val="baseline"/>
                <w:lang w:val="en-US" w:eastAsia="zh-CN"/>
              </w:rPr>
              <w:t>72</w:t>
            </w:r>
          </w:p>
        </w:tc>
        <w:tc>
          <w:tcPr>
            <w:tcW w:w="795" w:type="dxa"/>
            <w:shd w:val="clear" w:color="auto" w:fill="FFFFFF"/>
            <w:vAlign w:val="center"/>
          </w:tcPr>
          <w:p w14:paraId="0A44D940">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heme="minorEastAsia" w:hAnsiTheme="minorEastAsia" w:eastAsiaTheme="minorEastAsia" w:cstheme="minorEastAsia"/>
                <w:b w:val="0"/>
                <w:color w:val="000000"/>
                <w:sz w:val="24"/>
                <w:szCs w:val="24"/>
                <w:vertAlign w:val="baseline"/>
                <w:lang w:val="en-US" w:eastAsia="zh-CN"/>
              </w:rPr>
            </w:pPr>
            <w:r>
              <w:rPr>
                <w:rFonts w:hint="eastAsia" w:asciiTheme="minorEastAsia" w:hAnsiTheme="minorEastAsia" w:eastAsiaTheme="minorEastAsia" w:cstheme="minorEastAsia"/>
                <w:b w:val="0"/>
                <w:color w:val="000000"/>
                <w:sz w:val="24"/>
                <w:szCs w:val="24"/>
                <w:vertAlign w:val="baseline"/>
                <w:lang w:val="en-US" w:eastAsia="zh-CN"/>
              </w:rPr>
              <w:t>11</w:t>
            </w:r>
          </w:p>
        </w:tc>
        <w:tc>
          <w:tcPr>
            <w:tcW w:w="559" w:type="dxa"/>
            <w:shd w:val="clear" w:color="auto" w:fill="FFFFFF"/>
            <w:vAlign w:val="center"/>
          </w:tcPr>
          <w:p w14:paraId="412D5C14">
            <w:pPr>
              <w:pStyle w:val="8"/>
              <w:keepNext w:val="0"/>
              <w:keepLines w:val="0"/>
              <w:pageBreakBefore w:val="0"/>
              <w:widowControl w:val="0"/>
              <w:kinsoku/>
              <w:wordWrap/>
              <w:overflowPunct/>
              <w:topLinePunct w:val="0"/>
              <w:autoSpaceDE/>
              <w:autoSpaceDN/>
              <w:bidi w:val="0"/>
              <w:adjustRightInd/>
              <w:snapToGrid w:val="0"/>
              <w:jc w:val="center"/>
              <w:textAlignment w:val="auto"/>
              <w:rPr>
                <w:rFonts w:hint="eastAsia" w:asciiTheme="minorEastAsia" w:hAnsiTheme="minorEastAsia" w:eastAsiaTheme="minorEastAsia" w:cstheme="minorEastAsia"/>
                <w:b w:val="0"/>
                <w:color w:val="000000"/>
                <w:sz w:val="24"/>
                <w:szCs w:val="24"/>
                <w:vertAlign w:val="baseline"/>
                <w:lang w:val="en-US" w:eastAsia="zh-CN"/>
              </w:rPr>
            </w:pPr>
            <w:r>
              <w:rPr>
                <w:rFonts w:hint="eastAsia" w:asciiTheme="minorEastAsia" w:hAnsiTheme="minorEastAsia" w:eastAsiaTheme="minorEastAsia" w:cstheme="minorEastAsia"/>
                <w:b w:val="0"/>
                <w:color w:val="000000"/>
                <w:sz w:val="24"/>
                <w:szCs w:val="24"/>
                <w:vertAlign w:val="baseline"/>
                <w:lang w:val="en-US" w:eastAsia="zh-CN"/>
              </w:rPr>
              <w:t>23</w:t>
            </w:r>
          </w:p>
        </w:tc>
      </w:tr>
    </w:tbl>
    <w:p w14:paraId="3C4C72AF">
      <w:pPr>
        <w:pStyle w:val="28"/>
        <w:bidi w:val="0"/>
        <w:rPr>
          <w:rFonts w:hint="eastAsia"/>
          <w:lang w:val="en-US" w:eastAsia="zh-CN"/>
        </w:rPr>
      </w:pPr>
    </w:p>
    <w:p w14:paraId="0186D523">
      <w:pPr>
        <w:pStyle w:val="6"/>
        <w:ind w:left="0" w:leftChars="0" w:firstLine="0" w:firstLineChars="0"/>
        <w:rPr>
          <w:rFonts w:hint="eastAsia"/>
          <w:lang w:val="en-US" w:eastAsia="zh-CN"/>
        </w:rPr>
      </w:pPr>
    </w:p>
    <w:p w14:paraId="684C2306">
      <w:pPr>
        <w:pStyle w:val="8"/>
        <w:keepNext w:val="0"/>
        <w:keepLines w:val="0"/>
        <w:pageBreakBefore w:val="0"/>
        <w:widowControl w:val="0"/>
        <w:kinsoku/>
        <w:wordWrap/>
        <w:overflowPunct/>
        <w:topLinePunct w:val="0"/>
        <w:autoSpaceDE/>
        <w:autoSpaceDN/>
        <w:bidi w:val="0"/>
        <w:adjustRightInd/>
        <w:snapToGrid w:val="0"/>
        <w:spacing w:after="157" w:afterLines="50"/>
        <w:jc w:val="center"/>
        <w:textAlignment w:val="auto"/>
        <w:rPr>
          <w:rFonts w:hint="default" w:asciiTheme="minorEastAsia" w:hAnsiTheme="minorEastAsia" w:eastAsiaTheme="minorEastAsia" w:cstheme="minorEastAsia"/>
          <w:sz w:val="21"/>
          <w:szCs w:val="21"/>
          <w:lang w:val="en-US" w:eastAsia="zh-CN"/>
        </w:rPr>
      </w:pPr>
      <w:r>
        <w:drawing>
          <wp:inline distT="0" distB="0" distL="114300" distR="114300">
            <wp:extent cx="5397500" cy="2783205"/>
            <wp:effectExtent l="4445" t="4445" r="8255" b="12700"/>
            <wp:docPr id="35"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ED76C49">
      <w:pPr>
        <w:pStyle w:val="29"/>
        <w:bidi w:val="0"/>
        <w:rPr>
          <w:rFonts w:hint="default"/>
          <w:lang w:val="en-US" w:eastAsia="zh-CN"/>
        </w:rPr>
      </w:pPr>
      <w:bookmarkStart w:id="98" w:name="_Toc25744"/>
      <w:r>
        <w:rPr>
          <w:rFonts w:hint="default"/>
          <w:lang w:val="en-US" w:eastAsia="zh-CN"/>
        </w:rPr>
        <w:t>数据分析</w:t>
      </w:r>
      <w:r>
        <w:rPr>
          <w:rFonts w:hint="eastAsia"/>
          <w:lang w:val="en-US" w:eastAsia="zh-CN"/>
        </w:rPr>
        <w:t>图6</w:t>
      </w:r>
      <w:r>
        <w:rPr>
          <w:rFonts w:hint="default"/>
          <w:lang w:val="en-US" w:eastAsia="zh-CN"/>
        </w:rPr>
        <w:t>：技能大赛学生赛项参与情况统计</w:t>
      </w:r>
      <w:r>
        <w:rPr>
          <w:rFonts w:hint="eastAsia"/>
          <w:lang w:val="en-US" w:eastAsia="zh-CN"/>
        </w:rPr>
        <w:t>图</w:t>
      </w:r>
      <w:bookmarkEnd w:id="98"/>
    </w:p>
    <w:p w14:paraId="265CEAA1">
      <w:pPr>
        <w:jc w:val="center"/>
        <w:rPr>
          <w:rFonts w:hint="eastAsia"/>
          <w:b/>
          <w:bCs w:val="0"/>
          <w:lang w:val="en-US" w:eastAsia="zh-CN"/>
        </w:rPr>
      </w:pPr>
      <w:r>
        <w:rPr>
          <w:rFonts w:hint="eastAsia"/>
          <w:b/>
          <w:bCs w:val="0"/>
          <w:lang w:val="en-US" w:eastAsia="zh-CN"/>
        </w:rPr>
        <w:drawing>
          <wp:inline distT="0" distB="0" distL="114300" distR="114300">
            <wp:extent cx="4478020" cy="2277745"/>
            <wp:effectExtent l="0" t="0" r="0" b="0"/>
            <wp:docPr id="75" name="图片 75" descr="C:\Users\ASUS\Desktop\狐狸.jpg狐狸"/>
            <wp:cNvGraphicFramePr/>
            <a:graphic xmlns:a="http://schemas.openxmlformats.org/drawingml/2006/main">
              <a:graphicData uri="http://schemas.openxmlformats.org/drawingml/2006/picture">
                <pic:pic xmlns:pic="http://schemas.openxmlformats.org/drawingml/2006/picture">
                  <pic:nvPicPr>
                    <pic:cNvPr id="75" name="图片 75" descr="C:\Users\ASUS\Desktop\狐狸.jpg狐狸"/>
                    <pic:cNvPicPr/>
                  </pic:nvPicPr>
                  <pic:blipFill>
                    <a:blip r:embed="rId28"/>
                    <a:srcRect t="8518"/>
                    <a:stretch>
                      <a:fillRect/>
                    </a:stretch>
                  </pic:blipFill>
                  <pic:spPr>
                    <a:xfrm>
                      <a:off x="0" y="0"/>
                      <a:ext cx="4478020" cy="2277745"/>
                    </a:xfrm>
                    <a:prstGeom prst="rect">
                      <a:avLst/>
                    </a:prstGeom>
                  </pic:spPr>
                </pic:pic>
              </a:graphicData>
            </a:graphic>
          </wp:inline>
        </w:drawing>
      </w:r>
    </w:p>
    <w:p w14:paraId="62286041">
      <w:pPr>
        <w:pStyle w:val="14"/>
        <w:bidi w:val="0"/>
        <w:jc w:val="center"/>
        <w:rPr>
          <w:rFonts w:hint="eastAsia"/>
          <w:lang w:val="en-US" w:eastAsia="zh-CN"/>
        </w:rPr>
      </w:pPr>
      <w:bookmarkStart w:id="99" w:name="_Toc16291"/>
      <w:bookmarkStart w:id="100" w:name="_Toc21147"/>
      <w:bookmarkStart w:id="101" w:name="_Toc14458"/>
      <w:bookmarkStart w:id="102" w:name="_Toc1688"/>
      <w:r>
        <w:rPr>
          <w:rFonts w:hint="eastAsia"/>
          <w:lang w:val="en-US" w:eastAsia="zh-CN"/>
        </w:rPr>
        <w:t>图13：技能大赛护理赛项比赛现场（来源：朝阳教育发布）</w:t>
      </w:r>
      <w:bookmarkEnd w:id="99"/>
      <w:bookmarkEnd w:id="100"/>
      <w:bookmarkEnd w:id="101"/>
      <w:bookmarkEnd w:id="102"/>
    </w:p>
    <w:p w14:paraId="7B76C05A">
      <w:pPr>
        <w:jc w:val="center"/>
        <w:rPr>
          <w:rFonts w:hint="eastAsia"/>
          <w:b/>
          <w:bCs w:val="0"/>
          <w:lang w:val="en-US" w:eastAsia="zh-CN"/>
        </w:rPr>
      </w:pPr>
      <w:r>
        <w:rPr>
          <w:rFonts w:hint="eastAsia"/>
          <w:b/>
          <w:bCs w:val="0"/>
          <w:lang w:val="en-US" w:eastAsia="zh-CN"/>
        </w:rPr>
        <w:drawing>
          <wp:inline distT="0" distB="0" distL="114300" distR="114300">
            <wp:extent cx="4513580" cy="2672715"/>
            <wp:effectExtent l="0" t="0" r="1270" b="13335"/>
            <wp:docPr id="77" name="图片 77" descr="C:\Users\ASUS\Desktop\有包.jpg有包"/>
            <wp:cNvGraphicFramePr/>
            <a:graphic xmlns:a="http://schemas.openxmlformats.org/drawingml/2006/main">
              <a:graphicData uri="http://schemas.openxmlformats.org/drawingml/2006/picture">
                <pic:pic xmlns:pic="http://schemas.openxmlformats.org/drawingml/2006/picture">
                  <pic:nvPicPr>
                    <pic:cNvPr id="77" name="图片 77" descr="C:\Users\ASUS\Desktop\有包.jpg有包"/>
                    <pic:cNvPicPr/>
                  </pic:nvPicPr>
                  <pic:blipFill>
                    <a:blip r:embed="rId29"/>
                    <a:srcRect t="5240"/>
                    <a:stretch>
                      <a:fillRect/>
                    </a:stretch>
                  </pic:blipFill>
                  <pic:spPr>
                    <a:xfrm>
                      <a:off x="0" y="0"/>
                      <a:ext cx="4513580" cy="2672715"/>
                    </a:xfrm>
                    <a:prstGeom prst="rect">
                      <a:avLst/>
                    </a:prstGeom>
                  </pic:spPr>
                </pic:pic>
              </a:graphicData>
            </a:graphic>
          </wp:inline>
        </w:drawing>
      </w:r>
    </w:p>
    <w:p w14:paraId="0CE2FEC8">
      <w:pPr>
        <w:pStyle w:val="14"/>
        <w:bidi w:val="0"/>
        <w:jc w:val="center"/>
        <w:rPr>
          <w:rFonts w:hint="eastAsia"/>
          <w:lang w:val="en-US" w:eastAsia="zh-CN"/>
        </w:rPr>
      </w:pPr>
      <w:bookmarkStart w:id="103" w:name="_Toc12763"/>
      <w:bookmarkStart w:id="104" w:name="_Toc25128"/>
      <w:bookmarkStart w:id="105" w:name="_Toc19501"/>
      <w:bookmarkStart w:id="106" w:name="_Toc7022"/>
      <w:r>
        <w:rPr>
          <w:rFonts w:hint="eastAsia"/>
          <w:lang w:val="en-US" w:eastAsia="zh-CN"/>
        </w:rPr>
        <w:t>图14：技能大赛幼儿保育技能赛项比赛现场（来源：朝阳教育发布）</w:t>
      </w:r>
      <w:bookmarkEnd w:id="103"/>
      <w:bookmarkEnd w:id="104"/>
      <w:bookmarkEnd w:id="105"/>
      <w:bookmarkEnd w:id="106"/>
    </w:p>
    <w:p w14:paraId="78BFA555">
      <w:pPr>
        <w:jc w:val="center"/>
        <w:rPr>
          <w:rFonts w:hint="eastAsia"/>
          <w:b w:val="0"/>
          <w:bCs/>
          <w:lang w:val="en-US" w:eastAsia="zh-CN"/>
        </w:rPr>
      </w:pPr>
      <w:r>
        <w:rPr>
          <w:rFonts w:hint="eastAsia"/>
          <w:b w:val="0"/>
          <w:bCs/>
          <w:lang w:val="en-US" w:eastAsia="zh-CN"/>
        </w:rPr>
        <w:drawing>
          <wp:inline distT="0" distB="0" distL="114300" distR="114300">
            <wp:extent cx="4526280" cy="2310130"/>
            <wp:effectExtent l="0" t="0" r="7620" b="13970"/>
            <wp:docPr id="78" name="图片 78" descr="C:\Users\ASUS\Desktop\焊工.jpg焊工"/>
            <wp:cNvGraphicFramePr/>
            <a:graphic xmlns:a="http://schemas.openxmlformats.org/drawingml/2006/main">
              <a:graphicData uri="http://schemas.openxmlformats.org/drawingml/2006/picture">
                <pic:pic xmlns:pic="http://schemas.openxmlformats.org/drawingml/2006/picture">
                  <pic:nvPicPr>
                    <pic:cNvPr id="78" name="图片 78" descr="C:\Users\ASUS\Desktop\焊工.jpg焊工"/>
                    <pic:cNvPicPr/>
                  </pic:nvPicPr>
                  <pic:blipFill>
                    <a:blip r:embed="rId30"/>
                    <a:srcRect/>
                    <a:stretch>
                      <a:fillRect/>
                    </a:stretch>
                  </pic:blipFill>
                  <pic:spPr>
                    <a:xfrm>
                      <a:off x="0" y="0"/>
                      <a:ext cx="4526280" cy="2310130"/>
                    </a:xfrm>
                    <a:prstGeom prst="rect">
                      <a:avLst/>
                    </a:prstGeom>
                  </pic:spPr>
                </pic:pic>
              </a:graphicData>
            </a:graphic>
          </wp:inline>
        </w:drawing>
      </w:r>
    </w:p>
    <w:p w14:paraId="1B2F6E8D">
      <w:pPr>
        <w:pStyle w:val="14"/>
        <w:bidi w:val="0"/>
        <w:jc w:val="center"/>
        <w:rPr>
          <w:rFonts w:hint="eastAsia"/>
          <w:lang w:val="en-US" w:eastAsia="zh-CN"/>
        </w:rPr>
      </w:pPr>
      <w:bookmarkStart w:id="107" w:name="_Toc4414"/>
      <w:bookmarkStart w:id="108" w:name="_Toc25558"/>
      <w:bookmarkStart w:id="109" w:name="_Toc32165"/>
      <w:bookmarkStart w:id="110" w:name="_Toc18290"/>
      <w:r>
        <w:rPr>
          <w:rFonts w:hint="eastAsia"/>
          <w:lang w:val="en-US" w:eastAsia="zh-CN"/>
        </w:rPr>
        <w:t>图15：技能大赛焊接技术赛项比赛现场（来源：朝阳教育发布）</w:t>
      </w:r>
      <w:bookmarkEnd w:id="107"/>
      <w:bookmarkEnd w:id="108"/>
      <w:bookmarkEnd w:id="109"/>
      <w:bookmarkEnd w:id="110"/>
    </w:p>
    <w:p w14:paraId="12B0888F">
      <w:pPr>
        <w:pStyle w:val="15"/>
        <w:keepNext w:val="0"/>
        <w:keepLines w:val="0"/>
        <w:pageBreakBefore w:val="0"/>
        <w:widowControl w:val="0"/>
        <w:kinsoku/>
        <w:wordWrap/>
        <w:overflowPunct/>
        <w:topLinePunct w:val="0"/>
        <w:autoSpaceDE/>
        <w:autoSpaceDN/>
        <w:bidi w:val="0"/>
        <w:adjustRightInd/>
        <w:snapToGrid/>
        <w:ind w:left="0" w:leftChars="0"/>
        <w:jc w:val="left"/>
        <w:textAlignment w:val="auto"/>
        <w:rPr>
          <w:rFonts w:hint="eastAsia"/>
          <w:lang w:val="en-US" w:eastAsia="zh-CN"/>
        </w:rPr>
      </w:pPr>
    </w:p>
    <w:p w14:paraId="0F975515">
      <w:pPr>
        <w:pStyle w:val="5"/>
        <w:keepNext/>
        <w:keepLines/>
        <w:pageBreakBefore w:val="0"/>
        <w:widowControl w:val="0"/>
        <w:kinsoku/>
        <w:wordWrap/>
        <w:overflowPunct/>
        <w:topLinePunct w:val="0"/>
        <w:autoSpaceDE/>
        <w:autoSpaceDN/>
        <w:bidi w:val="0"/>
        <w:adjustRightInd/>
        <w:snapToGrid/>
        <w:ind w:left="0" w:leftChars="0" w:firstLine="0" w:firstLineChars="0"/>
        <w:jc w:val="left"/>
        <w:textAlignment w:val="auto"/>
        <w:outlineLvl w:val="2"/>
        <w:rPr>
          <w:rFonts w:hint="eastAsia" w:ascii="楷体" w:hAnsi="楷体" w:eastAsia="楷体" w:cs="楷体"/>
          <w:b/>
          <w:lang w:val="en-US" w:eastAsia="zh-CN"/>
        </w:rPr>
      </w:pPr>
      <w:bookmarkStart w:id="111" w:name="_Toc18970"/>
      <w:bookmarkStart w:id="112" w:name="_Toc8885"/>
      <w:r>
        <w:rPr>
          <w:rFonts w:hint="eastAsia" w:ascii="楷体" w:hAnsi="楷体" w:eastAsia="楷体" w:cs="楷体"/>
          <w:b/>
          <w:lang w:val="en-US" w:eastAsia="zh-CN"/>
        </w:rPr>
        <w:t>典型案例 3：</w:t>
      </w:r>
      <w:bookmarkEnd w:id="111"/>
      <w:bookmarkEnd w:id="112"/>
    </w:p>
    <w:p w14:paraId="7455D327">
      <w:pPr>
        <w:pStyle w:val="5"/>
        <w:keepNext/>
        <w:keepLines/>
        <w:pageBreakBefore w:val="0"/>
        <w:widowControl w:val="0"/>
        <w:kinsoku/>
        <w:wordWrap/>
        <w:overflowPunct/>
        <w:topLinePunct w:val="0"/>
        <w:autoSpaceDE/>
        <w:autoSpaceDN/>
        <w:bidi w:val="0"/>
        <w:adjustRightInd/>
        <w:snapToGrid/>
        <w:ind w:left="0" w:leftChars="0" w:firstLine="0" w:firstLineChars="0"/>
        <w:textAlignment w:val="auto"/>
        <w:rPr>
          <w:rFonts w:hint="eastAsia" w:ascii="Arial" w:hAnsi="Arial"/>
          <w:b/>
          <w:lang w:val="en-US" w:eastAsia="zh-CN"/>
        </w:rPr>
      </w:pPr>
      <w:bookmarkStart w:id="113" w:name="_Toc437252336_WPSOffice_Level3"/>
      <w:bookmarkStart w:id="114" w:name="_Toc13799"/>
      <w:r>
        <w:rPr>
          <w:rFonts w:hint="eastAsia" w:ascii="Arial" w:hAnsi="Arial"/>
          <w:b/>
          <w:lang w:val="en-US" w:eastAsia="zh-CN"/>
        </w:rPr>
        <w:t>以“技能大赛”为契机 推动三教改革</w:t>
      </w:r>
      <w:bookmarkEnd w:id="113"/>
      <w:bookmarkEnd w:id="114"/>
    </w:p>
    <w:p w14:paraId="22566AE8">
      <w:pPr>
        <w:keepNext w:val="0"/>
        <w:keepLines w:val="0"/>
        <w:pageBreakBefore w:val="0"/>
        <w:widowControl/>
        <w:suppressLineNumbers w:val="0"/>
        <w:kinsoku/>
        <w:wordWrap/>
        <w:overflowPunct/>
        <w:topLinePunct w:val="0"/>
        <w:autoSpaceDE/>
        <w:autoSpaceDN/>
        <w:bidi w:val="0"/>
        <w:adjustRightInd/>
        <w:snapToGrid/>
        <w:jc w:val="right"/>
        <w:textAlignment w:val="auto"/>
        <w:rPr>
          <w:rFonts w:hint="eastAsia" w:ascii="楷体" w:hAnsi="楷体" w:eastAsia="楷体" w:cs="楷体"/>
          <w:color w:val="000000"/>
          <w:kern w:val="0"/>
          <w:sz w:val="32"/>
          <w:szCs w:val="32"/>
          <w:lang w:val="en-US" w:eastAsia="zh-CN" w:bidi="ar"/>
        </w:rPr>
      </w:pPr>
      <w:r>
        <w:rPr>
          <w:rFonts w:hint="eastAsia" w:ascii="楷体" w:hAnsi="楷体" w:eastAsia="楷体" w:cs="楷体"/>
          <w:color w:val="000000"/>
          <w:kern w:val="0"/>
          <w:sz w:val="24"/>
          <w:szCs w:val="24"/>
          <w:lang w:val="en-US" w:eastAsia="zh-CN" w:bidi="ar"/>
        </w:rPr>
        <w:t xml:space="preserve"> </w:t>
      </w:r>
      <w:r>
        <w:rPr>
          <w:rFonts w:hint="eastAsia" w:ascii="楷体" w:hAnsi="楷体" w:eastAsia="楷体" w:cs="楷体"/>
          <w:color w:val="000000"/>
          <w:kern w:val="0"/>
          <w:sz w:val="30"/>
          <w:szCs w:val="30"/>
          <w:lang w:val="en-US" w:eastAsia="zh-CN" w:bidi="ar"/>
        </w:rPr>
        <w:t xml:space="preserve"> ——北票市职教中心典型案例</w:t>
      </w:r>
      <w:r>
        <w:rPr>
          <w:rFonts w:hint="eastAsia" w:ascii="楷体" w:hAnsi="楷体" w:eastAsia="楷体" w:cs="楷体"/>
          <w:color w:val="000000"/>
          <w:kern w:val="0"/>
          <w:sz w:val="32"/>
          <w:szCs w:val="32"/>
          <w:lang w:val="en-US" w:eastAsia="zh-CN" w:bidi="ar"/>
        </w:rPr>
        <w:t xml:space="preserve"> </w:t>
      </w:r>
    </w:p>
    <w:p w14:paraId="16D88358">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3" w:firstLineChars="200"/>
        <w:jc w:val="both"/>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b/>
          <w:bCs/>
          <w:kern w:val="2"/>
          <w:sz w:val="32"/>
          <w:szCs w:val="32"/>
          <w:lang w:val="en-US" w:eastAsia="zh-CN" w:bidi="ar-SA"/>
        </w:rPr>
        <w:t>背景：</w:t>
      </w:r>
      <w:r>
        <w:rPr>
          <w:rFonts w:hint="eastAsia" w:ascii="仿宋_GB2312" w:hAnsi="仿宋_GB2312" w:eastAsia="仿宋_GB2312" w:cs="仿宋_GB2312"/>
          <w:kern w:val="2"/>
          <w:sz w:val="32"/>
          <w:szCs w:val="32"/>
          <w:lang w:val="en-US" w:eastAsia="zh-CN" w:bidi="ar-SA"/>
        </w:rPr>
        <w:t>为了有效将教学过程与社会实践紧密结合，运用以赛代练的方式开展实践教学，丰富教学内容，创新教学方式。</w:t>
      </w:r>
    </w:p>
    <w:p w14:paraId="7A389C4A">
      <w:pPr>
        <w:keepNext w:val="0"/>
        <w:keepLines w:val="0"/>
        <w:pageBreakBefore w:val="0"/>
        <w:widowControl/>
        <w:suppressLineNumbers w:val="0"/>
        <w:kinsoku/>
        <w:wordWrap/>
        <w:overflowPunct/>
        <w:topLinePunct w:val="0"/>
        <w:autoSpaceDE/>
        <w:autoSpaceDN/>
        <w:bidi w:val="0"/>
        <w:adjustRightInd/>
        <w:snapToGrid/>
        <w:spacing w:line="520" w:lineRule="exact"/>
        <w:ind w:firstLine="643" w:firstLineChars="200"/>
        <w:jc w:val="left"/>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b/>
          <w:bCs/>
          <w:kern w:val="2"/>
          <w:sz w:val="32"/>
          <w:szCs w:val="32"/>
          <w:lang w:val="en-US" w:eastAsia="zh-CN" w:bidi="ar-SA"/>
        </w:rPr>
        <w:t>过程与方法：</w:t>
      </w:r>
      <w:r>
        <w:rPr>
          <w:rFonts w:hint="eastAsia" w:ascii="仿宋_GB2312" w:hAnsi="仿宋_GB2312" w:eastAsia="仿宋_GB2312" w:cs="仿宋_GB2312"/>
          <w:kern w:val="2"/>
          <w:sz w:val="32"/>
          <w:szCs w:val="32"/>
          <w:lang w:val="en-US" w:eastAsia="zh-CN" w:bidi="ar-SA"/>
        </w:rPr>
        <w:t>学校开展大赛经验交流与培训，邀请获奖教师及大赛评委讲解赛项要求、评分标准、行业最新技术与工艺。在各专业采用“一对一”或“一对多”的个性化指导方式。在实训教学中，教师仔细观察每个学生的操作习惯和问题；组织教师定期深入企业生产一线，了解最新的数控车床设备和加工工艺，将企业实际生产案例带回课堂教学。以技能大赛项目为蓝本设计课程教学项目，将课程知识点分解到各个项目任务中，让学生在完成项目的过程中掌握知识与技能；同时推广信息化教学手段的应用。充分利用多媒体、在线教学平台等信息化手段辅助教学。建立多元化教学评价体系，除传统考试外，增加项目完成情况评价、小组互评、学生自评等方式，全面、客观地评价学生学习效果与能力提升情况，及时反馈教学效果，以便调整教学策略与方法。将大赛成果转化为教材内容，深入分析技能大赛赛项内容与考核要点，将其中涉及的新知识、新技术、新工艺、新规范融入教材编写，以此为契机编写校本教材。</w:t>
      </w:r>
    </w:p>
    <w:p w14:paraId="7B3FD25D">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3" w:firstLineChars="200"/>
        <w:jc w:val="both"/>
        <w:textAlignment w:val="auto"/>
        <w:rPr>
          <w:rFonts w:hint="eastAsia" w:ascii="仿宋_GB2312" w:hAnsi="仿宋_GB2312" w:eastAsia="仿宋_GB2312" w:cs="仿宋_GB2312"/>
          <w:spacing w:val="-6"/>
          <w:kern w:val="2"/>
          <w:sz w:val="32"/>
          <w:szCs w:val="32"/>
          <w:lang w:val="en-US" w:eastAsia="zh-CN" w:bidi="ar-SA"/>
        </w:rPr>
      </w:pPr>
      <w:r>
        <w:rPr>
          <w:rFonts w:hint="eastAsia" w:ascii="仿宋_GB2312" w:hAnsi="仿宋_GB2312" w:eastAsia="仿宋_GB2312" w:cs="仿宋_GB2312"/>
          <w:b/>
          <w:bCs/>
          <w:kern w:val="2"/>
          <w:sz w:val="32"/>
          <w:szCs w:val="32"/>
          <w:lang w:val="en-US" w:eastAsia="zh-CN" w:bidi="ar-SA"/>
        </w:rPr>
        <w:t>成效：</w:t>
      </w:r>
      <w:r>
        <w:rPr>
          <w:rFonts w:hint="eastAsia" w:ascii="仿宋_GB2312" w:hAnsi="仿宋_GB2312" w:eastAsia="仿宋_GB2312" w:cs="仿宋_GB2312"/>
          <w:spacing w:val="-6"/>
          <w:kern w:val="2"/>
          <w:sz w:val="32"/>
          <w:szCs w:val="32"/>
          <w:lang w:val="en-US" w:eastAsia="zh-CN" w:bidi="ar-SA"/>
        </w:rPr>
        <w:t>首先教师教学以及实践能力有所提升。其次交流、学习先进教学理念与方法，提升了教学设计与课堂组织能力。最后利用在线教学平台开展翻转课堂教学，增加师生互动与教学灵活性。</w:t>
      </w:r>
    </w:p>
    <w:p w14:paraId="46974D93">
      <w:pPr>
        <w:keepNext w:val="0"/>
        <w:keepLines w:val="0"/>
        <w:widowControl/>
        <w:numPr>
          <w:ilvl w:val="0"/>
          <w:numId w:val="0"/>
        </w:numPr>
        <w:suppressLineNumbers w:val="0"/>
        <w:ind w:firstLine="643" w:firstLineChars="200"/>
        <w:jc w:val="left"/>
        <w:outlineLvl w:val="1"/>
        <w:rPr>
          <w:rFonts w:hint="eastAsia" w:ascii="楷体" w:hAnsi="楷体" w:eastAsia="楷体" w:cs="楷体"/>
          <w:color w:val="0000FF"/>
          <w:kern w:val="0"/>
          <w:sz w:val="32"/>
          <w:szCs w:val="32"/>
          <w:lang w:val="en-US" w:eastAsia="zh-CN" w:bidi="ar"/>
        </w:rPr>
      </w:pPr>
      <w:bookmarkStart w:id="115" w:name="_Toc14727"/>
      <w:r>
        <w:rPr>
          <w:rFonts w:hint="eastAsia" w:ascii="楷体" w:hAnsi="楷体" w:eastAsia="楷体" w:cs="楷体"/>
          <w:b/>
          <w:bCs/>
          <w:kern w:val="0"/>
          <w:sz w:val="32"/>
          <w:szCs w:val="32"/>
          <w:lang w:val="en-US" w:eastAsia="zh-CN" w:bidi="ar"/>
        </w:rPr>
        <w:t>2.4职业发展</w:t>
      </w:r>
      <w:bookmarkEnd w:id="115"/>
    </w:p>
    <w:p w14:paraId="24B9CF1D">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19" w:firstLineChars="200"/>
        <w:jc w:val="both"/>
        <w:textAlignment w:val="auto"/>
        <w:outlineLvl w:val="2"/>
        <w:rPr>
          <w:rFonts w:hint="eastAsia" w:ascii="Times New Roman" w:hAnsi="Times New Roman" w:eastAsia="仿宋_GB2312" w:cstheme="minorBidi"/>
          <w:b/>
          <w:bCs/>
          <w:spacing w:val="-6"/>
          <w:kern w:val="2"/>
          <w:sz w:val="32"/>
          <w:szCs w:val="32"/>
          <w:lang w:val="en-US" w:eastAsia="zh-CN" w:bidi="ar-SA"/>
        </w:rPr>
      </w:pPr>
      <w:bookmarkStart w:id="116" w:name="_Toc30726"/>
      <w:bookmarkStart w:id="117" w:name="_Toc472938721_WPSOffice_Level3"/>
      <w:r>
        <w:rPr>
          <w:rFonts w:hint="eastAsia" w:ascii="仿宋_GB2312" w:hAnsi="仿宋_GB2312" w:eastAsia="仿宋_GB2312" w:cs="仿宋_GB2312"/>
          <w:b/>
          <w:bCs/>
          <w:spacing w:val="-6"/>
          <w:kern w:val="2"/>
          <w:sz w:val="32"/>
          <w:szCs w:val="32"/>
          <w:lang w:val="en-US" w:eastAsia="zh-CN" w:bidi="ar-SA"/>
        </w:rPr>
        <w:t>2.4.1毕业</w:t>
      </w:r>
      <w:r>
        <w:rPr>
          <w:rFonts w:hint="eastAsia" w:ascii="Times New Roman" w:hAnsi="Times New Roman" w:eastAsia="仿宋_GB2312" w:cstheme="minorBidi"/>
          <w:b/>
          <w:bCs/>
          <w:spacing w:val="-6"/>
          <w:kern w:val="2"/>
          <w:sz w:val="32"/>
          <w:szCs w:val="32"/>
          <w:lang w:val="en-US" w:eastAsia="zh-CN" w:bidi="ar-SA"/>
        </w:rPr>
        <w:t>生就业（升学）情况</w:t>
      </w:r>
      <w:bookmarkEnd w:id="116"/>
      <w:bookmarkEnd w:id="117"/>
    </w:p>
    <w:p w14:paraId="5DC6942D">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16" w:firstLineChars="200"/>
        <w:jc w:val="both"/>
        <w:textAlignment w:val="auto"/>
        <w:rPr>
          <w:rFonts w:hint="eastAsia" w:ascii="仿宋_GB2312" w:hAnsi="仿宋_GB2312" w:eastAsia="仿宋_GB2312" w:cs="仿宋_GB2312"/>
          <w:spacing w:val="-6"/>
          <w:kern w:val="2"/>
          <w:sz w:val="32"/>
          <w:szCs w:val="32"/>
          <w:lang w:val="en-US" w:eastAsia="zh-CN" w:bidi="ar-SA"/>
        </w:rPr>
      </w:pPr>
      <w:r>
        <w:rPr>
          <w:rFonts w:hint="eastAsia" w:ascii="仿宋_GB2312" w:hAnsi="仿宋_GB2312" w:eastAsia="仿宋_GB2312" w:cs="仿宋_GB2312"/>
          <w:spacing w:val="-6"/>
          <w:kern w:val="2"/>
          <w:sz w:val="32"/>
          <w:szCs w:val="32"/>
          <w:lang w:val="en-US" w:eastAsia="zh-CN" w:bidi="ar-SA"/>
        </w:rPr>
        <w:t>2024年，教育部门管理中职学校毕业生5922人，就业（升学）人数5710人，升学人数3446，就业率为96.42%。</w:t>
      </w:r>
    </w:p>
    <w:p w14:paraId="66389CFA">
      <w:pPr>
        <w:pStyle w:val="2"/>
        <w:outlineLvl w:val="2"/>
        <w:rPr>
          <w:rFonts w:hint="eastAsia" w:ascii="仿宋_GB2312" w:hAnsi="仿宋_GB2312" w:eastAsia="仿宋_GB2312" w:cs="仿宋_GB2312"/>
          <w:b/>
          <w:bCs w:val="0"/>
          <w:color w:val="auto"/>
          <w:sz w:val="32"/>
          <w:szCs w:val="32"/>
          <w:lang w:val="en-US" w:eastAsia="zh-CN"/>
        </w:rPr>
      </w:pPr>
      <w:bookmarkStart w:id="118" w:name="_Toc3114"/>
      <w:bookmarkStart w:id="119" w:name="_Toc1395385198_WPSOffice_Level3"/>
      <w:r>
        <w:rPr>
          <w:rFonts w:hint="eastAsia" w:ascii="仿宋_GB2312" w:hAnsi="仿宋_GB2312" w:eastAsia="仿宋_GB2312" w:cs="仿宋_GB2312"/>
          <w:b/>
          <w:bCs w:val="0"/>
          <w:color w:val="auto"/>
          <w:kern w:val="0"/>
          <w:sz w:val="32"/>
          <w:szCs w:val="32"/>
          <w:lang w:val="en-US" w:eastAsia="zh-CN" w:bidi="ar"/>
        </w:rPr>
        <w:t>2.4.2调整专业设置</w:t>
      </w:r>
      <w:bookmarkEnd w:id="118"/>
      <w:bookmarkEnd w:id="119"/>
    </w:p>
    <w:p w14:paraId="322A45D3">
      <w:pPr>
        <w:pStyle w:val="6"/>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为紧密对接区域产业发展需求，给学生未来职业发展提供最</w:t>
      </w:r>
      <w:r>
        <w:rPr>
          <w:rFonts w:hint="eastAsia" w:ascii="仿宋_GB2312" w:hAnsi="仿宋_GB2312" w:eastAsia="仿宋_GB2312" w:cs="仿宋_GB2312"/>
          <w:kern w:val="0"/>
          <w:sz w:val="32"/>
          <w:szCs w:val="32"/>
          <w:lang w:val="en-US" w:eastAsia="zh-CN"/>
        </w:rPr>
        <w:t>优专业，20</w:t>
      </w:r>
      <w:r>
        <w:rPr>
          <w:rFonts w:hint="eastAsia" w:ascii="仿宋_GB2312" w:hAnsi="仿宋_GB2312" w:eastAsia="仿宋_GB2312" w:cs="仿宋_GB2312"/>
          <w:sz w:val="32"/>
          <w:szCs w:val="32"/>
          <w:lang w:val="en-US" w:eastAsia="zh-CN"/>
        </w:rPr>
        <w:t>24年全市中职学校共撤销招生效果差、办学效益低的专业34个，</w:t>
      </w:r>
      <w:r>
        <w:rPr>
          <w:rFonts w:hint="eastAsia" w:ascii="仿宋_GB2312" w:hAnsi="仿宋_GB2312" w:eastAsia="仿宋_GB2312" w:cs="仿宋_GB2312"/>
          <w:kern w:val="0"/>
          <w:sz w:val="32"/>
          <w:szCs w:val="32"/>
        </w:rPr>
        <w:t>增</w:t>
      </w:r>
      <w:r>
        <w:rPr>
          <w:rFonts w:hint="eastAsia" w:ascii="仿宋_GB2312" w:hAnsi="仿宋_GB2312" w:eastAsia="仿宋_GB2312" w:cs="仿宋_GB2312"/>
          <w:kern w:val="0"/>
          <w:sz w:val="32"/>
          <w:szCs w:val="32"/>
          <w:lang w:val="en-US" w:eastAsia="zh-CN"/>
        </w:rPr>
        <w:t>设</w:t>
      </w:r>
      <w:r>
        <w:rPr>
          <w:rFonts w:hint="eastAsia" w:ascii="仿宋_GB2312" w:hAnsi="仿宋_GB2312" w:eastAsia="仿宋_GB2312" w:cs="仿宋_GB2312"/>
          <w:kern w:val="0"/>
          <w:sz w:val="32"/>
          <w:szCs w:val="32"/>
        </w:rPr>
        <w:t>发展亟需</w:t>
      </w:r>
      <w:r>
        <w:rPr>
          <w:rFonts w:hint="eastAsia" w:ascii="仿宋_GB2312" w:hAnsi="仿宋_GB2312" w:eastAsia="仿宋_GB2312" w:cs="仿宋_GB2312"/>
          <w:kern w:val="0"/>
          <w:sz w:val="32"/>
          <w:szCs w:val="32"/>
          <w:lang w:eastAsia="zh-CN"/>
        </w:rPr>
        <w:t>、</w:t>
      </w:r>
      <w:r>
        <w:rPr>
          <w:rFonts w:hint="eastAsia" w:ascii="仿宋_GB2312" w:hAnsi="仿宋_GB2312" w:eastAsia="仿宋_GB2312" w:cs="仿宋_GB2312"/>
          <w:kern w:val="0"/>
          <w:sz w:val="32"/>
          <w:szCs w:val="32"/>
          <w:lang w:val="en-US" w:eastAsia="zh-CN"/>
        </w:rPr>
        <w:t>新兴</w:t>
      </w:r>
      <w:r>
        <w:rPr>
          <w:rFonts w:hint="eastAsia" w:ascii="仿宋_GB2312" w:hAnsi="仿宋_GB2312" w:eastAsia="仿宋_GB2312" w:cs="仿宋_GB2312"/>
          <w:kern w:val="0"/>
          <w:sz w:val="32"/>
          <w:szCs w:val="32"/>
        </w:rPr>
        <w:t>专业14个，将全市中职招生专业总数压缩至62类13</w:t>
      </w:r>
      <w:r>
        <w:rPr>
          <w:rFonts w:hint="eastAsia" w:ascii="仿宋_GB2312" w:hAnsi="仿宋_GB2312" w:eastAsia="仿宋_GB2312" w:cs="仿宋_GB2312"/>
          <w:kern w:val="0"/>
          <w:sz w:val="32"/>
          <w:szCs w:val="32"/>
          <w:lang w:val="en-US" w:eastAsia="zh-CN"/>
        </w:rPr>
        <w:t>5</w:t>
      </w:r>
      <w:r>
        <w:rPr>
          <w:rFonts w:hint="eastAsia" w:ascii="仿宋_GB2312" w:hAnsi="仿宋_GB2312" w:eastAsia="仿宋_GB2312" w:cs="仿宋_GB2312"/>
          <w:sz w:val="32"/>
          <w:szCs w:val="32"/>
        </w:rPr>
        <w:t>个</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进一步</w:t>
      </w:r>
      <w:r>
        <w:rPr>
          <w:rFonts w:hint="eastAsia" w:ascii="仿宋_GB2312" w:hAnsi="仿宋_GB2312" w:eastAsia="仿宋_GB2312" w:cs="仿宋_GB2312"/>
          <w:kern w:val="0"/>
          <w:sz w:val="32"/>
          <w:szCs w:val="32"/>
          <w:lang w:val="en-US" w:eastAsia="zh-CN"/>
        </w:rPr>
        <w:t>提升职业学校专业布局和区域产业结构的契合度。</w:t>
      </w:r>
      <w:r>
        <w:rPr>
          <w:rFonts w:hint="eastAsia" w:ascii="仿宋_GB2312" w:hAnsi="仿宋_GB2312" w:eastAsia="仿宋_GB2312" w:cs="仿宋_GB2312"/>
          <w:sz w:val="32"/>
          <w:szCs w:val="32"/>
          <w:lang w:val="en-US" w:eastAsia="zh-CN"/>
        </w:rPr>
        <w:t>目前，全市中等职业学校现开设有畜禽生产技术、电子商务、幼儿保育等</w:t>
      </w:r>
      <w:r>
        <w:rPr>
          <w:rFonts w:hint="eastAsia" w:ascii="仿宋_GB2312" w:hAnsi="仿宋_GB2312" w:eastAsia="仿宋_GB2312" w:cs="仿宋_GB2312"/>
          <w:sz w:val="32"/>
          <w:szCs w:val="32"/>
          <w:highlight w:val="none"/>
          <w:lang w:val="en-US" w:eastAsia="zh-CN"/>
        </w:rPr>
        <w:t>135</w:t>
      </w:r>
      <w:r>
        <w:rPr>
          <w:rFonts w:hint="eastAsia" w:ascii="仿宋_GB2312" w:hAnsi="仿宋_GB2312" w:eastAsia="仿宋_GB2312" w:cs="仿宋_GB2312"/>
          <w:sz w:val="32"/>
          <w:szCs w:val="32"/>
          <w:lang w:val="en-US" w:eastAsia="zh-CN"/>
        </w:rPr>
        <w:t>个中职专业，其中，幼儿保育、护理等18个专业是省中等职业教育优质专业建设项目。</w:t>
      </w:r>
    </w:p>
    <w:p w14:paraId="3BD62BB8">
      <w:pPr>
        <w:pStyle w:val="3"/>
        <w:bidi w:val="0"/>
        <w:ind w:firstLine="640" w:firstLineChars="200"/>
        <w:rPr>
          <w:rFonts w:hint="eastAsia" w:ascii="黑体" w:hAnsi="黑体" w:eastAsia="黑体" w:cs="黑体"/>
          <w:b w:val="0"/>
          <w:bCs/>
          <w:sz w:val="32"/>
          <w:szCs w:val="32"/>
          <w:lang w:val="en-US" w:eastAsia="zh-CN"/>
        </w:rPr>
      </w:pPr>
      <w:bookmarkStart w:id="120" w:name="_Toc16135"/>
      <w:r>
        <w:rPr>
          <w:rFonts w:hint="eastAsia" w:ascii="黑体" w:hAnsi="黑体" w:eastAsia="黑体" w:cs="黑体"/>
          <w:b w:val="0"/>
          <w:bCs/>
          <w:sz w:val="32"/>
          <w:szCs w:val="32"/>
          <w:lang w:val="en-US" w:eastAsia="zh-CN"/>
        </w:rPr>
        <w:t>3.服务贡献</w:t>
      </w:r>
      <w:bookmarkEnd w:id="120"/>
    </w:p>
    <w:p w14:paraId="0C7CB7C6">
      <w:pPr>
        <w:pStyle w:val="2"/>
        <w:bidi w:val="0"/>
        <w:rPr>
          <w:rFonts w:hint="eastAsia" w:ascii="楷体" w:hAnsi="楷体" w:eastAsia="楷体" w:cs="楷体"/>
          <w:b/>
          <w:bCs w:val="0"/>
          <w:sz w:val="32"/>
          <w:szCs w:val="32"/>
          <w:lang w:val="en-US" w:eastAsia="zh-CN"/>
        </w:rPr>
      </w:pPr>
      <w:bookmarkStart w:id="121" w:name="_Toc32258"/>
      <w:r>
        <w:rPr>
          <w:rFonts w:hint="eastAsia" w:ascii="楷体" w:hAnsi="楷体" w:eastAsia="楷体" w:cs="楷体"/>
          <w:b/>
          <w:bCs w:val="0"/>
          <w:sz w:val="32"/>
          <w:szCs w:val="32"/>
          <w:lang w:val="en-US" w:eastAsia="zh-CN"/>
        </w:rPr>
        <w:t>3.1服务地方产业</w:t>
      </w:r>
      <w:bookmarkEnd w:id="121"/>
    </w:p>
    <w:p w14:paraId="167B82D4">
      <w:pPr>
        <w:keepNext w:val="0"/>
        <w:keepLines w:val="0"/>
        <w:pageBreakBefore w:val="0"/>
        <w:widowControl w:val="0"/>
        <w:numPr>
          <w:ilvl w:val="0"/>
          <w:numId w:val="0"/>
        </w:numPr>
        <w:kinsoku/>
        <w:wordWrap/>
        <w:overflowPunct/>
        <w:topLinePunct w:val="0"/>
        <w:autoSpaceDE/>
        <w:autoSpaceDN/>
        <w:bidi w:val="0"/>
        <w:adjustRightInd/>
        <w:snapToGrid/>
        <w:spacing w:before="120" w:line="560" w:lineRule="exact"/>
        <w:ind w:firstLine="640" w:firstLineChars="200"/>
        <w:jc w:val="both"/>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0"/>
          <w:sz w:val="32"/>
          <w:szCs w:val="32"/>
          <w:lang w:val="en-US" w:eastAsia="zh-CN"/>
        </w:rPr>
        <w:t>1.持续深化产教融合、校企合作，</w:t>
      </w:r>
      <w:r>
        <w:rPr>
          <w:rFonts w:hint="eastAsia" w:ascii="仿宋_GB2312" w:hAnsi="仿宋_GB2312" w:eastAsia="仿宋_GB2312" w:cs="仿宋_GB2312"/>
          <w:sz w:val="32"/>
          <w:szCs w:val="32"/>
          <w:lang w:val="en-US" w:eastAsia="zh-CN"/>
        </w:rPr>
        <w:t>鼓励中高等学校</w:t>
      </w:r>
      <w:r>
        <w:rPr>
          <w:rFonts w:hint="eastAsia" w:ascii="仿宋_GB2312" w:hAnsi="仿宋_GB2312" w:eastAsia="仿宋_GB2312" w:cs="仿宋_GB2312"/>
          <w:sz w:val="32"/>
          <w:szCs w:val="32"/>
        </w:rPr>
        <w:t>参与申报市“千名专家进园区”活动，</w:t>
      </w:r>
      <w:r>
        <w:rPr>
          <w:rFonts w:hint="eastAsia" w:ascii="仿宋_GB2312" w:hAnsi="仿宋_GB2312" w:eastAsia="仿宋_GB2312" w:cs="仿宋_GB2312"/>
          <w:sz w:val="32"/>
          <w:szCs w:val="32"/>
          <w:lang w:val="en-US" w:eastAsia="zh-CN"/>
        </w:rPr>
        <w:t>广泛开展</w:t>
      </w:r>
      <w:r>
        <w:rPr>
          <w:rFonts w:hint="eastAsia" w:ascii="仿宋_GB2312" w:hAnsi="仿宋_GB2312" w:eastAsia="仿宋_GB2312" w:cs="仿宋_GB2312"/>
          <w:sz w:val="32"/>
          <w:szCs w:val="32"/>
        </w:rPr>
        <w:t>科技</w:t>
      </w:r>
      <w:r>
        <w:rPr>
          <w:rFonts w:hint="eastAsia" w:ascii="仿宋_GB2312" w:hAnsi="仿宋_GB2312" w:eastAsia="仿宋_GB2312" w:cs="仿宋_GB2312"/>
          <w:sz w:val="32"/>
          <w:szCs w:val="32"/>
          <w:lang w:val="en-US" w:eastAsia="zh-CN"/>
        </w:rPr>
        <w:t>创新</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val="en-US" w:eastAsia="zh-CN"/>
        </w:rPr>
        <w:t>技术</w:t>
      </w:r>
      <w:r>
        <w:rPr>
          <w:rFonts w:hint="eastAsia" w:ascii="仿宋_GB2312" w:hAnsi="仿宋_GB2312" w:eastAsia="仿宋_GB2312" w:cs="仿宋_GB2312"/>
          <w:sz w:val="32"/>
          <w:szCs w:val="32"/>
        </w:rPr>
        <w:t>服务和技能培训</w:t>
      </w:r>
      <w:r>
        <w:rPr>
          <w:rFonts w:hint="eastAsia" w:ascii="仿宋_GB2312" w:hAnsi="仿宋_GB2312" w:eastAsia="仿宋_GB2312" w:cs="仿宋_GB2312"/>
          <w:sz w:val="32"/>
          <w:szCs w:val="32"/>
          <w:lang w:val="en-US" w:eastAsia="zh-CN"/>
        </w:rPr>
        <w:t>等合作，积极</w:t>
      </w:r>
      <w:r>
        <w:rPr>
          <w:rFonts w:hint="eastAsia" w:ascii="仿宋_GB2312" w:hAnsi="仿宋_GB2312" w:eastAsia="仿宋_GB2312" w:cs="仿宋_GB2312"/>
          <w:sz w:val="32"/>
          <w:szCs w:val="32"/>
        </w:rPr>
        <w:t>服务</w:t>
      </w:r>
      <w:r>
        <w:rPr>
          <w:rFonts w:hint="eastAsia" w:ascii="仿宋_GB2312" w:hAnsi="仿宋_GB2312" w:eastAsia="仿宋_GB2312" w:cs="仿宋_GB2312"/>
          <w:sz w:val="32"/>
          <w:szCs w:val="32"/>
          <w:lang w:val="en-US" w:eastAsia="zh-CN"/>
        </w:rPr>
        <w:t>园区</w:t>
      </w:r>
      <w:r>
        <w:rPr>
          <w:rFonts w:hint="eastAsia" w:ascii="仿宋_GB2312" w:hAnsi="仿宋_GB2312" w:eastAsia="仿宋_GB2312" w:cs="仿宋_GB2312"/>
          <w:sz w:val="32"/>
          <w:szCs w:val="32"/>
        </w:rPr>
        <w:t>企业发展</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kern w:val="2"/>
          <w:sz w:val="32"/>
          <w:szCs w:val="32"/>
          <w:lang w:val="en-US" w:eastAsia="zh-CN" w:bidi="ar-SA"/>
        </w:rPr>
        <w:t>有效发挥职业教育服务经济社会发展作用。职业院校积极参与申报全市“千名专家进园区”活动，通过与园区企业开展联合科研攻关、设备升级改造、职业技能培训等活动，助力园区企业发展，提升服务地方经济发展能力。2022年全市职业院校开展的42个项目，2023年开展的35个入选项目为园区企业创造经济效益近千万元。2024年又有31个项目入选项目库。（见下图）</w:t>
      </w:r>
    </w:p>
    <w:p w14:paraId="41C4FA78">
      <w:pPr>
        <w:keepNext w:val="0"/>
        <w:keepLines w:val="0"/>
        <w:pageBreakBefore w:val="0"/>
        <w:widowControl w:val="0"/>
        <w:kinsoku/>
        <w:wordWrap/>
        <w:overflowPunct/>
        <w:topLinePunct w:val="0"/>
        <w:autoSpaceDE/>
        <w:autoSpaceDN/>
        <w:bidi w:val="0"/>
        <w:adjustRightInd/>
        <w:snapToGrid/>
        <w:spacing w:line="560" w:lineRule="exact"/>
        <w:textAlignment w:val="auto"/>
      </w:pPr>
      <w:r>
        <w:drawing>
          <wp:anchor distT="0" distB="0" distL="114300" distR="114300" simplePos="0" relativeHeight="251662336" behindDoc="0" locked="0" layoutInCell="1" allowOverlap="1">
            <wp:simplePos x="0" y="0"/>
            <wp:positionH relativeFrom="column">
              <wp:posOffset>718185</wp:posOffset>
            </wp:positionH>
            <wp:positionV relativeFrom="paragraph">
              <wp:posOffset>180975</wp:posOffset>
            </wp:positionV>
            <wp:extent cx="4259580" cy="2526030"/>
            <wp:effectExtent l="4445" t="4445" r="22225" b="22225"/>
            <wp:wrapSquare wrapText="bothSides"/>
            <wp:docPr id="36"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p>
    <w:p w14:paraId="57E7B5D7">
      <w:pPr>
        <w:keepNext w:val="0"/>
        <w:keepLines w:val="0"/>
        <w:pageBreakBefore w:val="0"/>
        <w:widowControl w:val="0"/>
        <w:kinsoku/>
        <w:wordWrap/>
        <w:overflowPunct/>
        <w:topLinePunct w:val="0"/>
        <w:autoSpaceDE/>
        <w:autoSpaceDN/>
        <w:bidi w:val="0"/>
        <w:adjustRightInd/>
        <w:snapToGrid/>
        <w:spacing w:line="560" w:lineRule="exact"/>
        <w:textAlignment w:val="auto"/>
      </w:pPr>
    </w:p>
    <w:p w14:paraId="58BCE696">
      <w:pPr>
        <w:keepNext w:val="0"/>
        <w:keepLines w:val="0"/>
        <w:pageBreakBefore w:val="0"/>
        <w:widowControl w:val="0"/>
        <w:kinsoku/>
        <w:wordWrap/>
        <w:overflowPunct/>
        <w:topLinePunct w:val="0"/>
        <w:autoSpaceDE/>
        <w:autoSpaceDN/>
        <w:bidi w:val="0"/>
        <w:adjustRightInd/>
        <w:snapToGrid/>
        <w:spacing w:line="560" w:lineRule="exact"/>
        <w:textAlignment w:val="auto"/>
      </w:pPr>
    </w:p>
    <w:p w14:paraId="37565ADB">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Times New Roman" w:hAnsi="Times New Roman" w:eastAsia="仿宋_GB2312"/>
          <w:sz w:val="32"/>
          <w:szCs w:val="32"/>
          <w:lang w:val="en-US" w:eastAsia="zh-CN"/>
        </w:rPr>
      </w:pPr>
    </w:p>
    <w:p w14:paraId="5CAC18D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Times New Roman" w:hAnsi="Times New Roman" w:eastAsia="仿宋_GB2312"/>
          <w:sz w:val="32"/>
          <w:szCs w:val="32"/>
          <w:lang w:val="en-US" w:eastAsia="zh-CN"/>
        </w:rPr>
      </w:pPr>
    </w:p>
    <w:p w14:paraId="79A8500F">
      <w:pPr>
        <w:pStyle w:val="8"/>
        <w:keepNext w:val="0"/>
        <w:keepLines w:val="0"/>
        <w:pageBreakBefore w:val="0"/>
        <w:widowControl w:val="0"/>
        <w:kinsoku/>
        <w:wordWrap/>
        <w:overflowPunct/>
        <w:topLinePunct w:val="0"/>
        <w:autoSpaceDE/>
        <w:autoSpaceDN/>
        <w:bidi w:val="0"/>
        <w:adjustRightInd/>
        <w:snapToGrid w:val="0"/>
        <w:spacing w:after="157" w:afterLines="50"/>
        <w:jc w:val="center"/>
        <w:textAlignment w:val="auto"/>
        <w:rPr>
          <w:rFonts w:hint="eastAsia"/>
          <w:sz w:val="20"/>
          <w:szCs w:val="20"/>
          <w:lang w:val="en-US" w:eastAsia="zh-CN"/>
        </w:rPr>
      </w:pPr>
    </w:p>
    <w:p w14:paraId="132B35D8">
      <w:pPr>
        <w:pStyle w:val="8"/>
        <w:keepNext w:val="0"/>
        <w:keepLines w:val="0"/>
        <w:pageBreakBefore w:val="0"/>
        <w:widowControl w:val="0"/>
        <w:kinsoku/>
        <w:wordWrap/>
        <w:overflowPunct/>
        <w:topLinePunct w:val="0"/>
        <w:autoSpaceDE/>
        <w:autoSpaceDN/>
        <w:bidi w:val="0"/>
        <w:adjustRightInd/>
        <w:snapToGrid w:val="0"/>
        <w:spacing w:after="157" w:afterLines="50"/>
        <w:jc w:val="center"/>
        <w:textAlignment w:val="auto"/>
        <w:rPr>
          <w:rFonts w:hint="eastAsia"/>
          <w:sz w:val="20"/>
          <w:szCs w:val="20"/>
          <w:lang w:val="en-US" w:eastAsia="zh-CN"/>
        </w:rPr>
      </w:pPr>
    </w:p>
    <w:p w14:paraId="6DEB7569">
      <w:pPr>
        <w:pStyle w:val="8"/>
        <w:keepNext w:val="0"/>
        <w:keepLines w:val="0"/>
        <w:pageBreakBefore w:val="0"/>
        <w:widowControl w:val="0"/>
        <w:kinsoku/>
        <w:wordWrap/>
        <w:overflowPunct/>
        <w:topLinePunct w:val="0"/>
        <w:autoSpaceDE/>
        <w:autoSpaceDN/>
        <w:bidi w:val="0"/>
        <w:adjustRightInd/>
        <w:snapToGrid w:val="0"/>
        <w:spacing w:after="157" w:afterLines="50"/>
        <w:jc w:val="both"/>
        <w:textAlignment w:val="auto"/>
        <w:rPr>
          <w:rFonts w:hint="default"/>
          <w:sz w:val="20"/>
          <w:szCs w:val="20"/>
          <w:highlight w:val="yellow"/>
          <w:lang w:val="en-US" w:eastAsia="zh-CN"/>
        </w:rPr>
      </w:pPr>
    </w:p>
    <w:p w14:paraId="63425920">
      <w:pPr>
        <w:pStyle w:val="8"/>
        <w:keepNext w:val="0"/>
        <w:keepLines w:val="0"/>
        <w:pageBreakBefore w:val="0"/>
        <w:widowControl w:val="0"/>
        <w:kinsoku/>
        <w:wordWrap/>
        <w:overflowPunct/>
        <w:topLinePunct w:val="0"/>
        <w:autoSpaceDE/>
        <w:autoSpaceDN/>
        <w:bidi w:val="0"/>
        <w:adjustRightInd/>
        <w:snapToGrid w:val="0"/>
        <w:spacing w:after="157" w:afterLines="50"/>
        <w:jc w:val="both"/>
        <w:textAlignment w:val="auto"/>
        <w:rPr>
          <w:rFonts w:hint="eastAsia"/>
          <w:sz w:val="20"/>
          <w:szCs w:val="20"/>
          <w:highlight w:val="none"/>
          <w:lang w:val="en-US" w:eastAsia="zh-CN"/>
        </w:rPr>
      </w:pPr>
    </w:p>
    <w:p w14:paraId="15D38418">
      <w:pPr>
        <w:pStyle w:val="29"/>
        <w:bidi w:val="0"/>
        <w:outlineLvl w:val="2"/>
        <w:rPr>
          <w:rFonts w:hint="eastAsia"/>
          <w:lang w:val="en-US" w:eastAsia="zh-CN"/>
        </w:rPr>
      </w:pPr>
      <w:bookmarkStart w:id="122" w:name="_Toc32667"/>
      <w:bookmarkStart w:id="123" w:name="_Toc2576"/>
      <w:r>
        <w:rPr>
          <w:rFonts w:hint="eastAsia"/>
          <w:lang w:val="en-US" w:eastAsia="zh-CN"/>
        </w:rPr>
        <w:t>数据分析图7：近三年“千名专家进园区”开展项目情况统计图</w:t>
      </w:r>
      <w:bookmarkEnd w:id="122"/>
      <w:bookmarkEnd w:id="123"/>
    </w:p>
    <w:p w14:paraId="7528F0CD">
      <w:pPr>
        <w:keepNext w:val="0"/>
        <w:keepLines w:val="0"/>
        <w:widowControl/>
        <w:numPr>
          <w:ilvl w:val="0"/>
          <w:numId w:val="0"/>
        </w:numPr>
        <w:suppressLineNumbers w:val="0"/>
        <w:ind w:firstLine="640" w:firstLineChars="200"/>
        <w:jc w:val="left"/>
        <w:rPr>
          <w:rFonts w:hint="eastAsia" w:ascii="仿宋_GB2312" w:hAnsi="仿宋_GB2312" w:eastAsia="仿宋_GB2312" w:cs="仿宋_GB2312"/>
          <w:spacing w:val="-6"/>
          <w:kern w:val="2"/>
          <w:sz w:val="32"/>
          <w:szCs w:val="32"/>
          <w:lang w:val="en-US" w:eastAsia="zh-CN" w:bidi="ar-SA"/>
        </w:rPr>
      </w:pPr>
      <w:r>
        <w:rPr>
          <w:rFonts w:hint="eastAsia" w:ascii="仿宋_GB2312" w:hAnsi="仿宋_GB2312" w:eastAsia="仿宋_GB2312" w:cs="仿宋_GB2312"/>
          <w:kern w:val="2"/>
          <w:sz w:val="32"/>
          <w:szCs w:val="32"/>
          <w:lang w:val="en-US" w:eastAsia="zh-CN" w:bidi="ar-SA"/>
        </w:rPr>
        <w:t>2.做好乡村振兴学院建设工作。乡村振兴学院建设工作，是贯彻落实党中央、国务院决策部署的重要举措，是推动职业教育更好服务乡村全面振兴的创新之举，是服务提升县域产业发展动力的重要抓手。朝阳市高度重视，认真落实乡村振兴学院的招生、教学、实习、就业等各项工作。各县职教中心以对接县域重点企业技术技能人才需求为主要工作目标，通过联合建设乡村振兴学院，充分发挥高等学校管理主体、县级职教中心教学主体和企业培养主体作用，为县域经济社会发展培养一批“下得去、留得住、</w:t>
      </w:r>
      <w:r>
        <w:rPr>
          <w:rFonts w:hint="eastAsia" w:ascii="仿宋_GB2312" w:hAnsi="仿宋_GB2312" w:eastAsia="仿宋_GB2312" w:cs="仿宋_GB2312"/>
          <w:spacing w:val="-11"/>
          <w:kern w:val="2"/>
          <w:sz w:val="32"/>
          <w:szCs w:val="32"/>
          <w:lang w:val="en-US" w:eastAsia="zh-CN" w:bidi="ar-SA"/>
        </w:rPr>
        <w:t>用得上”的五年制高职专科层次技术技能人才，为企业发展提供技术技能人才保障。2024年1月，省教育厅公布了辽宁省首批乡村振兴学院建设名单，全省仅15所入选，朝阳市入选2所。（见下表）</w:t>
      </w:r>
    </w:p>
    <w:p w14:paraId="78511400">
      <w:pPr>
        <w:pStyle w:val="28"/>
        <w:bidi w:val="0"/>
        <w:rPr>
          <w:rFonts w:hint="eastAsia"/>
          <w:lang w:val="en-US" w:eastAsia="zh-CN"/>
        </w:rPr>
      </w:pPr>
      <w:bookmarkStart w:id="124" w:name="_Toc24746"/>
      <w:bookmarkStart w:id="125" w:name="_Toc14573"/>
      <w:r>
        <w:rPr>
          <w:rFonts w:hint="eastAsia"/>
          <w:lang w:val="en-US" w:eastAsia="zh-CN"/>
        </w:rPr>
        <w:t>数据分析表7：朝阳市入选省首批乡村振兴学院建设名单</w:t>
      </w:r>
      <w:bookmarkEnd w:id="124"/>
      <w:bookmarkEnd w:id="125"/>
    </w:p>
    <w:tbl>
      <w:tblPr>
        <w:tblStyle w:val="19"/>
        <w:tblW w:w="8632" w:type="dxa"/>
        <w:tblInd w:w="20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36"/>
        <w:gridCol w:w="1923"/>
        <w:gridCol w:w="5673"/>
      </w:tblGrid>
      <w:tr w14:paraId="149A85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103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7180006">
            <w:pPr>
              <w:keepNext w:val="0"/>
              <w:keepLines w:val="0"/>
              <w:widowControl/>
              <w:suppressLineNumbers w:val="0"/>
              <w:jc w:val="center"/>
              <w:textAlignment w:val="center"/>
              <w:rPr>
                <w:rFonts w:hint="eastAsia" w:ascii="宋体" w:hAnsi="宋体" w:eastAsia="宋体" w:cs="宋体"/>
                <w:b/>
                <w:bCs/>
                <w:i w:val="0"/>
                <w:color w:val="000000"/>
                <w:sz w:val="28"/>
                <w:szCs w:val="28"/>
                <w:u w:val="none"/>
              </w:rPr>
            </w:pPr>
            <w:r>
              <w:rPr>
                <w:rFonts w:hint="eastAsia" w:ascii="宋体" w:hAnsi="宋体" w:eastAsia="宋体" w:cs="宋体"/>
                <w:b/>
                <w:bCs/>
                <w:i w:val="0"/>
                <w:color w:val="000000"/>
                <w:kern w:val="0"/>
                <w:sz w:val="28"/>
                <w:szCs w:val="28"/>
                <w:u w:val="none"/>
                <w:lang w:val="en-US" w:eastAsia="zh-CN" w:bidi="ar"/>
              </w:rPr>
              <w:t>序号</w:t>
            </w:r>
          </w:p>
        </w:tc>
        <w:tc>
          <w:tcPr>
            <w:tcW w:w="1923" w:type="dxa"/>
            <w:tcBorders>
              <w:top w:val="single" w:color="000000" w:sz="8" w:space="0"/>
              <w:left w:val="nil"/>
              <w:bottom w:val="single" w:color="000000" w:sz="8" w:space="0"/>
              <w:right w:val="single" w:color="000000" w:sz="8" w:space="0"/>
            </w:tcBorders>
            <w:shd w:val="clear" w:color="auto" w:fill="auto"/>
            <w:noWrap/>
            <w:vAlign w:val="center"/>
          </w:tcPr>
          <w:p w14:paraId="6C4F845F">
            <w:pPr>
              <w:keepNext w:val="0"/>
              <w:keepLines w:val="0"/>
              <w:widowControl/>
              <w:suppressLineNumbers w:val="0"/>
              <w:jc w:val="center"/>
              <w:textAlignment w:val="center"/>
              <w:rPr>
                <w:rFonts w:hint="eastAsia" w:ascii="宋体" w:hAnsi="宋体" w:eastAsia="宋体" w:cs="宋体"/>
                <w:b/>
                <w:bCs/>
                <w:i w:val="0"/>
                <w:color w:val="000000"/>
                <w:sz w:val="28"/>
                <w:szCs w:val="28"/>
                <w:u w:val="none"/>
              </w:rPr>
            </w:pPr>
            <w:r>
              <w:rPr>
                <w:rFonts w:hint="eastAsia" w:ascii="宋体" w:hAnsi="宋体" w:eastAsia="宋体" w:cs="宋体"/>
                <w:b/>
                <w:bCs/>
                <w:i w:val="0"/>
                <w:color w:val="000000"/>
                <w:kern w:val="0"/>
                <w:sz w:val="28"/>
                <w:szCs w:val="28"/>
                <w:u w:val="none"/>
                <w:lang w:val="en-US" w:eastAsia="zh-CN" w:bidi="ar"/>
              </w:rPr>
              <w:t>县（市）</w:t>
            </w:r>
          </w:p>
        </w:tc>
        <w:tc>
          <w:tcPr>
            <w:tcW w:w="5673" w:type="dxa"/>
            <w:tcBorders>
              <w:top w:val="single" w:color="000000" w:sz="8" w:space="0"/>
              <w:left w:val="nil"/>
              <w:bottom w:val="single" w:color="000000" w:sz="8" w:space="0"/>
              <w:right w:val="single" w:color="000000" w:sz="8" w:space="0"/>
            </w:tcBorders>
            <w:shd w:val="clear" w:color="auto" w:fill="auto"/>
            <w:noWrap/>
            <w:vAlign w:val="center"/>
          </w:tcPr>
          <w:p w14:paraId="70CFE5A7">
            <w:pPr>
              <w:keepNext w:val="0"/>
              <w:keepLines w:val="0"/>
              <w:widowControl/>
              <w:suppressLineNumbers w:val="0"/>
              <w:jc w:val="center"/>
              <w:textAlignment w:val="center"/>
              <w:rPr>
                <w:rFonts w:hint="eastAsia" w:ascii="宋体" w:hAnsi="宋体" w:eastAsia="宋体" w:cs="宋体"/>
                <w:b/>
                <w:bCs/>
                <w:i w:val="0"/>
                <w:color w:val="000000"/>
                <w:sz w:val="28"/>
                <w:szCs w:val="28"/>
                <w:u w:val="none"/>
              </w:rPr>
            </w:pPr>
            <w:r>
              <w:rPr>
                <w:rFonts w:hint="eastAsia" w:ascii="宋体" w:hAnsi="宋体" w:eastAsia="宋体" w:cs="宋体"/>
                <w:b/>
                <w:bCs/>
                <w:i w:val="0"/>
                <w:color w:val="000000"/>
                <w:kern w:val="0"/>
                <w:sz w:val="28"/>
                <w:szCs w:val="28"/>
                <w:u w:val="none"/>
                <w:lang w:val="en-US" w:eastAsia="zh-CN" w:bidi="ar"/>
              </w:rPr>
              <w:t>乡村振兴学院名称</w:t>
            </w:r>
          </w:p>
        </w:tc>
      </w:tr>
      <w:tr w14:paraId="59E995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exact"/>
        </w:trPr>
        <w:tc>
          <w:tcPr>
            <w:tcW w:w="1036" w:type="dxa"/>
            <w:tcBorders>
              <w:top w:val="nil"/>
              <w:left w:val="single" w:color="000000" w:sz="8" w:space="0"/>
              <w:bottom w:val="single" w:color="auto" w:sz="4" w:space="0"/>
              <w:right w:val="single" w:color="000000" w:sz="8" w:space="0"/>
            </w:tcBorders>
            <w:shd w:val="clear" w:color="auto" w:fill="auto"/>
            <w:noWrap/>
            <w:vAlign w:val="center"/>
          </w:tcPr>
          <w:p w14:paraId="6D0095FC">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4"/>
                <w:szCs w:val="24"/>
                <w:u w:val="none"/>
              </w:rPr>
            </w:pPr>
            <w:r>
              <w:rPr>
                <w:rFonts w:hint="eastAsia" w:asciiTheme="minorEastAsia" w:hAnsiTheme="minorEastAsia" w:eastAsiaTheme="minorEastAsia" w:cstheme="minorEastAsia"/>
                <w:i w:val="0"/>
                <w:color w:val="000000"/>
                <w:kern w:val="0"/>
                <w:sz w:val="24"/>
                <w:szCs w:val="24"/>
                <w:u w:val="none"/>
                <w:lang w:val="en-US" w:eastAsia="zh-CN" w:bidi="ar"/>
              </w:rPr>
              <w:t>1</w:t>
            </w:r>
          </w:p>
        </w:tc>
        <w:tc>
          <w:tcPr>
            <w:tcW w:w="1923" w:type="dxa"/>
            <w:tcBorders>
              <w:top w:val="nil"/>
              <w:left w:val="nil"/>
              <w:bottom w:val="single" w:color="auto" w:sz="4" w:space="0"/>
              <w:right w:val="single" w:color="000000" w:sz="8" w:space="0"/>
            </w:tcBorders>
            <w:shd w:val="clear" w:color="auto" w:fill="auto"/>
            <w:noWrap/>
            <w:vAlign w:val="center"/>
          </w:tcPr>
          <w:p w14:paraId="6DF5AECE">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法库县</w:t>
            </w:r>
          </w:p>
        </w:tc>
        <w:tc>
          <w:tcPr>
            <w:tcW w:w="5673" w:type="dxa"/>
            <w:tcBorders>
              <w:top w:val="nil"/>
              <w:left w:val="nil"/>
              <w:bottom w:val="single" w:color="auto" w:sz="4" w:space="0"/>
              <w:right w:val="single" w:color="000000" w:sz="8" w:space="0"/>
            </w:tcBorders>
            <w:shd w:val="clear" w:color="auto" w:fill="auto"/>
            <w:noWrap/>
            <w:vAlign w:val="center"/>
          </w:tcPr>
          <w:p w14:paraId="13C6263C">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沈阳职业技术学院</w:t>
            </w:r>
            <w:r>
              <w:rPr>
                <w:rStyle w:val="31"/>
                <w:lang w:val="en-US" w:eastAsia="zh-CN" w:bidi="ar"/>
              </w:rPr>
              <w:t>法库县乡村振兴学院</w:t>
            </w:r>
          </w:p>
        </w:tc>
      </w:tr>
      <w:tr w14:paraId="353547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exact"/>
        </w:trPr>
        <w:tc>
          <w:tcPr>
            <w:tcW w:w="1036" w:type="dxa"/>
            <w:tcBorders>
              <w:top w:val="single" w:color="auto" w:sz="4" w:space="0"/>
              <w:left w:val="single" w:color="000000" w:sz="8" w:space="0"/>
              <w:bottom w:val="single" w:color="000000" w:sz="8" w:space="0"/>
              <w:right w:val="single" w:color="000000" w:sz="8" w:space="0"/>
            </w:tcBorders>
            <w:shd w:val="clear" w:color="auto" w:fill="auto"/>
            <w:noWrap/>
            <w:vAlign w:val="center"/>
          </w:tcPr>
          <w:p w14:paraId="0D7A61C3">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4"/>
                <w:szCs w:val="24"/>
                <w:u w:val="none"/>
              </w:rPr>
            </w:pPr>
            <w:r>
              <w:rPr>
                <w:rFonts w:hint="eastAsia" w:asciiTheme="minorEastAsia" w:hAnsiTheme="minorEastAsia" w:eastAsiaTheme="minorEastAsia" w:cstheme="minorEastAsia"/>
                <w:i w:val="0"/>
                <w:color w:val="000000"/>
                <w:kern w:val="0"/>
                <w:sz w:val="24"/>
                <w:szCs w:val="24"/>
                <w:u w:val="none"/>
                <w:lang w:val="en-US" w:eastAsia="zh-CN" w:bidi="ar"/>
              </w:rPr>
              <w:t>2</w:t>
            </w:r>
          </w:p>
        </w:tc>
        <w:tc>
          <w:tcPr>
            <w:tcW w:w="1923" w:type="dxa"/>
            <w:tcBorders>
              <w:top w:val="single" w:color="auto" w:sz="4" w:space="0"/>
              <w:left w:val="nil"/>
              <w:bottom w:val="single" w:color="000000" w:sz="8" w:space="0"/>
              <w:right w:val="single" w:color="000000" w:sz="8" w:space="0"/>
            </w:tcBorders>
            <w:shd w:val="clear" w:color="auto" w:fill="auto"/>
            <w:noWrap/>
            <w:vAlign w:val="center"/>
          </w:tcPr>
          <w:p w14:paraId="67895D9B">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瓦房店市</w:t>
            </w:r>
          </w:p>
        </w:tc>
        <w:tc>
          <w:tcPr>
            <w:tcW w:w="5673" w:type="dxa"/>
            <w:tcBorders>
              <w:top w:val="single" w:color="auto" w:sz="4" w:space="0"/>
              <w:left w:val="nil"/>
              <w:bottom w:val="single" w:color="000000" w:sz="8" w:space="0"/>
              <w:right w:val="single" w:color="000000" w:sz="8" w:space="0"/>
            </w:tcBorders>
            <w:shd w:val="clear" w:color="auto" w:fill="auto"/>
            <w:noWrap/>
            <w:vAlign w:val="center"/>
          </w:tcPr>
          <w:p w14:paraId="4AEBC3B3">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大连职业技术学院</w:t>
            </w:r>
            <w:r>
              <w:rPr>
                <w:rStyle w:val="31"/>
                <w:lang w:val="en-US" w:eastAsia="zh-CN" w:bidi="ar"/>
              </w:rPr>
              <w:t>瓦房店市乡村振兴学院</w:t>
            </w:r>
          </w:p>
        </w:tc>
      </w:tr>
      <w:tr w14:paraId="03B67E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036" w:type="dxa"/>
            <w:tcBorders>
              <w:top w:val="nil"/>
              <w:left w:val="single" w:color="000000" w:sz="8" w:space="0"/>
              <w:bottom w:val="single" w:color="000000" w:sz="8" w:space="0"/>
              <w:right w:val="single" w:color="000000" w:sz="8" w:space="0"/>
            </w:tcBorders>
            <w:shd w:val="clear" w:color="auto" w:fill="auto"/>
            <w:noWrap/>
            <w:vAlign w:val="center"/>
          </w:tcPr>
          <w:p w14:paraId="0635BA65">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4"/>
                <w:szCs w:val="24"/>
                <w:u w:val="none"/>
              </w:rPr>
            </w:pPr>
            <w:r>
              <w:rPr>
                <w:rFonts w:hint="eastAsia" w:asciiTheme="minorEastAsia" w:hAnsiTheme="minorEastAsia" w:eastAsiaTheme="minorEastAsia" w:cstheme="minorEastAsia"/>
                <w:i w:val="0"/>
                <w:color w:val="000000"/>
                <w:kern w:val="0"/>
                <w:sz w:val="24"/>
                <w:szCs w:val="24"/>
                <w:u w:val="none"/>
                <w:lang w:val="en-US" w:eastAsia="zh-CN" w:bidi="ar"/>
              </w:rPr>
              <w:t>3</w:t>
            </w:r>
          </w:p>
        </w:tc>
        <w:tc>
          <w:tcPr>
            <w:tcW w:w="1923" w:type="dxa"/>
            <w:tcBorders>
              <w:top w:val="nil"/>
              <w:left w:val="nil"/>
              <w:bottom w:val="single" w:color="000000" w:sz="8" w:space="0"/>
              <w:right w:val="single" w:color="000000" w:sz="8" w:space="0"/>
            </w:tcBorders>
            <w:shd w:val="clear" w:color="auto" w:fill="auto"/>
            <w:noWrap/>
            <w:vAlign w:val="center"/>
          </w:tcPr>
          <w:p w14:paraId="060F2EEE">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普兰店区</w:t>
            </w:r>
          </w:p>
        </w:tc>
        <w:tc>
          <w:tcPr>
            <w:tcW w:w="5673" w:type="dxa"/>
            <w:tcBorders>
              <w:top w:val="nil"/>
              <w:left w:val="nil"/>
              <w:bottom w:val="single" w:color="000000" w:sz="8" w:space="0"/>
              <w:right w:val="single" w:color="000000" w:sz="8" w:space="0"/>
            </w:tcBorders>
            <w:shd w:val="clear" w:color="auto" w:fill="auto"/>
            <w:noWrap/>
            <w:vAlign w:val="center"/>
          </w:tcPr>
          <w:p w14:paraId="1B9D16E7">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大连职业技术学院</w:t>
            </w:r>
            <w:r>
              <w:rPr>
                <w:rStyle w:val="31"/>
                <w:lang w:val="en-US" w:eastAsia="zh-CN" w:bidi="ar"/>
              </w:rPr>
              <w:t>普兰店区乡村振兴学院</w:t>
            </w:r>
          </w:p>
        </w:tc>
      </w:tr>
      <w:tr w14:paraId="567162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036" w:type="dxa"/>
            <w:tcBorders>
              <w:top w:val="nil"/>
              <w:left w:val="single" w:color="000000" w:sz="8" w:space="0"/>
              <w:bottom w:val="single" w:color="000000" w:sz="8" w:space="0"/>
              <w:right w:val="single" w:color="000000" w:sz="8" w:space="0"/>
            </w:tcBorders>
            <w:shd w:val="clear" w:color="auto" w:fill="auto"/>
            <w:noWrap/>
            <w:vAlign w:val="center"/>
          </w:tcPr>
          <w:p w14:paraId="6003FD79">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4"/>
                <w:szCs w:val="24"/>
                <w:u w:val="none"/>
              </w:rPr>
            </w:pPr>
            <w:r>
              <w:rPr>
                <w:rFonts w:hint="eastAsia" w:asciiTheme="minorEastAsia" w:hAnsiTheme="minorEastAsia" w:eastAsiaTheme="minorEastAsia" w:cstheme="minorEastAsia"/>
                <w:i w:val="0"/>
                <w:color w:val="000000"/>
                <w:kern w:val="0"/>
                <w:sz w:val="24"/>
                <w:szCs w:val="24"/>
                <w:u w:val="none"/>
                <w:lang w:val="en-US" w:eastAsia="zh-CN" w:bidi="ar"/>
              </w:rPr>
              <w:t>4</w:t>
            </w:r>
          </w:p>
        </w:tc>
        <w:tc>
          <w:tcPr>
            <w:tcW w:w="1923" w:type="dxa"/>
            <w:tcBorders>
              <w:top w:val="nil"/>
              <w:left w:val="nil"/>
              <w:bottom w:val="single" w:color="000000" w:sz="8" w:space="0"/>
              <w:right w:val="single" w:color="000000" w:sz="8" w:space="0"/>
            </w:tcBorders>
            <w:shd w:val="clear" w:color="auto" w:fill="auto"/>
            <w:noWrap/>
            <w:vAlign w:val="center"/>
          </w:tcPr>
          <w:p w14:paraId="0D459298">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台安县</w:t>
            </w:r>
          </w:p>
        </w:tc>
        <w:tc>
          <w:tcPr>
            <w:tcW w:w="5673" w:type="dxa"/>
            <w:tcBorders>
              <w:top w:val="nil"/>
              <w:left w:val="nil"/>
              <w:bottom w:val="single" w:color="000000" w:sz="8" w:space="0"/>
              <w:right w:val="single" w:color="000000" w:sz="8" w:space="0"/>
            </w:tcBorders>
            <w:shd w:val="clear" w:color="auto" w:fill="auto"/>
            <w:noWrap/>
            <w:vAlign w:val="center"/>
          </w:tcPr>
          <w:p w14:paraId="1F6CFB4C">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鞍山职业技术学院台安县乡村振兴学院</w:t>
            </w:r>
          </w:p>
        </w:tc>
      </w:tr>
      <w:tr w14:paraId="5B755C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exact"/>
        </w:trPr>
        <w:tc>
          <w:tcPr>
            <w:tcW w:w="1036" w:type="dxa"/>
            <w:tcBorders>
              <w:top w:val="nil"/>
              <w:left w:val="single" w:color="000000" w:sz="8" w:space="0"/>
              <w:bottom w:val="single" w:color="000000" w:sz="8" w:space="0"/>
              <w:right w:val="single" w:color="000000" w:sz="8" w:space="0"/>
            </w:tcBorders>
            <w:shd w:val="clear" w:color="auto" w:fill="auto"/>
            <w:noWrap/>
            <w:vAlign w:val="center"/>
          </w:tcPr>
          <w:p w14:paraId="6F54A065">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4"/>
                <w:szCs w:val="24"/>
                <w:u w:val="none"/>
              </w:rPr>
            </w:pPr>
            <w:r>
              <w:rPr>
                <w:rFonts w:hint="eastAsia" w:asciiTheme="minorEastAsia" w:hAnsiTheme="minorEastAsia" w:eastAsiaTheme="minorEastAsia" w:cstheme="minorEastAsia"/>
                <w:i w:val="0"/>
                <w:color w:val="000000"/>
                <w:kern w:val="0"/>
                <w:sz w:val="24"/>
                <w:szCs w:val="24"/>
                <w:u w:val="none"/>
                <w:lang w:val="en-US" w:eastAsia="zh-CN" w:bidi="ar"/>
              </w:rPr>
              <w:t>5</w:t>
            </w:r>
          </w:p>
        </w:tc>
        <w:tc>
          <w:tcPr>
            <w:tcW w:w="1923" w:type="dxa"/>
            <w:tcBorders>
              <w:top w:val="nil"/>
              <w:left w:val="nil"/>
              <w:bottom w:val="single" w:color="000000" w:sz="8" w:space="0"/>
              <w:right w:val="single" w:color="000000" w:sz="8" w:space="0"/>
            </w:tcBorders>
            <w:shd w:val="clear" w:color="auto" w:fill="auto"/>
            <w:noWrap/>
            <w:vAlign w:val="center"/>
          </w:tcPr>
          <w:p w14:paraId="3D5039B9">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岫岩县</w:t>
            </w:r>
          </w:p>
        </w:tc>
        <w:tc>
          <w:tcPr>
            <w:tcW w:w="5673" w:type="dxa"/>
            <w:tcBorders>
              <w:top w:val="nil"/>
              <w:left w:val="nil"/>
              <w:bottom w:val="single" w:color="000000" w:sz="8" w:space="0"/>
              <w:right w:val="single" w:color="000000" w:sz="8" w:space="0"/>
            </w:tcBorders>
            <w:shd w:val="clear" w:color="auto" w:fill="auto"/>
            <w:noWrap/>
            <w:vAlign w:val="center"/>
          </w:tcPr>
          <w:p w14:paraId="3561D676">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辽宁轨道交通职业学院岫岩县乡村振兴学院</w:t>
            </w:r>
          </w:p>
        </w:tc>
      </w:tr>
      <w:tr w14:paraId="0CFA05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036" w:type="dxa"/>
            <w:tcBorders>
              <w:top w:val="nil"/>
              <w:left w:val="single" w:color="000000" w:sz="8" w:space="0"/>
              <w:bottom w:val="single" w:color="000000" w:sz="8" w:space="0"/>
              <w:right w:val="single" w:color="000000" w:sz="8" w:space="0"/>
            </w:tcBorders>
            <w:shd w:val="clear" w:color="auto" w:fill="auto"/>
            <w:noWrap/>
            <w:vAlign w:val="center"/>
          </w:tcPr>
          <w:p w14:paraId="79CE465F">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4"/>
                <w:szCs w:val="24"/>
                <w:u w:val="none"/>
              </w:rPr>
            </w:pPr>
            <w:r>
              <w:rPr>
                <w:rFonts w:hint="eastAsia" w:asciiTheme="minorEastAsia" w:hAnsiTheme="minorEastAsia" w:eastAsiaTheme="minorEastAsia" w:cstheme="minorEastAsia"/>
                <w:i w:val="0"/>
                <w:color w:val="000000"/>
                <w:kern w:val="0"/>
                <w:sz w:val="24"/>
                <w:szCs w:val="24"/>
                <w:u w:val="none"/>
                <w:lang w:val="en-US" w:eastAsia="zh-CN" w:bidi="ar"/>
              </w:rPr>
              <w:t>6</w:t>
            </w:r>
          </w:p>
        </w:tc>
        <w:tc>
          <w:tcPr>
            <w:tcW w:w="1923" w:type="dxa"/>
            <w:tcBorders>
              <w:top w:val="nil"/>
              <w:left w:val="nil"/>
              <w:bottom w:val="single" w:color="000000" w:sz="8" w:space="0"/>
              <w:right w:val="single" w:color="000000" w:sz="8" w:space="0"/>
            </w:tcBorders>
            <w:shd w:val="clear" w:color="auto" w:fill="auto"/>
            <w:noWrap/>
            <w:vAlign w:val="center"/>
          </w:tcPr>
          <w:p w14:paraId="610E9612">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本溪县</w:t>
            </w:r>
          </w:p>
        </w:tc>
        <w:tc>
          <w:tcPr>
            <w:tcW w:w="5673" w:type="dxa"/>
            <w:tcBorders>
              <w:top w:val="nil"/>
              <w:left w:val="nil"/>
              <w:bottom w:val="single" w:color="000000" w:sz="8" w:space="0"/>
              <w:right w:val="single" w:color="000000" w:sz="8" w:space="0"/>
            </w:tcBorders>
            <w:shd w:val="clear" w:color="auto" w:fill="auto"/>
            <w:noWrap/>
            <w:vAlign w:val="center"/>
          </w:tcPr>
          <w:p w14:paraId="4CCE8637">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辽宁冶金职业技术学院</w:t>
            </w:r>
            <w:r>
              <w:rPr>
                <w:rStyle w:val="31"/>
                <w:lang w:val="en-US" w:eastAsia="zh-CN" w:bidi="ar"/>
              </w:rPr>
              <w:t>本溪县乡村振兴学院</w:t>
            </w:r>
          </w:p>
        </w:tc>
      </w:tr>
      <w:tr w14:paraId="559524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036" w:type="dxa"/>
            <w:tcBorders>
              <w:top w:val="nil"/>
              <w:left w:val="single" w:color="000000" w:sz="8" w:space="0"/>
              <w:bottom w:val="single" w:color="000000" w:sz="8" w:space="0"/>
              <w:right w:val="single" w:color="000000" w:sz="8" w:space="0"/>
            </w:tcBorders>
            <w:shd w:val="clear" w:color="auto" w:fill="auto"/>
            <w:noWrap/>
            <w:vAlign w:val="center"/>
          </w:tcPr>
          <w:p w14:paraId="5F0DC168">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4"/>
                <w:szCs w:val="24"/>
                <w:u w:val="none"/>
              </w:rPr>
            </w:pPr>
            <w:r>
              <w:rPr>
                <w:rFonts w:hint="eastAsia" w:asciiTheme="minorEastAsia" w:hAnsiTheme="minorEastAsia" w:eastAsiaTheme="minorEastAsia" w:cstheme="minorEastAsia"/>
                <w:i w:val="0"/>
                <w:color w:val="000000"/>
                <w:kern w:val="0"/>
                <w:sz w:val="24"/>
                <w:szCs w:val="24"/>
                <w:u w:val="none"/>
                <w:lang w:val="en-US" w:eastAsia="zh-CN" w:bidi="ar"/>
              </w:rPr>
              <w:t>7</w:t>
            </w:r>
          </w:p>
        </w:tc>
        <w:tc>
          <w:tcPr>
            <w:tcW w:w="1923" w:type="dxa"/>
            <w:tcBorders>
              <w:top w:val="nil"/>
              <w:left w:val="nil"/>
              <w:bottom w:val="single" w:color="000000" w:sz="8" w:space="0"/>
              <w:right w:val="single" w:color="000000" w:sz="8" w:space="0"/>
            </w:tcBorders>
            <w:shd w:val="clear" w:color="auto" w:fill="auto"/>
            <w:noWrap/>
            <w:vAlign w:val="center"/>
          </w:tcPr>
          <w:p w14:paraId="076CD5F9">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宽甸县</w:t>
            </w:r>
          </w:p>
        </w:tc>
        <w:tc>
          <w:tcPr>
            <w:tcW w:w="5673" w:type="dxa"/>
            <w:tcBorders>
              <w:top w:val="nil"/>
              <w:left w:val="nil"/>
              <w:bottom w:val="single" w:color="000000" w:sz="8" w:space="0"/>
              <w:right w:val="single" w:color="000000" w:sz="8" w:space="0"/>
            </w:tcBorders>
            <w:shd w:val="clear" w:color="auto" w:fill="auto"/>
            <w:noWrap/>
            <w:vAlign w:val="center"/>
          </w:tcPr>
          <w:p w14:paraId="6A61CA9A">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辽宁生态工程职业学院</w:t>
            </w:r>
            <w:r>
              <w:rPr>
                <w:rStyle w:val="31"/>
                <w:lang w:val="en-US" w:eastAsia="zh-CN" w:bidi="ar"/>
              </w:rPr>
              <w:t>宽甸县乡村振兴学院</w:t>
            </w:r>
          </w:p>
        </w:tc>
      </w:tr>
      <w:tr w14:paraId="232901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036" w:type="dxa"/>
            <w:tcBorders>
              <w:top w:val="nil"/>
              <w:left w:val="single" w:color="000000" w:sz="8" w:space="0"/>
              <w:bottom w:val="single" w:color="000000" w:sz="8" w:space="0"/>
              <w:right w:val="single" w:color="000000" w:sz="8" w:space="0"/>
            </w:tcBorders>
            <w:shd w:val="clear" w:color="auto" w:fill="auto"/>
            <w:noWrap/>
            <w:vAlign w:val="center"/>
          </w:tcPr>
          <w:p w14:paraId="2EA04B06">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4"/>
                <w:szCs w:val="24"/>
                <w:u w:val="none"/>
              </w:rPr>
            </w:pPr>
            <w:r>
              <w:rPr>
                <w:rFonts w:hint="eastAsia" w:asciiTheme="minorEastAsia" w:hAnsiTheme="minorEastAsia" w:eastAsiaTheme="minorEastAsia" w:cstheme="minorEastAsia"/>
                <w:i w:val="0"/>
                <w:color w:val="000000"/>
                <w:kern w:val="0"/>
                <w:sz w:val="24"/>
                <w:szCs w:val="24"/>
                <w:u w:val="none"/>
                <w:lang w:val="en-US" w:eastAsia="zh-CN" w:bidi="ar"/>
              </w:rPr>
              <w:t>8</w:t>
            </w:r>
          </w:p>
        </w:tc>
        <w:tc>
          <w:tcPr>
            <w:tcW w:w="1923" w:type="dxa"/>
            <w:tcBorders>
              <w:top w:val="nil"/>
              <w:left w:val="nil"/>
              <w:bottom w:val="single" w:color="000000" w:sz="8" w:space="0"/>
              <w:right w:val="single" w:color="000000" w:sz="8" w:space="0"/>
            </w:tcBorders>
            <w:shd w:val="clear" w:color="auto" w:fill="auto"/>
            <w:noWrap/>
            <w:vAlign w:val="center"/>
          </w:tcPr>
          <w:p w14:paraId="66CE4596">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凤城市</w:t>
            </w:r>
          </w:p>
        </w:tc>
        <w:tc>
          <w:tcPr>
            <w:tcW w:w="5673" w:type="dxa"/>
            <w:tcBorders>
              <w:top w:val="nil"/>
              <w:left w:val="nil"/>
              <w:bottom w:val="single" w:color="000000" w:sz="8" w:space="0"/>
              <w:right w:val="single" w:color="000000" w:sz="8" w:space="0"/>
            </w:tcBorders>
            <w:shd w:val="clear" w:color="auto" w:fill="auto"/>
            <w:noWrap/>
            <w:vAlign w:val="center"/>
          </w:tcPr>
          <w:p w14:paraId="1C584663">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辽宁机电职业技术学院</w:t>
            </w:r>
            <w:r>
              <w:rPr>
                <w:rStyle w:val="31"/>
                <w:lang w:val="en-US" w:eastAsia="zh-CN" w:bidi="ar"/>
              </w:rPr>
              <w:t>凤城市乡村振兴学院</w:t>
            </w:r>
          </w:p>
        </w:tc>
      </w:tr>
      <w:tr w14:paraId="349BF9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exact"/>
        </w:trPr>
        <w:tc>
          <w:tcPr>
            <w:tcW w:w="1036" w:type="dxa"/>
            <w:tcBorders>
              <w:top w:val="nil"/>
              <w:left w:val="single" w:color="000000" w:sz="8" w:space="0"/>
              <w:bottom w:val="single" w:color="000000" w:sz="8" w:space="0"/>
              <w:right w:val="single" w:color="000000" w:sz="8" w:space="0"/>
            </w:tcBorders>
            <w:shd w:val="clear" w:color="auto" w:fill="auto"/>
            <w:noWrap/>
            <w:vAlign w:val="center"/>
          </w:tcPr>
          <w:p w14:paraId="7FD99EF6">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4"/>
                <w:szCs w:val="24"/>
                <w:u w:val="none"/>
              </w:rPr>
            </w:pPr>
            <w:r>
              <w:rPr>
                <w:rFonts w:hint="eastAsia" w:asciiTheme="minorEastAsia" w:hAnsiTheme="minorEastAsia" w:eastAsiaTheme="minorEastAsia" w:cstheme="minorEastAsia"/>
                <w:i w:val="0"/>
                <w:color w:val="000000"/>
                <w:kern w:val="0"/>
                <w:sz w:val="24"/>
                <w:szCs w:val="24"/>
                <w:u w:val="none"/>
                <w:lang w:val="en-US" w:eastAsia="zh-CN" w:bidi="ar"/>
              </w:rPr>
              <w:t>9</w:t>
            </w:r>
          </w:p>
        </w:tc>
        <w:tc>
          <w:tcPr>
            <w:tcW w:w="1923" w:type="dxa"/>
            <w:tcBorders>
              <w:top w:val="nil"/>
              <w:left w:val="nil"/>
              <w:bottom w:val="single" w:color="000000" w:sz="8" w:space="0"/>
              <w:right w:val="single" w:color="000000" w:sz="8" w:space="0"/>
            </w:tcBorders>
            <w:shd w:val="clear" w:color="auto" w:fill="auto"/>
            <w:noWrap/>
            <w:vAlign w:val="center"/>
          </w:tcPr>
          <w:p w14:paraId="3517A157">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义 县</w:t>
            </w:r>
          </w:p>
        </w:tc>
        <w:tc>
          <w:tcPr>
            <w:tcW w:w="5673" w:type="dxa"/>
            <w:tcBorders>
              <w:top w:val="nil"/>
              <w:left w:val="nil"/>
              <w:bottom w:val="single" w:color="000000" w:sz="8" w:space="0"/>
              <w:right w:val="single" w:color="000000" w:sz="8" w:space="0"/>
            </w:tcBorders>
            <w:shd w:val="clear" w:color="auto" w:fill="auto"/>
            <w:noWrap/>
            <w:vAlign w:val="center"/>
          </w:tcPr>
          <w:p w14:paraId="76DC4A88">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辽宁石化职业技术学院义县乡村振兴学院</w:t>
            </w:r>
          </w:p>
        </w:tc>
      </w:tr>
      <w:tr w14:paraId="380E13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036" w:type="dxa"/>
            <w:tcBorders>
              <w:top w:val="nil"/>
              <w:left w:val="single" w:color="000000" w:sz="8" w:space="0"/>
              <w:bottom w:val="single" w:color="000000" w:sz="8" w:space="0"/>
              <w:right w:val="single" w:color="000000" w:sz="8" w:space="0"/>
            </w:tcBorders>
            <w:shd w:val="clear" w:color="auto" w:fill="auto"/>
            <w:noWrap/>
            <w:vAlign w:val="center"/>
          </w:tcPr>
          <w:p w14:paraId="1179522F">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4"/>
                <w:szCs w:val="24"/>
                <w:u w:val="none"/>
              </w:rPr>
            </w:pPr>
            <w:r>
              <w:rPr>
                <w:rFonts w:hint="eastAsia" w:asciiTheme="minorEastAsia" w:hAnsiTheme="minorEastAsia" w:eastAsiaTheme="minorEastAsia" w:cstheme="minorEastAsia"/>
                <w:i w:val="0"/>
                <w:color w:val="000000"/>
                <w:kern w:val="0"/>
                <w:sz w:val="24"/>
                <w:szCs w:val="24"/>
                <w:u w:val="none"/>
                <w:lang w:val="en-US" w:eastAsia="zh-CN" w:bidi="ar"/>
              </w:rPr>
              <w:t>10</w:t>
            </w:r>
          </w:p>
        </w:tc>
        <w:tc>
          <w:tcPr>
            <w:tcW w:w="1923" w:type="dxa"/>
            <w:tcBorders>
              <w:top w:val="nil"/>
              <w:left w:val="nil"/>
              <w:bottom w:val="single" w:color="000000" w:sz="8" w:space="0"/>
              <w:right w:val="single" w:color="000000" w:sz="8" w:space="0"/>
            </w:tcBorders>
            <w:shd w:val="clear" w:color="auto" w:fill="auto"/>
            <w:noWrap/>
            <w:vAlign w:val="center"/>
          </w:tcPr>
          <w:p w14:paraId="28E2E750">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北镇市</w:t>
            </w:r>
          </w:p>
        </w:tc>
        <w:tc>
          <w:tcPr>
            <w:tcW w:w="5673" w:type="dxa"/>
            <w:tcBorders>
              <w:top w:val="nil"/>
              <w:left w:val="nil"/>
              <w:bottom w:val="single" w:color="000000" w:sz="8" w:space="0"/>
              <w:right w:val="single" w:color="000000" w:sz="8" w:space="0"/>
            </w:tcBorders>
            <w:shd w:val="clear" w:color="auto" w:fill="auto"/>
            <w:noWrap/>
            <w:vAlign w:val="center"/>
          </w:tcPr>
          <w:p w14:paraId="2F6164CF">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辽宁理工职业大学北镇市乡村振兴学院</w:t>
            </w:r>
          </w:p>
        </w:tc>
      </w:tr>
      <w:tr w14:paraId="7EE6E8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exact"/>
        </w:trPr>
        <w:tc>
          <w:tcPr>
            <w:tcW w:w="1036" w:type="dxa"/>
            <w:tcBorders>
              <w:top w:val="nil"/>
              <w:left w:val="single" w:color="000000" w:sz="8" w:space="0"/>
              <w:bottom w:val="single" w:color="000000" w:sz="8" w:space="0"/>
              <w:right w:val="single" w:color="000000" w:sz="8" w:space="0"/>
            </w:tcBorders>
            <w:shd w:val="clear" w:color="auto" w:fill="auto"/>
            <w:noWrap/>
            <w:vAlign w:val="center"/>
          </w:tcPr>
          <w:p w14:paraId="2F54C4D5">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4"/>
                <w:szCs w:val="24"/>
                <w:u w:val="none"/>
              </w:rPr>
            </w:pPr>
            <w:r>
              <w:rPr>
                <w:rFonts w:hint="eastAsia" w:asciiTheme="minorEastAsia" w:hAnsiTheme="minorEastAsia" w:eastAsiaTheme="minorEastAsia" w:cstheme="minorEastAsia"/>
                <w:i w:val="0"/>
                <w:color w:val="000000"/>
                <w:kern w:val="0"/>
                <w:sz w:val="24"/>
                <w:szCs w:val="24"/>
                <w:u w:val="none"/>
                <w:lang w:val="en-US" w:eastAsia="zh-CN" w:bidi="ar"/>
              </w:rPr>
              <w:t>11</w:t>
            </w:r>
          </w:p>
        </w:tc>
        <w:tc>
          <w:tcPr>
            <w:tcW w:w="1923" w:type="dxa"/>
            <w:tcBorders>
              <w:top w:val="nil"/>
              <w:left w:val="nil"/>
              <w:bottom w:val="single" w:color="000000" w:sz="8" w:space="0"/>
              <w:right w:val="single" w:color="000000" w:sz="8" w:space="0"/>
            </w:tcBorders>
            <w:shd w:val="clear" w:color="auto" w:fill="auto"/>
            <w:noWrap/>
            <w:vAlign w:val="center"/>
          </w:tcPr>
          <w:p w14:paraId="1B5EA224">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阜新县</w:t>
            </w:r>
          </w:p>
        </w:tc>
        <w:tc>
          <w:tcPr>
            <w:tcW w:w="5673" w:type="dxa"/>
            <w:tcBorders>
              <w:top w:val="nil"/>
              <w:left w:val="nil"/>
              <w:bottom w:val="single" w:color="000000" w:sz="8" w:space="0"/>
              <w:right w:val="single" w:color="000000" w:sz="8" w:space="0"/>
            </w:tcBorders>
            <w:shd w:val="clear" w:color="auto" w:fill="auto"/>
            <w:noWrap/>
            <w:vAlign w:val="center"/>
          </w:tcPr>
          <w:p w14:paraId="13F81D65">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阜新高等专科学校阜新县乡村振兴学院</w:t>
            </w:r>
          </w:p>
        </w:tc>
      </w:tr>
      <w:tr w14:paraId="67C906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exact"/>
        </w:trPr>
        <w:tc>
          <w:tcPr>
            <w:tcW w:w="1036" w:type="dxa"/>
            <w:tcBorders>
              <w:top w:val="nil"/>
              <w:left w:val="single" w:color="000000" w:sz="8" w:space="0"/>
              <w:bottom w:val="single" w:color="000000" w:sz="8" w:space="0"/>
              <w:right w:val="single" w:color="000000" w:sz="8" w:space="0"/>
            </w:tcBorders>
            <w:shd w:val="clear" w:color="auto" w:fill="auto"/>
            <w:noWrap/>
            <w:vAlign w:val="center"/>
          </w:tcPr>
          <w:p w14:paraId="20BC5416">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4"/>
                <w:szCs w:val="24"/>
                <w:u w:val="none"/>
              </w:rPr>
            </w:pPr>
            <w:r>
              <w:rPr>
                <w:rFonts w:hint="eastAsia" w:asciiTheme="minorEastAsia" w:hAnsiTheme="minorEastAsia" w:eastAsiaTheme="minorEastAsia" w:cstheme="minorEastAsia"/>
                <w:i w:val="0"/>
                <w:color w:val="000000"/>
                <w:kern w:val="0"/>
                <w:sz w:val="24"/>
                <w:szCs w:val="24"/>
                <w:u w:val="none"/>
                <w:lang w:val="en-US" w:eastAsia="zh-CN" w:bidi="ar"/>
              </w:rPr>
              <w:t>12</w:t>
            </w:r>
          </w:p>
        </w:tc>
        <w:tc>
          <w:tcPr>
            <w:tcW w:w="1923" w:type="dxa"/>
            <w:tcBorders>
              <w:top w:val="nil"/>
              <w:left w:val="nil"/>
              <w:bottom w:val="single" w:color="000000" w:sz="8" w:space="0"/>
              <w:right w:val="single" w:color="000000" w:sz="8" w:space="0"/>
            </w:tcBorders>
            <w:shd w:val="clear" w:color="auto" w:fill="auto"/>
            <w:noWrap/>
            <w:vAlign w:val="center"/>
          </w:tcPr>
          <w:p w14:paraId="7F195C33">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盘山县</w:t>
            </w:r>
          </w:p>
        </w:tc>
        <w:tc>
          <w:tcPr>
            <w:tcW w:w="5673" w:type="dxa"/>
            <w:tcBorders>
              <w:top w:val="nil"/>
              <w:left w:val="nil"/>
              <w:bottom w:val="single" w:color="000000" w:sz="8" w:space="0"/>
              <w:right w:val="single" w:color="000000" w:sz="8" w:space="0"/>
            </w:tcBorders>
            <w:shd w:val="clear" w:color="auto" w:fill="auto"/>
            <w:noWrap/>
            <w:vAlign w:val="center"/>
          </w:tcPr>
          <w:p w14:paraId="3E1FD12A">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辽宁石化职业技术学院盘山县乡村振兴学院</w:t>
            </w:r>
          </w:p>
        </w:tc>
      </w:tr>
      <w:tr w14:paraId="359C22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036" w:type="dxa"/>
            <w:tcBorders>
              <w:top w:val="nil"/>
              <w:left w:val="single" w:color="000000" w:sz="8" w:space="0"/>
              <w:bottom w:val="single" w:color="000000" w:sz="8" w:space="0"/>
              <w:right w:val="single" w:color="000000" w:sz="8" w:space="0"/>
            </w:tcBorders>
            <w:shd w:val="clear" w:color="auto" w:fill="auto"/>
            <w:noWrap/>
            <w:vAlign w:val="center"/>
          </w:tcPr>
          <w:p w14:paraId="46160D02">
            <w:pPr>
              <w:keepNext w:val="0"/>
              <w:keepLines w:val="0"/>
              <w:widowControl/>
              <w:suppressLineNumbers w:val="0"/>
              <w:jc w:val="center"/>
              <w:textAlignment w:val="center"/>
              <w:rPr>
                <w:rFonts w:hint="eastAsia" w:asciiTheme="minorEastAsia" w:hAnsiTheme="minorEastAsia" w:eastAsiaTheme="minorEastAsia" w:cstheme="minorEastAsia"/>
                <w:b/>
                <w:i w:val="0"/>
                <w:color w:val="000000"/>
                <w:sz w:val="24"/>
                <w:szCs w:val="24"/>
                <w:u w:val="none"/>
              </w:rPr>
            </w:pPr>
            <w:r>
              <w:rPr>
                <w:rFonts w:hint="eastAsia" w:asciiTheme="minorEastAsia" w:hAnsiTheme="minorEastAsia" w:eastAsiaTheme="minorEastAsia" w:cstheme="minorEastAsia"/>
                <w:b/>
                <w:i w:val="0"/>
                <w:color w:val="000000"/>
                <w:kern w:val="0"/>
                <w:sz w:val="24"/>
                <w:szCs w:val="24"/>
                <w:u w:val="none"/>
                <w:lang w:val="en-US" w:eastAsia="zh-CN" w:bidi="ar"/>
              </w:rPr>
              <w:t>13</w:t>
            </w:r>
          </w:p>
        </w:tc>
        <w:tc>
          <w:tcPr>
            <w:tcW w:w="1923" w:type="dxa"/>
            <w:tcBorders>
              <w:top w:val="nil"/>
              <w:left w:val="nil"/>
              <w:bottom w:val="single" w:color="000000" w:sz="8" w:space="0"/>
              <w:right w:val="single" w:color="000000" w:sz="8" w:space="0"/>
            </w:tcBorders>
            <w:shd w:val="clear" w:color="auto" w:fill="auto"/>
            <w:noWrap/>
            <w:vAlign w:val="center"/>
          </w:tcPr>
          <w:p w14:paraId="294013FD">
            <w:pPr>
              <w:keepNext w:val="0"/>
              <w:keepLines w:val="0"/>
              <w:widowControl/>
              <w:suppressLineNumbers w:val="0"/>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建平县</w:t>
            </w:r>
          </w:p>
        </w:tc>
        <w:tc>
          <w:tcPr>
            <w:tcW w:w="5673" w:type="dxa"/>
            <w:tcBorders>
              <w:top w:val="nil"/>
              <w:left w:val="nil"/>
              <w:bottom w:val="single" w:color="000000" w:sz="8" w:space="0"/>
              <w:right w:val="single" w:color="000000" w:sz="8" w:space="0"/>
            </w:tcBorders>
            <w:shd w:val="clear" w:color="auto" w:fill="auto"/>
            <w:noWrap/>
            <w:vAlign w:val="center"/>
          </w:tcPr>
          <w:p w14:paraId="39044B9F">
            <w:pPr>
              <w:keepNext w:val="0"/>
              <w:keepLines w:val="0"/>
              <w:widowControl/>
              <w:suppressLineNumbers w:val="0"/>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辽宁农业职业技术学院建平县乡村振兴学院</w:t>
            </w:r>
          </w:p>
        </w:tc>
      </w:tr>
      <w:tr w14:paraId="70C317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exact"/>
        </w:trPr>
        <w:tc>
          <w:tcPr>
            <w:tcW w:w="1036" w:type="dxa"/>
            <w:tcBorders>
              <w:top w:val="nil"/>
              <w:left w:val="single" w:color="000000" w:sz="8" w:space="0"/>
              <w:bottom w:val="single" w:color="000000" w:sz="8" w:space="0"/>
              <w:right w:val="single" w:color="000000" w:sz="8" w:space="0"/>
            </w:tcBorders>
            <w:shd w:val="clear" w:color="auto" w:fill="auto"/>
            <w:noWrap/>
            <w:vAlign w:val="center"/>
          </w:tcPr>
          <w:p w14:paraId="1D93E812">
            <w:pPr>
              <w:keepNext w:val="0"/>
              <w:keepLines w:val="0"/>
              <w:widowControl/>
              <w:suppressLineNumbers w:val="0"/>
              <w:jc w:val="center"/>
              <w:textAlignment w:val="center"/>
              <w:rPr>
                <w:rFonts w:hint="eastAsia" w:asciiTheme="minorEastAsia" w:hAnsiTheme="minorEastAsia" w:eastAsiaTheme="minorEastAsia" w:cstheme="minorEastAsia"/>
                <w:b/>
                <w:i w:val="0"/>
                <w:color w:val="000000"/>
                <w:sz w:val="24"/>
                <w:szCs w:val="24"/>
                <w:u w:val="none"/>
              </w:rPr>
            </w:pPr>
            <w:r>
              <w:rPr>
                <w:rFonts w:hint="eastAsia" w:asciiTheme="minorEastAsia" w:hAnsiTheme="minorEastAsia" w:eastAsiaTheme="minorEastAsia" w:cstheme="minorEastAsia"/>
                <w:b/>
                <w:i w:val="0"/>
                <w:color w:val="000000"/>
                <w:kern w:val="0"/>
                <w:sz w:val="24"/>
                <w:szCs w:val="24"/>
                <w:u w:val="none"/>
                <w:lang w:val="en-US" w:eastAsia="zh-CN" w:bidi="ar"/>
              </w:rPr>
              <w:t>14</w:t>
            </w:r>
          </w:p>
        </w:tc>
        <w:tc>
          <w:tcPr>
            <w:tcW w:w="1923" w:type="dxa"/>
            <w:tcBorders>
              <w:top w:val="nil"/>
              <w:left w:val="nil"/>
              <w:bottom w:val="single" w:color="000000" w:sz="8" w:space="0"/>
              <w:right w:val="single" w:color="000000" w:sz="8" w:space="0"/>
            </w:tcBorders>
            <w:shd w:val="clear" w:color="auto" w:fill="auto"/>
            <w:noWrap/>
            <w:vAlign w:val="center"/>
          </w:tcPr>
          <w:p w14:paraId="3E9562BA">
            <w:pPr>
              <w:keepNext w:val="0"/>
              <w:keepLines w:val="0"/>
              <w:widowControl/>
              <w:suppressLineNumbers w:val="0"/>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北票市</w:t>
            </w:r>
          </w:p>
        </w:tc>
        <w:tc>
          <w:tcPr>
            <w:tcW w:w="5673" w:type="dxa"/>
            <w:tcBorders>
              <w:top w:val="nil"/>
              <w:left w:val="nil"/>
              <w:bottom w:val="single" w:color="000000" w:sz="8" w:space="0"/>
              <w:right w:val="single" w:color="000000" w:sz="8" w:space="0"/>
            </w:tcBorders>
            <w:shd w:val="clear" w:color="auto" w:fill="auto"/>
            <w:noWrap/>
            <w:vAlign w:val="center"/>
          </w:tcPr>
          <w:p w14:paraId="4D3C1EF4">
            <w:pPr>
              <w:keepNext w:val="0"/>
              <w:keepLines w:val="0"/>
              <w:widowControl/>
              <w:suppressLineNumbers w:val="0"/>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辽宁石化职业技术学院北票市乡村振兴学院</w:t>
            </w:r>
          </w:p>
        </w:tc>
      </w:tr>
      <w:tr w14:paraId="3E5A23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036" w:type="dxa"/>
            <w:tcBorders>
              <w:top w:val="nil"/>
              <w:left w:val="single" w:color="000000" w:sz="8" w:space="0"/>
              <w:bottom w:val="single" w:color="000000" w:sz="8" w:space="0"/>
              <w:right w:val="single" w:color="000000" w:sz="8" w:space="0"/>
            </w:tcBorders>
            <w:shd w:val="clear" w:color="auto" w:fill="auto"/>
            <w:noWrap/>
            <w:vAlign w:val="center"/>
          </w:tcPr>
          <w:p w14:paraId="5483F796">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4"/>
                <w:szCs w:val="24"/>
                <w:u w:val="none"/>
              </w:rPr>
            </w:pPr>
            <w:r>
              <w:rPr>
                <w:rFonts w:hint="eastAsia" w:asciiTheme="minorEastAsia" w:hAnsiTheme="minorEastAsia" w:eastAsiaTheme="minorEastAsia" w:cstheme="minorEastAsia"/>
                <w:i w:val="0"/>
                <w:color w:val="000000"/>
                <w:kern w:val="0"/>
                <w:sz w:val="24"/>
                <w:szCs w:val="24"/>
                <w:u w:val="none"/>
                <w:lang w:val="en-US" w:eastAsia="zh-CN" w:bidi="ar"/>
              </w:rPr>
              <w:t>15</w:t>
            </w:r>
          </w:p>
        </w:tc>
        <w:tc>
          <w:tcPr>
            <w:tcW w:w="1923" w:type="dxa"/>
            <w:tcBorders>
              <w:top w:val="nil"/>
              <w:left w:val="nil"/>
              <w:bottom w:val="single" w:color="000000" w:sz="8" w:space="0"/>
              <w:right w:val="single" w:color="000000" w:sz="8" w:space="0"/>
            </w:tcBorders>
            <w:shd w:val="clear" w:color="auto" w:fill="auto"/>
            <w:noWrap/>
            <w:vAlign w:val="center"/>
          </w:tcPr>
          <w:p w14:paraId="4F6C1682">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建昌县</w:t>
            </w:r>
          </w:p>
        </w:tc>
        <w:tc>
          <w:tcPr>
            <w:tcW w:w="5673" w:type="dxa"/>
            <w:tcBorders>
              <w:top w:val="nil"/>
              <w:left w:val="nil"/>
              <w:bottom w:val="single" w:color="000000" w:sz="8" w:space="0"/>
              <w:right w:val="single" w:color="000000" w:sz="8" w:space="0"/>
            </w:tcBorders>
            <w:shd w:val="clear" w:color="auto" w:fill="auto"/>
            <w:noWrap/>
            <w:vAlign w:val="center"/>
          </w:tcPr>
          <w:p w14:paraId="1A1307D8">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辽宁农业职业技术学院</w:t>
            </w:r>
            <w:r>
              <w:rPr>
                <w:rStyle w:val="31"/>
                <w:lang w:val="en-US" w:eastAsia="zh-CN" w:bidi="ar"/>
              </w:rPr>
              <w:t>建昌县</w:t>
            </w:r>
            <w:r>
              <w:rPr>
                <w:rStyle w:val="32"/>
                <w:lang w:val="en-US" w:eastAsia="zh-CN" w:bidi="ar"/>
              </w:rPr>
              <w:t>乡村振兴学院</w:t>
            </w:r>
          </w:p>
        </w:tc>
      </w:tr>
    </w:tbl>
    <w:p w14:paraId="35A4B651">
      <w:pPr>
        <w:pStyle w:val="2"/>
        <w:bidi w:val="0"/>
        <w:rPr>
          <w:rFonts w:hint="default"/>
          <w:sz w:val="32"/>
          <w:szCs w:val="32"/>
          <w:lang w:val="en-US" w:eastAsia="zh-CN"/>
        </w:rPr>
      </w:pPr>
      <w:bookmarkStart w:id="126" w:name="_Toc23510"/>
      <w:r>
        <w:rPr>
          <w:rFonts w:hint="eastAsia" w:ascii="楷体" w:hAnsi="楷体" w:eastAsia="楷体" w:cs="楷体"/>
          <w:b/>
          <w:bCs w:val="0"/>
          <w:sz w:val="32"/>
          <w:szCs w:val="32"/>
          <w:lang w:val="en-US" w:eastAsia="zh-CN"/>
        </w:rPr>
        <w:t>3.2服务就业</w:t>
      </w:r>
      <w:bookmarkEnd w:id="126"/>
    </w:p>
    <w:p w14:paraId="66B16D7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6"/>
          <w:highlight w:val="none"/>
          <w:lang w:val="en-US" w:eastAsia="zh-CN"/>
        </w:rPr>
      </w:pPr>
      <w:r>
        <w:rPr>
          <w:rFonts w:hint="eastAsia" w:ascii="仿宋_GB2312" w:hAnsi="仿宋_GB2312" w:eastAsia="仿宋_GB2312" w:cs="仿宋_GB2312"/>
          <w:sz w:val="32"/>
          <w:szCs w:val="32"/>
          <w:highlight w:val="none"/>
          <w:lang w:val="en-US" w:eastAsia="zh-CN"/>
        </w:rPr>
        <w:t>2024年，</w:t>
      </w:r>
      <w:r>
        <w:rPr>
          <w:rFonts w:hint="eastAsia" w:ascii="仿宋_GB2312" w:hAnsi="仿宋_GB2312" w:eastAsia="仿宋_GB2312" w:cs="仿宋_GB2312"/>
          <w:sz w:val="32"/>
          <w:szCs w:val="36"/>
          <w:highlight w:val="none"/>
          <w:lang w:val="en-US" w:eastAsia="zh-CN"/>
        </w:rPr>
        <w:t>全市中等职业学校面向农牧、智能制造、电子商务、养老托育家政等重点行业，开展职业培训11719人次，共开设电商、种植技术、中式面点师、中式烹调师、电工、汽车维修、幼儿保育等培训项目。</w:t>
      </w:r>
    </w:p>
    <w:p w14:paraId="40D8E276">
      <w:pPr>
        <w:pStyle w:val="28"/>
        <w:bidi w:val="0"/>
        <w:rPr>
          <w:rFonts w:hint="eastAsia"/>
          <w:lang w:val="en-US" w:eastAsia="zh-CN"/>
        </w:rPr>
      </w:pPr>
      <w:bookmarkStart w:id="127" w:name="_Toc19587"/>
      <w:bookmarkStart w:id="128" w:name="_Toc5345"/>
      <w:r>
        <w:rPr>
          <w:rFonts w:hint="eastAsia"/>
          <w:lang w:val="en-US" w:eastAsia="zh-CN"/>
        </w:rPr>
        <w:t>数据分析表8：2024年职业培训情况统计表（服务人群）</w:t>
      </w:r>
      <w:bookmarkEnd w:id="127"/>
      <w:bookmarkEnd w:id="128"/>
    </w:p>
    <w:p w14:paraId="6A2FBD14">
      <w:pPr>
        <w:pStyle w:val="28"/>
        <w:bidi w:val="0"/>
        <w:rPr>
          <w:rFonts w:hint="eastAsia"/>
          <w:lang w:val="en-US" w:eastAsia="zh-CN"/>
        </w:rPr>
      </w:pPr>
    </w:p>
    <w:tbl>
      <w:tblPr>
        <w:tblStyle w:val="20"/>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2"/>
        <w:gridCol w:w="1588"/>
        <w:gridCol w:w="1420"/>
        <w:gridCol w:w="1420"/>
        <w:gridCol w:w="1722"/>
        <w:gridCol w:w="1120"/>
      </w:tblGrid>
      <w:tr w14:paraId="3F9E0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1252" w:type="dxa"/>
            <w:tcBorders>
              <w:top w:val="single" w:color="FFFFFF" w:sz="4" w:space="0"/>
              <w:left w:val="single" w:color="FFFFFF" w:sz="4" w:space="0"/>
              <w:bottom w:val="single" w:color="FFFFFF" w:sz="4" w:space="0"/>
              <w:right w:val="single" w:color="FFFFFF" w:sz="4" w:space="0"/>
              <w:tl2br w:val="nil"/>
            </w:tcBorders>
            <w:shd w:val="clear" w:color="auto" w:fill="5B9BD5"/>
            <w:vAlign w:val="center"/>
          </w:tcPr>
          <w:p w14:paraId="467CF606">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eastAsia="仿宋_GB2312"/>
                <w:b/>
                <w:color w:val="FFFFFF"/>
                <w:sz w:val="24"/>
                <w:szCs w:val="28"/>
                <w:vertAlign w:val="baseline"/>
                <w:lang w:val="en-US" w:eastAsia="zh-CN"/>
              </w:rPr>
            </w:pPr>
            <w:r>
              <w:rPr>
                <w:rFonts w:hint="eastAsia" w:ascii="仿宋_GB2312" w:eastAsia="仿宋_GB2312"/>
                <w:b/>
                <w:color w:val="FFFFFF"/>
                <w:sz w:val="24"/>
                <w:szCs w:val="28"/>
                <w:vertAlign w:val="baseline"/>
                <w:lang w:val="en-US" w:eastAsia="zh-CN"/>
              </w:rPr>
              <w:t>服务人群</w:t>
            </w:r>
          </w:p>
        </w:tc>
        <w:tc>
          <w:tcPr>
            <w:tcW w:w="1588"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72523B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农村劳动者</w:t>
            </w:r>
          </w:p>
        </w:tc>
        <w:tc>
          <w:tcPr>
            <w:tcW w:w="1420"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44CBEE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退役军人</w:t>
            </w:r>
          </w:p>
        </w:tc>
        <w:tc>
          <w:tcPr>
            <w:tcW w:w="1420"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48CE0A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产业工人</w:t>
            </w:r>
          </w:p>
        </w:tc>
        <w:tc>
          <w:tcPr>
            <w:tcW w:w="1722"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6BEADE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新生代农民工</w:t>
            </w:r>
          </w:p>
        </w:tc>
        <w:tc>
          <w:tcPr>
            <w:tcW w:w="1120"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7C5C06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其他</w:t>
            </w:r>
          </w:p>
        </w:tc>
      </w:tr>
      <w:tr w14:paraId="513EB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1252" w:type="dxa"/>
            <w:tcBorders>
              <w:top w:val="single" w:color="FFFFFF" w:sz="4" w:space="0"/>
              <w:left w:val="single" w:color="FFFFFF" w:sz="4" w:space="0"/>
              <w:bottom w:val="single" w:color="FFFFFF" w:sz="4" w:space="0"/>
              <w:right w:val="single" w:color="FFFFFF" w:sz="4" w:space="0"/>
            </w:tcBorders>
            <w:shd w:val="clear" w:color="auto" w:fill="5B9BD5"/>
            <w:vAlign w:val="center"/>
          </w:tcPr>
          <w:p w14:paraId="1A8292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eastAsia="仿宋_GB2312"/>
                <w:b/>
                <w:color w:val="FFFFFF"/>
                <w:sz w:val="24"/>
                <w:szCs w:val="28"/>
                <w:vertAlign w:val="baseline"/>
                <w:lang w:val="en-US" w:eastAsia="zh-CN"/>
              </w:rPr>
            </w:pPr>
            <w:r>
              <w:rPr>
                <w:rFonts w:hint="eastAsia" w:ascii="仿宋_GB2312" w:eastAsia="仿宋_GB2312"/>
                <w:b/>
                <w:color w:val="FFFFFF"/>
                <w:sz w:val="24"/>
                <w:szCs w:val="28"/>
                <w:vertAlign w:val="baseline"/>
                <w:lang w:val="en-US" w:eastAsia="zh-CN"/>
              </w:rPr>
              <w:t>人数</w:t>
            </w:r>
          </w:p>
        </w:tc>
        <w:tc>
          <w:tcPr>
            <w:tcW w:w="1588"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152C09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2848</w:t>
            </w:r>
          </w:p>
        </w:tc>
        <w:tc>
          <w:tcPr>
            <w:tcW w:w="1420"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3569F1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585</w:t>
            </w:r>
          </w:p>
        </w:tc>
        <w:tc>
          <w:tcPr>
            <w:tcW w:w="1420"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1920E9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2900</w:t>
            </w:r>
          </w:p>
        </w:tc>
        <w:tc>
          <w:tcPr>
            <w:tcW w:w="1722"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6E47BF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0</w:t>
            </w:r>
          </w:p>
        </w:tc>
        <w:tc>
          <w:tcPr>
            <w:tcW w:w="1120"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5792D2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5386</w:t>
            </w:r>
          </w:p>
        </w:tc>
      </w:tr>
    </w:tbl>
    <w:p w14:paraId="5E2DF4FD">
      <w:pPr>
        <w:pStyle w:val="8"/>
        <w:keepNext w:val="0"/>
        <w:keepLines w:val="0"/>
        <w:pageBreakBefore w:val="0"/>
        <w:widowControl w:val="0"/>
        <w:kinsoku/>
        <w:wordWrap/>
        <w:overflowPunct/>
        <w:topLinePunct w:val="0"/>
        <w:autoSpaceDE/>
        <w:autoSpaceDN/>
        <w:bidi w:val="0"/>
        <w:adjustRightInd/>
        <w:snapToGrid w:val="0"/>
        <w:spacing w:after="157" w:afterLines="50"/>
        <w:jc w:val="center"/>
        <w:textAlignment w:val="auto"/>
        <w:rPr>
          <w:rFonts w:hint="eastAsia"/>
          <w:sz w:val="20"/>
          <w:szCs w:val="20"/>
          <w:highlight w:val="none"/>
          <w:lang w:val="en-US" w:eastAsia="zh-CN"/>
        </w:rPr>
      </w:pPr>
    </w:p>
    <w:p w14:paraId="2BD75ADB">
      <w:pPr>
        <w:jc w:val="center"/>
        <w:rPr>
          <w:rFonts w:hint="eastAsia"/>
          <w:highlight w:val="none"/>
        </w:rPr>
      </w:pPr>
      <w:r>
        <w:rPr>
          <w:rFonts w:hint="eastAsia" w:eastAsiaTheme="minorEastAsia"/>
          <w:highlight w:val="none"/>
          <w:lang w:eastAsia="zh-CN"/>
        </w:rPr>
        <w:drawing>
          <wp:inline distT="0" distB="0" distL="114300" distR="114300">
            <wp:extent cx="4758055" cy="3081020"/>
            <wp:effectExtent l="4445" t="4445" r="19050" b="19685"/>
            <wp:docPr id="2"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3316D15">
      <w:pPr>
        <w:pStyle w:val="29"/>
        <w:bidi w:val="0"/>
        <w:rPr>
          <w:rFonts w:hint="eastAsia"/>
          <w:lang w:val="en-US" w:eastAsia="zh-CN"/>
        </w:rPr>
      </w:pPr>
      <w:bookmarkStart w:id="129" w:name="_Toc24420"/>
      <w:r>
        <w:rPr>
          <w:rFonts w:hint="eastAsia"/>
          <w:lang w:val="en-US" w:eastAsia="zh-CN"/>
        </w:rPr>
        <w:t>数据分析图8：2024年职业培训情况统计（服务人群）</w:t>
      </w:r>
      <w:bookmarkEnd w:id="129"/>
    </w:p>
    <w:p w14:paraId="472E0490">
      <w:pPr>
        <w:pStyle w:val="28"/>
        <w:bidi w:val="0"/>
        <w:rPr>
          <w:rFonts w:hint="eastAsia"/>
          <w:lang w:val="en-US" w:eastAsia="zh-CN"/>
        </w:rPr>
      </w:pPr>
      <w:bookmarkStart w:id="130" w:name="_Toc16667"/>
      <w:bookmarkStart w:id="131" w:name="_Toc3326"/>
      <w:r>
        <w:rPr>
          <w:rFonts w:hint="eastAsia"/>
          <w:lang w:val="en-US" w:eastAsia="zh-CN"/>
        </w:rPr>
        <w:t>数据分析表9：2024年职业培训情况统计表（重点行业）</w:t>
      </w:r>
      <w:bookmarkEnd w:id="130"/>
      <w:bookmarkEnd w:id="131"/>
    </w:p>
    <w:tbl>
      <w:tblPr>
        <w:tblStyle w:val="20"/>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420"/>
        <w:gridCol w:w="1420"/>
        <w:gridCol w:w="1420"/>
        <w:gridCol w:w="1739"/>
        <w:gridCol w:w="1103"/>
      </w:tblGrid>
      <w:tr w14:paraId="25CAC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1420" w:type="dxa"/>
            <w:tcBorders>
              <w:top w:val="single" w:color="FFFFFF" w:sz="4" w:space="0"/>
              <w:left w:val="single" w:color="FFFFFF" w:sz="4" w:space="0"/>
              <w:bottom w:val="single" w:color="FFFFFF" w:sz="4" w:space="0"/>
              <w:right w:val="single" w:color="FFFFFF" w:sz="4" w:space="0"/>
              <w:tl2br w:val="nil"/>
            </w:tcBorders>
            <w:shd w:val="clear" w:color="auto" w:fill="5B9BD5"/>
            <w:vAlign w:val="center"/>
          </w:tcPr>
          <w:p w14:paraId="11B221F8">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仿宋_GB2312" w:eastAsia="仿宋_GB2312"/>
                <w:b/>
                <w:color w:val="FFFFFF"/>
                <w:sz w:val="24"/>
                <w:szCs w:val="28"/>
                <w:vertAlign w:val="baseline"/>
                <w:lang w:val="en-US" w:eastAsia="zh-CN"/>
              </w:rPr>
            </w:pPr>
            <w:r>
              <w:rPr>
                <w:rFonts w:hint="eastAsia" w:ascii="仿宋_GB2312" w:eastAsia="仿宋_GB2312"/>
                <w:b/>
                <w:color w:val="FFFFFF"/>
                <w:sz w:val="24"/>
                <w:szCs w:val="28"/>
                <w:vertAlign w:val="baseline"/>
                <w:lang w:val="en-US" w:eastAsia="zh-CN"/>
              </w:rPr>
              <w:t>重点行业</w:t>
            </w:r>
          </w:p>
        </w:tc>
        <w:tc>
          <w:tcPr>
            <w:tcW w:w="1420"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13D7D820">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农牧</w:t>
            </w:r>
          </w:p>
        </w:tc>
        <w:tc>
          <w:tcPr>
            <w:tcW w:w="1420"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630B0FE3">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维修制造</w:t>
            </w:r>
          </w:p>
        </w:tc>
        <w:tc>
          <w:tcPr>
            <w:tcW w:w="1420"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350FC9B7">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电子商务</w:t>
            </w:r>
          </w:p>
        </w:tc>
        <w:tc>
          <w:tcPr>
            <w:tcW w:w="1739"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2B71C15E">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养老托育家政</w:t>
            </w:r>
          </w:p>
        </w:tc>
        <w:tc>
          <w:tcPr>
            <w:tcW w:w="1103"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47A7EB5D">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其他</w:t>
            </w:r>
          </w:p>
        </w:tc>
      </w:tr>
      <w:tr w14:paraId="23D81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420" w:type="dxa"/>
            <w:tcBorders>
              <w:top w:val="single" w:color="FFFFFF" w:sz="4" w:space="0"/>
              <w:left w:val="single" w:color="FFFFFF" w:sz="4" w:space="0"/>
              <w:bottom w:val="single" w:color="FFFFFF" w:sz="4" w:space="0"/>
              <w:right w:val="single" w:color="FFFFFF" w:sz="4" w:space="0"/>
            </w:tcBorders>
            <w:shd w:val="clear" w:color="auto" w:fill="5B9BD5"/>
            <w:vAlign w:val="center"/>
          </w:tcPr>
          <w:p w14:paraId="414912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eastAsia="仿宋_GB2312"/>
                <w:b/>
                <w:color w:val="FFFFFF"/>
                <w:sz w:val="24"/>
                <w:szCs w:val="28"/>
                <w:vertAlign w:val="baseline"/>
                <w:lang w:val="en-US" w:eastAsia="zh-CN"/>
              </w:rPr>
            </w:pPr>
            <w:r>
              <w:rPr>
                <w:rFonts w:hint="eastAsia" w:ascii="仿宋_GB2312" w:eastAsia="仿宋_GB2312"/>
                <w:b/>
                <w:color w:val="FFFFFF"/>
                <w:sz w:val="24"/>
                <w:szCs w:val="28"/>
                <w:vertAlign w:val="baseline"/>
                <w:lang w:val="en-US" w:eastAsia="zh-CN"/>
              </w:rPr>
              <w:t>人数</w:t>
            </w:r>
          </w:p>
        </w:tc>
        <w:tc>
          <w:tcPr>
            <w:tcW w:w="1420"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3301C9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2158</w:t>
            </w:r>
          </w:p>
        </w:tc>
        <w:tc>
          <w:tcPr>
            <w:tcW w:w="1420"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487338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2036</w:t>
            </w:r>
          </w:p>
        </w:tc>
        <w:tc>
          <w:tcPr>
            <w:tcW w:w="1420"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2C9C0BB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96</w:t>
            </w:r>
          </w:p>
        </w:tc>
        <w:tc>
          <w:tcPr>
            <w:tcW w:w="1739"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57CAF4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487</w:t>
            </w:r>
          </w:p>
        </w:tc>
        <w:tc>
          <w:tcPr>
            <w:tcW w:w="1103"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4B6E79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eastAsia="仿宋_GB2312"/>
                <w:b/>
                <w:color w:val="auto"/>
                <w:sz w:val="24"/>
                <w:szCs w:val="28"/>
                <w:vertAlign w:val="baseline"/>
                <w:lang w:val="en-US" w:eastAsia="zh-CN"/>
              </w:rPr>
            </w:pPr>
            <w:r>
              <w:rPr>
                <w:rFonts w:hint="eastAsia" w:ascii="仿宋_GB2312" w:eastAsia="仿宋_GB2312"/>
                <w:b/>
                <w:color w:val="auto"/>
                <w:sz w:val="24"/>
                <w:szCs w:val="28"/>
                <w:vertAlign w:val="baseline"/>
                <w:lang w:val="en-US" w:eastAsia="zh-CN"/>
              </w:rPr>
              <w:t>6942</w:t>
            </w:r>
          </w:p>
        </w:tc>
      </w:tr>
    </w:tbl>
    <w:p w14:paraId="5B57E462">
      <w:pPr>
        <w:pStyle w:val="8"/>
        <w:keepNext w:val="0"/>
        <w:keepLines w:val="0"/>
        <w:pageBreakBefore w:val="0"/>
        <w:widowControl w:val="0"/>
        <w:kinsoku/>
        <w:wordWrap/>
        <w:overflowPunct/>
        <w:topLinePunct w:val="0"/>
        <w:autoSpaceDE/>
        <w:autoSpaceDN/>
        <w:bidi w:val="0"/>
        <w:adjustRightInd/>
        <w:snapToGrid w:val="0"/>
        <w:spacing w:after="157" w:afterLines="50"/>
        <w:jc w:val="both"/>
        <w:textAlignment w:val="auto"/>
        <w:rPr>
          <w:rFonts w:hint="eastAsia" w:asciiTheme="minorEastAsia" w:hAnsiTheme="minorEastAsia" w:eastAsiaTheme="minorEastAsia" w:cstheme="minorEastAsia"/>
          <w:sz w:val="24"/>
          <w:szCs w:val="24"/>
          <w:highlight w:val="none"/>
          <w:lang w:val="en-US" w:eastAsia="zh-CN"/>
        </w:rPr>
      </w:pPr>
    </w:p>
    <w:p w14:paraId="72B06027">
      <w:pPr>
        <w:jc w:val="center"/>
        <w:rPr>
          <w:rFonts w:hint="eastAsia"/>
          <w:highlight w:val="none"/>
          <w:lang w:val="en-US" w:eastAsia="zh-CN"/>
        </w:rPr>
      </w:pPr>
      <w:r>
        <w:rPr>
          <w:rFonts w:hint="eastAsia"/>
          <w:highlight w:val="none"/>
          <w:lang w:val="en-US" w:eastAsia="zh-CN"/>
        </w:rPr>
        <w:drawing>
          <wp:inline distT="0" distB="0" distL="114300" distR="114300">
            <wp:extent cx="4846320" cy="3035935"/>
            <wp:effectExtent l="4445" t="4445" r="6985" b="7620"/>
            <wp:docPr id="6"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A3DE24C">
      <w:pPr>
        <w:pStyle w:val="29"/>
        <w:bidi w:val="0"/>
        <w:rPr>
          <w:rFonts w:hint="eastAsia"/>
          <w:lang w:val="en-US" w:eastAsia="zh-CN"/>
        </w:rPr>
      </w:pPr>
      <w:bookmarkStart w:id="132" w:name="_Toc15162"/>
      <w:r>
        <w:rPr>
          <w:rFonts w:hint="eastAsia"/>
          <w:lang w:val="en-US" w:eastAsia="zh-CN"/>
        </w:rPr>
        <w:t>数据分析图9：2024年职业培训情况统计图（重点行业）</w:t>
      </w:r>
      <w:bookmarkEnd w:id="132"/>
    </w:p>
    <w:p w14:paraId="17799510">
      <w:pPr>
        <w:bidi w:val="0"/>
        <w:jc w:val="center"/>
        <w:rPr>
          <w:rFonts w:hint="eastAsia" w:asciiTheme="minorAscii" w:hAnsiTheme="minorAscii" w:eastAsiaTheme="minorEastAsia" w:cstheme="minorBidi"/>
          <w:kern w:val="2"/>
          <w:sz w:val="21"/>
          <w:szCs w:val="24"/>
          <w:lang w:val="en-US" w:eastAsia="zh-CN" w:bidi="ar-SA"/>
        </w:rPr>
      </w:pPr>
      <w:r>
        <w:rPr>
          <w:rFonts w:hint="default"/>
          <w:lang w:val="en-US" w:eastAsia="zh-CN"/>
        </w:rPr>
        <w:drawing>
          <wp:inline distT="0" distB="0" distL="114300" distR="114300">
            <wp:extent cx="5255895" cy="2496820"/>
            <wp:effectExtent l="0" t="0" r="1905" b="17780"/>
            <wp:docPr id="49" name="图片 4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图片"/>
                    <pic:cNvPicPr>
                      <a:picLocks noChangeAspect="1"/>
                    </pic:cNvPicPr>
                  </pic:nvPicPr>
                  <pic:blipFill>
                    <a:blip r:embed="rId34"/>
                    <a:srcRect t="8890" b="6684"/>
                    <a:stretch>
                      <a:fillRect/>
                    </a:stretch>
                  </pic:blipFill>
                  <pic:spPr>
                    <a:xfrm>
                      <a:off x="0" y="0"/>
                      <a:ext cx="5255895" cy="2496820"/>
                    </a:xfrm>
                    <a:prstGeom prst="rect">
                      <a:avLst/>
                    </a:prstGeom>
                  </pic:spPr>
                </pic:pic>
              </a:graphicData>
            </a:graphic>
          </wp:inline>
        </w:drawing>
      </w:r>
      <w:r>
        <w:rPr>
          <w:rFonts w:hint="eastAsia"/>
          <w:lang w:val="en-US" w:eastAsia="zh-CN"/>
        </w:rPr>
        <w:t xml:space="preserve">     </w:t>
      </w:r>
      <w:r>
        <w:rPr>
          <w:rFonts w:hint="eastAsia" w:asciiTheme="minorAscii" w:hAnsiTheme="minorAscii" w:eastAsiaTheme="minorEastAsia" w:cstheme="minorBidi"/>
          <w:kern w:val="2"/>
          <w:sz w:val="21"/>
          <w:szCs w:val="24"/>
          <w:lang w:val="en-US" w:eastAsia="zh-CN" w:bidi="ar-SA"/>
        </w:rPr>
        <w:t>图16：高技能计算及外部设备装配调试员培训（来源：凌源市职教中心）</w:t>
      </w:r>
    </w:p>
    <w:p w14:paraId="629CA4DD">
      <w:pPr>
        <w:pStyle w:val="8"/>
        <w:jc w:val="center"/>
        <w:rPr>
          <w:rFonts w:hint="eastAsia"/>
          <w:sz w:val="20"/>
          <w:szCs w:val="20"/>
          <w:lang w:val="en-US" w:eastAsia="zh-CN"/>
        </w:rPr>
      </w:pPr>
      <w:r>
        <w:rPr>
          <w:rFonts w:hint="eastAsia"/>
          <w:sz w:val="20"/>
          <w:szCs w:val="20"/>
          <w:lang w:val="en-US" w:eastAsia="zh-CN"/>
        </w:rPr>
        <w:drawing>
          <wp:inline distT="0" distB="0" distL="114300" distR="114300">
            <wp:extent cx="5255895" cy="2663825"/>
            <wp:effectExtent l="0" t="0" r="1905" b="3175"/>
            <wp:docPr id="23" name="图片 23" descr="安全"/>
            <wp:cNvGraphicFramePr/>
            <a:graphic xmlns:a="http://schemas.openxmlformats.org/drawingml/2006/main">
              <a:graphicData uri="http://schemas.openxmlformats.org/drawingml/2006/picture">
                <pic:pic xmlns:pic="http://schemas.openxmlformats.org/drawingml/2006/picture">
                  <pic:nvPicPr>
                    <pic:cNvPr id="23" name="图片 23" descr="安全"/>
                    <pic:cNvPicPr/>
                  </pic:nvPicPr>
                  <pic:blipFill>
                    <a:blip r:embed="rId35"/>
                    <a:stretch>
                      <a:fillRect/>
                    </a:stretch>
                  </pic:blipFill>
                  <pic:spPr>
                    <a:xfrm>
                      <a:off x="0" y="0"/>
                      <a:ext cx="5255895" cy="2663825"/>
                    </a:xfrm>
                    <a:prstGeom prst="rect">
                      <a:avLst/>
                    </a:prstGeom>
                  </pic:spPr>
                </pic:pic>
              </a:graphicData>
            </a:graphic>
          </wp:inline>
        </w:drawing>
      </w:r>
    </w:p>
    <w:p w14:paraId="33492C1B">
      <w:pPr>
        <w:pStyle w:val="14"/>
        <w:bidi w:val="0"/>
        <w:jc w:val="center"/>
        <w:rPr>
          <w:rFonts w:hint="eastAsia"/>
          <w:lang w:val="en-US" w:eastAsia="zh-CN"/>
        </w:rPr>
      </w:pPr>
      <w:bookmarkStart w:id="133" w:name="_Toc18678"/>
      <w:bookmarkStart w:id="134" w:name="_Toc5188"/>
      <w:bookmarkStart w:id="135" w:name="_Toc15454"/>
      <w:bookmarkStart w:id="136" w:name="_Toc5892"/>
      <w:r>
        <w:rPr>
          <w:rFonts w:hint="eastAsia"/>
          <w:lang w:val="en-US" w:eastAsia="zh-CN"/>
        </w:rPr>
        <w:t>图17：建平县职教中心2024年安全生产培训（来源：建平县职教中心）</w:t>
      </w:r>
      <w:bookmarkEnd w:id="133"/>
      <w:bookmarkEnd w:id="134"/>
      <w:bookmarkEnd w:id="135"/>
      <w:bookmarkEnd w:id="136"/>
    </w:p>
    <w:p w14:paraId="7315D1FC">
      <w:pPr>
        <w:jc w:val="cente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drawing>
          <wp:inline distT="0" distB="0" distL="114300" distR="114300">
            <wp:extent cx="5255895" cy="2552065"/>
            <wp:effectExtent l="0" t="0" r="1905" b="635"/>
            <wp:docPr id="56" name="图片 56" descr="C:\Users\ASUS\Desktop\中职.png中职"/>
            <wp:cNvGraphicFramePr/>
            <a:graphic xmlns:a="http://schemas.openxmlformats.org/drawingml/2006/main">
              <a:graphicData uri="http://schemas.openxmlformats.org/drawingml/2006/picture">
                <pic:pic xmlns:pic="http://schemas.openxmlformats.org/drawingml/2006/picture">
                  <pic:nvPicPr>
                    <pic:cNvPr id="56" name="图片 56" descr="C:\Users\ASUS\Desktop\中职.png中职"/>
                    <pic:cNvPicPr/>
                  </pic:nvPicPr>
                  <pic:blipFill>
                    <a:blip r:embed="rId36"/>
                    <a:srcRect/>
                    <a:stretch>
                      <a:fillRect/>
                    </a:stretch>
                  </pic:blipFill>
                  <pic:spPr>
                    <a:xfrm>
                      <a:off x="0" y="0"/>
                      <a:ext cx="5255895" cy="2552065"/>
                    </a:xfrm>
                    <a:prstGeom prst="rect">
                      <a:avLst/>
                    </a:prstGeom>
                  </pic:spPr>
                </pic:pic>
              </a:graphicData>
            </a:graphic>
          </wp:inline>
        </w:drawing>
      </w:r>
    </w:p>
    <w:p w14:paraId="6EDF9867">
      <w:pPr>
        <w:pStyle w:val="14"/>
        <w:bidi w:val="0"/>
        <w:jc w:val="center"/>
        <w:rPr>
          <w:rFonts w:hint="eastAsia"/>
          <w:lang w:val="en-US" w:eastAsia="zh-CN"/>
        </w:rPr>
      </w:pPr>
      <w:bookmarkStart w:id="137" w:name="_Toc918"/>
      <w:bookmarkStart w:id="138" w:name="_Toc10627"/>
      <w:bookmarkStart w:id="139" w:name="_Toc3244"/>
      <w:bookmarkStart w:id="140" w:name="_Toc15808"/>
      <w:r>
        <w:rPr>
          <w:rFonts w:hint="eastAsia"/>
          <w:lang w:val="en-US" w:eastAsia="zh-CN"/>
        </w:rPr>
        <w:t>图18：北票市职教中心开展面点培训（来源：北票市职教中心）</w:t>
      </w:r>
      <w:bookmarkEnd w:id="137"/>
      <w:bookmarkEnd w:id="138"/>
      <w:bookmarkEnd w:id="139"/>
      <w:bookmarkEnd w:id="140"/>
    </w:p>
    <w:p w14:paraId="38B2CA08">
      <w:pPr>
        <w:bidi w:val="0"/>
        <w:jc w:val="center"/>
        <w:rPr>
          <w:rFonts w:hint="eastAsia"/>
          <w:lang w:val="en-US" w:eastAsia="zh-CN"/>
        </w:rPr>
      </w:pPr>
      <w:r>
        <w:rPr>
          <w:rFonts w:hint="eastAsia"/>
          <w:lang w:val="en-US" w:eastAsia="zh-CN"/>
        </w:rPr>
        <w:drawing>
          <wp:inline distT="0" distB="0" distL="114300" distR="114300">
            <wp:extent cx="5219700" cy="2618740"/>
            <wp:effectExtent l="0" t="0" r="0" b="10160"/>
            <wp:docPr id="48" name="图片 48" descr="C:\Users\ASUS\Desktop\技术、.png技术、"/>
            <wp:cNvGraphicFramePr/>
            <a:graphic xmlns:a="http://schemas.openxmlformats.org/drawingml/2006/main">
              <a:graphicData uri="http://schemas.openxmlformats.org/drawingml/2006/picture">
                <pic:pic xmlns:pic="http://schemas.openxmlformats.org/drawingml/2006/picture">
                  <pic:nvPicPr>
                    <pic:cNvPr id="48" name="图片 48" descr="C:\Users\ASUS\Desktop\技术、.png技术、"/>
                    <pic:cNvPicPr/>
                  </pic:nvPicPr>
                  <pic:blipFill>
                    <a:blip r:embed="rId37"/>
                    <a:srcRect/>
                    <a:stretch>
                      <a:fillRect/>
                    </a:stretch>
                  </pic:blipFill>
                  <pic:spPr>
                    <a:xfrm>
                      <a:off x="0" y="0"/>
                      <a:ext cx="5219700" cy="2618740"/>
                    </a:xfrm>
                    <a:prstGeom prst="rect">
                      <a:avLst/>
                    </a:prstGeom>
                  </pic:spPr>
                </pic:pic>
              </a:graphicData>
            </a:graphic>
          </wp:inline>
        </w:drawing>
      </w:r>
    </w:p>
    <w:p w14:paraId="4AB14921">
      <w:pPr>
        <w:pStyle w:val="14"/>
        <w:bidi w:val="0"/>
        <w:jc w:val="center"/>
        <w:rPr>
          <w:rFonts w:hint="eastAsia"/>
          <w:lang w:val="en-US" w:eastAsia="zh-CN"/>
        </w:rPr>
      </w:pPr>
      <w:bookmarkStart w:id="141" w:name="_Toc18441"/>
      <w:bookmarkStart w:id="142" w:name="_Toc7203"/>
      <w:bookmarkStart w:id="143" w:name="_Toc18211"/>
      <w:bookmarkStart w:id="144" w:name="_Toc14145"/>
      <w:r>
        <w:rPr>
          <w:rFonts w:hint="eastAsia"/>
          <w:lang w:val="en-US" w:eastAsia="zh-CN"/>
        </w:rPr>
        <w:t>图19：教师深入乡村开展培育技术指导（来源：北票市职教中心）</w:t>
      </w:r>
      <w:bookmarkEnd w:id="141"/>
      <w:bookmarkEnd w:id="142"/>
      <w:bookmarkEnd w:id="143"/>
      <w:bookmarkEnd w:id="144"/>
    </w:p>
    <w:p w14:paraId="23B6695D">
      <w:pPr>
        <w:pStyle w:val="5"/>
        <w:keepNext/>
        <w:keepLines/>
        <w:pageBreakBefore w:val="0"/>
        <w:widowControl w:val="0"/>
        <w:kinsoku/>
        <w:wordWrap/>
        <w:overflowPunct/>
        <w:topLinePunct w:val="0"/>
        <w:autoSpaceDE/>
        <w:autoSpaceDN/>
        <w:bidi w:val="0"/>
        <w:adjustRightInd/>
        <w:snapToGrid/>
        <w:ind w:left="0" w:leftChars="0" w:firstLine="0" w:firstLineChars="0"/>
        <w:jc w:val="left"/>
        <w:textAlignment w:val="auto"/>
        <w:outlineLvl w:val="2"/>
        <w:rPr>
          <w:rFonts w:hint="eastAsia" w:ascii="楷体" w:hAnsi="楷体" w:eastAsia="楷体" w:cs="楷体"/>
          <w:b/>
          <w:lang w:val="en-US" w:eastAsia="zh-CN"/>
        </w:rPr>
      </w:pPr>
      <w:bookmarkStart w:id="145" w:name="_Toc16660"/>
      <w:bookmarkStart w:id="146" w:name="_Toc20962"/>
      <w:r>
        <w:rPr>
          <w:rFonts w:hint="eastAsia" w:ascii="楷体" w:hAnsi="楷体" w:eastAsia="楷体" w:cs="楷体"/>
          <w:b/>
          <w:lang w:val="en-US" w:eastAsia="zh-CN"/>
        </w:rPr>
        <w:t>典型案例4：</w:t>
      </w:r>
      <w:bookmarkEnd w:id="145"/>
      <w:bookmarkEnd w:id="146"/>
    </w:p>
    <w:p w14:paraId="6CFFDCE6">
      <w:pPr>
        <w:pStyle w:val="5"/>
        <w:keepNext/>
        <w:keepLines/>
        <w:pageBreakBefore w:val="0"/>
        <w:widowControl w:val="0"/>
        <w:kinsoku/>
        <w:wordWrap/>
        <w:overflowPunct/>
        <w:topLinePunct w:val="0"/>
        <w:autoSpaceDE/>
        <w:autoSpaceDN/>
        <w:bidi w:val="0"/>
        <w:adjustRightInd/>
        <w:snapToGrid/>
        <w:ind w:left="0" w:leftChars="0" w:firstLine="0" w:firstLineChars="0"/>
        <w:textAlignment w:val="auto"/>
        <w:rPr>
          <w:rFonts w:hint="default" w:ascii="Arial" w:hAnsi="Arial"/>
          <w:b/>
          <w:lang w:val="en-US" w:eastAsia="zh-CN"/>
        </w:rPr>
      </w:pPr>
      <w:bookmarkStart w:id="147" w:name="_Toc1342945391_WPSOffice_Level3"/>
      <w:bookmarkStart w:id="148" w:name="_Toc18102"/>
      <w:r>
        <w:rPr>
          <w:rFonts w:hint="eastAsia" w:ascii="Arial" w:hAnsi="Arial"/>
          <w:b/>
          <w:lang w:val="en-US" w:eastAsia="zh-CN"/>
        </w:rPr>
        <w:t>多渠道开创实习、就业新局面</w:t>
      </w:r>
      <w:bookmarkEnd w:id="147"/>
      <w:bookmarkEnd w:id="148"/>
    </w:p>
    <w:p w14:paraId="6C928E2B">
      <w:pPr>
        <w:keepNext w:val="0"/>
        <w:keepLines w:val="0"/>
        <w:pageBreakBefore w:val="0"/>
        <w:widowControl/>
        <w:suppressLineNumbers w:val="0"/>
        <w:kinsoku/>
        <w:wordWrap/>
        <w:overflowPunct/>
        <w:topLinePunct w:val="0"/>
        <w:autoSpaceDE/>
        <w:autoSpaceDN/>
        <w:bidi w:val="0"/>
        <w:adjustRightInd/>
        <w:snapToGrid/>
        <w:jc w:val="right"/>
        <w:textAlignment w:val="auto"/>
        <w:rPr>
          <w:rFonts w:hint="eastAsia" w:ascii="楷体" w:hAnsi="楷体" w:eastAsia="楷体" w:cs="楷体"/>
          <w:color w:val="000000"/>
          <w:kern w:val="0"/>
          <w:sz w:val="30"/>
          <w:szCs w:val="30"/>
          <w:lang w:val="en-US" w:eastAsia="zh-CN" w:bidi="ar"/>
        </w:rPr>
      </w:pPr>
      <w:r>
        <w:rPr>
          <w:rFonts w:hint="eastAsia" w:ascii="楷体" w:hAnsi="楷体" w:eastAsia="楷体" w:cs="楷体"/>
          <w:color w:val="000000"/>
          <w:kern w:val="0"/>
          <w:sz w:val="30"/>
          <w:szCs w:val="30"/>
          <w:lang w:val="en-US" w:eastAsia="zh-CN" w:bidi="ar"/>
        </w:rPr>
        <w:t xml:space="preserve">——朝阳县职教中心典型案例 </w:t>
      </w:r>
    </w:p>
    <w:p w14:paraId="34E98679">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b/>
          <w:bCs/>
          <w:sz w:val="32"/>
          <w:szCs w:val="32"/>
          <w:lang w:val="en-US" w:eastAsia="zh-CN"/>
        </w:rPr>
        <w:t>背景：</w:t>
      </w:r>
      <w:r>
        <w:rPr>
          <w:rFonts w:hint="eastAsia" w:ascii="仿宋_GB2312" w:hAnsi="仿宋_GB2312" w:eastAsia="仿宋_GB2312" w:cs="仿宋_GB2312"/>
          <w:sz w:val="32"/>
          <w:szCs w:val="32"/>
          <w:lang w:val="en-US" w:eastAsia="zh-CN"/>
        </w:rPr>
        <w:t>为帮助中职生树立正确的择业观，把实习生的就业教育、创业教育、实习教育作为加强思想教育的重要内容，引导实习生树立“先就业、再择业、后创业”的就业思想。</w:t>
      </w:r>
    </w:p>
    <w:p w14:paraId="19E049EB">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b/>
          <w:bCs/>
          <w:sz w:val="32"/>
          <w:szCs w:val="32"/>
          <w:lang w:val="en-US" w:eastAsia="zh-CN"/>
        </w:rPr>
        <w:t>过程与方法：</w:t>
      </w:r>
      <w:r>
        <w:rPr>
          <w:rFonts w:hint="eastAsia" w:ascii="仿宋_GB2312" w:hAnsi="仿宋_GB2312" w:eastAsia="仿宋_GB2312" w:cs="仿宋_GB2312"/>
          <w:sz w:val="32"/>
          <w:szCs w:val="32"/>
          <w:lang w:val="en-US" w:eastAsia="zh-CN"/>
        </w:rPr>
        <w:t>朝阳县职教中心先后与辽宁朝阳温氏集团、辽宁北票宏发集团、辽宁盘锦中蓝电子、浙江宁波吉利集团、大连海尔集团、青岛海尔集团、天津天地伟业物联网技术有限公司、北京延锋汽车、天津长城汽车等省内外知名企业建立校企合作关系，开展实习、实践活动。本着学校组织、学生自愿、家长同意的原则，学校开展了多批次的实习实践和工学交替活动。2024年共有学前专业、畜牧专业、数控焊接专业、计算机专业、新能源专业、制冷专业、会计专业等7个专业302名学生参加实习。</w:t>
      </w:r>
    </w:p>
    <w:p w14:paraId="5632144E">
      <w:pPr>
        <w:pStyle w:val="18"/>
        <w:keepNext w:val="0"/>
        <w:keepLines w:val="0"/>
        <w:pageBreakBefore w:val="0"/>
        <w:widowControl w:val="0"/>
        <w:kinsoku/>
        <w:wordWrap/>
        <w:overflowPunct/>
        <w:topLinePunct w:val="0"/>
        <w:autoSpaceDE/>
        <w:autoSpaceDN/>
        <w:bidi w:val="0"/>
        <w:adjustRightInd/>
        <w:snapToGrid/>
        <w:spacing w:after="0" w:line="560" w:lineRule="exact"/>
        <w:ind w:left="0" w:leftChars="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b/>
          <w:bCs/>
          <w:sz w:val="32"/>
          <w:szCs w:val="32"/>
          <w:lang w:val="en-US" w:eastAsia="zh-CN"/>
        </w:rPr>
        <w:t>成效：</w:t>
      </w:r>
      <w:r>
        <w:rPr>
          <w:rFonts w:hint="eastAsia" w:ascii="仿宋_GB2312" w:hAnsi="仿宋_GB2312" w:eastAsia="仿宋_GB2312" w:cs="仿宋_GB2312"/>
          <w:sz w:val="32"/>
          <w:szCs w:val="32"/>
          <w:lang w:val="en-US" w:eastAsia="zh-CN"/>
        </w:rPr>
        <w:t>加大就业指导力度的同时，针对学生的特点，提升了学生技能，增加了家庭收入。</w:t>
      </w:r>
    </w:p>
    <w:p w14:paraId="486ACCD2">
      <w:pPr>
        <w:pStyle w:val="5"/>
        <w:keepNext/>
        <w:keepLines/>
        <w:pageBreakBefore w:val="0"/>
        <w:widowControl w:val="0"/>
        <w:kinsoku/>
        <w:wordWrap/>
        <w:overflowPunct/>
        <w:topLinePunct w:val="0"/>
        <w:autoSpaceDE/>
        <w:autoSpaceDN/>
        <w:bidi w:val="0"/>
        <w:adjustRightInd/>
        <w:snapToGrid/>
        <w:ind w:left="0" w:leftChars="0" w:firstLine="0" w:firstLineChars="0"/>
        <w:jc w:val="left"/>
        <w:textAlignment w:val="auto"/>
        <w:rPr>
          <w:rFonts w:hint="eastAsia" w:ascii="楷体" w:hAnsi="楷体" w:eastAsia="楷体" w:cs="楷体"/>
          <w:b/>
          <w:lang w:val="en-US" w:eastAsia="zh-CN"/>
        </w:rPr>
      </w:pPr>
      <w:bookmarkStart w:id="149" w:name="_Toc9792"/>
      <w:r>
        <w:rPr>
          <w:rFonts w:hint="eastAsia" w:ascii="楷体" w:hAnsi="楷体" w:eastAsia="楷体" w:cs="楷体"/>
          <w:b/>
          <w:lang w:val="en-US" w:eastAsia="zh-CN"/>
        </w:rPr>
        <w:t>典型案例5：</w:t>
      </w:r>
      <w:bookmarkEnd w:id="149"/>
    </w:p>
    <w:p w14:paraId="48F601F6">
      <w:pPr>
        <w:pStyle w:val="5"/>
        <w:keepNext/>
        <w:keepLines/>
        <w:pageBreakBefore w:val="0"/>
        <w:widowControl w:val="0"/>
        <w:kinsoku/>
        <w:wordWrap/>
        <w:overflowPunct/>
        <w:topLinePunct w:val="0"/>
        <w:autoSpaceDE/>
        <w:autoSpaceDN/>
        <w:bidi w:val="0"/>
        <w:adjustRightInd/>
        <w:snapToGrid/>
        <w:ind w:left="0" w:leftChars="0" w:firstLine="0" w:firstLineChars="0"/>
        <w:textAlignment w:val="auto"/>
        <w:rPr>
          <w:rFonts w:hint="eastAsia" w:ascii="Arial" w:hAnsi="Arial"/>
          <w:b/>
          <w:lang w:val="en-US" w:eastAsia="zh-CN"/>
        </w:rPr>
      </w:pPr>
      <w:bookmarkStart w:id="150" w:name="_Toc31675"/>
      <w:bookmarkStart w:id="151" w:name="_Toc521101171_WPSOffice_Level3"/>
      <w:r>
        <w:rPr>
          <w:rFonts w:hint="eastAsia" w:ascii="Arial" w:hAnsi="Arial"/>
          <w:b/>
          <w:lang w:val="en-US" w:eastAsia="zh-CN"/>
        </w:rPr>
        <w:t>建完备培训体系，发挥县级职教职能</w:t>
      </w:r>
      <w:bookmarkEnd w:id="150"/>
      <w:bookmarkEnd w:id="151"/>
    </w:p>
    <w:p w14:paraId="16D1FC4B">
      <w:pPr>
        <w:keepNext w:val="0"/>
        <w:keepLines w:val="0"/>
        <w:pageBreakBefore w:val="0"/>
        <w:widowControl/>
        <w:suppressLineNumbers w:val="0"/>
        <w:kinsoku/>
        <w:wordWrap/>
        <w:overflowPunct/>
        <w:topLinePunct w:val="0"/>
        <w:autoSpaceDE/>
        <w:autoSpaceDN/>
        <w:bidi w:val="0"/>
        <w:adjustRightInd/>
        <w:snapToGrid/>
        <w:jc w:val="right"/>
        <w:textAlignment w:val="auto"/>
        <w:rPr>
          <w:rFonts w:hint="eastAsia" w:ascii="楷体" w:hAnsi="楷体" w:eastAsia="楷体" w:cs="楷体"/>
          <w:color w:val="000000"/>
          <w:kern w:val="0"/>
          <w:sz w:val="30"/>
          <w:szCs w:val="30"/>
          <w:lang w:val="en-US" w:eastAsia="zh-CN" w:bidi="ar"/>
        </w:rPr>
      </w:pPr>
      <w:r>
        <w:rPr>
          <w:rFonts w:hint="eastAsia" w:ascii="楷体" w:hAnsi="楷体" w:eastAsia="楷体" w:cs="楷体"/>
          <w:color w:val="000000"/>
          <w:kern w:val="0"/>
          <w:sz w:val="30"/>
          <w:szCs w:val="30"/>
          <w:lang w:val="en-US" w:eastAsia="zh-CN" w:bidi="ar"/>
        </w:rPr>
        <w:t xml:space="preserve">——建平县职教中心典型案例 </w:t>
      </w:r>
    </w:p>
    <w:p w14:paraId="7A5EFA28">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背景：</w:t>
      </w:r>
      <w:r>
        <w:rPr>
          <w:rFonts w:hint="eastAsia" w:ascii="仿宋_GB2312" w:hAnsi="仿宋_GB2312" w:eastAsia="仿宋_GB2312" w:cs="仿宋_GB2312"/>
          <w:sz w:val="32"/>
          <w:szCs w:val="36"/>
          <w:lang w:val="en-US" w:eastAsia="zh-CN"/>
        </w:rPr>
        <w:t xml:space="preserve">随着经济快速发展，安全生产事故频发，开展安全生产培训，消除高危行业从业人员安全技能不足，使从事安全生产人员持证上岗迫在眉睫。 </w:t>
      </w:r>
    </w:p>
    <w:p w14:paraId="17E457B3">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过程与方法：</w:t>
      </w:r>
      <w:r>
        <w:rPr>
          <w:rFonts w:hint="eastAsia" w:ascii="仿宋_GB2312" w:hAnsi="仿宋_GB2312" w:eastAsia="仿宋_GB2312" w:cs="仿宋_GB2312"/>
          <w:sz w:val="32"/>
          <w:szCs w:val="36"/>
          <w:lang w:val="en-US" w:eastAsia="zh-CN"/>
        </w:rPr>
        <w:t xml:space="preserve">投入260余万元购进尾矿等14项智能化综合考培系统，建虚拟仿真实训基地，助力安全生产培训；提升教师应用虚拟仿真设备培训、资源开发、教材开发利用能力；建设适合本地学员的精品项目化实训课。将学校安全生产虚拟仿真培训考试平台与全国安全生产知识技能考核信息系统有效对接，提升平台资源的共享性和开放性；积极探索校企合作，对接专业领域，建“虚实结合+岗位场景”的递进式实践教学模式，使学员取得证书就能进行安全生产，提高培训质量。 </w:t>
      </w:r>
    </w:p>
    <w:p w14:paraId="2BEBDBCE">
      <w:pPr>
        <w:pStyle w:val="2"/>
        <w:keepNext w:val="0"/>
        <w:keepLines w:val="0"/>
        <w:pageBreakBefore w:val="0"/>
        <w:kinsoku/>
        <w:wordWrap/>
        <w:overflowPunct/>
        <w:topLinePunct w:val="0"/>
        <w:autoSpaceDE/>
        <w:autoSpaceDN/>
        <w:bidi w:val="0"/>
        <w:adjustRightInd/>
        <w:textAlignment w:val="auto"/>
        <w:rPr>
          <w:rFonts w:hint="eastAsia" w:ascii="仿宋_GB2312" w:hAnsi="仿宋_GB2312" w:eastAsia="仿宋_GB2312" w:cs="仿宋_GB2312"/>
          <w:sz w:val="32"/>
          <w:szCs w:val="36"/>
          <w:lang w:val="en-US" w:eastAsia="zh-CN"/>
        </w:rPr>
      </w:pPr>
      <w:bookmarkStart w:id="152" w:name="_Toc1563"/>
      <w:r>
        <w:rPr>
          <w:rFonts w:hint="eastAsia" w:ascii="仿宋_GB2312" w:hAnsi="仿宋_GB2312" w:eastAsia="仿宋_GB2312" w:cs="仿宋_GB2312"/>
          <w:b/>
          <w:bCs/>
          <w:sz w:val="32"/>
          <w:szCs w:val="36"/>
          <w:lang w:val="en-US" w:eastAsia="zh-CN"/>
        </w:rPr>
        <w:t>成效：</w:t>
      </w:r>
      <w:r>
        <w:rPr>
          <w:rFonts w:hint="eastAsia" w:ascii="仿宋_GB2312" w:hAnsi="仿宋_GB2312" w:eastAsia="仿宋_GB2312" w:cs="仿宋_GB2312"/>
          <w:sz w:val="32"/>
          <w:szCs w:val="36"/>
          <w:lang w:val="en-US" w:eastAsia="zh-CN"/>
        </w:rPr>
        <w:t>2024年安全生产培训覆盖14个工种，培训特种作业人员1008人，县域高危行业持证上岗率达到 90%以上，基本建立了辐射引领作用的安全生产培训体系。</w:t>
      </w:r>
      <w:bookmarkEnd w:id="152"/>
    </w:p>
    <w:p w14:paraId="19C30B8A">
      <w:pPr>
        <w:pStyle w:val="2"/>
        <w:keepNext w:val="0"/>
        <w:keepLines w:val="0"/>
        <w:pageBreakBefore w:val="0"/>
        <w:kinsoku/>
        <w:wordWrap/>
        <w:overflowPunct/>
        <w:topLinePunct w:val="0"/>
        <w:autoSpaceDE/>
        <w:autoSpaceDN/>
        <w:bidi w:val="0"/>
        <w:adjustRightInd/>
        <w:textAlignment w:val="auto"/>
        <w:rPr>
          <w:rFonts w:hint="eastAsia" w:ascii="楷体" w:hAnsi="楷体" w:eastAsia="楷体" w:cs="楷体"/>
          <w:b/>
          <w:bCs w:val="0"/>
          <w:sz w:val="32"/>
          <w:szCs w:val="32"/>
          <w:highlight w:val="none"/>
          <w:lang w:val="en-US" w:eastAsia="zh-CN"/>
        </w:rPr>
      </w:pPr>
      <w:bookmarkStart w:id="153" w:name="_Toc23814"/>
      <w:r>
        <w:rPr>
          <w:rFonts w:hint="eastAsia" w:ascii="楷体" w:hAnsi="楷体" w:eastAsia="楷体" w:cs="楷体"/>
          <w:b/>
          <w:bCs w:val="0"/>
          <w:sz w:val="32"/>
          <w:szCs w:val="32"/>
          <w:highlight w:val="none"/>
          <w:lang w:val="en-US" w:eastAsia="zh-CN"/>
        </w:rPr>
        <w:t>3.3服务民生</w:t>
      </w:r>
      <w:bookmarkEnd w:id="153"/>
    </w:p>
    <w:p w14:paraId="213EDFF5">
      <w:pPr>
        <w:pStyle w:val="8"/>
        <w:keepNext w:val="0"/>
        <w:keepLines w:val="0"/>
        <w:pageBreakBefore w:val="0"/>
        <w:widowControl w:val="0"/>
        <w:kinsoku/>
        <w:wordWrap/>
        <w:overflowPunct/>
        <w:topLinePunct w:val="0"/>
        <w:autoSpaceDE/>
        <w:autoSpaceDN/>
        <w:bidi w:val="0"/>
        <w:adjustRightInd/>
        <w:snapToGrid w:val="0"/>
        <w:spacing w:line="560" w:lineRule="exact"/>
        <w:ind w:firstLine="640" w:firstLineChars="200"/>
        <w:jc w:val="both"/>
        <w:textAlignment w:val="auto"/>
        <w:rPr>
          <w:rFonts w:hint="eastAsia" w:ascii="仿宋_GB2312" w:hAnsi="仿宋_GB2312" w:eastAsia="仿宋_GB2312" w:cs="仿宋_GB2312"/>
          <w:kern w:val="2"/>
          <w:sz w:val="32"/>
          <w:szCs w:val="36"/>
          <w:lang w:val="en-US" w:eastAsia="zh-CN" w:bidi="ar-SA"/>
        </w:rPr>
      </w:pPr>
      <w:r>
        <w:rPr>
          <w:rFonts w:hint="eastAsia" w:ascii="仿宋_GB2312" w:hAnsi="仿宋_GB2312" w:eastAsia="仿宋_GB2312" w:cs="仿宋_GB2312"/>
          <w:kern w:val="2"/>
          <w:sz w:val="32"/>
          <w:szCs w:val="36"/>
          <w:lang w:val="en-US" w:eastAsia="zh-CN" w:bidi="ar-SA"/>
        </w:rPr>
        <w:t>继续支持第一书记做好帮扶村驻村工作。认真贯彻落实中共辽宁省委组织部辽宁省扶贫开发领导小组办公室印发《关于建立选派驻村工作队和第一书记工作长效机制的实施方案》的通知要求，推动帮扶工作常态化、长效化。指导各校继续做好驻村工作，指导各校党委不定期听取驻村干部工作情况汇报，及时了解帮扶实况，结合学校实际开展精准帮扶。</w:t>
      </w:r>
    </w:p>
    <w:p w14:paraId="42CF4698">
      <w:pPr>
        <w:pStyle w:val="8"/>
        <w:keepNext w:val="0"/>
        <w:keepLines w:val="0"/>
        <w:pageBreakBefore w:val="0"/>
        <w:widowControl w:val="0"/>
        <w:kinsoku/>
        <w:wordWrap/>
        <w:overflowPunct/>
        <w:topLinePunct w:val="0"/>
        <w:autoSpaceDE/>
        <w:autoSpaceDN/>
        <w:bidi w:val="0"/>
        <w:adjustRightInd/>
        <w:snapToGrid w:val="0"/>
        <w:spacing w:line="560" w:lineRule="exact"/>
        <w:ind w:firstLine="640" w:firstLineChars="200"/>
        <w:jc w:val="both"/>
        <w:textAlignment w:val="auto"/>
        <w:rPr>
          <w:rFonts w:hint="eastAsia" w:ascii="仿宋_GB2312" w:hAnsi="仿宋_GB2312" w:eastAsia="仿宋_GB2312" w:cs="仿宋_GB2312"/>
          <w:kern w:val="2"/>
          <w:sz w:val="32"/>
          <w:szCs w:val="36"/>
          <w:lang w:val="en-US" w:eastAsia="zh-CN" w:bidi="ar-SA"/>
        </w:rPr>
      </w:pPr>
      <w:r>
        <w:rPr>
          <w:rFonts w:hint="eastAsia" w:ascii="仿宋_GB2312" w:hAnsi="仿宋_GB2312" w:eastAsia="仿宋_GB2312" w:cs="仿宋_GB2312"/>
          <w:kern w:val="2"/>
          <w:sz w:val="32"/>
          <w:szCs w:val="36"/>
          <w:lang w:val="en-US" w:eastAsia="zh-CN" w:bidi="ar-SA"/>
        </w:rPr>
        <w:t>积极做好高素质农民培训工作。一是充分做好摸底调研，通过乡镇人民政府、农业站开展高素质农民摸底调查，全面把握农民培训的资源状况，建立农民培训的资源信息库。二是在乡镇从事农牧业生产、经营、服务及返乡创业人员中，优先安排已申报人员、养种植大户、农民合作社带头人、技术骨干以及有需求有基础的农民作为主要培育对象。三是优化教学培训过程，集中课堂教学培训，通过多媒体教学让学员对学习内容有更直观的感受；克服疫情影响，创新培训方式，在集中课堂教学的基础上，灵活地将培训课堂搬到田间地头，组织学员进行现场实训。</w:t>
      </w:r>
    </w:p>
    <w:p w14:paraId="1D422EF5">
      <w:pPr>
        <w:keepNext w:val="0"/>
        <w:keepLines w:val="0"/>
        <w:pageBreakBefore w:val="0"/>
        <w:widowControl w:val="0"/>
        <w:kinsoku/>
        <w:wordWrap/>
        <w:overflowPunct/>
        <w:topLinePunct w:val="0"/>
        <w:autoSpaceDE/>
        <w:autoSpaceDN/>
        <w:bidi w:val="0"/>
        <w:adjustRightInd/>
        <w:spacing w:line="560" w:lineRule="exact"/>
        <w:ind w:firstLine="640" w:firstLineChars="200"/>
        <w:jc w:val="both"/>
        <w:textAlignment w:val="auto"/>
        <w:rPr>
          <w:rFonts w:hint="eastAsia" w:ascii="仿宋_GB2312" w:hAnsi="仿宋_GB2312" w:eastAsia="仿宋_GB2312" w:cs="仿宋_GB2312"/>
          <w:kern w:val="2"/>
          <w:sz w:val="32"/>
          <w:szCs w:val="36"/>
          <w:lang w:val="en-US" w:eastAsia="zh-CN" w:bidi="ar-SA"/>
        </w:rPr>
      </w:pPr>
      <w:r>
        <w:rPr>
          <w:rFonts w:hint="eastAsia" w:ascii="仿宋_GB2312" w:hAnsi="仿宋_GB2312" w:eastAsia="仿宋_GB2312" w:cs="仿宋_GB2312"/>
          <w:kern w:val="2"/>
          <w:sz w:val="32"/>
          <w:szCs w:val="36"/>
          <w:lang w:val="en-US" w:eastAsia="zh-CN" w:bidi="ar-SA"/>
        </w:rPr>
        <w:t>朝阳市卫生学校在朝阳县大庙镇大庙村举行了“职业教育宣传暨志愿服务义诊进乡村”活动。旨在将健康与教育的温暖传递给当地村民，让村民们在家门口便能享受到专业的医疗服务和职业教育信息普及。活动现场，学校教师展现出了极高的专业素养和人文关怀精神，耐心地为村民们进行血压、血糖测量以及心电图诊疗等多项服务，同时细致地询问病史、查体，并给予专业的诊疗建议、解答疑问以及健康宣教。此外，医疗队还向村民们发放了《高血压健康知识宣传单》，帮助大家提高自我健康意识。此次活动不仅受到了村民们的热烈欢迎和高度评价，也取得了显著的成效。据统计，共有70多位村民接受了义诊服务，71位老年人完成了健康体检。</w:t>
      </w:r>
    </w:p>
    <w:p w14:paraId="1838AA4B">
      <w:pPr>
        <w:bidi w:val="0"/>
        <w:jc w:val="center"/>
        <w:rPr>
          <w:rFonts w:hint="eastAsia"/>
          <w:lang w:val="en-US" w:eastAsia="zh-CN"/>
        </w:rPr>
      </w:pPr>
      <w:r>
        <w:rPr>
          <w:rFonts w:hint="eastAsia"/>
          <w:lang w:val="en-US" w:eastAsia="zh-CN"/>
        </w:rPr>
        <w:drawing>
          <wp:inline distT="0" distB="0" distL="114300" distR="114300">
            <wp:extent cx="4824095" cy="3133090"/>
            <wp:effectExtent l="0" t="0" r="14605" b="10160"/>
            <wp:docPr id="51" name="图片 51" descr="C:\Users\ASUS\Desktop\急救.png急救"/>
            <wp:cNvGraphicFramePr/>
            <a:graphic xmlns:a="http://schemas.openxmlformats.org/drawingml/2006/main">
              <a:graphicData uri="http://schemas.openxmlformats.org/drawingml/2006/picture">
                <pic:pic xmlns:pic="http://schemas.openxmlformats.org/drawingml/2006/picture">
                  <pic:nvPicPr>
                    <pic:cNvPr id="51" name="图片 51" descr="C:\Users\ASUS\Desktop\急救.png急救"/>
                    <pic:cNvPicPr/>
                  </pic:nvPicPr>
                  <pic:blipFill>
                    <a:blip r:embed="rId38"/>
                    <a:srcRect/>
                    <a:stretch>
                      <a:fillRect/>
                    </a:stretch>
                  </pic:blipFill>
                  <pic:spPr>
                    <a:xfrm>
                      <a:off x="0" y="0"/>
                      <a:ext cx="4824095" cy="3133090"/>
                    </a:xfrm>
                    <a:prstGeom prst="rect">
                      <a:avLst/>
                    </a:prstGeom>
                  </pic:spPr>
                </pic:pic>
              </a:graphicData>
            </a:graphic>
          </wp:inline>
        </w:drawing>
      </w:r>
    </w:p>
    <w:p w14:paraId="6BF3F7C9">
      <w:pPr>
        <w:pStyle w:val="14"/>
        <w:bidi w:val="0"/>
        <w:jc w:val="center"/>
        <w:rPr>
          <w:rFonts w:hint="eastAsia"/>
          <w:lang w:val="en-US" w:eastAsia="zh-CN"/>
        </w:rPr>
      </w:pPr>
      <w:bookmarkStart w:id="154" w:name="_Toc18384"/>
      <w:bookmarkStart w:id="155" w:name="_Toc8775"/>
      <w:bookmarkStart w:id="156" w:name="_Toc9382"/>
      <w:bookmarkStart w:id="157" w:name="_Toc6113"/>
      <w:r>
        <w:rPr>
          <w:rFonts w:hint="eastAsia"/>
          <w:lang w:val="en-US" w:eastAsia="zh-CN"/>
        </w:rPr>
        <w:t>图20：朝阳市卫生学校开展心肺复苏培训（来源：朝阳市卫生学校）</w:t>
      </w:r>
      <w:bookmarkEnd w:id="154"/>
      <w:bookmarkEnd w:id="155"/>
      <w:bookmarkEnd w:id="156"/>
      <w:bookmarkEnd w:id="157"/>
    </w:p>
    <w:p w14:paraId="57D4F58C">
      <w:pPr>
        <w:pStyle w:val="5"/>
        <w:keepNext/>
        <w:keepLines/>
        <w:pageBreakBefore w:val="0"/>
        <w:widowControl w:val="0"/>
        <w:kinsoku/>
        <w:wordWrap/>
        <w:overflowPunct/>
        <w:topLinePunct w:val="0"/>
        <w:autoSpaceDE/>
        <w:autoSpaceDN/>
        <w:bidi w:val="0"/>
        <w:adjustRightInd/>
        <w:snapToGrid/>
        <w:ind w:left="0" w:leftChars="0" w:firstLine="0" w:firstLineChars="0"/>
        <w:jc w:val="left"/>
        <w:textAlignment w:val="auto"/>
        <w:outlineLvl w:val="2"/>
        <w:rPr>
          <w:rFonts w:hint="eastAsia" w:ascii="楷体" w:hAnsi="楷体" w:eastAsia="楷体" w:cs="楷体"/>
          <w:b/>
          <w:lang w:val="en-US" w:eastAsia="zh-CN"/>
        </w:rPr>
      </w:pPr>
      <w:bookmarkStart w:id="158" w:name="_Toc3763"/>
      <w:bookmarkStart w:id="159" w:name="_Toc6514"/>
      <w:r>
        <w:rPr>
          <w:rFonts w:hint="eastAsia" w:ascii="楷体" w:hAnsi="楷体" w:eastAsia="楷体" w:cs="楷体"/>
          <w:b/>
          <w:lang w:val="en-US" w:eastAsia="zh-CN"/>
        </w:rPr>
        <w:t>典型案例6：</w:t>
      </w:r>
      <w:bookmarkEnd w:id="158"/>
      <w:bookmarkEnd w:id="159"/>
    </w:p>
    <w:p w14:paraId="7EA83E19">
      <w:pPr>
        <w:pStyle w:val="5"/>
        <w:keepNext/>
        <w:keepLines/>
        <w:pageBreakBefore w:val="0"/>
        <w:widowControl w:val="0"/>
        <w:kinsoku/>
        <w:wordWrap/>
        <w:overflowPunct/>
        <w:topLinePunct w:val="0"/>
        <w:autoSpaceDE/>
        <w:autoSpaceDN/>
        <w:bidi w:val="0"/>
        <w:adjustRightInd/>
        <w:snapToGrid/>
        <w:ind w:left="0" w:leftChars="0" w:firstLine="0" w:firstLineChars="0"/>
        <w:textAlignment w:val="auto"/>
        <w:rPr>
          <w:rFonts w:hint="eastAsia" w:ascii="Arial" w:hAnsi="Arial"/>
          <w:b/>
          <w:lang w:val="en-US" w:eastAsia="zh-CN"/>
        </w:rPr>
      </w:pPr>
      <w:bookmarkStart w:id="160" w:name="_Toc3203"/>
      <w:bookmarkStart w:id="161" w:name="_Toc1498688066_WPSOffice_Level3"/>
      <w:r>
        <w:rPr>
          <w:rFonts w:hint="eastAsia" w:ascii="Arial" w:hAnsi="Arial"/>
          <w:b/>
          <w:lang w:val="en-US" w:eastAsia="zh-CN"/>
        </w:rPr>
        <w:t>应急救护知识进社会</w:t>
      </w:r>
      <w:bookmarkEnd w:id="160"/>
      <w:bookmarkEnd w:id="161"/>
    </w:p>
    <w:p w14:paraId="4A6F4BC5">
      <w:pPr>
        <w:keepNext w:val="0"/>
        <w:keepLines w:val="0"/>
        <w:pageBreakBefore w:val="0"/>
        <w:widowControl/>
        <w:suppressLineNumbers w:val="0"/>
        <w:kinsoku/>
        <w:wordWrap/>
        <w:overflowPunct/>
        <w:topLinePunct w:val="0"/>
        <w:autoSpaceDE/>
        <w:autoSpaceDN/>
        <w:bidi w:val="0"/>
        <w:adjustRightInd/>
        <w:snapToGrid/>
        <w:jc w:val="right"/>
        <w:textAlignment w:val="auto"/>
        <w:rPr>
          <w:rFonts w:hint="eastAsia" w:ascii="楷体" w:hAnsi="楷体" w:eastAsia="楷体" w:cs="楷体"/>
          <w:color w:val="000000"/>
          <w:kern w:val="0"/>
          <w:sz w:val="30"/>
          <w:szCs w:val="30"/>
          <w:lang w:val="en-US" w:eastAsia="zh-CN" w:bidi="ar"/>
        </w:rPr>
      </w:pPr>
      <w:r>
        <w:rPr>
          <w:rFonts w:hint="eastAsia" w:ascii="楷体" w:hAnsi="楷体" w:eastAsia="楷体" w:cs="楷体"/>
          <w:color w:val="000000"/>
          <w:kern w:val="0"/>
          <w:sz w:val="30"/>
          <w:szCs w:val="30"/>
          <w:lang w:val="en-US" w:eastAsia="zh-CN" w:bidi="ar"/>
        </w:rPr>
        <w:t xml:space="preserve">——朝阳市卫生学校典型案例 </w:t>
      </w:r>
    </w:p>
    <w:p w14:paraId="591EC4A6">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背景：</w:t>
      </w:r>
      <w:r>
        <w:rPr>
          <w:rFonts w:hint="eastAsia" w:ascii="仿宋_GB2312" w:hAnsi="仿宋_GB2312" w:eastAsia="仿宋_GB2312" w:cs="仿宋_GB2312"/>
          <w:sz w:val="32"/>
          <w:szCs w:val="36"/>
          <w:lang w:val="en-US" w:eastAsia="zh-CN"/>
        </w:rPr>
        <w:t xml:space="preserve">以朝阳市职业教育活动周为契机，朝阳市卫生学校精心挑选具有红十字会急救资质的专业课教师10余人，组成急救团队，来到朝阳市金齿科口腔门诊，为市民进行了急救理论知识传播与实操技能培训。 </w:t>
      </w:r>
    </w:p>
    <w:p w14:paraId="576449E2">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过程与方法：</w:t>
      </w:r>
      <w:r>
        <w:rPr>
          <w:rFonts w:hint="eastAsia" w:ascii="仿宋_GB2312" w:hAnsi="仿宋_GB2312" w:eastAsia="仿宋_GB2312" w:cs="仿宋_GB2312"/>
          <w:sz w:val="32"/>
          <w:szCs w:val="36"/>
          <w:lang w:val="en-US" w:eastAsia="zh-CN"/>
        </w:rPr>
        <w:t xml:space="preserve">培训过程中，教师们围绕“气道异物梗阻急救”“心肺复苏”及“AED的使用”三个方面内容展开，将深奥的医学知识用通俗易懂的语言表达出来，向企业工作人员和市民介绍应急救护新概念、心肺复苏术基本操作步骤和海姆立克急救理论与施救技巧，让每一位参与者都能轻松理解、掌握。并借助模拟人教具对心肺复苏、海姆立克急救法的全过程进行现场演示。实操环节，教师们更是手把手地指导，确保每一位参与者都能正确、熟练地掌握急救技能。在教师们的指导下，大家积极参与，现场互动氛围浓烈。 </w:t>
      </w:r>
    </w:p>
    <w:p w14:paraId="63648A09">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eastAsia="仿宋_GB2312"/>
          <w:sz w:val="32"/>
          <w:szCs w:val="36"/>
          <w:lang w:val="en-US" w:eastAsia="zh-CN"/>
        </w:rPr>
      </w:pPr>
      <w:r>
        <w:rPr>
          <w:rFonts w:hint="eastAsia" w:ascii="仿宋_GB2312" w:hAnsi="仿宋_GB2312" w:eastAsia="仿宋_GB2312" w:cs="仿宋_GB2312"/>
          <w:b/>
          <w:bCs/>
          <w:sz w:val="32"/>
          <w:szCs w:val="36"/>
          <w:lang w:val="en-US" w:eastAsia="zh-CN"/>
        </w:rPr>
        <w:t>成效：</w:t>
      </w:r>
      <w:r>
        <w:rPr>
          <w:rFonts w:hint="eastAsia" w:ascii="仿宋_GB2312" w:hAnsi="仿宋_GB2312" w:eastAsia="仿宋_GB2312" w:cs="仿宋_GB2312"/>
          <w:sz w:val="32"/>
          <w:szCs w:val="36"/>
          <w:lang w:val="en-US" w:eastAsia="zh-CN"/>
        </w:rPr>
        <w:t>朝阳市卫生学校不仅致力于医学教育的深化，更将应急救护知识的普及与推广作为己任，积极打造“守护生命·‘救’在身边”品牌项目，持续推进应急救护培训“六进”工作，提供送教上门的救护培训服务，推动应急救护工作向纵深迈进。</w:t>
      </w:r>
      <w:r>
        <w:rPr>
          <w:rFonts w:hint="eastAsia" w:ascii="仿宋_GB2312" w:eastAsia="仿宋_GB2312"/>
          <w:sz w:val="32"/>
          <w:szCs w:val="36"/>
          <w:lang w:val="en-US" w:eastAsia="zh-CN"/>
        </w:rPr>
        <w:t xml:space="preserve"> </w:t>
      </w:r>
    </w:p>
    <w:p w14:paraId="08526883">
      <w:pPr>
        <w:pStyle w:val="2"/>
        <w:bidi w:val="0"/>
        <w:rPr>
          <w:rFonts w:hint="eastAsia" w:ascii="楷体" w:hAnsi="楷体" w:eastAsia="楷体" w:cs="楷体"/>
          <w:b/>
          <w:bCs w:val="0"/>
          <w:sz w:val="32"/>
          <w:szCs w:val="32"/>
          <w:lang w:val="en-US" w:eastAsia="zh-CN"/>
        </w:rPr>
      </w:pPr>
      <w:bookmarkStart w:id="162" w:name="_Toc3285"/>
      <w:r>
        <w:rPr>
          <w:rFonts w:hint="eastAsia" w:ascii="楷体" w:hAnsi="楷体" w:eastAsia="楷体" w:cs="楷体"/>
          <w:b/>
          <w:bCs w:val="0"/>
          <w:sz w:val="32"/>
          <w:szCs w:val="32"/>
          <w:lang w:val="en-US" w:eastAsia="zh-CN"/>
        </w:rPr>
        <w:t>3.4具有本地特色的服务贡献</w:t>
      </w:r>
      <w:bookmarkEnd w:id="162"/>
    </w:p>
    <w:p w14:paraId="1EF9A87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sz w:val="32"/>
          <w:szCs w:val="36"/>
          <w:lang w:val="en-US" w:eastAsia="zh-CN"/>
        </w:rPr>
        <w:t>万物互联的数字化时代，人们在享受智能化带来的种种便利之时，不少老年人正遭遇“数字断连”，还有的正艰难地跨越“数字鸿沟”。朝阳市各中职学校深入贯彻《国家职业教育改革实施方案》，对接《朝阳市职业教育“智慧助老”行动方案》的工作任务，发挥特色优势，多次深入社区与养老院开展帮扶活动，实现对老年人“吃、住、行、购、娱、健、医”等科学技术知识的数字化、互动化普及。同时采取“线上+线下”的方式开展培训，围绕老年人数字素养、健康素养等内容设置课程，其中，数字技能类课程主要开设手机银行、预约挂号、网上购物等智能手机应用相关课程，以及人工智能、智能汽车、智能家居等相关课程。同时，办好办细全民终身学习活动周，深入开展主题阅读、“社长（总编）荐书”、线上社会大讲堂、数字阅读分享、优秀读书作品展示评选、优秀典型推荐等活动，以提升阅读兴趣、养成阅读习惯、提高阅读能力为中心任务，全面提高人民群众思想道德素质和科学文化素质。</w:t>
      </w:r>
    </w:p>
    <w:p w14:paraId="122DA8AA">
      <w:pPr>
        <w:pStyle w:val="18"/>
        <w:ind w:left="0" w:leftChars="0" w:firstLine="0" w:firstLineChars="0"/>
        <w:jc w:val="center"/>
        <w:rPr>
          <w:rFonts w:hint="eastAsia"/>
          <w:lang w:val="en-US" w:eastAsia="zh-CN"/>
        </w:rPr>
      </w:pPr>
      <w:r>
        <w:rPr>
          <w:rFonts w:hint="eastAsia"/>
          <w:lang w:val="en-US" w:eastAsia="zh-CN"/>
        </w:rPr>
        <w:drawing>
          <wp:inline distT="0" distB="0" distL="114300" distR="114300">
            <wp:extent cx="5271770" cy="2661285"/>
            <wp:effectExtent l="0" t="0" r="0" b="0"/>
            <wp:docPr id="26" name="图片 26" descr="老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老年"/>
                    <pic:cNvPicPr>
                      <a:picLocks noChangeAspect="1"/>
                    </pic:cNvPicPr>
                  </pic:nvPicPr>
                  <pic:blipFill>
                    <a:blip r:embed="rId39"/>
                    <a:srcRect t="11750"/>
                    <a:stretch>
                      <a:fillRect/>
                    </a:stretch>
                  </pic:blipFill>
                  <pic:spPr>
                    <a:xfrm>
                      <a:off x="0" y="0"/>
                      <a:ext cx="5271770" cy="2661285"/>
                    </a:xfrm>
                    <a:prstGeom prst="rect">
                      <a:avLst/>
                    </a:prstGeom>
                  </pic:spPr>
                </pic:pic>
              </a:graphicData>
            </a:graphic>
          </wp:inline>
        </w:drawing>
      </w:r>
    </w:p>
    <w:p w14:paraId="6C1E6637">
      <w:pPr>
        <w:pStyle w:val="14"/>
        <w:bidi w:val="0"/>
        <w:jc w:val="center"/>
        <w:rPr>
          <w:rFonts w:hint="eastAsia"/>
          <w:lang w:val="en-US" w:eastAsia="zh-CN"/>
        </w:rPr>
      </w:pPr>
      <w:bookmarkStart w:id="163" w:name="_Toc28138"/>
      <w:bookmarkStart w:id="164" w:name="_Toc11620"/>
      <w:bookmarkStart w:id="165" w:name="_Toc25850"/>
      <w:bookmarkStart w:id="166" w:name="_Toc32040"/>
      <w:r>
        <w:rPr>
          <w:rFonts w:hint="eastAsia"/>
          <w:lang w:val="en-US" w:eastAsia="zh-CN"/>
        </w:rPr>
        <w:t>图21：建平县老年大学舞蹈课（来源：建平县职教中心）</w:t>
      </w:r>
      <w:bookmarkEnd w:id="163"/>
      <w:bookmarkEnd w:id="164"/>
      <w:bookmarkEnd w:id="165"/>
      <w:bookmarkEnd w:id="166"/>
    </w:p>
    <w:p w14:paraId="2CC96CC8">
      <w:pPr>
        <w:pStyle w:val="5"/>
        <w:keepNext/>
        <w:keepLines/>
        <w:pageBreakBefore w:val="0"/>
        <w:widowControl w:val="0"/>
        <w:kinsoku/>
        <w:wordWrap/>
        <w:overflowPunct/>
        <w:topLinePunct w:val="0"/>
        <w:autoSpaceDE/>
        <w:autoSpaceDN/>
        <w:bidi w:val="0"/>
        <w:adjustRightInd/>
        <w:snapToGrid/>
        <w:ind w:left="0" w:leftChars="0" w:firstLine="0" w:firstLineChars="0"/>
        <w:jc w:val="left"/>
        <w:textAlignment w:val="auto"/>
        <w:outlineLvl w:val="0"/>
        <w:rPr>
          <w:rFonts w:hint="eastAsia" w:ascii="楷体" w:hAnsi="楷体" w:eastAsia="楷体" w:cs="楷体"/>
          <w:b/>
          <w:lang w:val="en-US" w:eastAsia="zh-CN"/>
        </w:rPr>
      </w:pPr>
      <w:bookmarkStart w:id="167" w:name="_Toc23574"/>
      <w:bookmarkStart w:id="168" w:name="_Toc13348"/>
      <w:r>
        <w:rPr>
          <w:rFonts w:hint="eastAsia" w:ascii="楷体" w:hAnsi="楷体" w:eastAsia="楷体" w:cs="楷体"/>
          <w:b/>
          <w:lang w:val="en-US" w:eastAsia="zh-CN"/>
        </w:rPr>
        <w:t>典型案例 7：</w:t>
      </w:r>
      <w:bookmarkEnd w:id="167"/>
      <w:bookmarkEnd w:id="168"/>
      <w:r>
        <w:rPr>
          <w:rFonts w:hint="eastAsia" w:ascii="楷体" w:hAnsi="楷体" w:eastAsia="楷体" w:cs="楷体"/>
          <w:b/>
          <w:lang w:val="en-US" w:eastAsia="zh-CN"/>
        </w:rPr>
        <w:t xml:space="preserve"> </w:t>
      </w:r>
    </w:p>
    <w:p w14:paraId="4E13831A">
      <w:pPr>
        <w:pStyle w:val="5"/>
        <w:keepNext/>
        <w:keepLines/>
        <w:pageBreakBefore w:val="0"/>
        <w:widowControl w:val="0"/>
        <w:kinsoku/>
        <w:wordWrap/>
        <w:overflowPunct/>
        <w:topLinePunct w:val="0"/>
        <w:autoSpaceDE/>
        <w:autoSpaceDN/>
        <w:bidi w:val="0"/>
        <w:adjustRightInd/>
        <w:snapToGrid/>
        <w:ind w:left="0" w:leftChars="0" w:firstLine="0" w:firstLineChars="0"/>
        <w:textAlignment w:val="auto"/>
        <w:rPr>
          <w:rFonts w:hint="eastAsia" w:ascii="Arial" w:hAnsi="Arial"/>
          <w:b/>
          <w:lang w:val="en-US" w:eastAsia="zh-CN"/>
        </w:rPr>
      </w:pPr>
      <w:bookmarkStart w:id="169" w:name="_Toc1513945871_WPSOffice_Level3"/>
      <w:bookmarkStart w:id="170" w:name="_Toc2757"/>
      <w:r>
        <w:rPr>
          <w:rFonts w:hint="eastAsia" w:ascii="Arial" w:hAnsi="Arial"/>
          <w:b/>
          <w:lang w:val="en-US" w:eastAsia="zh-CN"/>
        </w:rPr>
        <w:t>关爱老年群体，建设学习家园</w:t>
      </w:r>
      <w:bookmarkEnd w:id="169"/>
      <w:bookmarkEnd w:id="170"/>
    </w:p>
    <w:p w14:paraId="41D33E12">
      <w:pPr>
        <w:keepNext w:val="0"/>
        <w:keepLines w:val="0"/>
        <w:pageBreakBefore w:val="0"/>
        <w:widowControl/>
        <w:suppressLineNumbers w:val="0"/>
        <w:kinsoku/>
        <w:wordWrap/>
        <w:overflowPunct/>
        <w:topLinePunct w:val="0"/>
        <w:autoSpaceDE/>
        <w:autoSpaceDN/>
        <w:bidi w:val="0"/>
        <w:adjustRightInd/>
        <w:snapToGrid/>
        <w:spacing w:line="540" w:lineRule="exact"/>
        <w:jc w:val="right"/>
        <w:textAlignment w:val="auto"/>
        <w:rPr>
          <w:rFonts w:hint="eastAsia" w:ascii="楷体" w:hAnsi="楷体" w:eastAsia="楷体" w:cs="楷体"/>
          <w:color w:val="000000"/>
          <w:kern w:val="0"/>
          <w:sz w:val="30"/>
          <w:szCs w:val="30"/>
          <w:lang w:val="en-US" w:eastAsia="zh-CN" w:bidi="ar"/>
        </w:rPr>
      </w:pPr>
      <w:r>
        <w:rPr>
          <w:rFonts w:hint="eastAsia" w:ascii="楷体" w:hAnsi="楷体" w:eastAsia="楷体" w:cs="楷体"/>
          <w:color w:val="000000"/>
          <w:kern w:val="0"/>
          <w:sz w:val="30"/>
          <w:szCs w:val="30"/>
          <w:lang w:val="en-US" w:eastAsia="zh-CN" w:bidi="ar"/>
        </w:rPr>
        <w:t xml:space="preserve">——建平县职业教育中心典型案例 </w:t>
      </w:r>
    </w:p>
    <w:p w14:paraId="204D6BA9">
      <w:pPr>
        <w:keepNext w:val="0"/>
        <w:keepLines w:val="0"/>
        <w:pageBreakBefore w:val="0"/>
        <w:widowControl w:val="0"/>
        <w:kinsoku/>
        <w:wordWrap/>
        <w:overflowPunct/>
        <w:topLinePunct w:val="0"/>
        <w:autoSpaceDE/>
        <w:autoSpaceDN/>
        <w:bidi w:val="0"/>
        <w:adjustRightInd/>
        <w:snapToGrid/>
        <w:spacing w:line="54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背景：</w:t>
      </w:r>
      <w:r>
        <w:rPr>
          <w:rFonts w:hint="eastAsia" w:ascii="仿宋_GB2312" w:hAnsi="仿宋_GB2312" w:eastAsia="仿宋_GB2312" w:cs="仿宋_GB2312"/>
          <w:sz w:val="32"/>
          <w:szCs w:val="36"/>
          <w:lang w:val="en-US" w:eastAsia="zh-CN"/>
        </w:rPr>
        <w:t>目前，建平老年人群体不断壮大，他们中大多数人都拥有健康的身体与充沛的时间，但因为逐渐远离社会，他们的活动范围十分有限，只能靠居家等方式度日，精神方面需求无法得到满足。</w:t>
      </w:r>
    </w:p>
    <w:p w14:paraId="02BFC0FB">
      <w:pPr>
        <w:keepNext w:val="0"/>
        <w:keepLines w:val="0"/>
        <w:pageBreakBefore w:val="0"/>
        <w:widowControl w:val="0"/>
        <w:kinsoku/>
        <w:wordWrap/>
        <w:overflowPunct/>
        <w:topLinePunct w:val="0"/>
        <w:autoSpaceDE/>
        <w:autoSpaceDN/>
        <w:bidi w:val="0"/>
        <w:adjustRightInd/>
        <w:snapToGrid/>
        <w:spacing w:line="540" w:lineRule="exact"/>
        <w:ind w:firstLine="643" w:firstLineChars="200"/>
        <w:textAlignment w:val="auto"/>
        <w:rPr>
          <w:rFonts w:hint="eastAsia" w:ascii="仿宋_GB2312" w:hAnsi="仿宋_GB2312" w:eastAsia="仿宋_GB2312" w:cs="仿宋_GB2312"/>
          <w:spacing w:val="-11"/>
          <w:sz w:val="32"/>
          <w:szCs w:val="36"/>
          <w:lang w:val="en-US" w:eastAsia="zh-CN"/>
        </w:rPr>
      </w:pPr>
      <w:r>
        <w:rPr>
          <w:rFonts w:hint="eastAsia" w:ascii="仿宋_GB2312" w:hAnsi="仿宋_GB2312" w:eastAsia="仿宋_GB2312" w:cs="仿宋_GB2312"/>
          <w:b/>
          <w:bCs/>
          <w:sz w:val="32"/>
          <w:szCs w:val="36"/>
          <w:lang w:val="en-US" w:eastAsia="zh-CN"/>
        </w:rPr>
        <w:t>过程和做法：</w:t>
      </w:r>
      <w:r>
        <w:rPr>
          <w:rFonts w:hint="eastAsia" w:ascii="仿宋_GB2312" w:hAnsi="仿宋_GB2312" w:eastAsia="仿宋_GB2312" w:cs="仿宋_GB2312"/>
          <w:spacing w:val="-6"/>
          <w:sz w:val="32"/>
          <w:szCs w:val="36"/>
          <w:lang w:val="en-US" w:eastAsia="zh-CN"/>
        </w:rPr>
        <w:t>建平县职业教育中心调整布局把北校区教学楼 A、B 座一二楼近3000多平方米空间，专门用于社区教育（老年教育）使用，定名为：建平县老年教育中心（以下简称：老年大学）；学校投资近20万元，用于老年教育楼道文化和专业化教室显性文化建设。几经修善，最后打造了合唱、戏曲、月嫂、非遗项目等13个专用教室和两个综合使用教室；</w:t>
      </w:r>
      <w:r>
        <w:rPr>
          <w:rFonts w:hint="eastAsia" w:ascii="仿宋_GB2312" w:hAnsi="仿宋_GB2312" w:eastAsia="仿宋_GB2312" w:cs="仿宋_GB2312"/>
          <w:spacing w:val="-11"/>
          <w:sz w:val="32"/>
          <w:szCs w:val="36"/>
          <w:lang w:val="en-US" w:eastAsia="zh-CN"/>
        </w:rPr>
        <w:t xml:space="preserve">建平老年大学共开设钢琴、合唱、模特、舞蹈、智能手机、摄影等12项课程，满足学员学习需求。 </w:t>
      </w:r>
    </w:p>
    <w:p w14:paraId="7A06907E">
      <w:pPr>
        <w:keepNext w:val="0"/>
        <w:keepLines w:val="0"/>
        <w:pageBreakBefore w:val="0"/>
        <w:widowControl w:val="0"/>
        <w:kinsoku/>
        <w:wordWrap/>
        <w:overflowPunct/>
        <w:topLinePunct w:val="0"/>
        <w:autoSpaceDE/>
        <w:autoSpaceDN/>
        <w:bidi w:val="0"/>
        <w:adjustRightInd/>
        <w:snapToGrid/>
        <w:spacing w:line="54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成效：</w:t>
      </w:r>
      <w:r>
        <w:rPr>
          <w:rFonts w:hint="eastAsia" w:ascii="仿宋_GB2312" w:hAnsi="仿宋_GB2312" w:eastAsia="仿宋_GB2312" w:cs="仿宋_GB2312"/>
          <w:sz w:val="32"/>
          <w:szCs w:val="36"/>
          <w:lang w:val="en-US" w:eastAsia="zh-CN"/>
        </w:rPr>
        <w:t xml:space="preserve">辽宁省教育厅授予建平职教中心“辽宁省老年教育示范校”的荣誉称号。目前，在校生常年在500人以上，已经成为建平中老年人学习交友的幸福家园，弥补了老年人心理缺憾，大大提升了生活的获得感和幸福感。 </w:t>
      </w:r>
    </w:p>
    <w:p w14:paraId="64E79B43">
      <w:pPr>
        <w:pStyle w:val="3"/>
        <w:pageBreakBefore w:val="0"/>
        <w:kinsoku/>
        <w:wordWrap/>
        <w:overflowPunct/>
        <w:topLinePunct w:val="0"/>
        <w:autoSpaceDE/>
        <w:autoSpaceDN/>
        <w:bidi w:val="0"/>
        <w:adjustRightInd/>
        <w:snapToGrid/>
        <w:spacing w:line="540" w:lineRule="exact"/>
        <w:ind w:firstLine="640" w:firstLineChars="200"/>
        <w:textAlignment w:val="auto"/>
        <w:rPr>
          <w:rFonts w:hint="eastAsia" w:ascii="黑体" w:hAnsi="黑体" w:eastAsia="黑体" w:cs="黑体"/>
          <w:b w:val="0"/>
          <w:bCs/>
          <w:sz w:val="32"/>
          <w:szCs w:val="32"/>
          <w:highlight w:val="none"/>
          <w:lang w:val="en-US" w:eastAsia="zh-CN"/>
        </w:rPr>
      </w:pPr>
      <w:bookmarkStart w:id="171" w:name="_Toc1919"/>
      <w:r>
        <w:rPr>
          <w:rFonts w:hint="eastAsia" w:ascii="黑体" w:hAnsi="黑体" w:eastAsia="黑体" w:cs="黑体"/>
          <w:b w:val="0"/>
          <w:bCs/>
          <w:sz w:val="32"/>
          <w:szCs w:val="32"/>
          <w:highlight w:val="none"/>
          <w:lang w:val="en-US" w:eastAsia="zh-CN"/>
        </w:rPr>
        <w:t>4.文化传承</w:t>
      </w:r>
      <w:bookmarkEnd w:id="171"/>
    </w:p>
    <w:p w14:paraId="11E513F6">
      <w:pPr>
        <w:pStyle w:val="2"/>
        <w:pageBreakBefore w:val="0"/>
        <w:kinsoku/>
        <w:wordWrap/>
        <w:overflowPunct/>
        <w:topLinePunct w:val="0"/>
        <w:autoSpaceDE/>
        <w:autoSpaceDN/>
        <w:bidi w:val="0"/>
        <w:adjustRightInd/>
        <w:snapToGrid/>
        <w:spacing w:line="540" w:lineRule="exact"/>
        <w:textAlignment w:val="auto"/>
        <w:rPr>
          <w:rFonts w:hint="eastAsia" w:ascii="楷体" w:hAnsi="楷体" w:eastAsia="楷体" w:cs="楷体"/>
          <w:b/>
          <w:bCs w:val="0"/>
          <w:sz w:val="32"/>
          <w:szCs w:val="32"/>
          <w:lang w:val="en-US" w:eastAsia="zh-CN"/>
        </w:rPr>
      </w:pPr>
      <w:bookmarkStart w:id="172" w:name="_Toc2180"/>
      <w:r>
        <w:rPr>
          <w:rFonts w:hint="eastAsia" w:ascii="楷体" w:hAnsi="楷体" w:eastAsia="楷体" w:cs="楷体"/>
          <w:b/>
          <w:bCs w:val="0"/>
          <w:sz w:val="32"/>
          <w:szCs w:val="32"/>
          <w:lang w:val="en-US" w:eastAsia="zh-CN"/>
        </w:rPr>
        <w:t>4.1传承工匠精神</w:t>
      </w:r>
      <w:bookmarkEnd w:id="172"/>
    </w:p>
    <w:p w14:paraId="572E92AB">
      <w:pPr>
        <w:keepNext w:val="0"/>
        <w:keepLines w:val="0"/>
        <w:pageBreakBefore w:val="0"/>
        <w:widowControl w:val="0"/>
        <w:kinsoku/>
        <w:wordWrap/>
        <w:overflowPunct/>
        <w:topLinePunct w:val="0"/>
        <w:autoSpaceDE/>
        <w:autoSpaceDN/>
        <w:bidi w:val="0"/>
        <w:adjustRightInd/>
        <w:snapToGrid/>
        <w:spacing w:line="540" w:lineRule="exact"/>
        <w:ind w:firstLine="616"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spacing w:val="-6"/>
          <w:sz w:val="32"/>
          <w:szCs w:val="36"/>
          <w:lang w:val="en-US" w:eastAsia="zh-CN"/>
        </w:rPr>
        <w:t>作为培养技能型人才的主阵地，指导学校把文化传承作为课程思政的重点纳入到教学体系中，将传统文化、职业道德、职业精神等传承给学生，让学生在实践中学习、掌握职业技能和文化知识，增强学生的职业意识和文化素养。鼓励各校依托官网、微信公众号、自媒体、短视频平台等大众传媒，大力宣传职业教育领域涌现的时代楷模、最美人物、大国工匠、能工巧匠，以及国省职业教育名师、国省职业院校技能大赛获奖选手和辅导教师的先进事迹，对学生进行工匠精神教育和引领，向社会讲好良师倾心育人、学生成长成才等故事，展示新时代职业院校师生的奋进风采，不断提高职业院校学生的社会荣誉感，有效增强职业教育的吸引力。</w:t>
      </w:r>
    </w:p>
    <w:p w14:paraId="47F45F9D">
      <w:pPr>
        <w:pStyle w:val="2"/>
        <w:spacing w:line="240" w:lineRule="auto"/>
        <w:ind w:left="0" w:leftChars="0" w:firstLine="0" w:firstLineChars="0"/>
        <w:jc w:val="center"/>
        <w:outlineLvl w:val="9"/>
        <w:rPr>
          <w:rFonts w:hint="eastAsia"/>
          <w:lang w:val="en-US" w:eastAsia="zh-CN"/>
        </w:rPr>
      </w:pPr>
      <w:r>
        <w:rPr>
          <w:rFonts w:hint="eastAsia"/>
          <w:lang w:val="en-US" w:eastAsia="zh-CN"/>
        </w:rPr>
        <w:drawing>
          <wp:inline distT="0" distB="0" distL="114300" distR="114300">
            <wp:extent cx="5271135" cy="2392680"/>
            <wp:effectExtent l="0" t="0" r="5715" b="7620"/>
            <wp:docPr id="27" name="图片 27" descr="护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护理"/>
                    <pic:cNvPicPr>
                      <a:picLocks noChangeAspect="1"/>
                    </pic:cNvPicPr>
                  </pic:nvPicPr>
                  <pic:blipFill>
                    <a:blip r:embed="rId40"/>
                    <a:srcRect t="4315" b="6354"/>
                    <a:stretch>
                      <a:fillRect/>
                    </a:stretch>
                  </pic:blipFill>
                  <pic:spPr>
                    <a:xfrm>
                      <a:off x="0" y="0"/>
                      <a:ext cx="5271135" cy="2392680"/>
                    </a:xfrm>
                    <a:prstGeom prst="rect">
                      <a:avLst/>
                    </a:prstGeom>
                  </pic:spPr>
                </pic:pic>
              </a:graphicData>
            </a:graphic>
          </wp:inline>
        </w:drawing>
      </w:r>
    </w:p>
    <w:p w14:paraId="3BEC4068">
      <w:pPr>
        <w:pStyle w:val="14"/>
        <w:bidi w:val="0"/>
        <w:jc w:val="center"/>
        <w:rPr>
          <w:rFonts w:hint="eastAsia"/>
          <w:lang w:val="en-US" w:eastAsia="zh-CN"/>
        </w:rPr>
      </w:pPr>
      <w:bookmarkStart w:id="173" w:name="_Toc946"/>
      <w:bookmarkStart w:id="174" w:name="_Toc3804"/>
      <w:bookmarkStart w:id="175" w:name="_Toc20119"/>
      <w:bookmarkStart w:id="176" w:name="_Toc5974"/>
      <w:r>
        <w:rPr>
          <w:rFonts w:hint="eastAsia"/>
          <w:lang w:val="en-US" w:eastAsia="zh-CN"/>
        </w:rPr>
        <w:t>图22：国际护士节主题活动——护理操作技能展演（来源：朝阳市卫生学校）</w:t>
      </w:r>
      <w:bookmarkEnd w:id="173"/>
      <w:bookmarkEnd w:id="174"/>
      <w:bookmarkEnd w:id="175"/>
      <w:bookmarkEnd w:id="176"/>
    </w:p>
    <w:p w14:paraId="6853804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sz w:val="32"/>
          <w:szCs w:val="36"/>
          <w:lang w:val="en-US" w:eastAsia="zh-CN"/>
        </w:rPr>
        <w:t>根据《辽宁省教育厅办公室关于开展2024年职业院校“技能成才 强国有我”系列教育活动的通知》要求，积极组织全市中等职业学校开展系列教育活动。</w:t>
      </w:r>
      <w:r>
        <w:rPr>
          <w:rFonts w:hint="eastAsia" w:ascii="仿宋_GB2312" w:hAnsi="仿宋_GB2312" w:eastAsia="仿宋_GB2312" w:cs="仿宋_GB2312"/>
          <w:kern w:val="2"/>
          <w:sz w:val="32"/>
          <w:szCs w:val="32"/>
          <w:lang w:val="en-US" w:eastAsia="zh-CN" w:bidi="ar-SA"/>
        </w:rPr>
        <w:t>全年共开展庆祝新中国成立75周年宣传教育活动、“未来工匠”读书行动、职教学生读党报活动、“劳模工匠进校园”行动、技能传承中华优秀传统文化活动、“文明风采”活动</w:t>
      </w:r>
      <w:r>
        <w:rPr>
          <w:rFonts w:hint="eastAsia" w:ascii="仿宋_GB2312" w:hAnsi="仿宋_GB2312" w:eastAsia="仿宋_GB2312" w:cs="仿宋_GB2312"/>
          <w:kern w:val="2"/>
          <w:sz w:val="32"/>
          <w:szCs w:val="32"/>
          <w:highlight w:val="none"/>
          <w:lang w:val="en-US" w:eastAsia="zh-CN" w:bidi="ar-SA"/>
        </w:rPr>
        <w:t>百余次，参与活动师生累计34400人次。</w:t>
      </w:r>
      <w:r>
        <w:rPr>
          <w:rFonts w:hint="eastAsia" w:ascii="仿宋_GB2312" w:hAnsi="仿宋_GB2312" w:eastAsia="仿宋_GB2312" w:cs="仿宋_GB2312"/>
          <w:sz w:val="32"/>
          <w:szCs w:val="36"/>
          <w:lang w:val="en-US" w:eastAsia="zh-CN"/>
        </w:rPr>
        <w:t>这些作品以视频形式展现学校的品牌性活动、典型做法与可借鉴性经验，既有主题团课，又有歌唱、绘画、舞蹈、征文、演讲等展示活动，充分展现了朝阳市中职学校的教学成果与师生面貌，进一步推动全市中等职业学校加强德育和思想政治教育工作，激励中职生走技能成才、技能报国之路，引导学生厚植爱国情怀，树立技能成才、强国有我的奋斗理想。</w:t>
      </w:r>
    </w:p>
    <w:p w14:paraId="571C25D5">
      <w:pPr>
        <w:pStyle w:val="28"/>
        <w:bidi w:val="0"/>
        <w:rPr>
          <w:rFonts w:hint="eastAsia"/>
          <w:lang w:val="en-US" w:eastAsia="zh-CN"/>
        </w:rPr>
      </w:pPr>
      <w:bookmarkStart w:id="177" w:name="_Toc11691"/>
      <w:bookmarkStart w:id="178" w:name="_Toc10144"/>
      <w:r>
        <w:rPr>
          <w:rFonts w:hint="eastAsia"/>
          <w:lang w:val="en-US" w:eastAsia="zh-CN"/>
        </w:rPr>
        <w:t>数据分析表10：2024年“技能成才强国有我”系列活动开展情况统计表</w:t>
      </w:r>
      <w:bookmarkEnd w:id="177"/>
      <w:bookmarkEnd w:id="178"/>
    </w:p>
    <w:tbl>
      <w:tblPr>
        <w:tblStyle w:val="20"/>
        <w:tblW w:w="85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7"/>
        <w:gridCol w:w="1984"/>
        <w:gridCol w:w="1250"/>
        <w:gridCol w:w="1183"/>
        <w:gridCol w:w="1212"/>
        <w:gridCol w:w="1200"/>
        <w:gridCol w:w="873"/>
      </w:tblGrid>
      <w:tr w14:paraId="7346D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5" w:hRule="atLeast"/>
          <w:jc w:val="center"/>
        </w:trPr>
        <w:tc>
          <w:tcPr>
            <w:tcW w:w="867" w:type="dxa"/>
            <w:tcBorders>
              <w:top w:val="single" w:color="FFFFFF" w:sz="4" w:space="0"/>
              <w:left w:val="single" w:color="FFFFFF" w:sz="4" w:space="0"/>
              <w:bottom w:val="single" w:color="FFFFFF" w:sz="4" w:space="0"/>
              <w:right w:val="single" w:color="FFFFFF" w:sz="4" w:space="0"/>
              <w:tl2br w:val="nil"/>
            </w:tcBorders>
            <w:shd w:val="clear" w:color="auto" w:fill="5B9BD5"/>
            <w:vAlign w:val="center"/>
          </w:tcPr>
          <w:p w14:paraId="5FEB3D88">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pPr>
            <w:r>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t>系列</w:t>
            </w:r>
          </w:p>
          <w:p w14:paraId="58F88B79">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pPr>
            <w:r>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t>活动</w:t>
            </w:r>
          </w:p>
        </w:tc>
        <w:tc>
          <w:tcPr>
            <w:tcW w:w="1984" w:type="dxa"/>
            <w:tcBorders>
              <w:top w:val="single" w:color="FFFFFF" w:sz="4" w:space="0"/>
              <w:left w:val="single" w:color="FFFFFF" w:sz="4" w:space="0"/>
              <w:bottom w:val="single" w:color="FFFFFF" w:sz="4" w:space="0"/>
              <w:right w:val="single" w:color="FFFFFF" w:sz="4" w:space="0"/>
            </w:tcBorders>
            <w:shd w:val="clear" w:color="auto" w:fill="5B9BD5"/>
            <w:vAlign w:val="center"/>
          </w:tcPr>
          <w:p w14:paraId="1E42725E">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pPr>
            <w:r>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t>庆祝新中国</w:t>
            </w:r>
          </w:p>
          <w:p w14:paraId="532AE449">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pPr>
            <w:r>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t>成立75周年</w:t>
            </w:r>
          </w:p>
          <w:p w14:paraId="20DA0880">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pPr>
            <w:r>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t>宣传教育活动</w:t>
            </w:r>
          </w:p>
        </w:tc>
        <w:tc>
          <w:tcPr>
            <w:tcW w:w="1250" w:type="dxa"/>
            <w:tcBorders>
              <w:top w:val="single" w:color="FFFFFF" w:sz="4" w:space="0"/>
              <w:left w:val="single" w:color="FFFFFF" w:sz="4" w:space="0"/>
              <w:bottom w:val="single" w:color="FFFFFF" w:sz="4" w:space="0"/>
              <w:right w:val="single" w:color="FFFFFF" w:sz="4" w:space="0"/>
            </w:tcBorders>
            <w:shd w:val="clear" w:color="auto" w:fill="5B9BD5"/>
            <w:vAlign w:val="center"/>
          </w:tcPr>
          <w:p w14:paraId="47C49D6F">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pPr>
            <w:r>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t>未来工匠</w:t>
            </w:r>
          </w:p>
          <w:p w14:paraId="2823D27E">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pPr>
            <w:r>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t>读书行动</w:t>
            </w:r>
          </w:p>
        </w:tc>
        <w:tc>
          <w:tcPr>
            <w:tcW w:w="1183" w:type="dxa"/>
            <w:tcBorders>
              <w:top w:val="single" w:color="FFFFFF" w:sz="4" w:space="0"/>
              <w:left w:val="single" w:color="FFFFFF" w:sz="4" w:space="0"/>
              <w:bottom w:val="single" w:color="FFFFFF" w:sz="4" w:space="0"/>
              <w:right w:val="single" w:color="FFFFFF" w:sz="4" w:space="0"/>
            </w:tcBorders>
            <w:shd w:val="clear" w:color="auto" w:fill="5B9BD5"/>
            <w:vAlign w:val="center"/>
          </w:tcPr>
          <w:p w14:paraId="341CF2AC">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pPr>
            <w:r>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t>职教学生</w:t>
            </w:r>
          </w:p>
          <w:p w14:paraId="433423E3">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pPr>
            <w:r>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t>读党报</w:t>
            </w:r>
          </w:p>
        </w:tc>
        <w:tc>
          <w:tcPr>
            <w:tcW w:w="1212" w:type="dxa"/>
            <w:tcBorders>
              <w:top w:val="single" w:color="FFFFFF" w:sz="4" w:space="0"/>
              <w:left w:val="single" w:color="FFFFFF" w:sz="4" w:space="0"/>
              <w:bottom w:val="single" w:color="FFFFFF" w:sz="4" w:space="0"/>
              <w:right w:val="single" w:color="FFFFFF" w:sz="4" w:space="0"/>
            </w:tcBorders>
            <w:shd w:val="clear" w:color="auto" w:fill="5B9BD5"/>
            <w:vAlign w:val="center"/>
          </w:tcPr>
          <w:p w14:paraId="75028CB3">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pPr>
            <w:r>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t>劳模工匠</w:t>
            </w:r>
          </w:p>
          <w:p w14:paraId="1E74FB2F">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pPr>
            <w:r>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t>进校园</w:t>
            </w:r>
          </w:p>
        </w:tc>
        <w:tc>
          <w:tcPr>
            <w:tcW w:w="1200" w:type="dxa"/>
            <w:tcBorders>
              <w:top w:val="single" w:color="FFFFFF" w:sz="4" w:space="0"/>
              <w:left w:val="single" w:color="FFFFFF" w:sz="4" w:space="0"/>
              <w:bottom w:val="single" w:color="FFFFFF" w:sz="4" w:space="0"/>
              <w:right w:val="single" w:color="FFFFFF" w:sz="4" w:space="0"/>
            </w:tcBorders>
            <w:shd w:val="clear" w:color="auto" w:fill="5B9BD5"/>
            <w:vAlign w:val="center"/>
          </w:tcPr>
          <w:p w14:paraId="5D796113">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pPr>
            <w:r>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t>传承中华优秀传统文化</w:t>
            </w:r>
          </w:p>
        </w:tc>
        <w:tc>
          <w:tcPr>
            <w:tcW w:w="873" w:type="dxa"/>
            <w:tcBorders>
              <w:top w:val="single" w:color="FFFFFF" w:sz="4" w:space="0"/>
              <w:left w:val="single" w:color="FFFFFF" w:sz="4" w:space="0"/>
              <w:bottom w:val="single" w:color="FFFFFF" w:sz="4" w:space="0"/>
              <w:right w:val="single" w:color="FFFFFF" w:sz="4" w:space="0"/>
            </w:tcBorders>
            <w:shd w:val="clear" w:color="auto" w:fill="5B9BD5"/>
            <w:vAlign w:val="center"/>
          </w:tcPr>
          <w:p w14:paraId="0C82A35A">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pPr>
            <w:r>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t>文明</w:t>
            </w:r>
          </w:p>
          <w:p w14:paraId="7343D78E">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pPr>
            <w:r>
              <w:rPr>
                <w:rFonts w:hint="eastAsia" w:asciiTheme="minorEastAsia" w:hAnsiTheme="minorEastAsia" w:eastAsiaTheme="minorEastAsia" w:cstheme="minorEastAsia"/>
                <w:b/>
                <w:bCs w:val="0"/>
                <w:color w:val="FFFFFF"/>
                <w:spacing w:val="0"/>
                <w:kern w:val="2"/>
                <w:sz w:val="24"/>
                <w:szCs w:val="24"/>
                <w:vertAlign w:val="baseline"/>
                <w:lang w:val="en-US" w:eastAsia="zh-CN" w:bidi="ar-SA"/>
              </w:rPr>
              <w:t>风采</w:t>
            </w:r>
          </w:p>
        </w:tc>
      </w:tr>
      <w:tr w14:paraId="52D02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7"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28451307">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heme="minorEastAsia" w:hAnsiTheme="minorEastAsia" w:eastAsiaTheme="minorEastAsia" w:cstheme="minorEastAsia"/>
                <w:b w:val="0"/>
                <w:bCs w:val="0"/>
                <w:color w:val="000000"/>
                <w:spacing w:val="0"/>
                <w:kern w:val="2"/>
                <w:sz w:val="24"/>
                <w:szCs w:val="24"/>
                <w:vertAlign w:val="baseline"/>
                <w:lang w:val="en-US" w:eastAsia="zh-CN" w:bidi="ar-SA"/>
              </w:rPr>
            </w:pPr>
            <w:r>
              <w:rPr>
                <w:rFonts w:hint="eastAsia" w:asciiTheme="minorEastAsia" w:hAnsiTheme="minorEastAsia" w:eastAsiaTheme="minorEastAsia" w:cstheme="minorEastAsia"/>
                <w:b w:val="0"/>
                <w:bCs w:val="0"/>
                <w:color w:val="000000"/>
                <w:spacing w:val="0"/>
                <w:kern w:val="2"/>
                <w:sz w:val="24"/>
                <w:szCs w:val="24"/>
                <w:vertAlign w:val="baseline"/>
                <w:lang w:val="en-US" w:eastAsia="zh-CN" w:bidi="ar-SA"/>
              </w:rPr>
              <w:t>人数</w:t>
            </w:r>
          </w:p>
        </w:tc>
        <w:tc>
          <w:tcPr>
            <w:tcW w:w="1984"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1E17D8CF">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heme="minorEastAsia" w:hAnsiTheme="minorEastAsia" w:eastAsiaTheme="minorEastAsia" w:cstheme="minorEastAsia"/>
                <w:b w:val="0"/>
                <w:bCs w:val="0"/>
                <w:color w:val="000000"/>
                <w:spacing w:val="0"/>
                <w:kern w:val="2"/>
                <w:sz w:val="24"/>
                <w:szCs w:val="24"/>
                <w:vertAlign w:val="baseline"/>
                <w:lang w:val="en-US" w:eastAsia="zh-CN" w:bidi="ar-SA"/>
              </w:rPr>
            </w:pPr>
            <w:r>
              <w:rPr>
                <w:rFonts w:hint="eastAsia" w:asciiTheme="minorEastAsia" w:hAnsiTheme="minorEastAsia" w:eastAsiaTheme="minorEastAsia" w:cstheme="minorEastAsia"/>
                <w:b w:val="0"/>
                <w:bCs w:val="0"/>
                <w:color w:val="000000"/>
                <w:spacing w:val="0"/>
                <w:kern w:val="2"/>
                <w:sz w:val="24"/>
                <w:szCs w:val="24"/>
                <w:vertAlign w:val="baseline"/>
                <w:lang w:val="en-US" w:eastAsia="zh-CN" w:bidi="ar-SA"/>
              </w:rPr>
              <w:t>12569</w:t>
            </w:r>
          </w:p>
        </w:tc>
        <w:tc>
          <w:tcPr>
            <w:tcW w:w="1250"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4E8D4974">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heme="minorEastAsia" w:hAnsiTheme="minorEastAsia" w:eastAsiaTheme="minorEastAsia" w:cstheme="minorEastAsia"/>
                <w:b w:val="0"/>
                <w:bCs w:val="0"/>
                <w:color w:val="000000"/>
                <w:spacing w:val="0"/>
                <w:kern w:val="2"/>
                <w:sz w:val="24"/>
                <w:szCs w:val="24"/>
                <w:vertAlign w:val="baseline"/>
                <w:lang w:val="en-US" w:eastAsia="zh-CN" w:bidi="ar-SA"/>
              </w:rPr>
            </w:pPr>
            <w:r>
              <w:rPr>
                <w:rFonts w:hint="eastAsia" w:asciiTheme="minorEastAsia" w:hAnsiTheme="minorEastAsia" w:eastAsiaTheme="minorEastAsia" w:cstheme="minorEastAsia"/>
                <w:b w:val="0"/>
                <w:bCs w:val="0"/>
                <w:color w:val="000000"/>
                <w:spacing w:val="0"/>
                <w:kern w:val="2"/>
                <w:sz w:val="24"/>
                <w:szCs w:val="24"/>
                <w:vertAlign w:val="baseline"/>
                <w:lang w:val="en-US" w:eastAsia="zh-CN" w:bidi="ar-SA"/>
              </w:rPr>
              <w:t>5924</w:t>
            </w:r>
          </w:p>
        </w:tc>
        <w:tc>
          <w:tcPr>
            <w:tcW w:w="1183"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6B5863D2">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heme="minorEastAsia" w:hAnsiTheme="minorEastAsia" w:eastAsiaTheme="minorEastAsia" w:cstheme="minorEastAsia"/>
                <w:b w:val="0"/>
                <w:bCs w:val="0"/>
                <w:color w:val="000000"/>
                <w:spacing w:val="0"/>
                <w:kern w:val="2"/>
                <w:sz w:val="24"/>
                <w:szCs w:val="24"/>
                <w:vertAlign w:val="baseline"/>
                <w:lang w:val="en-US" w:eastAsia="zh-CN" w:bidi="ar-SA"/>
              </w:rPr>
            </w:pPr>
            <w:r>
              <w:rPr>
                <w:rFonts w:hint="eastAsia" w:asciiTheme="minorEastAsia" w:hAnsiTheme="minorEastAsia" w:eastAsiaTheme="minorEastAsia" w:cstheme="minorEastAsia"/>
                <w:b w:val="0"/>
                <w:bCs w:val="0"/>
                <w:color w:val="000000"/>
                <w:spacing w:val="0"/>
                <w:kern w:val="2"/>
                <w:sz w:val="24"/>
                <w:szCs w:val="24"/>
                <w:vertAlign w:val="baseline"/>
                <w:lang w:val="en-US" w:eastAsia="zh-CN" w:bidi="ar-SA"/>
              </w:rPr>
              <w:t>3683</w:t>
            </w:r>
          </w:p>
        </w:tc>
        <w:tc>
          <w:tcPr>
            <w:tcW w:w="1212"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55C488D1">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heme="minorEastAsia" w:hAnsiTheme="minorEastAsia" w:eastAsiaTheme="minorEastAsia" w:cstheme="minorEastAsia"/>
                <w:b w:val="0"/>
                <w:bCs w:val="0"/>
                <w:color w:val="000000"/>
                <w:spacing w:val="0"/>
                <w:kern w:val="2"/>
                <w:sz w:val="24"/>
                <w:szCs w:val="24"/>
                <w:vertAlign w:val="baseline"/>
                <w:lang w:val="en-US" w:eastAsia="zh-CN" w:bidi="ar-SA"/>
              </w:rPr>
            </w:pPr>
            <w:r>
              <w:rPr>
                <w:rFonts w:hint="eastAsia" w:asciiTheme="minorEastAsia" w:hAnsiTheme="minorEastAsia" w:eastAsiaTheme="minorEastAsia" w:cstheme="minorEastAsia"/>
                <w:b w:val="0"/>
                <w:bCs w:val="0"/>
                <w:color w:val="000000"/>
                <w:spacing w:val="0"/>
                <w:kern w:val="2"/>
                <w:sz w:val="24"/>
                <w:szCs w:val="24"/>
                <w:vertAlign w:val="baseline"/>
                <w:lang w:val="en-US" w:eastAsia="zh-CN" w:bidi="ar-SA"/>
              </w:rPr>
              <w:t>5826</w:t>
            </w:r>
          </w:p>
        </w:tc>
        <w:tc>
          <w:tcPr>
            <w:tcW w:w="1200"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3225890B">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heme="minorEastAsia" w:hAnsiTheme="minorEastAsia" w:eastAsiaTheme="minorEastAsia" w:cstheme="minorEastAsia"/>
                <w:b w:val="0"/>
                <w:bCs w:val="0"/>
                <w:color w:val="000000"/>
                <w:spacing w:val="0"/>
                <w:kern w:val="2"/>
                <w:sz w:val="24"/>
                <w:szCs w:val="24"/>
                <w:vertAlign w:val="baseline"/>
                <w:lang w:val="en-US" w:eastAsia="zh-CN" w:bidi="ar-SA"/>
              </w:rPr>
            </w:pPr>
            <w:r>
              <w:rPr>
                <w:rFonts w:hint="eastAsia" w:asciiTheme="minorEastAsia" w:hAnsiTheme="minorEastAsia" w:eastAsiaTheme="minorEastAsia" w:cstheme="minorEastAsia"/>
                <w:b w:val="0"/>
                <w:bCs w:val="0"/>
                <w:color w:val="000000"/>
                <w:spacing w:val="0"/>
                <w:kern w:val="2"/>
                <w:sz w:val="24"/>
                <w:szCs w:val="24"/>
                <w:vertAlign w:val="baseline"/>
                <w:lang w:val="en-US" w:eastAsia="zh-CN" w:bidi="ar-SA"/>
              </w:rPr>
              <w:t>4229</w:t>
            </w:r>
          </w:p>
        </w:tc>
        <w:tc>
          <w:tcPr>
            <w:tcW w:w="873"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7B032DAF">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heme="minorEastAsia" w:hAnsiTheme="minorEastAsia" w:eastAsiaTheme="minorEastAsia" w:cstheme="minorEastAsia"/>
                <w:b w:val="0"/>
                <w:bCs w:val="0"/>
                <w:color w:val="000000"/>
                <w:spacing w:val="0"/>
                <w:kern w:val="2"/>
                <w:sz w:val="24"/>
                <w:szCs w:val="24"/>
                <w:vertAlign w:val="baseline"/>
                <w:lang w:val="en-US" w:eastAsia="zh-CN" w:bidi="ar-SA"/>
              </w:rPr>
            </w:pPr>
            <w:r>
              <w:rPr>
                <w:rFonts w:hint="eastAsia" w:asciiTheme="minorEastAsia" w:hAnsiTheme="minorEastAsia" w:eastAsiaTheme="minorEastAsia" w:cstheme="minorEastAsia"/>
                <w:b w:val="0"/>
                <w:bCs w:val="0"/>
                <w:color w:val="000000"/>
                <w:spacing w:val="0"/>
                <w:kern w:val="2"/>
                <w:sz w:val="24"/>
                <w:szCs w:val="24"/>
                <w:vertAlign w:val="baseline"/>
                <w:lang w:val="en-US" w:eastAsia="zh-CN" w:bidi="ar-SA"/>
              </w:rPr>
              <w:t>2169</w:t>
            </w:r>
          </w:p>
        </w:tc>
      </w:tr>
    </w:tbl>
    <w:p w14:paraId="4392D139">
      <w:pPr>
        <w:keepNext w:val="0"/>
        <w:keepLines w:val="0"/>
        <w:pageBreakBefore w:val="0"/>
        <w:widowControl w:val="0"/>
        <w:kinsoku/>
        <w:wordWrap/>
        <w:overflowPunct/>
        <w:topLinePunct w:val="0"/>
        <w:autoSpaceDE/>
        <w:autoSpaceDN/>
        <w:bidi w:val="0"/>
        <w:adjustRightInd/>
        <w:snapToGrid/>
        <w:spacing w:after="157" w:afterLines="50"/>
        <w:jc w:val="center"/>
        <w:textAlignment w:val="auto"/>
      </w:pPr>
    </w:p>
    <w:p w14:paraId="011262A7">
      <w:pPr>
        <w:keepNext w:val="0"/>
        <w:keepLines w:val="0"/>
        <w:pageBreakBefore w:val="0"/>
        <w:widowControl w:val="0"/>
        <w:kinsoku/>
        <w:wordWrap/>
        <w:overflowPunct/>
        <w:topLinePunct w:val="0"/>
        <w:autoSpaceDE/>
        <w:autoSpaceDN/>
        <w:bidi w:val="0"/>
        <w:adjustRightInd/>
        <w:snapToGrid/>
        <w:spacing w:after="157" w:afterLines="50"/>
        <w:jc w:val="center"/>
        <w:textAlignment w:val="auto"/>
      </w:pPr>
      <w:r>
        <w:drawing>
          <wp:inline distT="0" distB="0" distL="114300" distR="114300">
            <wp:extent cx="4368165" cy="2204085"/>
            <wp:effectExtent l="5080" t="4445" r="8255" b="20320"/>
            <wp:docPr id="38" name="图表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6687026">
      <w:pPr>
        <w:pStyle w:val="29"/>
        <w:bidi w:val="0"/>
        <w:rPr>
          <w:rFonts w:hint="eastAsia"/>
          <w:lang w:val="en-US" w:eastAsia="zh-CN"/>
        </w:rPr>
      </w:pPr>
      <w:bookmarkStart w:id="179" w:name="_Toc19544"/>
      <w:r>
        <w:rPr>
          <w:rFonts w:hint="default"/>
          <w:lang w:val="en-US" w:eastAsia="zh-CN"/>
        </w:rPr>
        <w:t>数据分析</w:t>
      </w:r>
      <w:r>
        <w:rPr>
          <w:rFonts w:hint="eastAsia"/>
          <w:lang w:val="en-US" w:eastAsia="zh-CN"/>
        </w:rPr>
        <w:t>图10</w:t>
      </w:r>
      <w:r>
        <w:rPr>
          <w:rFonts w:hint="default"/>
          <w:lang w:val="en-US" w:eastAsia="zh-CN"/>
        </w:rPr>
        <w:t>：202</w:t>
      </w:r>
      <w:r>
        <w:rPr>
          <w:rFonts w:hint="eastAsia"/>
          <w:lang w:val="en-US" w:eastAsia="zh-CN"/>
        </w:rPr>
        <w:t>4</w:t>
      </w:r>
      <w:r>
        <w:rPr>
          <w:rFonts w:hint="default"/>
          <w:lang w:val="en-US" w:eastAsia="zh-CN"/>
        </w:rPr>
        <w:t>年“技能成才强国有我”系列活动开展情况统计</w:t>
      </w:r>
      <w:r>
        <w:rPr>
          <w:rFonts w:hint="eastAsia"/>
          <w:lang w:val="en-US" w:eastAsia="zh-CN"/>
        </w:rPr>
        <w:t>图</w:t>
      </w:r>
      <w:bookmarkEnd w:id="179"/>
    </w:p>
    <w:p w14:paraId="05DC3C32">
      <w:pPr>
        <w:pStyle w:val="5"/>
        <w:keepNext/>
        <w:keepLines/>
        <w:pageBreakBefore w:val="0"/>
        <w:widowControl w:val="0"/>
        <w:kinsoku/>
        <w:wordWrap/>
        <w:overflowPunct/>
        <w:topLinePunct w:val="0"/>
        <w:autoSpaceDE/>
        <w:autoSpaceDN/>
        <w:bidi w:val="0"/>
        <w:adjustRightInd/>
        <w:snapToGrid/>
        <w:ind w:left="0" w:leftChars="0" w:firstLine="0" w:firstLineChars="0"/>
        <w:jc w:val="left"/>
        <w:textAlignment w:val="auto"/>
        <w:outlineLvl w:val="2"/>
        <w:rPr>
          <w:rFonts w:hint="eastAsia" w:ascii="楷体" w:hAnsi="楷体" w:eastAsia="楷体" w:cs="楷体"/>
          <w:b/>
          <w:lang w:val="en-US" w:eastAsia="zh-CN"/>
        </w:rPr>
      </w:pPr>
      <w:bookmarkStart w:id="180" w:name="_Toc20327"/>
      <w:bookmarkStart w:id="181" w:name="_Toc32055"/>
      <w:r>
        <w:rPr>
          <w:rFonts w:hint="eastAsia" w:ascii="楷体" w:hAnsi="楷体" w:eastAsia="楷体" w:cs="楷体"/>
          <w:b/>
          <w:lang w:val="en-US" w:eastAsia="zh-CN"/>
        </w:rPr>
        <w:t>典型案例 8：</w:t>
      </w:r>
      <w:bookmarkEnd w:id="180"/>
      <w:bookmarkEnd w:id="181"/>
    </w:p>
    <w:p w14:paraId="37442FFA">
      <w:pPr>
        <w:pStyle w:val="5"/>
        <w:keepNext/>
        <w:keepLines/>
        <w:pageBreakBefore w:val="0"/>
        <w:widowControl w:val="0"/>
        <w:kinsoku/>
        <w:wordWrap/>
        <w:overflowPunct/>
        <w:topLinePunct w:val="0"/>
        <w:autoSpaceDE/>
        <w:autoSpaceDN/>
        <w:bidi w:val="0"/>
        <w:adjustRightInd/>
        <w:snapToGrid/>
        <w:ind w:left="0" w:leftChars="0" w:firstLine="0" w:firstLineChars="0"/>
        <w:textAlignment w:val="auto"/>
        <w:rPr>
          <w:rFonts w:hint="eastAsia" w:ascii="Arial" w:hAnsi="Arial"/>
          <w:b/>
          <w:lang w:val="en-US" w:eastAsia="zh-CN"/>
        </w:rPr>
      </w:pPr>
      <w:bookmarkStart w:id="182" w:name="_Toc1814850759_WPSOffice_Level3"/>
      <w:bookmarkStart w:id="183" w:name="_Toc26198"/>
      <w:r>
        <w:rPr>
          <w:rFonts w:hint="eastAsia" w:ascii="Arial" w:hAnsi="Arial"/>
          <w:b/>
          <w:lang w:val="en-US" w:eastAsia="zh-CN"/>
        </w:rPr>
        <w:t>弘扬雷锋精神，传承红色基因</w:t>
      </w:r>
      <w:bookmarkEnd w:id="182"/>
      <w:bookmarkEnd w:id="183"/>
    </w:p>
    <w:p w14:paraId="380826D1">
      <w:pPr>
        <w:keepNext w:val="0"/>
        <w:keepLines w:val="0"/>
        <w:pageBreakBefore w:val="0"/>
        <w:widowControl/>
        <w:suppressLineNumbers w:val="0"/>
        <w:kinsoku/>
        <w:wordWrap/>
        <w:overflowPunct/>
        <w:topLinePunct w:val="0"/>
        <w:autoSpaceDE/>
        <w:autoSpaceDN/>
        <w:bidi w:val="0"/>
        <w:adjustRightInd/>
        <w:snapToGrid/>
        <w:jc w:val="right"/>
        <w:textAlignment w:val="auto"/>
        <w:rPr>
          <w:rFonts w:hint="eastAsia" w:ascii="楷体" w:hAnsi="楷体" w:eastAsia="楷体" w:cs="楷体"/>
          <w:color w:val="000000"/>
          <w:kern w:val="0"/>
          <w:sz w:val="24"/>
          <w:szCs w:val="24"/>
          <w:lang w:val="en-US" w:eastAsia="zh-CN" w:bidi="ar"/>
        </w:rPr>
      </w:pPr>
      <w:r>
        <w:rPr>
          <w:rFonts w:hint="eastAsia" w:ascii="楷体" w:hAnsi="楷体" w:eastAsia="楷体" w:cs="楷体"/>
          <w:color w:val="000000"/>
          <w:kern w:val="0"/>
          <w:sz w:val="30"/>
          <w:szCs w:val="30"/>
          <w:lang w:val="en-US" w:eastAsia="zh-CN" w:bidi="ar"/>
        </w:rPr>
        <w:t xml:space="preserve">——建平县职教中心典型案例 </w:t>
      </w:r>
    </w:p>
    <w:p w14:paraId="1CB10EC9">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kern w:val="2"/>
          <w:sz w:val="32"/>
          <w:szCs w:val="36"/>
          <w:lang w:val="en-US" w:eastAsia="zh-CN" w:bidi="ar-SA"/>
        </w:rPr>
      </w:pPr>
      <w:r>
        <w:rPr>
          <w:rFonts w:hint="eastAsia" w:ascii="仿宋_GB2312" w:hAnsi="仿宋_GB2312" w:eastAsia="仿宋_GB2312" w:cs="仿宋_GB2312"/>
          <w:b/>
          <w:bCs/>
          <w:kern w:val="2"/>
          <w:sz w:val="32"/>
          <w:szCs w:val="36"/>
          <w:lang w:val="en-US" w:eastAsia="zh-CN" w:bidi="ar-SA"/>
        </w:rPr>
        <w:t>背景：</w:t>
      </w:r>
      <w:r>
        <w:rPr>
          <w:rFonts w:hint="eastAsia" w:ascii="仿宋_GB2312" w:hAnsi="仿宋_GB2312" w:eastAsia="仿宋_GB2312" w:cs="仿宋_GB2312"/>
          <w:b w:val="0"/>
          <w:bCs w:val="0"/>
          <w:kern w:val="2"/>
          <w:sz w:val="32"/>
          <w:szCs w:val="36"/>
          <w:lang w:val="en-US" w:eastAsia="zh-CN" w:bidi="ar-SA"/>
        </w:rPr>
        <w:t>建平县职业教育中心深入贯彻落实立德树人根本任务，致力于培养德技双馨新时代实用型技能人才，更好造福家乡，服务社会市县经济发展和乡村振兴。</w:t>
      </w:r>
    </w:p>
    <w:p w14:paraId="5259843C">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kern w:val="2"/>
          <w:sz w:val="32"/>
          <w:szCs w:val="36"/>
          <w:lang w:val="en-US" w:eastAsia="zh-CN" w:bidi="ar-SA"/>
        </w:rPr>
      </w:pPr>
      <w:r>
        <w:rPr>
          <w:rFonts w:hint="eastAsia" w:ascii="仿宋_GB2312" w:hAnsi="仿宋_GB2312" w:eastAsia="仿宋_GB2312" w:cs="仿宋_GB2312"/>
          <w:b/>
          <w:bCs/>
          <w:kern w:val="2"/>
          <w:sz w:val="32"/>
          <w:szCs w:val="36"/>
          <w:lang w:val="en-US" w:eastAsia="zh-CN" w:bidi="ar-SA"/>
        </w:rPr>
        <w:t>过程与方法：</w:t>
      </w:r>
      <w:r>
        <w:rPr>
          <w:rFonts w:hint="eastAsia" w:ascii="仿宋_GB2312" w:hAnsi="仿宋_GB2312" w:eastAsia="仿宋_GB2312" w:cs="仿宋_GB2312"/>
          <w:b w:val="0"/>
          <w:bCs w:val="0"/>
          <w:kern w:val="2"/>
          <w:sz w:val="32"/>
          <w:szCs w:val="36"/>
          <w:lang w:val="en-US" w:eastAsia="zh-CN" w:bidi="ar-SA"/>
        </w:rPr>
        <w:t>作为中国学雷锋教育基地，建平县职教中心在建校40周年之际，深挖雷锋精神内涵外延，集中全校师生智慧，在南校区建设建成了雷锋精神广场。广场由沈阳景艺设计工程有限公司整体设计，学校内部专门团队和本地高资质广告公司实施。雷锋精神广场包括雷锋主题广场、文化艺术景墙、雷锋雕塑、文化艺术廊架、交流坐凳、文化地雕等主要板块，内容涵盖雷锋</w:t>
      </w:r>
      <w:r>
        <w:rPr>
          <w:rFonts w:hint="eastAsia" w:ascii="仿宋_GB2312" w:hAnsi="仿宋_GB2312" w:eastAsia="仿宋_GB2312" w:cs="仿宋_GB2312"/>
          <w:b w:val="0"/>
          <w:bCs w:val="0"/>
          <w:spacing w:val="-6"/>
          <w:kern w:val="2"/>
          <w:sz w:val="32"/>
          <w:szCs w:val="36"/>
          <w:lang w:val="en-US" w:eastAsia="zh-CN" w:bidi="ar-SA"/>
        </w:rPr>
        <w:t xml:space="preserve">精神简介，主题雕塑雷锋雕像，包括雷锋光辉一生、永恒精神、永远传承、学习雷锋好榜样歌曲等篇章在内的七面文化墙，学雷锋活动和教育系列图片，倡导、传承、弘扬、实践、十大英模、戍边英雄、当代雷锋等四方立柱以及师生学雷锋典型事迹等。学校定期组织学生参观雷锋精神主题广场，并开展雷锋精神交流学习活动。 </w:t>
      </w:r>
    </w:p>
    <w:p w14:paraId="48E0DF84">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eastAsia="仿宋_GB2312" w:hAnsiTheme="minorHAnsi" w:cstheme="minorBidi"/>
          <w:b w:val="0"/>
          <w:bCs w:val="0"/>
          <w:kern w:val="2"/>
          <w:sz w:val="32"/>
          <w:szCs w:val="36"/>
          <w:lang w:val="en-US" w:eastAsia="zh-CN" w:bidi="ar-SA"/>
        </w:rPr>
      </w:pPr>
      <w:r>
        <w:rPr>
          <w:rFonts w:hint="eastAsia" w:ascii="仿宋_GB2312" w:hAnsi="仿宋_GB2312" w:eastAsia="仿宋_GB2312" w:cs="仿宋_GB2312"/>
          <w:b/>
          <w:bCs/>
          <w:kern w:val="2"/>
          <w:sz w:val="32"/>
          <w:szCs w:val="36"/>
          <w:lang w:val="en-US" w:eastAsia="zh-CN" w:bidi="ar-SA"/>
        </w:rPr>
        <w:t>成效：</w:t>
      </w:r>
      <w:r>
        <w:rPr>
          <w:rFonts w:hint="eastAsia" w:ascii="仿宋_GB2312" w:hAnsi="仿宋_GB2312" w:eastAsia="仿宋_GB2312" w:cs="仿宋_GB2312"/>
          <w:b w:val="0"/>
          <w:bCs w:val="0"/>
          <w:kern w:val="2"/>
          <w:sz w:val="32"/>
          <w:szCs w:val="36"/>
          <w:lang w:val="en-US" w:eastAsia="zh-CN" w:bidi="ar-SA"/>
        </w:rPr>
        <w:t>雷锋精神广场成为师生德育工作的生动载体和校园的亮丽景观，在雷锋精神的熏染和鼓舞下，全校教师倾心职教事业的热情更加高涨，学生德技双修的意识进一步增强。</w:t>
      </w:r>
    </w:p>
    <w:p w14:paraId="064475F4">
      <w:pPr>
        <w:pStyle w:val="2"/>
        <w:bidi w:val="0"/>
        <w:rPr>
          <w:rFonts w:hint="eastAsia" w:ascii="楷体" w:hAnsi="楷体" w:eastAsia="楷体" w:cs="楷体"/>
          <w:sz w:val="32"/>
          <w:szCs w:val="32"/>
          <w:lang w:val="en-US" w:eastAsia="zh-CN"/>
        </w:rPr>
      </w:pPr>
      <w:bookmarkStart w:id="184" w:name="_Toc11100"/>
      <w:r>
        <w:rPr>
          <w:rFonts w:hint="eastAsia" w:ascii="楷体" w:hAnsi="楷体" w:eastAsia="楷体" w:cs="楷体"/>
          <w:b/>
          <w:bCs w:val="0"/>
          <w:sz w:val="32"/>
          <w:szCs w:val="32"/>
          <w:lang w:val="en-US" w:eastAsia="zh-CN"/>
        </w:rPr>
        <w:t>4.2传承红色基因</w:t>
      </w:r>
      <w:bookmarkEnd w:id="184"/>
    </w:p>
    <w:p w14:paraId="2141E2B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eastAsia="仿宋_GB2312" w:hAnsiTheme="minorHAnsi" w:cstheme="minorBidi"/>
          <w:b w:val="0"/>
          <w:bCs w:val="0"/>
          <w:kern w:val="2"/>
          <w:sz w:val="32"/>
          <w:szCs w:val="36"/>
          <w:lang w:val="en-US" w:eastAsia="zh-CN" w:bidi="ar-SA"/>
        </w:rPr>
      </w:pPr>
      <w:r>
        <w:rPr>
          <w:rFonts w:hint="eastAsia" w:ascii="仿宋_GB2312" w:eastAsia="仿宋_GB2312" w:hAnsiTheme="minorHAnsi" w:cstheme="minorBidi"/>
          <w:b w:val="0"/>
          <w:bCs w:val="0"/>
          <w:kern w:val="2"/>
          <w:sz w:val="32"/>
          <w:szCs w:val="36"/>
          <w:lang w:val="en-US" w:eastAsia="zh-CN" w:bidi="ar-SA"/>
        </w:rPr>
        <w:t>充分发挥课堂教学主阵地的核心作用，强化学生唯物史观，通过开展各种德育活动，文体活动及社会实践活动，了解社会主义发展史、党史、新中国史、改革开放发展史，感受中国传统文化的博大精深。</w:t>
      </w:r>
      <w:r>
        <w:rPr>
          <w:rFonts w:hint="eastAsia" w:ascii="仿宋_GB2312" w:eastAsia="仿宋_GB2312" w:cstheme="minorBidi"/>
          <w:b w:val="0"/>
          <w:bCs w:val="0"/>
          <w:kern w:val="2"/>
          <w:sz w:val="32"/>
          <w:szCs w:val="36"/>
          <w:lang w:val="en-US" w:eastAsia="zh-CN" w:bidi="ar-SA"/>
        </w:rPr>
        <w:t>引导各校</w:t>
      </w:r>
      <w:r>
        <w:rPr>
          <w:rFonts w:hint="eastAsia" w:ascii="仿宋_GB2312" w:eastAsia="仿宋_GB2312" w:hAnsiTheme="minorHAnsi" w:cstheme="minorBidi"/>
          <w:b w:val="0"/>
          <w:bCs w:val="0"/>
          <w:kern w:val="2"/>
          <w:sz w:val="32"/>
          <w:szCs w:val="36"/>
          <w:lang w:val="en-US" w:eastAsia="zh-CN" w:bidi="ar-SA"/>
        </w:rPr>
        <w:t>在课堂教学和日常生活中适时地融入红色主题教育组织开展“缅怀革命先烈 传承红色基因”清明节主题系列活动、“讲英雄故事，抒爱国情怀”主题宣讲活动、参观革命烈士纪念馆研学活动</w:t>
      </w:r>
      <w:r>
        <w:rPr>
          <w:rFonts w:hint="eastAsia" w:ascii="仿宋_GB2312" w:eastAsia="仿宋_GB2312" w:cstheme="minorBidi"/>
          <w:b w:val="0"/>
          <w:bCs w:val="0"/>
          <w:kern w:val="2"/>
          <w:sz w:val="32"/>
          <w:szCs w:val="36"/>
          <w:lang w:val="en-US" w:eastAsia="zh-CN" w:bidi="ar-SA"/>
        </w:rPr>
        <w:t>等</w:t>
      </w:r>
      <w:r>
        <w:rPr>
          <w:rFonts w:hint="eastAsia" w:ascii="仿宋_GB2312" w:eastAsia="仿宋_GB2312" w:hAnsiTheme="minorHAnsi" w:cstheme="minorBidi"/>
          <w:b w:val="0"/>
          <w:bCs w:val="0"/>
          <w:kern w:val="2"/>
          <w:sz w:val="32"/>
          <w:szCs w:val="36"/>
          <w:lang w:val="en-US" w:eastAsia="zh-CN" w:bidi="ar-SA"/>
        </w:rPr>
        <w:t>，以多种形式培养学生的爱国主义情怀</w:t>
      </w:r>
      <w:r>
        <w:rPr>
          <w:rFonts w:hint="eastAsia" w:ascii="仿宋_GB2312" w:eastAsia="仿宋_GB2312" w:cstheme="minorBidi"/>
          <w:b w:val="0"/>
          <w:bCs w:val="0"/>
          <w:kern w:val="2"/>
          <w:sz w:val="32"/>
          <w:szCs w:val="36"/>
          <w:lang w:val="en-US" w:eastAsia="zh-CN" w:bidi="ar-SA"/>
        </w:rPr>
        <w:t>，</w:t>
      </w:r>
      <w:r>
        <w:rPr>
          <w:rFonts w:hint="eastAsia" w:ascii="仿宋_GB2312" w:eastAsia="仿宋_GB2312" w:hAnsiTheme="minorHAnsi" w:cstheme="minorBidi"/>
          <w:b w:val="0"/>
          <w:bCs w:val="0"/>
          <w:kern w:val="2"/>
          <w:sz w:val="32"/>
          <w:szCs w:val="36"/>
          <w:lang w:val="en-US" w:eastAsia="zh-CN" w:bidi="ar-SA"/>
        </w:rPr>
        <w:t xml:space="preserve">激发学生爱党爱国爱家的情感，树立为党和人民建功立业的理想和目标。使新时代青年学生树立起责任感和使命感。 </w:t>
      </w:r>
    </w:p>
    <w:p w14:paraId="5F4A6DBC">
      <w:pPr>
        <w:jc w:val="center"/>
        <w:rPr>
          <w:rFonts w:hint="eastAsia"/>
          <w:lang w:val="en-US" w:eastAsia="zh-CN"/>
        </w:rPr>
      </w:pPr>
      <w:r>
        <w:rPr>
          <w:rFonts w:hint="eastAsia"/>
          <w:lang w:val="en-US" w:eastAsia="zh-CN"/>
        </w:rPr>
        <w:drawing>
          <wp:inline distT="0" distB="0" distL="114300" distR="114300">
            <wp:extent cx="5114290" cy="2766695"/>
            <wp:effectExtent l="0" t="0" r="10160" b="14605"/>
            <wp:docPr id="90" name="图片 90" descr="C:\Users\ASUS\Desktop\扫墓.png扫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C:\Users\ASUS\Desktop\扫墓.png扫墓"/>
                    <pic:cNvPicPr>
                      <a:picLocks noChangeAspect="1"/>
                    </pic:cNvPicPr>
                  </pic:nvPicPr>
                  <pic:blipFill>
                    <a:blip r:embed="rId42"/>
                    <a:srcRect/>
                    <a:stretch>
                      <a:fillRect/>
                    </a:stretch>
                  </pic:blipFill>
                  <pic:spPr>
                    <a:xfrm>
                      <a:off x="0" y="0"/>
                      <a:ext cx="5114290" cy="2766695"/>
                    </a:xfrm>
                    <a:prstGeom prst="rect">
                      <a:avLst/>
                    </a:prstGeom>
                  </pic:spPr>
                </pic:pic>
              </a:graphicData>
            </a:graphic>
          </wp:inline>
        </w:drawing>
      </w:r>
    </w:p>
    <w:p w14:paraId="473EADC5">
      <w:pPr>
        <w:pStyle w:val="14"/>
        <w:bidi w:val="0"/>
        <w:jc w:val="center"/>
        <w:rPr>
          <w:rFonts w:hint="eastAsia"/>
          <w:lang w:val="en-US" w:eastAsia="zh-CN"/>
        </w:rPr>
      </w:pPr>
      <w:bookmarkStart w:id="185" w:name="_Toc10053"/>
      <w:bookmarkStart w:id="186" w:name="_Toc27954"/>
      <w:bookmarkStart w:id="187" w:name="_Toc26785"/>
      <w:bookmarkStart w:id="188" w:name="_Toc21060"/>
      <w:r>
        <w:rPr>
          <w:rFonts w:hint="eastAsia"/>
          <w:lang w:val="en-US" w:eastAsia="zh-CN"/>
        </w:rPr>
        <w:t>图23：烈士陵园扫墓（来源：朝阳市卫生学校）</w:t>
      </w:r>
      <w:bookmarkEnd w:id="185"/>
      <w:bookmarkEnd w:id="186"/>
      <w:bookmarkEnd w:id="187"/>
      <w:bookmarkEnd w:id="188"/>
    </w:p>
    <w:p w14:paraId="532D0464">
      <w:pPr>
        <w:pStyle w:val="15"/>
        <w:keepNext w:val="0"/>
        <w:keepLines w:val="0"/>
        <w:pageBreakBefore w:val="0"/>
        <w:widowControl w:val="0"/>
        <w:kinsoku/>
        <w:wordWrap/>
        <w:overflowPunct/>
        <w:topLinePunct w:val="0"/>
        <w:autoSpaceDE/>
        <w:autoSpaceDN/>
        <w:bidi w:val="0"/>
        <w:adjustRightInd/>
        <w:snapToGrid/>
        <w:ind w:left="0" w:leftChars="0"/>
        <w:jc w:val="center"/>
        <w:textAlignment w:val="auto"/>
        <w:rPr>
          <w:rFonts w:hint="eastAsia" w:ascii="仿宋_GB2312" w:eastAsia="仿宋_GB2312" w:hAnsiTheme="minorHAnsi" w:cstheme="minorBidi"/>
          <w:b w:val="0"/>
          <w:bCs w:val="0"/>
          <w:kern w:val="2"/>
          <w:sz w:val="32"/>
          <w:szCs w:val="36"/>
          <w:lang w:val="en-US" w:eastAsia="zh-CN" w:bidi="ar-SA"/>
        </w:rPr>
      </w:pPr>
      <w:r>
        <w:rPr>
          <w:rFonts w:hint="eastAsia" w:ascii="仿宋_GB2312" w:eastAsia="仿宋_GB2312" w:hAnsiTheme="minorHAnsi" w:cstheme="minorBidi"/>
          <w:b w:val="0"/>
          <w:bCs w:val="0"/>
          <w:kern w:val="2"/>
          <w:sz w:val="32"/>
          <w:szCs w:val="36"/>
          <w:lang w:val="en-US" w:eastAsia="zh-CN" w:bidi="ar-SA"/>
        </w:rPr>
        <w:drawing>
          <wp:inline distT="0" distB="0" distL="114300" distR="114300">
            <wp:extent cx="5135245" cy="2564130"/>
            <wp:effectExtent l="0" t="0" r="8255" b="7620"/>
            <wp:docPr id="29" name="图片 29" descr="板报"/>
            <wp:cNvGraphicFramePr/>
            <a:graphic xmlns:a="http://schemas.openxmlformats.org/drawingml/2006/main">
              <a:graphicData uri="http://schemas.openxmlformats.org/drawingml/2006/picture">
                <pic:pic xmlns:pic="http://schemas.openxmlformats.org/drawingml/2006/picture">
                  <pic:nvPicPr>
                    <pic:cNvPr id="29" name="图片 29" descr="板报"/>
                    <pic:cNvPicPr/>
                  </pic:nvPicPr>
                  <pic:blipFill>
                    <a:blip r:embed="rId43"/>
                    <a:srcRect l="3711" r="4716" b="18811"/>
                    <a:stretch>
                      <a:fillRect/>
                    </a:stretch>
                  </pic:blipFill>
                  <pic:spPr>
                    <a:xfrm>
                      <a:off x="0" y="0"/>
                      <a:ext cx="5135245" cy="2564130"/>
                    </a:xfrm>
                    <a:prstGeom prst="rect">
                      <a:avLst/>
                    </a:prstGeom>
                  </pic:spPr>
                </pic:pic>
              </a:graphicData>
            </a:graphic>
          </wp:inline>
        </w:drawing>
      </w:r>
    </w:p>
    <w:p w14:paraId="2AD62E66">
      <w:pPr>
        <w:pStyle w:val="14"/>
        <w:bidi w:val="0"/>
        <w:jc w:val="center"/>
        <w:rPr>
          <w:rFonts w:hint="eastAsia"/>
          <w:lang w:val="en-US" w:eastAsia="zh-CN"/>
        </w:rPr>
      </w:pPr>
      <w:bookmarkStart w:id="189" w:name="_Toc17597"/>
      <w:bookmarkStart w:id="190" w:name="_Toc15662"/>
      <w:bookmarkStart w:id="191" w:name="_Toc4090"/>
      <w:bookmarkStart w:id="192" w:name="_Toc3409"/>
      <w:r>
        <w:rPr>
          <w:rFonts w:hint="eastAsia"/>
          <w:lang w:val="en-US" w:eastAsia="zh-CN"/>
        </w:rPr>
        <w:t>图24：绘制“缅怀先烈、致敬英雄”主题黑板报（来源：朝阳市卫生学校）</w:t>
      </w:r>
      <w:bookmarkEnd w:id="189"/>
      <w:bookmarkEnd w:id="190"/>
      <w:bookmarkEnd w:id="191"/>
      <w:bookmarkEnd w:id="192"/>
    </w:p>
    <w:p w14:paraId="4E347FF2">
      <w:pPr>
        <w:pStyle w:val="5"/>
        <w:keepNext/>
        <w:keepLines/>
        <w:pageBreakBefore w:val="0"/>
        <w:widowControl w:val="0"/>
        <w:kinsoku/>
        <w:wordWrap/>
        <w:overflowPunct/>
        <w:topLinePunct w:val="0"/>
        <w:autoSpaceDE/>
        <w:autoSpaceDN/>
        <w:bidi w:val="0"/>
        <w:adjustRightInd/>
        <w:snapToGrid/>
        <w:ind w:left="0" w:leftChars="0" w:firstLine="0" w:firstLineChars="0"/>
        <w:jc w:val="left"/>
        <w:textAlignment w:val="auto"/>
        <w:outlineLvl w:val="2"/>
        <w:rPr>
          <w:rFonts w:hint="eastAsia" w:ascii="楷体" w:hAnsi="楷体" w:eastAsia="楷体" w:cs="楷体"/>
          <w:b/>
          <w:lang w:val="en-US" w:eastAsia="zh-CN"/>
        </w:rPr>
      </w:pPr>
      <w:bookmarkStart w:id="193" w:name="_Toc6741"/>
      <w:bookmarkStart w:id="194" w:name="_Toc30153"/>
      <w:r>
        <w:rPr>
          <w:rFonts w:hint="eastAsia" w:ascii="楷体" w:hAnsi="楷体" w:eastAsia="楷体" w:cs="楷体"/>
          <w:b/>
          <w:lang w:val="en-US" w:eastAsia="zh-CN"/>
        </w:rPr>
        <w:t>典型案例9</w:t>
      </w:r>
      <w:bookmarkEnd w:id="193"/>
      <w:bookmarkEnd w:id="194"/>
    </w:p>
    <w:p w14:paraId="10170532">
      <w:pPr>
        <w:pStyle w:val="5"/>
        <w:keepNext/>
        <w:keepLines/>
        <w:pageBreakBefore w:val="0"/>
        <w:widowControl w:val="0"/>
        <w:kinsoku/>
        <w:wordWrap/>
        <w:overflowPunct/>
        <w:topLinePunct w:val="0"/>
        <w:autoSpaceDE/>
        <w:autoSpaceDN/>
        <w:bidi w:val="0"/>
        <w:adjustRightInd/>
        <w:snapToGrid/>
        <w:ind w:left="0" w:leftChars="0" w:firstLine="0" w:firstLineChars="0"/>
        <w:textAlignment w:val="auto"/>
        <w:rPr>
          <w:rFonts w:hint="eastAsia" w:ascii="Arial" w:hAnsi="Arial"/>
          <w:b/>
          <w:lang w:val="en-US" w:eastAsia="zh-CN"/>
        </w:rPr>
      </w:pPr>
      <w:bookmarkStart w:id="195" w:name="_Toc908868569_WPSOffice_Level3"/>
      <w:bookmarkStart w:id="196" w:name="_Toc622"/>
      <w:r>
        <w:rPr>
          <w:rFonts w:hint="eastAsia" w:ascii="Arial" w:hAnsi="Arial"/>
          <w:b/>
          <w:lang w:val="en-US" w:eastAsia="zh-CN"/>
        </w:rPr>
        <w:t>让赵尚志精神绽放时代光芒</w:t>
      </w:r>
      <w:bookmarkEnd w:id="195"/>
      <w:bookmarkEnd w:id="196"/>
    </w:p>
    <w:p w14:paraId="6E015B8A">
      <w:pPr>
        <w:keepNext w:val="0"/>
        <w:keepLines w:val="0"/>
        <w:pageBreakBefore w:val="0"/>
        <w:widowControl/>
        <w:suppressLineNumbers w:val="0"/>
        <w:kinsoku/>
        <w:wordWrap/>
        <w:overflowPunct/>
        <w:topLinePunct w:val="0"/>
        <w:autoSpaceDE/>
        <w:autoSpaceDN/>
        <w:bidi w:val="0"/>
        <w:adjustRightInd/>
        <w:snapToGrid/>
        <w:jc w:val="right"/>
        <w:textAlignment w:val="auto"/>
        <w:rPr>
          <w:rFonts w:hint="eastAsia" w:ascii="楷体" w:hAnsi="楷体" w:eastAsia="楷体" w:cs="楷体"/>
          <w:color w:val="000000"/>
          <w:kern w:val="0"/>
          <w:sz w:val="30"/>
          <w:szCs w:val="30"/>
          <w:lang w:val="en-US" w:eastAsia="zh-CN" w:bidi="ar"/>
        </w:rPr>
      </w:pPr>
      <w:r>
        <w:rPr>
          <w:rFonts w:hint="eastAsia" w:ascii="楷体" w:hAnsi="楷体" w:eastAsia="楷体" w:cs="楷体"/>
          <w:color w:val="000000"/>
          <w:kern w:val="0"/>
          <w:sz w:val="30"/>
          <w:szCs w:val="30"/>
          <w:lang w:val="en-US" w:eastAsia="zh-CN" w:bidi="ar"/>
        </w:rPr>
        <w:t xml:space="preserve">——朝阳市工程技术学校典型案例 </w:t>
      </w:r>
    </w:p>
    <w:p w14:paraId="4DD160D5">
      <w:pPr>
        <w:pStyle w:val="2"/>
        <w:keepNext w:val="0"/>
        <w:keepLines w:val="0"/>
        <w:pageBreakBefore w:val="0"/>
        <w:widowControl/>
        <w:kinsoku/>
        <w:wordWrap/>
        <w:overflowPunct/>
        <w:topLinePunct w:val="0"/>
        <w:autoSpaceDE/>
        <w:autoSpaceDN/>
        <w:bidi w:val="0"/>
        <w:adjustRightInd/>
        <w:snapToGrid/>
        <w:spacing w:line="540" w:lineRule="exact"/>
        <w:textAlignment w:val="auto"/>
        <w:rPr>
          <w:rFonts w:hint="eastAsia" w:ascii="仿宋_GB2312" w:hAnsi="仿宋_GB2312" w:eastAsia="仿宋_GB2312" w:cs="仿宋_GB2312"/>
          <w:sz w:val="32"/>
          <w:szCs w:val="32"/>
          <w:lang w:eastAsia="zh-CN"/>
        </w:rPr>
      </w:pPr>
      <w:bookmarkStart w:id="197" w:name="_Toc18131"/>
      <w:r>
        <w:rPr>
          <w:rFonts w:hint="eastAsia" w:ascii="仿宋_GB2312" w:hAnsi="仿宋_GB2312" w:eastAsia="仿宋_GB2312" w:cs="仿宋_GB2312"/>
          <w:b/>
          <w:bCs/>
          <w:kern w:val="2"/>
          <w:sz w:val="32"/>
          <w:szCs w:val="32"/>
          <w:lang w:val="en-US" w:eastAsia="zh-CN" w:bidi="ar-SA"/>
        </w:rPr>
        <w:t>背景：</w:t>
      </w:r>
      <w:r>
        <w:rPr>
          <w:rFonts w:hint="eastAsia" w:ascii="仿宋_GB2312" w:hAnsi="仿宋_GB2312" w:eastAsia="仿宋_GB2312" w:cs="仿宋_GB2312"/>
          <w:sz w:val="32"/>
          <w:szCs w:val="32"/>
          <w:lang w:val="en-US" w:eastAsia="zh-CN"/>
        </w:rPr>
        <w:t>为进一步</w:t>
      </w:r>
      <w:r>
        <w:rPr>
          <w:rFonts w:hint="eastAsia" w:ascii="仿宋_GB2312" w:hAnsi="仿宋_GB2312" w:eastAsia="仿宋_GB2312" w:cs="仿宋_GB2312"/>
          <w:sz w:val="32"/>
          <w:szCs w:val="32"/>
        </w:rPr>
        <w:t>深度传承与弘扬红色精神</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激发广大师生内心深处对革命先辈的敬仰与缅怀，由辽宁省朝阳市音乐家协会与朝阳工程技术学校共同承办《共产党人赵尚志》原创音乐歌舞史诗演出活动。演出活动</w:t>
      </w:r>
      <w:r>
        <w:rPr>
          <w:rFonts w:hint="eastAsia" w:ascii="仿宋_GB2312" w:hAnsi="仿宋_GB2312" w:eastAsia="仿宋_GB2312" w:cs="仿宋_GB2312"/>
          <w:sz w:val="32"/>
          <w:szCs w:val="32"/>
          <w:lang w:eastAsia="zh-CN"/>
        </w:rPr>
        <w:t>正在</w:t>
      </w:r>
      <w:r>
        <w:rPr>
          <w:rFonts w:hint="eastAsia" w:ascii="仿宋_GB2312" w:hAnsi="仿宋_GB2312" w:eastAsia="仿宋_GB2312" w:cs="仿宋_GB2312"/>
          <w:sz w:val="32"/>
          <w:szCs w:val="32"/>
        </w:rPr>
        <w:t>筹备中</w:t>
      </w:r>
      <w:r>
        <w:rPr>
          <w:rFonts w:hint="eastAsia" w:ascii="仿宋_GB2312" w:hAnsi="仿宋_GB2312" w:eastAsia="仿宋_GB2312" w:cs="仿宋_GB2312"/>
          <w:sz w:val="32"/>
          <w:szCs w:val="32"/>
          <w:lang w:eastAsia="zh-CN"/>
        </w:rPr>
        <w:t>。</w:t>
      </w:r>
      <w:bookmarkEnd w:id="197"/>
    </w:p>
    <w:p w14:paraId="5E6A0F74">
      <w:pPr>
        <w:pStyle w:val="2"/>
        <w:keepNext w:val="0"/>
        <w:keepLines w:val="0"/>
        <w:pageBreakBefore w:val="0"/>
        <w:widowControl/>
        <w:kinsoku/>
        <w:wordWrap/>
        <w:overflowPunct/>
        <w:topLinePunct w:val="0"/>
        <w:autoSpaceDE/>
        <w:autoSpaceDN/>
        <w:bidi w:val="0"/>
        <w:adjustRightInd/>
        <w:snapToGrid/>
        <w:spacing w:line="540" w:lineRule="exact"/>
        <w:textAlignment w:val="auto"/>
        <w:rPr>
          <w:rFonts w:hint="eastAsia" w:ascii="仿宋_GB2312" w:hAnsi="仿宋_GB2312" w:eastAsia="仿宋_GB2312" w:cs="仿宋_GB2312"/>
          <w:sz w:val="32"/>
          <w:szCs w:val="32"/>
        </w:rPr>
      </w:pPr>
      <w:bookmarkStart w:id="198" w:name="_Toc3917"/>
      <w:r>
        <w:rPr>
          <w:rFonts w:hint="eastAsia" w:ascii="仿宋_GB2312" w:hAnsi="仿宋_GB2312" w:eastAsia="仿宋_GB2312" w:cs="仿宋_GB2312"/>
          <w:b/>
          <w:bCs/>
          <w:kern w:val="2"/>
          <w:sz w:val="32"/>
          <w:szCs w:val="32"/>
          <w:lang w:val="en-US" w:eastAsia="zh-CN" w:bidi="ar-SA"/>
        </w:rPr>
        <w:t>过程与方法：</w:t>
      </w:r>
      <w:r>
        <w:rPr>
          <w:rFonts w:hint="eastAsia" w:ascii="仿宋_GB2312" w:hAnsi="仿宋_GB2312" w:eastAsia="仿宋_GB2312" w:cs="仿宋_GB2312"/>
          <w:sz w:val="32"/>
          <w:szCs w:val="32"/>
          <w:lang w:eastAsia="zh-CN"/>
        </w:rPr>
        <w:t>一是学校</w:t>
      </w:r>
      <w:r>
        <w:rPr>
          <w:rFonts w:hint="eastAsia" w:ascii="仿宋_GB2312" w:hAnsi="仿宋_GB2312" w:eastAsia="仿宋_GB2312" w:cs="仿宋_GB2312"/>
          <w:sz w:val="32"/>
          <w:szCs w:val="32"/>
        </w:rPr>
        <w:t>各相关科室认真研读相关文件，严格按照文件要求，紧密结合工作实际，早规划、</w:t>
      </w:r>
      <w:r>
        <w:rPr>
          <w:rFonts w:hint="eastAsia" w:ascii="仿宋_GB2312" w:hAnsi="仿宋_GB2312" w:eastAsia="仿宋_GB2312" w:cs="仿宋_GB2312"/>
          <w:sz w:val="32"/>
          <w:szCs w:val="32"/>
          <w:lang w:eastAsia="zh-CN"/>
        </w:rPr>
        <w:t>早</w:t>
      </w:r>
      <w:r>
        <w:rPr>
          <w:rFonts w:hint="eastAsia" w:ascii="仿宋_GB2312" w:hAnsi="仿宋_GB2312" w:eastAsia="仿宋_GB2312" w:cs="仿宋_GB2312"/>
          <w:sz w:val="32"/>
          <w:szCs w:val="32"/>
        </w:rPr>
        <w:t>安排，确保筹备工作扎实推进。</w:t>
      </w:r>
      <w:r>
        <w:rPr>
          <w:rFonts w:hint="eastAsia" w:ascii="仿宋_GB2312" w:hAnsi="仿宋_GB2312" w:eastAsia="仿宋_GB2312" w:cs="仿宋_GB2312"/>
          <w:sz w:val="32"/>
          <w:szCs w:val="32"/>
          <w:lang w:eastAsia="zh-CN"/>
        </w:rPr>
        <w:t>二是</w:t>
      </w:r>
      <w:r>
        <w:rPr>
          <w:rFonts w:hint="eastAsia" w:ascii="仿宋_GB2312" w:hAnsi="仿宋_GB2312" w:eastAsia="仿宋_GB2312" w:cs="仿宋_GB2312"/>
          <w:sz w:val="32"/>
          <w:szCs w:val="32"/>
        </w:rPr>
        <w:t>筹备组安排曹芳和韩振文两位音乐老师负责学生筛选工作，从全校选拔100名学生参与12个节目的表演，通过严格筛选与精心训练，确保每个节目都能达到较高水准，向观众生动展现共产党人赵尚志的英勇事迹与崇高精神。</w:t>
      </w:r>
      <w:r>
        <w:rPr>
          <w:rFonts w:hint="eastAsia" w:ascii="仿宋_GB2312" w:hAnsi="仿宋_GB2312" w:eastAsia="仿宋_GB2312" w:cs="仿宋_GB2312"/>
          <w:sz w:val="32"/>
          <w:szCs w:val="32"/>
          <w:lang w:eastAsia="zh-CN"/>
        </w:rPr>
        <w:t>三是活动设计多样，</w:t>
      </w:r>
      <w:r>
        <w:rPr>
          <w:rFonts w:hint="eastAsia" w:ascii="仿宋_GB2312" w:hAnsi="仿宋_GB2312" w:eastAsia="仿宋_GB2312" w:cs="仿宋_GB2312"/>
          <w:sz w:val="32"/>
          <w:szCs w:val="32"/>
        </w:rPr>
        <w:t>涵盖大合唱舞蹈、合唱表演、情景表演、东北风表演唱以及红色主题节目等多种艺术形式，力求全方位、多角度地展现赵尚志精神的内涵与时代价值。</w:t>
      </w:r>
      <w:bookmarkEnd w:id="198"/>
    </w:p>
    <w:p w14:paraId="74CFBF57">
      <w:pPr>
        <w:pStyle w:val="2"/>
        <w:keepNext w:val="0"/>
        <w:keepLines w:val="0"/>
        <w:pageBreakBefore w:val="0"/>
        <w:widowControl/>
        <w:kinsoku/>
        <w:wordWrap/>
        <w:overflowPunct/>
        <w:topLinePunct w:val="0"/>
        <w:autoSpaceDE/>
        <w:autoSpaceDN/>
        <w:bidi w:val="0"/>
        <w:adjustRightInd/>
        <w:snapToGrid/>
        <w:spacing w:line="540" w:lineRule="exact"/>
        <w:textAlignment w:val="auto"/>
        <w:rPr>
          <w:rFonts w:hint="eastAsia" w:ascii="仿宋_GB2312" w:hAnsi="仿宋_GB2312" w:eastAsia="仿宋_GB2312" w:cs="仿宋_GB2312"/>
          <w:sz w:val="32"/>
          <w:szCs w:val="32"/>
          <w:lang w:val="en-US" w:eastAsia="zh-CN"/>
        </w:rPr>
      </w:pPr>
      <w:bookmarkStart w:id="199" w:name="_Toc23917"/>
      <w:r>
        <w:rPr>
          <w:rFonts w:hint="eastAsia" w:ascii="仿宋_GB2312" w:hAnsi="仿宋_GB2312" w:eastAsia="仿宋_GB2312" w:cs="仿宋_GB2312"/>
          <w:b/>
          <w:bCs/>
          <w:kern w:val="2"/>
          <w:sz w:val="32"/>
          <w:szCs w:val="32"/>
          <w:lang w:val="en-US" w:eastAsia="zh-CN" w:bidi="ar-SA"/>
        </w:rPr>
        <w:t>成效：</w:t>
      </w:r>
      <w:r>
        <w:rPr>
          <w:rFonts w:hint="eastAsia" w:ascii="仿宋_GB2312" w:hAnsi="仿宋_GB2312" w:eastAsia="仿宋_GB2312" w:cs="仿宋_GB2312"/>
          <w:sz w:val="32"/>
          <w:szCs w:val="32"/>
        </w:rPr>
        <w:t>此次原创音乐歌舞史诗演出不仅是一场艺术的盛会，更是一次红色精神的深度传承与弘扬。</w:t>
      </w:r>
      <w:r>
        <w:rPr>
          <w:rFonts w:hint="eastAsia" w:ascii="仿宋_GB2312" w:hAnsi="仿宋_GB2312" w:eastAsia="仿宋_GB2312" w:cs="仿宋_GB2312"/>
          <w:sz w:val="32"/>
          <w:szCs w:val="32"/>
          <w:lang w:eastAsia="zh-CN"/>
        </w:rPr>
        <w:t>学校将</w:t>
      </w:r>
      <w:r>
        <w:rPr>
          <w:rFonts w:hint="eastAsia" w:ascii="仿宋_GB2312" w:hAnsi="仿宋_GB2312" w:eastAsia="仿宋_GB2312" w:cs="仿宋_GB2312"/>
          <w:sz w:val="32"/>
          <w:szCs w:val="32"/>
        </w:rPr>
        <w:t>通过此次活动，进一步激发广大师生内心深处对革命先辈的敬仰与缅怀，让红色情怀在每一个人心中生根发芽，引领师生们在实现民族复兴的道路上，坚定信念、勇毅前行，用青春与热血续写教育事业的新篇章。</w:t>
      </w:r>
      <w:bookmarkEnd w:id="199"/>
    </w:p>
    <w:p w14:paraId="21E0ED28">
      <w:pPr>
        <w:pStyle w:val="2"/>
        <w:bidi w:val="0"/>
        <w:rPr>
          <w:rFonts w:hint="eastAsia" w:ascii="楷体" w:hAnsi="楷体" w:eastAsia="楷体" w:cs="楷体"/>
          <w:b/>
          <w:bCs w:val="0"/>
          <w:sz w:val="32"/>
          <w:szCs w:val="32"/>
          <w:lang w:val="en-US" w:eastAsia="zh-CN"/>
        </w:rPr>
      </w:pPr>
      <w:bookmarkStart w:id="200" w:name="_Toc2064"/>
      <w:r>
        <w:rPr>
          <w:rFonts w:hint="eastAsia" w:ascii="楷体" w:hAnsi="楷体" w:eastAsia="楷体" w:cs="楷体"/>
          <w:b/>
          <w:bCs w:val="0"/>
          <w:sz w:val="32"/>
          <w:szCs w:val="32"/>
          <w:lang w:val="en-US" w:eastAsia="zh-CN"/>
        </w:rPr>
        <w:t>4.3传承中华优秀传统文化</w:t>
      </w:r>
      <w:bookmarkEnd w:id="200"/>
    </w:p>
    <w:p w14:paraId="52B9E84E">
      <w:pPr>
        <w:keepNext w:val="0"/>
        <w:keepLines w:val="0"/>
        <w:pageBreakBefore w:val="0"/>
        <w:widowControl w:val="0"/>
        <w:kinsoku/>
        <w:wordWrap/>
        <w:overflowPunct/>
        <w:topLinePunct w:val="0"/>
        <w:autoSpaceDE/>
        <w:autoSpaceDN/>
        <w:bidi w:val="0"/>
        <w:adjustRightInd/>
        <w:snapToGrid/>
        <w:spacing w:line="560" w:lineRule="exact"/>
        <w:ind w:firstLine="619" w:firstLineChars="200"/>
        <w:textAlignment w:val="auto"/>
        <w:rPr>
          <w:rFonts w:hint="eastAsia" w:ascii="仿宋_GB2312" w:eastAsia="仿宋_GB2312"/>
          <w:spacing w:val="-6"/>
          <w:sz w:val="32"/>
          <w:szCs w:val="36"/>
          <w:lang w:val="en-US" w:eastAsia="zh-CN"/>
        </w:rPr>
      </w:pPr>
      <w:r>
        <w:rPr>
          <w:rFonts w:hint="eastAsia" w:ascii="仿宋_GB2312" w:eastAsia="仿宋_GB2312"/>
          <w:b/>
          <w:bCs/>
          <w:spacing w:val="-6"/>
          <w:sz w:val="32"/>
          <w:szCs w:val="36"/>
          <w:lang w:val="en-US" w:eastAsia="zh-CN"/>
        </w:rPr>
        <w:t>一是萃取传统文化精华，推动职业教育提质升级。</w:t>
      </w:r>
      <w:r>
        <w:rPr>
          <w:rFonts w:hint="eastAsia" w:ascii="仿宋_GB2312" w:eastAsia="仿宋_GB2312"/>
          <w:spacing w:val="-6"/>
          <w:sz w:val="32"/>
          <w:szCs w:val="36"/>
          <w:lang w:val="en-US" w:eastAsia="zh-CN"/>
        </w:rPr>
        <w:t>指导各校从传统国学教育入手，合理设计课程教学，借助传统文化“塑魂提神”，赋予其时代新意，不断优化教学内容与教学方式，将传统文化进校园作为“立德树人、育魂壮心”的根本目的，不断提升授课效果，推动中职学生树立正确的世界观、人生观、价值观，帮助学生提高思想道德修养与科学文化修养，充分提升传统文化的育人效果。</w:t>
      </w:r>
    </w:p>
    <w:p w14:paraId="261053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eastAsia="仿宋_GB2312"/>
          <w:b/>
          <w:bCs/>
          <w:sz w:val="32"/>
          <w:szCs w:val="36"/>
          <w:lang w:val="en-US" w:eastAsia="zh-CN"/>
        </w:rPr>
      </w:pPr>
      <w:r>
        <w:rPr>
          <w:rFonts w:hint="eastAsia" w:ascii="仿宋_GB2312" w:eastAsia="仿宋_GB2312"/>
          <w:b/>
          <w:bCs/>
          <w:sz w:val="32"/>
          <w:szCs w:val="36"/>
          <w:lang w:val="en-US" w:eastAsia="zh-CN"/>
        </w:rPr>
        <w:drawing>
          <wp:inline distT="0" distB="0" distL="114300" distR="114300">
            <wp:extent cx="4998085" cy="3823970"/>
            <wp:effectExtent l="0" t="0" r="12065" b="5080"/>
            <wp:docPr id="87" name="图片 87" descr="C:\Users\ASUS\Desktop\非遗.png非遗"/>
            <wp:cNvGraphicFramePr/>
            <a:graphic xmlns:a="http://schemas.openxmlformats.org/drawingml/2006/main">
              <a:graphicData uri="http://schemas.openxmlformats.org/drawingml/2006/picture">
                <pic:pic xmlns:pic="http://schemas.openxmlformats.org/drawingml/2006/picture">
                  <pic:nvPicPr>
                    <pic:cNvPr id="87" name="图片 87" descr="C:\Users\ASUS\Desktop\非遗.png非遗"/>
                    <pic:cNvPicPr/>
                  </pic:nvPicPr>
                  <pic:blipFill>
                    <a:blip r:embed="rId44"/>
                    <a:srcRect/>
                    <a:stretch>
                      <a:fillRect/>
                    </a:stretch>
                  </pic:blipFill>
                  <pic:spPr>
                    <a:xfrm>
                      <a:off x="0" y="0"/>
                      <a:ext cx="4998085" cy="3823970"/>
                    </a:xfrm>
                    <a:prstGeom prst="rect">
                      <a:avLst/>
                    </a:prstGeom>
                  </pic:spPr>
                </pic:pic>
              </a:graphicData>
            </a:graphic>
          </wp:inline>
        </w:drawing>
      </w:r>
    </w:p>
    <w:p w14:paraId="390A497E">
      <w:pPr>
        <w:pStyle w:val="14"/>
        <w:bidi w:val="0"/>
        <w:jc w:val="center"/>
        <w:rPr>
          <w:rFonts w:hint="default"/>
          <w:lang w:val="en-US" w:eastAsia="zh-CN"/>
        </w:rPr>
      </w:pPr>
      <w:bookmarkStart w:id="201" w:name="_Toc1154"/>
      <w:bookmarkStart w:id="202" w:name="_Toc14598"/>
      <w:bookmarkStart w:id="203" w:name="_Toc4844"/>
      <w:bookmarkStart w:id="204" w:name="_Toc23612"/>
      <w:r>
        <w:rPr>
          <w:rFonts w:hint="eastAsia"/>
          <w:lang w:val="en-US" w:eastAsia="zh-CN"/>
        </w:rPr>
        <w:t>图25：建平县“十王会”非遗传承人技艺展示活动现场（来源：建平县职教中心）</w:t>
      </w:r>
      <w:bookmarkEnd w:id="201"/>
      <w:bookmarkEnd w:id="202"/>
      <w:bookmarkEnd w:id="203"/>
      <w:bookmarkEnd w:id="204"/>
    </w:p>
    <w:p w14:paraId="7A2332FE">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二是打造特色校园文化，抢占育人高地。</w:t>
      </w:r>
      <w:r>
        <w:rPr>
          <w:rFonts w:hint="eastAsia" w:ascii="仿宋_GB2312" w:hAnsi="仿宋_GB2312" w:eastAsia="仿宋_GB2312" w:cs="仿宋_GB2312"/>
          <w:sz w:val="32"/>
          <w:szCs w:val="36"/>
          <w:lang w:val="en-US" w:eastAsia="zh-CN"/>
        </w:rPr>
        <w:t>指导各中等职业学校探索建立“日日有诵读—周周有主题—月月有讲座—年年有考核”的主题教育模式，形成以“读国学—悟国学—践国学”为主体的国学学习体系，使经典诵读实现常态化、系列化、主题化。鼓励各校建设一支作风过硬、业务精湛的专业化师资队伍。支持各校将传统文化教育贯穿于新生入学教育中，积极推动传统文化进课堂、润心灵。鼓励各校运用“三微一端”等传播媒介，刊登社会主义核心价值观、中华优秀传统文化的精选内容、师生优秀诗文作品等，营造“以文怡人、以文塑人、以文化人”的浓郁氛围，使广大师生潜移默化地接受传统文化的熏陶。</w:t>
      </w:r>
    </w:p>
    <w:p w14:paraId="494BE58E">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b/>
          <w:bCs/>
          <w:sz w:val="32"/>
          <w:szCs w:val="36"/>
          <w:lang w:val="en-US" w:eastAsia="zh-CN"/>
        </w:rPr>
      </w:pPr>
      <w:r>
        <w:rPr>
          <w:rFonts w:hint="eastAsia" w:ascii="仿宋_GB2312" w:hAnsi="仿宋_GB2312" w:eastAsia="仿宋_GB2312" w:cs="仿宋_GB2312"/>
          <w:b/>
          <w:bCs/>
          <w:sz w:val="32"/>
          <w:szCs w:val="36"/>
          <w:lang w:val="en-US" w:eastAsia="zh-CN"/>
        </w:rPr>
        <w:t>三是建设中医药专业。</w:t>
      </w:r>
      <w:r>
        <w:rPr>
          <w:rFonts w:hint="eastAsia" w:ascii="仿宋_GB2312" w:hAnsi="仿宋_GB2312" w:eastAsia="仿宋_GB2312" w:cs="仿宋_GB2312"/>
          <w:sz w:val="32"/>
          <w:szCs w:val="32"/>
          <w:lang w:val="en-US" w:eastAsia="zh-CN"/>
        </w:rPr>
        <w:t>目前，全市具备成熟的中医药相关专业建设经验的中等职业学校为朝阳市卫生学校，现开设有中医康复技术专业和药剂（市场营销方向）两个中医药专业，实施全日制中职学历培养，现有三届242名在校生；另与辽宁中医药大学、沈阳医学院等高校合作，开设有中医、中药、针灸、药学等成人本、专科专业业余学习点，面向社会开展成人学历提升教育。朝阳市卫生学校在不断提升公共基础课程和专业理论课程教学质量的基础上，持续强化中医药专业技能课程教学和实习实训实效，在校内建有专门的中医康复技术专业实训室和药剂专业实验实训室，并在综合医院和药品生产经营企业建设校外实习实训基地，实现了学生实践能力培养与医院规范化培训的有机衔接。</w:t>
      </w:r>
    </w:p>
    <w:p w14:paraId="4A07360B">
      <w:pPr>
        <w:pStyle w:val="7"/>
        <w:jc w:val="center"/>
        <w:rPr>
          <w:rFonts w:hint="eastAsia" w:eastAsiaTheme="minorEastAsia"/>
          <w:lang w:eastAsia="zh-CN"/>
        </w:rPr>
      </w:pPr>
      <w:r>
        <w:rPr>
          <w:rFonts w:hint="eastAsia" w:eastAsiaTheme="minorEastAsia"/>
          <w:lang w:eastAsia="zh-CN"/>
        </w:rPr>
        <w:drawing>
          <wp:inline distT="0" distB="0" distL="114300" distR="114300">
            <wp:extent cx="4820285" cy="3689985"/>
            <wp:effectExtent l="0" t="0" r="18415" b="5715"/>
            <wp:docPr id="84" name="图片 84" descr="C:\Users\ASUS\Desktop\作品.png作品"/>
            <wp:cNvGraphicFramePr/>
            <a:graphic xmlns:a="http://schemas.openxmlformats.org/drawingml/2006/main">
              <a:graphicData uri="http://schemas.openxmlformats.org/drawingml/2006/picture">
                <pic:pic xmlns:pic="http://schemas.openxmlformats.org/drawingml/2006/picture">
                  <pic:nvPicPr>
                    <pic:cNvPr id="84" name="图片 84" descr="C:\Users\ASUS\Desktop\作品.png作品"/>
                    <pic:cNvPicPr/>
                  </pic:nvPicPr>
                  <pic:blipFill>
                    <a:blip r:embed="rId45"/>
                    <a:srcRect/>
                    <a:stretch>
                      <a:fillRect/>
                    </a:stretch>
                  </pic:blipFill>
                  <pic:spPr>
                    <a:xfrm>
                      <a:off x="0" y="0"/>
                      <a:ext cx="4820285" cy="3689985"/>
                    </a:xfrm>
                    <a:prstGeom prst="rect">
                      <a:avLst/>
                    </a:prstGeom>
                  </pic:spPr>
                </pic:pic>
              </a:graphicData>
            </a:graphic>
          </wp:inline>
        </w:drawing>
      </w:r>
    </w:p>
    <w:p w14:paraId="66421E55">
      <w:pPr>
        <w:keepNext w:val="0"/>
        <w:keepLines w:val="0"/>
        <w:pageBreakBefore w:val="0"/>
        <w:widowControl w:val="0"/>
        <w:kinsoku/>
        <w:wordWrap/>
        <w:overflowPunct/>
        <w:topLinePunct w:val="0"/>
        <w:autoSpaceDE/>
        <w:autoSpaceDN/>
        <w:bidi w:val="0"/>
        <w:adjustRightInd/>
        <w:snapToGrid/>
        <w:spacing w:after="157" w:afterLines="50"/>
        <w:jc w:val="center"/>
        <w:textAlignment w:val="auto"/>
        <w:rPr>
          <w:rFonts w:hint="eastAsia"/>
          <w:lang w:val="en-US" w:eastAsia="zh-CN"/>
        </w:rPr>
      </w:pPr>
      <w:bookmarkStart w:id="205" w:name="_Toc6471"/>
      <w:bookmarkStart w:id="206" w:name="_Toc16176"/>
      <w:bookmarkStart w:id="207" w:name="_Toc4244"/>
      <w:r>
        <w:rPr>
          <w:rStyle w:val="34"/>
          <w:rFonts w:hint="eastAsia"/>
          <w:lang w:val="en-US" w:eastAsia="zh-CN"/>
        </w:rPr>
        <w:t>图26：朝阳市财经学校学生非遗手工作品展（来源：朝阳市财经学校）</w:t>
      </w:r>
      <w:bookmarkEnd w:id="205"/>
      <w:bookmarkEnd w:id="206"/>
      <w:bookmarkEnd w:id="207"/>
      <w:r>
        <w:rPr>
          <w:rFonts w:hint="eastAsia"/>
          <w:lang w:val="en-US" w:eastAsia="zh-CN"/>
        </w:rPr>
        <w:drawing>
          <wp:inline distT="0" distB="0" distL="114300" distR="114300">
            <wp:extent cx="4765675" cy="2339975"/>
            <wp:effectExtent l="0" t="0" r="15875" b="3175"/>
            <wp:docPr id="88" name="图片 88" descr="C:\Users\ASUS\Desktop\曲艺.png曲艺"/>
            <wp:cNvGraphicFramePr/>
            <a:graphic xmlns:a="http://schemas.openxmlformats.org/drawingml/2006/main">
              <a:graphicData uri="http://schemas.openxmlformats.org/drawingml/2006/picture">
                <pic:pic xmlns:pic="http://schemas.openxmlformats.org/drawingml/2006/picture">
                  <pic:nvPicPr>
                    <pic:cNvPr id="88" name="图片 88" descr="C:\Users\ASUS\Desktop\曲艺.png曲艺"/>
                    <pic:cNvPicPr/>
                  </pic:nvPicPr>
                  <pic:blipFill>
                    <a:blip r:embed="rId46"/>
                    <a:srcRect/>
                    <a:stretch>
                      <a:fillRect/>
                    </a:stretch>
                  </pic:blipFill>
                  <pic:spPr>
                    <a:xfrm>
                      <a:off x="0" y="0"/>
                      <a:ext cx="4765675" cy="2339975"/>
                    </a:xfrm>
                    <a:prstGeom prst="rect">
                      <a:avLst/>
                    </a:prstGeom>
                  </pic:spPr>
                </pic:pic>
              </a:graphicData>
            </a:graphic>
          </wp:inline>
        </w:drawing>
      </w:r>
    </w:p>
    <w:p w14:paraId="7A0711E2">
      <w:pPr>
        <w:pStyle w:val="14"/>
        <w:bidi w:val="0"/>
        <w:jc w:val="center"/>
        <w:rPr>
          <w:rFonts w:hint="eastAsia"/>
          <w:lang w:val="en-US" w:eastAsia="zh-CN"/>
        </w:rPr>
      </w:pPr>
      <w:bookmarkStart w:id="208" w:name="_Toc13464"/>
      <w:bookmarkStart w:id="209" w:name="_Toc6036"/>
      <w:bookmarkStart w:id="210" w:name="_Toc5995"/>
      <w:bookmarkStart w:id="211" w:name="_Toc31452"/>
      <w:r>
        <w:rPr>
          <w:rFonts w:hint="eastAsia"/>
          <w:lang w:val="en-US" w:eastAsia="zh-CN"/>
        </w:rPr>
        <w:t>图27：曲艺进校园（来源：朝阳市卫生学校）</w:t>
      </w:r>
      <w:bookmarkEnd w:id="208"/>
      <w:bookmarkEnd w:id="209"/>
      <w:bookmarkEnd w:id="210"/>
      <w:bookmarkEnd w:id="211"/>
    </w:p>
    <w:p w14:paraId="4215B8AB">
      <w:pPr>
        <w:pStyle w:val="2"/>
        <w:spacing w:line="240" w:lineRule="auto"/>
        <w:outlineLvl w:val="9"/>
        <w:rPr>
          <w:rFonts w:hint="eastAsia"/>
          <w:lang w:val="en-US" w:eastAsia="zh-CN"/>
        </w:rPr>
      </w:pPr>
      <w:r>
        <w:rPr>
          <w:rFonts w:hint="eastAsia"/>
          <w:lang w:val="en-US" w:eastAsia="zh-CN"/>
        </w:rPr>
        <w:drawing>
          <wp:inline distT="0" distB="0" distL="114300" distR="114300">
            <wp:extent cx="4783455" cy="2339975"/>
            <wp:effectExtent l="0" t="0" r="17145" b="3175"/>
            <wp:docPr id="30" name="图片 30" descr="诵读"/>
            <wp:cNvGraphicFramePr/>
            <a:graphic xmlns:a="http://schemas.openxmlformats.org/drawingml/2006/main">
              <a:graphicData uri="http://schemas.openxmlformats.org/drawingml/2006/picture">
                <pic:pic xmlns:pic="http://schemas.openxmlformats.org/drawingml/2006/picture">
                  <pic:nvPicPr>
                    <pic:cNvPr id="30" name="图片 30" descr="诵读"/>
                    <pic:cNvPicPr/>
                  </pic:nvPicPr>
                  <pic:blipFill>
                    <a:blip r:embed="rId47"/>
                    <a:stretch>
                      <a:fillRect/>
                    </a:stretch>
                  </pic:blipFill>
                  <pic:spPr>
                    <a:xfrm>
                      <a:off x="0" y="0"/>
                      <a:ext cx="4783455" cy="2339975"/>
                    </a:xfrm>
                    <a:prstGeom prst="rect">
                      <a:avLst/>
                    </a:prstGeom>
                  </pic:spPr>
                </pic:pic>
              </a:graphicData>
            </a:graphic>
          </wp:inline>
        </w:drawing>
      </w:r>
    </w:p>
    <w:p w14:paraId="6357D46D">
      <w:pPr>
        <w:pStyle w:val="14"/>
        <w:bidi w:val="0"/>
        <w:jc w:val="center"/>
        <w:rPr>
          <w:rFonts w:hint="eastAsia"/>
          <w:lang w:val="en-US" w:eastAsia="zh-CN"/>
        </w:rPr>
      </w:pPr>
      <w:bookmarkStart w:id="212" w:name="_Toc9037"/>
      <w:bookmarkStart w:id="213" w:name="_Toc27553"/>
      <w:bookmarkStart w:id="214" w:name="_Toc6706"/>
      <w:bookmarkStart w:id="215" w:name="_Toc9201"/>
      <w:r>
        <w:rPr>
          <w:rFonts w:hint="eastAsia"/>
          <w:lang w:val="en-US" w:eastAsia="zh-CN"/>
        </w:rPr>
        <w:t>图28：“传承红色基因强国复兴有我”诗文诵读比赛（来源：北票市职教中心）</w:t>
      </w:r>
      <w:bookmarkEnd w:id="212"/>
      <w:bookmarkEnd w:id="213"/>
      <w:bookmarkEnd w:id="214"/>
      <w:bookmarkEnd w:id="215"/>
    </w:p>
    <w:p w14:paraId="680C180E">
      <w:pPr>
        <w:pStyle w:val="5"/>
        <w:keepNext/>
        <w:keepLines/>
        <w:pageBreakBefore w:val="0"/>
        <w:widowControl w:val="0"/>
        <w:kinsoku/>
        <w:wordWrap/>
        <w:overflowPunct/>
        <w:topLinePunct w:val="0"/>
        <w:autoSpaceDE/>
        <w:autoSpaceDN/>
        <w:bidi w:val="0"/>
        <w:adjustRightInd/>
        <w:snapToGrid/>
        <w:ind w:left="0" w:leftChars="0" w:firstLine="0" w:firstLineChars="0"/>
        <w:jc w:val="left"/>
        <w:textAlignment w:val="auto"/>
        <w:outlineLvl w:val="0"/>
        <w:rPr>
          <w:rFonts w:hint="eastAsia" w:ascii="楷体" w:hAnsi="楷体" w:eastAsia="楷体" w:cs="楷体"/>
          <w:b/>
          <w:lang w:val="en-US" w:eastAsia="zh-CN"/>
        </w:rPr>
      </w:pPr>
      <w:bookmarkStart w:id="216" w:name="_Toc26129"/>
      <w:bookmarkStart w:id="217" w:name="_Toc6448"/>
      <w:r>
        <w:rPr>
          <w:rFonts w:hint="eastAsia" w:ascii="楷体" w:hAnsi="楷体" w:eastAsia="楷体" w:cs="楷体"/>
          <w:b/>
          <w:lang w:val="en-US" w:eastAsia="zh-CN"/>
        </w:rPr>
        <w:t>典型案例 10：</w:t>
      </w:r>
      <w:bookmarkEnd w:id="216"/>
      <w:bookmarkEnd w:id="217"/>
    </w:p>
    <w:p w14:paraId="7C39A381">
      <w:pPr>
        <w:pStyle w:val="5"/>
        <w:keepNext/>
        <w:keepLines/>
        <w:pageBreakBefore w:val="0"/>
        <w:widowControl w:val="0"/>
        <w:kinsoku/>
        <w:wordWrap/>
        <w:overflowPunct/>
        <w:topLinePunct w:val="0"/>
        <w:autoSpaceDE/>
        <w:autoSpaceDN/>
        <w:bidi w:val="0"/>
        <w:adjustRightInd/>
        <w:snapToGrid/>
        <w:ind w:left="0" w:leftChars="0" w:firstLine="0" w:firstLineChars="0"/>
        <w:textAlignment w:val="auto"/>
        <w:rPr>
          <w:rFonts w:hint="eastAsia" w:ascii="Arial" w:hAnsi="Arial"/>
          <w:b/>
          <w:lang w:val="en-US" w:eastAsia="zh-CN"/>
        </w:rPr>
      </w:pPr>
      <w:bookmarkStart w:id="218" w:name="_Toc1544517900_WPSOffice_Level3"/>
      <w:bookmarkStart w:id="219" w:name="_Toc5576"/>
      <w:r>
        <w:rPr>
          <w:rFonts w:hint="eastAsia" w:ascii="Arial" w:hAnsi="Arial"/>
          <w:b/>
          <w:lang w:val="en-US" w:eastAsia="zh-CN"/>
        </w:rPr>
        <w:t>传统文化“三进”活动</w:t>
      </w:r>
      <w:bookmarkEnd w:id="218"/>
      <w:bookmarkEnd w:id="219"/>
    </w:p>
    <w:p w14:paraId="2C592D24">
      <w:pPr>
        <w:keepNext w:val="0"/>
        <w:keepLines w:val="0"/>
        <w:pageBreakBefore w:val="0"/>
        <w:widowControl/>
        <w:suppressLineNumbers w:val="0"/>
        <w:kinsoku/>
        <w:wordWrap/>
        <w:overflowPunct/>
        <w:topLinePunct w:val="0"/>
        <w:autoSpaceDE/>
        <w:autoSpaceDN/>
        <w:bidi w:val="0"/>
        <w:adjustRightInd/>
        <w:snapToGrid/>
        <w:jc w:val="right"/>
        <w:textAlignment w:val="auto"/>
        <w:rPr>
          <w:rFonts w:hint="eastAsia" w:ascii="楷体" w:hAnsi="楷体" w:eastAsia="楷体" w:cs="楷体"/>
          <w:color w:val="000000"/>
          <w:kern w:val="0"/>
          <w:sz w:val="30"/>
          <w:szCs w:val="30"/>
          <w:lang w:val="en-US" w:eastAsia="zh-CN" w:bidi="ar"/>
        </w:rPr>
      </w:pPr>
      <w:r>
        <w:rPr>
          <w:rFonts w:hint="eastAsia" w:ascii="楷体" w:hAnsi="楷体" w:eastAsia="楷体" w:cs="楷体"/>
          <w:color w:val="000000"/>
          <w:kern w:val="0"/>
          <w:sz w:val="30"/>
          <w:szCs w:val="30"/>
          <w:lang w:val="en-US" w:eastAsia="zh-CN" w:bidi="ar"/>
        </w:rPr>
        <w:t xml:space="preserve">——北票市职教中心典型案例 </w:t>
      </w:r>
    </w:p>
    <w:p w14:paraId="1FC81CB9">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背景：</w:t>
      </w:r>
      <w:r>
        <w:rPr>
          <w:rFonts w:hint="eastAsia" w:ascii="仿宋_GB2312" w:hAnsi="仿宋_GB2312" w:eastAsia="仿宋_GB2312" w:cs="仿宋_GB2312"/>
          <w:sz w:val="32"/>
          <w:szCs w:val="36"/>
          <w:lang w:val="en-US" w:eastAsia="zh-CN"/>
        </w:rPr>
        <w:t>为了继承和弘扬中华传统文化精髓，进一步完善学校德育体系建设，培养学生爱祖国、爱家乡的高尚品德，树立正确的人生观、道德观、价值观，学校持续开展传统文化进校园、进班级、进课堂活动，德育成效明显。</w:t>
      </w:r>
    </w:p>
    <w:p w14:paraId="2D5CB9A3">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过程与方法：</w:t>
      </w:r>
      <w:r>
        <w:rPr>
          <w:rFonts w:hint="eastAsia" w:ascii="仿宋_GB2312" w:hAnsi="仿宋_GB2312" w:eastAsia="仿宋_GB2312" w:cs="仿宋_GB2312"/>
          <w:sz w:val="32"/>
          <w:szCs w:val="36"/>
          <w:lang w:val="en-US" w:eastAsia="zh-CN"/>
        </w:rPr>
        <w:t>一是开展主题为“我读书，我快乐，我成长”的诵读经典活动；二是坚持开展每日晨读“弟子规”、“三字经”等诵读活动，让学生明白一个道理，养成一种品质，提高自身修养；三是鼓励师生坚持练习书法，静心习字养心性，在书写中体会汉字方块的意韵美；四是音乐学科把民族器乐教学融入到课堂教学中，把葫芦丝这音色独特优美，外观古朴、简单易学、极具民族特点的乐器引进学校课堂。五是把传统的剪纸艺术引入美术课堂，让学生传承剪纸文化，学生的剪纸作品在教学楼内展示，既陶冶情操，又点缀了走廊文化。六是利用道德讲堂，开展系列中华优秀传统文化、社会主义核心价值观为主题的讲座，发挥道德讲堂文化育人的功能，提高学生综合素质。</w:t>
      </w:r>
    </w:p>
    <w:p w14:paraId="32F8CA89">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成效：</w:t>
      </w:r>
      <w:r>
        <w:rPr>
          <w:rFonts w:hint="eastAsia" w:ascii="仿宋_GB2312" w:hAnsi="仿宋_GB2312" w:eastAsia="仿宋_GB2312" w:cs="仿宋_GB2312"/>
          <w:sz w:val="32"/>
          <w:szCs w:val="36"/>
          <w:lang w:val="en-US" w:eastAsia="zh-CN"/>
        </w:rPr>
        <w:t>帮助学生养成良好的读书习惯，提高读写能力，夯实文化底蕴，陶治情操，营造书香校园。</w:t>
      </w:r>
    </w:p>
    <w:p w14:paraId="2A025F70">
      <w:pPr>
        <w:pStyle w:val="5"/>
        <w:keepNext/>
        <w:keepLines/>
        <w:pageBreakBefore w:val="0"/>
        <w:widowControl w:val="0"/>
        <w:kinsoku/>
        <w:wordWrap/>
        <w:overflowPunct/>
        <w:topLinePunct w:val="0"/>
        <w:autoSpaceDE/>
        <w:autoSpaceDN/>
        <w:bidi w:val="0"/>
        <w:adjustRightInd/>
        <w:snapToGrid/>
        <w:ind w:left="0" w:leftChars="0" w:firstLine="0" w:firstLineChars="0"/>
        <w:jc w:val="left"/>
        <w:textAlignment w:val="auto"/>
        <w:rPr>
          <w:rFonts w:hint="eastAsia" w:ascii="楷体" w:hAnsi="楷体" w:eastAsia="楷体" w:cs="楷体"/>
          <w:b/>
          <w:lang w:val="en-US" w:eastAsia="zh-CN"/>
        </w:rPr>
      </w:pPr>
      <w:bookmarkStart w:id="220" w:name="_Toc14488"/>
      <w:r>
        <w:rPr>
          <w:rFonts w:hint="eastAsia" w:ascii="楷体" w:hAnsi="楷体" w:eastAsia="楷体" w:cs="楷体"/>
          <w:b/>
          <w:lang w:val="en-US" w:eastAsia="zh-CN"/>
        </w:rPr>
        <w:t>典型案例 11：</w:t>
      </w:r>
      <w:bookmarkEnd w:id="220"/>
    </w:p>
    <w:p w14:paraId="442F1612">
      <w:pPr>
        <w:pStyle w:val="5"/>
        <w:keepNext/>
        <w:keepLines/>
        <w:pageBreakBefore w:val="0"/>
        <w:widowControl w:val="0"/>
        <w:kinsoku/>
        <w:wordWrap/>
        <w:overflowPunct/>
        <w:topLinePunct w:val="0"/>
        <w:autoSpaceDE/>
        <w:autoSpaceDN/>
        <w:bidi w:val="0"/>
        <w:adjustRightInd/>
        <w:snapToGrid/>
        <w:ind w:left="0" w:leftChars="0" w:firstLine="0" w:firstLineChars="0"/>
        <w:textAlignment w:val="auto"/>
        <w:rPr>
          <w:rFonts w:hint="eastAsia" w:ascii="Arial" w:hAnsi="Arial"/>
          <w:b/>
          <w:lang w:val="en-US" w:eastAsia="zh-CN"/>
        </w:rPr>
      </w:pPr>
      <w:bookmarkStart w:id="221" w:name="_Toc90513234_WPSOffice_Level3"/>
      <w:bookmarkStart w:id="222" w:name="_Toc13517"/>
      <w:r>
        <w:rPr>
          <w:rFonts w:hint="eastAsia" w:ascii="Arial" w:hAnsi="Arial"/>
          <w:b/>
          <w:lang w:val="en-US" w:eastAsia="zh-CN"/>
        </w:rPr>
        <w:t>国粹进校园 美育润心田</w:t>
      </w:r>
      <w:bookmarkEnd w:id="221"/>
      <w:bookmarkEnd w:id="222"/>
    </w:p>
    <w:p w14:paraId="21B831A4">
      <w:pPr>
        <w:keepNext w:val="0"/>
        <w:keepLines w:val="0"/>
        <w:pageBreakBefore w:val="0"/>
        <w:widowControl/>
        <w:suppressLineNumbers w:val="0"/>
        <w:kinsoku/>
        <w:wordWrap/>
        <w:overflowPunct/>
        <w:topLinePunct w:val="0"/>
        <w:autoSpaceDE/>
        <w:autoSpaceDN/>
        <w:bidi w:val="0"/>
        <w:adjustRightInd/>
        <w:snapToGrid/>
        <w:spacing w:line="520" w:lineRule="exact"/>
        <w:jc w:val="right"/>
        <w:textAlignment w:val="auto"/>
        <w:rPr>
          <w:rFonts w:hint="eastAsia" w:ascii="楷体" w:hAnsi="楷体" w:eastAsia="楷体" w:cs="楷体"/>
          <w:color w:val="000000"/>
          <w:kern w:val="0"/>
          <w:sz w:val="24"/>
          <w:szCs w:val="24"/>
          <w:lang w:val="en-US" w:eastAsia="zh-CN" w:bidi="ar"/>
        </w:rPr>
      </w:pPr>
      <w:r>
        <w:rPr>
          <w:rFonts w:hint="eastAsia" w:ascii="楷体" w:hAnsi="楷体" w:eastAsia="楷体" w:cs="楷体"/>
          <w:color w:val="000000"/>
          <w:kern w:val="0"/>
          <w:sz w:val="30"/>
          <w:szCs w:val="30"/>
          <w:lang w:val="en-US" w:eastAsia="zh-CN" w:bidi="ar"/>
        </w:rPr>
        <w:t>——朝阳工程技术学校典型案例</w:t>
      </w:r>
    </w:p>
    <w:p w14:paraId="1935B0CF">
      <w:pPr>
        <w:keepNext w:val="0"/>
        <w:keepLines w:val="0"/>
        <w:pageBreakBefore w:val="0"/>
        <w:widowControl w:val="0"/>
        <w:kinsoku/>
        <w:wordWrap/>
        <w:overflowPunct/>
        <w:topLinePunct w:val="0"/>
        <w:autoSpaceDE/>
        <w:autoSpaceDN/>
        <w:bidi w:val="0"/>
        <w:adjustRightInd/>
        <w:snapToGrid/>
        <w:spacing w:line="540" w:lineRule="exact"/>
        <w:ind w:firstLine="643" w:firstLineChars="200"/>
        <w:textAlignment w:val="auto"/>
        <w:rPr>
          <w:rFonts w:hint="eastAsia" w:ascii="仿宋_GB2312" w:eastAsia="仿宋_GB2312"/>
          <w:sz w:val="32"/>
          <w:szCs w:val="36"/>
          <w:lang w:val="en-US" w:eastAsia="zh-CN"/>
        </w:rPr>
      </w:pPr>
      <w:r>
        <w:rPr>
          <w:rFonts w:hint="eastAsia" w:ascii="仿宋_GB2312" w:eastAsia="仿宋_GB2312"/>
          <w:b/>
          <w:bCs/>
          <w:sz w:val="32"/>
          <w:szCs w:val="36"/>
          <w:lang w:val="en-US" w:eastAsia="zh-CN"/>
        </w:rPr>
        <w:t>背景：</w:t>
      </w:r>
      <w:r>
        <w:rPr>
          <w:rFonts w:hint="eastAsia" w:ascii="仿宋_GB2312" w:eastAsia="仿宋_GB2312"/>
          <w:sz w:val="32"/>
          <w:szCs w:val="36"/>
          <w:lang w:val="en-US" w:eastAsia="zh-CN"/>
        </w:rPr>
        <w:t>为更好地传承中华优秀传统文化，切实增强青少年学生的文化自觉和文化自信，学校邀请朝阳市京韵国粹艺术团到报告厅开展“戏曲进校园”公益演出活动，让国粹走进校园，拉近戏曲艺术和学生的距离，让学生自觉亲近戏曲经典，感受传统戏曲文化的魅力。</w:t>
      </w:r>
    </w:p>
    <w:p w14:paraId="3862B186">
      <w:pPr>
        <w:keepNext w:val="0"/>
        <w:keepLines w:val="0"/>
        <w:pageBreakBefore w:val="0"/>
        <w:widowControl w:val="0"/>
        <w:kinsoku/>
        <w:wordWrap/>
        <w:overflowPunct/>
        <w:topLinePunct w:val="0"/>
        <w:autoSpaceDE/>
        <w:autoSpaceDN/>
        <w:bidi w:val="0"/>
        <w:adjustRightInd/>
        <w:snapToGrid/>
        <w:spacing w:line="54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eastAsia="仿宋_GB2312"/>
          <w:b/>
          <w:bCs/>
          <w:sz w:val="32"/>
          <w:szCs w:val="36"/>
          <w:lang w:val="en-US" w:eastAsia="zh-CN"/>
        </w:rPr>
        <w:t>过程与方法：</w:t>
      </w:r>
      <w:r>
        <w:rPr>
          <w:rFonts w:hint="eastAsia" w:ascii="仿宋_GB2312" w:eastAsia="仿宋_GB2312"/>
          <w:sz w:val="32"/>
          <w:szCs w:val="36"/>
          <w:lang w:val="en-US" w:eastAsia="zh-CN"/>
        </w:rPr>
        <w:t>一是朝阳市戏剧家协会副主席何俊江为师生们作了内容详实的戏曲知识讲座。他从戏剧的由来、发展、取得的成就、现状等介绍了戏剧的相关知识，说明了戏曲在中国传统文化中的地位和传承优秀传统文化的重要意义。二是艺术家们带来了传统京剧《贵妃醉酒》选段“海角冰轮初转腾”、《太真外传》选段“杨玉环在殿前”、《诗文会》选段“喜盈盈进画室”、《铡</w:t>
      </w:r>
      <w:r>
        <w:rPr>
          <w:rFonts w:hint="eastAsia" w:ascii="仿宋_GB2312" w:hAnsi="仿宋_GB2312" w:eastAsia="仿宋_GB2312" w:cs="仿宋_GB2312"/>
          <w:sz w:val="32"/>
          <w:szCs w:val="36"/>
          <w:lang w:val="en-US" w:eastAsia="zh-CN"/>
        </w:rPr>
        <w:t>美案》选段“包龙图打坐在开封府”，现代京剧《智取威虎山》选段“自己的队伍来到面前”、《红灯记》选段“学你爹心红胆壮志如钢”、《海港》选段“定要把深情厚意送往四面八方”、《沙家浜》选段“共产党就像天上太阳一样”、《智取威虎山》选段“胸有朝阳”等精彩的戏曲表演。</w:t>
      </w:r>
    </w:p>
    <w:p w14:paraId="259DA9A6">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b/>
          <w:bCs/>
          <w:sz w:val="32"/>
          <w:szCs w:val="36"/>
          <w:lang w:val="en-US" w:eastAsia="zh-CN"/>
        </w:rPr>
        <w:t>成效：</w:t>
      </w:r>
      <w:r>
        <w:rPr>
          <w:rFonts w:hint="eastAsia" w:ascii="仿宋_GB2312" w:hAnsi="仿宋_GB2312" w:eastAsia="仿宋_GB2312" w:cs="仿宋_GB2312"/>
          <w:sz w:val="32"/>
          <w:szCs w:val="36"/>
          <w:lang w:val="en-US" w:eastAsia="zh-CN"/>
        </w:rPr>
        <w:t>戏剧作为传统文化的瑰宝承载着历史的记忆，传递着民族的精神。通过本次活动，学校师生更加深刻地感受到了戏剧</w:t>
      </w:r>
      <w:r>
        <w:rPr>
          <w:rFonts w:hint="eastAsia" w:ascii="仿宋_GB2312" w:hAnsi="仿宋_GB2312" w:eastAsia="仿宋_GB2312" w:cs="仿宋_GB2312"/>
          <w:spacing w:val="-6"/>
          <w:sz w:val="32"/>
          <w:szCs w:val="36"/>
          <w:lang w:val="en-US" w:eastAsia="zh-CN"/>
        </w:rPr>
        <w:t>的魅力，增强了文化自信，坚定了传承和弘扬优秀传统文化的决心。</w:t>
      </w:r>
    </w:p>
    <w:p w14:paraId="3F4054A8">
      <w:pPr>
        <w:pStyle w:val="3"/>
        <w:bidi w:val="0"/>
        <w:ind w:firstLine="640" w:firstLineChars="200"/>
        <w:rPr>
          <w:rFonts w:hint="eastAsia" w:ascii="黑体" w:hAnsi="黑体" w:eastAsia="黑体" w:cs="黑体"/>
          <w:b w:val="0"/>
          <w:bCs/>
          <w:sz w:val="32"/>
          <w:szCs w:val="32"/>
          <w:lang w:val="en-US" w:eastAsia="zh-CN"/>
        </w:rPr>
      </w:pPr>
      <w:bookmarkStart w:id="223" w:name="_Toc7043"/>
      <w:r>
        <w:rPr>
          <w:rFonts w:hint="eastAsia" w:ascii="黑体" w:hAnsi="黑体" w:eastAsia="黑体" w:cs="黑体"/>
          <w:b w:val="0"/>
          <w:bCs/>
          <w:sz w:val="32"/>
          <w:szCs w:val="32"/>
          <w:lang w:val="en-US" w:eastAsia="zh-CN"/>
        </w:rPr>
        <w:t>5.产教融合</w:t>
      </w:r>
      <w:bookmarkEnd w:id="223"/>
    </w:p>
    <w:p w14:paraId="2914C781">
      <w:pPr>
        <w:pStyle w:val="2"/>
        <w:bidi w:val="0"/>
        <w:rPr>
          <w:rFonts w:hint="default" w:ascii="楷体" w:hAnsi="楷体" w:eastAsia="楷体" w:cs="楷体"/>
          <w:b/>
          <w:bCs w:val="0"/>
          <w:sz w:val="32"/>
          <w:szCs w:val="32"/>
          <w:lang w:val="en-US" w:eastAsia="zh-CN"/>
        </w:rPr>
      </w:pPr>
      <w:bookmarkStart w:id="224" w:name="_Toc4409"/>
      <w:r>
        <w:rPr>
          <w:rFonts w:hint="eastAsia" w:ascii="楷体" w:hAnsi="楷体" w:eastAsia="楷体" w:cs="楷体"/>
          <w:b/>
          <w:bCs w:val="0"/>
          <w:sz w:val="32"/>
          <w:szCs w:val="32"/>
          <w:lang w:val="en-US" w:eastAsia="zh-CN"/>
        </w:rPr>
        <w:t>5.1</w:t>
      </w:r>
      <w:r>
        <w:rPr>
          <w:rFonts w:hint="default" w:ascii="楷体" w:hAnsi="楷体" w:eastAsia="楷体" w:cs="楷体"/>
          <w:b/>
          <w:bCs w:val="0"/>
          <w:sz w:val="32"/>
          <w:szCs w:val="32"/>
          <w:lang w:val="en-US" w:eastAsia="zh-CN"/>
        </w:rPr>
        <w:t>产教机制共筑</w:t>
      </w:r>
      <w:bookmarkEnd w:id="224"/>
    </w:p>
    <w:p w14:paraId="08AE029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sz w:val="32"/>
          <w:szCs w:val="32"/>
          <w:lang w:val="en-US" w:eastAsia="zh-CN"/>
        </w:rPr>
        <w:t>为进一步深入贯彻落实《国家职业教育改革实施方案》和《关于深化产教融合的若干意见》等文件要求，推动产教融合工作更快更好发展，近年来，我市不断完善产教机制共筑，朝阳市政府先后印发了《朝阳市支持职业教育发展若干措施》和《朝阳市推进职业教育实用高效发展 提升服务地方发展能力实施方案》，对深化产教融合、校企合作提出了明确指导意见、推进措施、工作任务和保障政策。市教育局、人社局、商务局联合印发了</w:t>
      </w:r>
      <w:r>
        <w:rPr>
          <w:rFonts w:hint="eastAsia" w:ascii="仿宋_GB2312" w:hAnsi="仿宋_GB2312" w:eastAsia="仿宋_GB2312" w:cs="仿宋_GB2312"/>
          <w:b w:val="0"/>
          <w:bCs w:val="0"/>
          <w:sz w:val="32"/>
          <w:szCs w:val="32"/>
          <w:lang w:val="en-US" w:eastAsia="zh-CN"/>
        </w:rPr>
        <w:t>《朝阳市促进中高等学校与园区企业深化产教融合的若干举措》，进一步畅通了职业学校与园区企业对接渠道，搭建交流合作平台，</w:t>
      </w:r>
      <w:r>
        <w:rPr>
          <w:rFonts w:hint="eastAsia" w:ascii="仿宋_GB2312" w:hAnsi="仿宋_GB2312" w:eastAsia="仿宋_GB2312" w:cs="仿宋_GB2312"/>
          <w:sz w:val="32"/>
          <w:szCs w:val="32"/>
          <w:lang w:val="en-US" w:eastAsia="zh-CN"/>
        </w:rPr>
        <w:t>推动中高等学校专业布局与区域产业结构紧密对接，实现教育资源与产业发展的深度匹配；鼓励企业深入参与中高等教育合作办学，提高技能型人才培养适应性；深入挖掘优质就业岗位，强化区域人才供需信息互通；搭建技术服务平台，为园区企业提供技术支持与服务，促进企业技术创新和产品升级，</w:t>
      </w:r>
      <w:r>
        <w:rPr>
          <w:rFonts w:hint="eastAsia" w:ascii="仿宋_GB2312" w:hAnsi="仿宋_GB2312" w:eastAsia="仿宋_GB2312" w:cs="仿宋_GB2312"/>
          <w:b w:val="0"/>
          <w:bCs w:val="0"/>
          <w:sz w:val="32"/>
          <w:szCs w:val="32"/>
          <w:lang w:val="en-US" w:eastAsia="zh-CN"/>
        </w:rPr>
        <w:t>推动职业教育产教融合实现了新突破。</w:t>
      </w:r>
    </w:p>
    <w:p w14:paraId="60B27FC8">
      <w:pPr>
        <w:pStyle w:val="5"/>
        <w:keepNext/>
        <w:keepLines/>
        <w:pageBreakBefore w:val="0"/>
        <w:widowControl w:val="0"/>
        <w:kinsoku/>
        <w:wordWrap/>
        <w:overflowPunct/>
        <w:topLinePunct w:val="0"/>
        <w:autoSpaceDE/>
        <w:autoSpaceDN/>
        <w:bidi w:val="0"/>
        <w:adjustRightInd/>
        <w:snapToGrid/>
        <w:ind w:left="0" w:leftChars="0" w:firstLine="0" w:firstLineChars="0"/>
        <w:jc w:val="left"/>
        <w:textAlignment w:val="auto"/>
        <w:outlineLvl w:val="2"/>
        <w:rPr>
          <w:rFonts w:hint="eastAsia" w:ascii="楷体" w:hAnsi="楷体" w:eastAsia="楷体" w:cs="楷体"/>
          <w:b/>
          <w:lang w:val="en-US" w:eastAsia="zh-CN"/>
        </w:rPr>
      </w:pPr>
      <w:bookmarkStart w:id="225" w:name="_Toc8353"/>
      <w:bookmarkStart w:id="226" w:name="_Toc18158"/>
      <w:r>
        <w:rPr>
          <w:rFonts w:hint="eastAsia" w:ascii="楷体" w:hAnsi="楷体" w:eastAsia="楷体" w:cs="楷体"/>
          <w:b/>
          <w:lang w:val="en-US" w:eastAsia="zh-CN"/>
        </w:rPr>
        <w:t>典型案例 12：</w:t>
      </w:r>
      <w:bookmarkEnd w:id="225"/>
      <w:bookmarkEnd w:id="226"/>
    </w:p>
    <w:p w14:paraId="6EF85915">
      <w:pPr>
        <w:pStyle w:val="5"/>
        <w:keepNext/>
        <w:keepLines/>
        <w:pageBreakBefore w:val="0"/>
        <w:widowControl w:val="0"/>
        <w:kinsoku/>
        <w:wordWrap/>
        <w:overflowPunct/>
        <w:topLinePunct w:val="0"/>
        <w:autoSpaceDE/>
        <w:autoSpaceDN/>
        <w:bidi w:val="0"/>
        <w:adjustRightInd/>
        <w:snapToGrid/>
        <w:ind w:left="0" w:leftChars="0" w:firstLine="0" w:firstLineChars="0"/>
        <w:textAlignment w:val="auto"/>
        <w:rPr>
          <w:rFonts w:hint="default" w:ascii="Arial" w:hAnsi="Arial"/>
          <w:b/>
          <w:lang w:val="en-US" w:eastAsia="zh-CN"/>
        </w:rPr>
      </w:pPr>
      <w:bookmarkStart w:id="227" w:name="_Toc7739"/>
      <w:bookmarkStart w:id="228" w:name="_Toc1588197321_WPSOffice_Level3"/>
      <w:r>
        <w:rPr>
          <w:rFonts w:hint="eastAsia" w:ascii="Arial" w:hAnsi="Arial"/>
          <w:b/>
          <w:lang w:val="en-US" w:eastAsia="zh-CN"/>
        </w:rPr>
        <w:t>校企合作办公  共筑就业桥梁</w:t>
      </w:r>
      <w:bookmarkEnd w:id="227"/>
      <w:bookmarkEnd w:id="228"/>
    </w:p>
    <w:p w14:paraId="315172E4">
      <w:pPr>
        <w:keepNext w:val="0"/>
        <w:keepLines w:val="0"/>
        <w:pageBreakBefore w:val="0"/>
        <w:widowControl/>
        <w:suppressLineNumbers w:val="0"/>
        <w:kinsoku/>
        <w:wordWrap/>
        <w:overflowPunct/>
        <w:topLinePunct w:val="0"/>
        <w:autoSpaceDE/>
        <w:autoSpaceDN/>
        <w:bidi w:val="0"/>
        <w:adjustRightInd/>
        <w:snapToGrid/>
        <w:jc w:val="right"/>
        <w:textAlignment w:val="auto"/>
        <w:rPr>
          <w:rFonts w:hint="eastAsia" w:ascii="楷体" w:hAnsi="楷体" w:eastAsia="楷体" w:cs="楷体"/>
          <w:color w:val="000000"/>
          <w:kern w:val="0"/>
          <w:sz w:val="30"/>
          <w:szCs w:val="30"/>
          <w:lang w:val="en-US" w:eastAsia="zh-CN" w:bidi="ar"/>
        </w:rPr>
      </w:pPr>
      <w:r>
        <w:rPr>
          <w:rFonts w:hint="eastAsia" w:ascii="楷体" w:hAnsi="楷体" w:eastAsia="楷体" w:cs="楷体"/>
          <w:color w:val="000000"/>
          <w:kern w:val="0"/>
          <w:sz w:val="30"/>
          <w:szCs w:val="30"/>
          <w:lang w:val="en-US" w:eastAsia="zh-CN" w:bidi="ar"/>
        </w:rPr>
        <w:t>——凌源市职业教育中心典型案例</w:t>
      </w:r>
    </w:p>
    <w:p w14:paraId="5259C9C1">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643" w:firstLineChars="200"/>
        <w:jc w:val="left"/>
        <w:textAlignment w:val="auto"/>
        <w:rPr>
          <w:rFonts w:hint="eastAsia" w:ascii="仿宋_GB2312" w:hAnsi="宋体" w:eastAsia="仿宋_GB2312" w:cs="宋体"/>
          <w:color w:val="000000"/>
          <w:kern w:val="0"/>
          <w:sz w:val="32"/>
          <w:szCs w:val="32"/>
        </w:rPr>
      </w:pPr>
      <w:r>
        <w:rPr>
          <w:rFonts w:hint="eastAsia" w:ascii="仿宋_GB2312" w:eastAsia="仿宋_GB2312"/>
          <w:b/>
          <w:bCs/>
          <w:sz w:val="32"/>
          <w:szCs w:val="36"/>
          <w:lang w:val="en-US" w:eastAsia="zh-CN"/>
        </w:rPr>
        <w:t>背景：</w:t>
      </w:r>
      <w:r>
        <w:rPr>
          <w:rFonts w:hint="eastAsia" w:ascii="仿宋_GB2312" w:hAnsi="宋体" w:eastAsia="仿宋_GB2312" w:cs="宋体"/>
          <w:color w:val="000000"/>
          <w:kern w:val="0"/>
          <w:sz w:val="32"/>
          <w:szCs w:val="32"/>
        </w:rPr>
        <w:t>为规范和加强职业学校学生岗位实习工作，维护学生、学校和实习单位的合法权益，提高技术技能人才培养质量，增强学生社会责任感、创新精神和实践能力，更好地为区域经济服务，</w:t>
      </w:r>
      <w:r>
        <w:rPr>
          <w:rFonts w:hint="eastAsia" w:ascii="仿宋_GB2312" w:hAnsi="宋体" w:eastAsia="仿宋_GB2312" w:cs="宋体"/>
          <w:color w:val="000000"/>
          <w:kern w:val="0"/>
          <w:sz w:val="32"/>
          <w:szCs w:val="32"/>
          <w:lang w:val="en-US" w:eastAsia="zh-CN"/>
        </w:rPr>
        <w:t>凌源市职业教育中心</w:t>
      </w:r>
      <w:r>
        <w:rPr>
          <w:rFonts w:hint="eastAsia" w:ascii="仿宋_GB2312" w:hAnsi="宋体" w:eastAsia="仿宋_GB2312" w:cs="宋体"/>
          <w:color w:val="000000"/>
          <w:kern w:val="0"/>
          <w:sz w:val="32"/>
          <w:szCs w:val="32"/>
        </w:rPr>
        <w:t>成立“校企合作办公室”，建立</w:t>
      </w:r>
      <w:r>
        <w:rPr>
          <w:rFonts w:hint="eastAsia" w:ascii="仿宋_GB2312" w:hAnsi="宋体" w:eastAsia="仿宋_GB2312" w:cs="宋体"/>
          <w:color w:val="000000"/>
          <w:kern w:val="0"/>
          <w:sz w:val="32"/>
          <w:szCs w:val="32"/>
          <w:lang w:eastAsia="zh-CN"/>
        </w:rPr>
        <w:t>了</w:t>
      </w:r>
      <w:r>
        <w:rPr>
          <w:rFonts w:hint="eastAsia" w:ascii="仿宋_GB2312" w:hAnsi="宋体" w:eastAsia="仿宋_GB2312" w:cs="宋体"/>
          <w:color w:val="000000"/>
          <w:kern w:val="0"/>
          <w:sz w:val="32"/>
          <w:szCs w:val="32"/>
        </w:rPr>
        <w:t>校部两级校企合作机构，确立了校企合作前进的方向。</w:t>
      </w:r>
    </w:p>
    <w:p w14:paraId="765AD66C">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643" w:firstLineChars="200"/>
        <w:jc w:val="left"/>
        <w:textAlignment w:val="auto"/>
        <w:rPr>
          <w:rFonts w:hint="eastAsia" w:ascii="仿宋_GB2312" w:hAnsi="宋体" w:eastAsia="仿宋_GB2312" w:cs="宋体"/>
          <w:color w:val="000000"/>
          <w:kern w:val="0"/>
          <w:sz w:val="32"/>
          <w:szCs w:val="32"/>
        </w:rPr>
      </w:pPr>
      <w:r>
        <w:rPr>
          <w:rFonts w:hint="eastAsia" w:ascii="仿宋_GB2312" w:eastAsia="仿宋_GB2312"/>
          <w:b/>
          <w:bCs/>
          <w:sz w:val="32"/>
          <w:szCs w:val="36"/>
          <w:lang w:val="en-US" w:eastAsia="zh-CN"/>
        </w:rPr>
        <w:t>过程与方法：</w:t>
      </w:r>
      <w:r>
        <w:rPr>
          <w:rFonts w:hint="eastAsia" w:ascii="仿宋_GB2312" w:hAnsi="宋体" w:eastAsia="仿宋_GB2312" w:cs="宋体"/>
          <w:color w:val="000000"/>
          <w:kern w:val="0"/>
          <w:sz w:val="32"/>
          <w:szCs w:val="32"/>
          <w:lang w:val="en-US" w:eastAsia="zh-CN"/>
        </w:rPr>
        <w:t>一是</w:t>
      </w:r>
      <w:r>
        <w:rPr>
          <w:rFonts w:hint="eastAsia" w:ascii="仿宋_GB2312" w:hAnsi="宋体" w:eastAsia="仿宋_GB2312" w:cs="宋体"/>
          <w:color w:val="000000"/>
          <w:kern w:val="0"/>
          <w:sz w:val="32"/>
          <w:szCs w:val="32"/>
        </w:rPr>
        <w:t>学校校企合作推荐以专业对口为重要前提，服务学生职业发展为导向。根据各专业特点、社会需求状况和学生实际，通过问卷调查对学生的岗位实习意向和相关企业用人需求进行调查，提高学生岗位实习的针对性。</w:t>
      </w:r>
      <w:r>
        <w:rPr>
          <w:rFonts w:hint="eastAsia" w:ascii="仿宋_GB2312" w:hAnsi="宋体" w:eastAsia="仿宋_GB2312" w:cs="宋体"/>
          <w:color w:val="000000"/>
          <w:kern w:val="0"/>
          <w:sz w:val="32"/>
          <w:szCs w:val="32"/>
          <w:lang w:eastAsia="zh-CN"/>
        </w:rPr>
        <w:t>二是</w:t>
      </w:r>
      <w:r>
        <w:rPr>
          <w:rFonts w:hint="eastAsia" w:ascii="仿宋_GB2312" w:hAnsi="宋体" w:eastAsia="仿宋_GB2312" w:cs="宋体"/>
          <w:color w:val="000000"/>
          <w:kern w:val="0"/>
          <w:sz w:val="32"/>
          <w:szCs w:val="32"/>
        </w:rPr>
        <w:t>在校开展职业生涯规划和实习指导专题讲座，激发学生的学习热情，求职的自信心和岗位实习主动性。</w:t>
      </w:r>
      <w:r>
        <w:rPr>
          <w:rFonts w:hint="eastAsia" w:ascii="仿宋_GB2312" w:hAnsi="宋体" w:eastAsia="仿宋_GB2312" w:cs="宋体"/>
          <w:color w:val="000000"/>
          <w:kern w:val="0"/>
          <w:sz w:val="32"/>
          <w:szCs w:val="32"/>
          <w:lang w:eastAsia="zh-CN"/>
        </w:rPr>
        <w:t>三是学</w:t>
      </w:r>
      <w:r>
        <w:rPr>
          <w:rFonts w:hint="eastAsia" w:ascii="仿宋_GB2312" w:hAnsi="宋体" w:eastAsia="仿宋_GB2312" w:cs="宋体"/>
          <w:color w:val="000000"/>
          <w:kern w:val="0"/>
          <w:sz w:val="32"/>
          <w:szCs w:val="32"/>
        </w:rPr>
        <w:t>校</w:t>
      </w:r>
      <w:r>
        <w:rPr>
          <w:rFonts w:hint="eastAsia" w:ascii="仿宋_GB2312" w:hAnsi="宋体" w:eastAsia="仿宋_GB2312" w:cs="宋体"/>
          <w:color w:val="000000"/>
          <w:kern w:val="0"/>
          <w:sz w:val="32"/>
          <w:szCs w:val="32"/>
          <w:lang w:eastAsia="zh-CN"/>
        </w:rPr>
        <w:t>积极对接，</w:t>
      </w:r>
      <w:r>
        <w:rPr>
          <w:rFonts w:hint="eastAsia" w:ascii="仿宋_GB2312" w:hAnsi="宋体" w:eastAsia="仿宋_GB2312" w:cs="宋体"/>
          <w:color w:val="000000"/>
          <w:kern w:val="0"/>
          <w:sz w:val="32"/>
          <w:szCs w:val="32"/>
        </w:rPr>
        <w:t>与300多家用人单位取得联系，并且与麦格纳宏立汽车系统（合肥）分公司、立讯精密工业（保定）有限公司、无锡盟创网络科技有限公司、北京延锋海纳川汽车饰件有限公司、海纳川李尔线束有限公司、中国重汽集团济南橡塑件有限公司、沈阳蓬勃盛网络科技有限公司、江苏安吉智行物流有限公司、长城汽车天津分公司、立讯精密工业（保定）有限公司、万控（天津）电气有限公司、北京神童双语幼儿园、北京万花筒幼儿园、敬鹏</w:t>
      </w:r>
      <w:r>
        <w:rPr>
          <w:rFonts w:hint="eastAsia" w:ascii="仿宋_GB2312" w:hAnsi="宋体" w:eastAsia="仿宋_GB2312" w:cs="宋体"/>
          <w:color w:val="000000"/>
          <w:kern w:val="0"/>
          <w:sz w:val="32"/>
          <w:szCs w:val="32"/>
          <w:lang w:eastAsia="zh-CN"/>
        </w:rPr>
        <w:t>（</w:t>
      </w:r>
      <w:r>
        <w:rPr>
          <w:rFonts w:hint="eastAsia" w:ascii="仿宋_GB2312" w:hAnsi="宋体" w:eastAsia="仿宋_GB2312" w:cs="宋体"/>
          <w:color w:val="000000"/>
          <w:kern w:val="0"/>
          <w:sz w:val="32"/>
          <w:szCs w:val="32"/>
        </w:rPr>
        <w:t>常熟</w:t>
      </w:r>
      <w:r>
        <w:rPr>
          <w:rFonts w:hint="eastAsia" w:ascii="仿宋_GB2312" w:hAnsi="宋体" w:eastAsia="仿宋_GB2312" w:cs="宋体"/>
          <w:color w:val="000000"/>
          <w:kern w:val="0"/>
          <w:sz w:val="32"/>
          <w:szCs w:val="32"/>
          <w:lang w:eastAsia="zh-CN"/>
        </w:rPr>
        <w:t>）</w:t>
      </w:r>
      <w:r>
        <w:rPr>
          <w:rFonts w:hint="eastAsia" w:ascii="仿宋_GB2312" w:hAnsi="宋体" w:eastAsia="仿宋_GB2312" w:cs="宋体"/>
          <w:color w:val="000000"/>
          <w:kern w:val="0"/>
          <w:sz w:val="32"/>
          <w:szCs w:val="32"/>
        </w:rPr>
        <w:t>电子有限公司、凌源市新伟业车辆销售有限责任公司、凌源市长吉幼儿园、凌源市恒艺舞蹈学校、凌源市帅诚广告公司、凌源市永大广告公司、凌源市红山电气设备有限公司等52家用人单位正式签订了校企合作协议，共同实现了双赢。</w:t>
      </w:r>
    </w:p>
    <w:p w14:paraId="74198A8D">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643" w:firstLineChars="200"/>
        <w:jc w:val="left"/>
        <w:textAlignment w:val="auto"/>
        <w:rPr>
          <w:rFonts w:hint="eastAsia" w:ascii="仿宋_GB2312" w:hAnsi="宋体" w:eastAsia="仿宋_GB2312" w:cs="宋体"/>
          <w:color w:val="000000"/>
          <w:kern w:val="0"/>
          <w:sz w:val="32"/>
          <w:szCs w:val="32"/>
          <w:lang w:eastAsia="zh-CN"/>
        </w:rPr>
      </w:pPr>
      <w:r>
        <w:rPr>
          <w:rFonts w:hint="eastAsia" w:ascii="仿宋_GB2312" w:eastAsia="仿宋_GB2312"/>
          <w:b/>
          <w:bCs/>
          <w:sz w:val="32"/>
          <w:szCs w:val="36"/>
          <w:lang w:val="en-US" w:eastAsia="zh-CN"/>
        </w:rPr>
        <w:t>成效：</w:t>
      </w:r>
      <w:r>
        <w:rPr>
          <w:rFonts w:hint="eastAsia" w:ascii="仿宋_GB2312" w:hAnsi="宋体" w:eastAsia="仿宋_GB2312" w:cs="宋体"/>
          <w:color w:val="000000"/>
          <w:kern w:val="0"/>
          <w:sz w:val="32"/>
          <w:szCs w:val="32"/>
        </w:rPr>
        <w:t>岗位实习后</w:t>
      </w:r>
      <w:r>
        <w:rPr>
          <w:rFonts w:hint="eastAsia" w:ascii="仿宋_GB2312" w:hAnsi="宋体" w:eastAsia="仿宋_GB2312" w:cs="宋体"/>
          <w:color w:val="000000"/>
          <w:kern w:val="0"/>
          <w:sz w:val="32"/>
          <w:szCs w:val="32"/>
          <w:lang w:eastAsia="zh-CN"/>
        </w:rPr>
        <w:t>，</w:t>
      </w:r>
      <w:r>
        <w:rPr>
          <w:rFonts w:hint="eastAsia" w:ascii="仿宋_GB2312" w:hAnsi="宋体" w:eastAsia="仿宋_GB2312" w:cs="宋体"/>
          <w:color w:val="000000"/>
          <w:kern w:val="0"/>
          <w:sz w:val="32"/>
          <w:szCs w:val="32"/>
        </w:rPr>
        <w:t>学生的</w:t>
      </w:r>
      <w:r>
        <w:rPr>
          <w:rFonts w:hint="eastAsia" w:ascii="仿宋_GB2312" w:hAnsi="宋体" w:eastAsia="仿宋_GB2312" w:cs="宋体"/>
          <w:color w:val="000000"/>
          <w:kern w:val="0"/>
          <w:sz w:val="32"/>
          <w:szCs w:val="32"/>
          <w:lang w:eastAsia="zh-CN"/>
        </w:rPr>
        <w:t>职业能力有了</w:t>
      </w:r>
      <w:r>
        <w:rPr>
          <w:rFonts w:hint="eastAsia" w:ascii="仿宋_GB2312" w:hAnsi="宋体" w:eastAsia="仿宋_GB2312" w:cs="宋体"/>
          <w:color w:val="000000"/>
          <w:kern w:val="0"/>
          <w:sz w:val="32"/>
          <w:szCs w:val="32"/>
        </w:rPr>
        <w:t>明显提升，</w:t>
      </w:r>
      <w:r>
        <w:rPr>
          <w:rFonts w:hint="eastAsia" w:ascii="仿宋_GB2312" w:hAnsi="宋体" w:eastAsia="仿宋_GB2312" w:cs="宋体"/>
          <w:color w:val="000000"/>
          <w:kern w:val="0"/>
          <w:sz w:val="32"/>
          <w:szCs w:val="32"/>
          <w:lang w:eastAsia="zh-CN"/>
        </w:rPr>
        <w:t>收入有了极大增加，</w:t>
      </w:r>
      <w:r>
        <w:rPr>
          <w:rFonts w:hint="eastAsia" w:ascii="仿宋_GB2312" w:hAnsi="宋体" w:eastAsia="仿宋_GB2312" w:cs="宋体"/>
          <w:color w:val="000000"/>
          <w:kern w:val="0"/>
          <w:sz w:val="32"/>
          <w:szCs w:val="32"/>
        </w:rPr>
        <w:t>成为家庭新的收入来源</w:t>
      </w:r>
      <w:r>
        <w:rPr>
          <w:rFonts w:hint="eastAsia" w:ascii="仿宋_GB2312" w:hAnsi="宋体" w:eastAsia="仿宋_GB2312" w:cs="宋体"/>
          <w:color w:val="000000"/>
          <w:kern w:val="0"/>
          <w:sz w:val="32"/>
          <w:szCs w:val="32"/>
          <w:lang w:eastAsia="zh-CN"/>
        </w:rPr>
        <w:t>。</w:t>
      </w:r>
    </w:p>
    <w:p w14:paraId="4FEF3D09">
      <w:pPr>
        <w:pStyle w:val="28"/>
        <w:bidi w:val="0"/>
        <w:rPr>
          <w:rFonts w:hint="eastAsia"/>
          <w:lang w:val="en-US" w:eastAsia="zh-CN"/>
        </w:rPr>
      </w:pPr>
      <w:bookmarkStart w:id="229" w:name="_Toc32514"/>
      <w:bookmarkStart w:id="230" w:name="_Toc19128"/>
      <w:bookmarkStart w:id="231" w:name="_Toc20391"/>
      <w:bookmarkStart w:id="232" w:name="_Toc6299"/>
      <w:bookmarkStart w:id="233" w:name="_Toc19782"/>
      <w:bookmarkStart w:id="234" w:name="_Toc6841"/>
      <w:bookmarkStart w:id="235" w:name="_Toc27948"/>
      <w:bookmarkStart w:id="236" w:name="_Toc17420"/>
      <w:bookmarkStart w:id="237" w:name="_Toc28708"/>
      <w:bookmarkStart w:id="238" w:name="_Toc7631"/>
      <w:bookmarkStart w:id="239" w:name="_Toc30422"/>
      <w:r>
        <w:rPr>
          <w:rFonts w:hint="eastAsia"/>
          <w:lang w:val="en-US" w:eastAsia="zh-CN"/>
        </w:rPr>
        <w:t>数据分析表11：凌源市职业教育中心岗位实习学生收入数据</w:t>
      </w:r>
      <w:bookmarkEnd w:id="229"/>
      <w:bookmarkEnd w:id="230"/>
      <w:bookmarkEnd w:id="231"/>
      <w:bookmarkEnd w:id="232"/>
      <w:bookmarkEnd w:id="233"/>
      <w:bookmarkEnd w:id="234"/>
      <w:bookmarkEnd w:id="235"/>
      <w:bookmarkEnd w:id="236"/>
      <w:bookmarkEnd w:id="237"/>
      <w:bookmarkEnd w:id="238"/>
      <w:bookmarkEnd w:id="239"/>
      <w:r>
        <w:rPr>
          <w:rFonts w:hint="eastAsia"/>
          <w:lang w:val="en-US" w:eastAsia="zh-CN"/>
        </w:rPr>
        <w:t xml:space="preserve">   </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14:paraId="16C6F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exact"/>
          <w:jc w:val="center"/>
        </w:trPr>
        <w:tc>
          <w:tcPr>
            <w:tcW w:w="2130" w:type="dxa"/>
            <w:shd w:val="clear" w:color="auto" w:fill="auto"/>
            <w:vAlign w:val="center"/>
          </w:tcPr>
          <w:p w14:paraId="3ED2B320">
            <w:pPr>
              <w:jc w:val="center"/>
              <w:rPr>
                <w:rFonts w:hint="eastAsia" w:asciiTheme="minorEastAsia" w:hAnsiTheme="minorEastAsia" w:eastAsiaTheme="minorEastAsia" w:cstheme="minorEastAsia"/>
                <w:b/>
                <w:bCs/>
              </w:rPr>
            </w:pPr>
            <w:r>
              <w:rPr>
                <w:rFonts w:hint="eastAsia" w:asciiTheme="minorEastAsia" w:hAnsiTheme="minorEastAsia" w:eastAsiaTheme="minorEastAsia" w:cstheme="minorEastAsia"/>
                <w:b/>
                <w:bCs/>
              </w:rPr>
              <w:t>月份</w:t>
            </w:r>
          </w:p>
        </w:tc>
        <w:tc>
          <w:tcPr>
            <w:tcW w:w="2130" w:type="dxa"/>
            <w:shd w:val="clear" w:color="auto" w:fill="auto"/>
            <w:vAlign w:val="center"/>
          </w:tcPr>
          <w:p w14:paraId="69A456A1">
            <w:pPr>
              <w:jc w:val="center"/>
              <w:rPr>
                <w:rFonts w:hint="eastAsia" w:asciiTheme="minorEastAsia" w:hAnsiTheme="minorEastAsia" w:eastAsiaTheme="minorEastAsia" w:cstheme="minorEastAsia"/>
                <w:b/>
                <w:bCs/>
              </w:rPr>
            </w:pPr>
            <w:r>
              <w:rPr>
                <w:rFonts w:hint="eastAsia" w:asciiTheme="minorEastAsia" w:hAnsiTheme="minorEastAsia" w:eastAsiaTheme="minorEastAsia" w:cstheme="minorEastAsia"/>
                <w:b/>
                <w:bCs/>
              </w:rPr>
              <w:t>少于4500元</w:t>
            </w:r>
          </w:p>
        </w:tc>
        <w:tc>
          <w:tcPr>
            <w:tcW w:w="2131" w:type="dxa"/>
            <w:shd w:val="clear" w:color="auto" w:fill="auto"/>
            <w:vAlign w:val="center"/>
          </w:tcPr>
          <w:p w14:paraId="0BF2619F">
            <w:pPr>
              <w:jc w:val="center"/>
              <w:rPr>
                <w:rFonts w:hint="eastAsia" w:asciiTheme="minorEastAsia" w:hAnsiTheme="minorEastAsia" w:eastAsiaTheme="minorEastAsia" w:cstheme="minorEastAsia"/>
                <w:b/>
                <w:bCs/>
              </w:rPr>
            </w:pPr>
            <w:r>
              <w:rPr>
                <w:rFonts w:hint="eastAsia" w:asciiTheme="minorEastAsia" w:hAnsiTheme="minorEastAsia" w:eastAsiaTheme="minorEastAsia" w:cstheme="minorEastAsia"/>
                <w:b/>
                <w:bCs/>
              </w:rPr>
              <w:t>4500元至5500元</w:t>
            </w:r>
          </w:p>
        </w:tc>
        <w:tc>
          <w:tcPr>
            <w:tcW w:w="2131" w:type="dxa"/>
            <w:shd w:val="clear" w:color="auto" w:fill="auto"/>
            <w:vAlign w:val="center"/>
          </w:tcPr>
          <w:p w14:paraId="4C498586">
            <w:pPr>
              <w:jc w:val="center"/>
              <w:rPr>
                <w:rFonts w:hint="eastAsia" w:asciiTheme="minorEastAsia" w:hAnsiTheme="minorEastAsia" w:eastAsiaTheme="minorEastAsia" w:cstheme="minorEastAsia"/>
                <w:b/>
                <w:bCs/>
              </w:rPr>
            </w:pPr>
            <w:r>
              <w:rPr>
                <w:rFonts w:hint="eastAsia" w:asciiTheme="minorEastAsia" w:hAnsiTheme="minorEastAsia" w:eastAsiaTheme="minorEastAsia" w:cstheme="minorEastAsia"/>
                <w:b/>
                <w:bCs/>
              </w:rPr>
              <w:t>大于5500元</w:t>
            </w:r>
          </w:p>
        </w:tc>
      </w:tr>
      <w:tr w14:paraId="45A3D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2130" w:type="dxa"/>
            <w:shd w:val="clear" w:color="auto" w:fill="auto"/>
            <w:vAlign w:val="center"/>
          </w:tcPr>
          <w:p w14:paraId="32A471B4">
            <w:pPr>
              <w:jc w:val="center"/>
              <w:rPr>
                <w:rFonts w:hint="eastAsia" w:asciiTheme="minorEastAsia" w:hAnsiTheme="minorEastAsia" w:eastAsiaTheme="minorEastAsia" w:cstheme="minorEastAsia"/>
                <w:b/>
                <w:bCs/>
              </w:rPr>
            </w:pPr>
            <w:r>
              <w:rPr>
                <w:rFonts w:hint="eastAsia" w:asciiTheme="minorEastAsia" w:hAnsiTheme="minorEastAsia" w:eastAsiaTheme="minorEastAsia" w:cstheme="minorEastAsia"/>
                <w:b/>
                <w:bCs/>
              </w:rPr>
              <w:t>9月（人数）</w:t>
            </w:r>
          </w:p>
        </w:tc>
        <w:tc>
          <w:tcPr>
            <w:tcW w:w="2130" w:type="dxa"/>
            <w:shd w:val="clear" w:color="auto" w:fill="auto"/>
            <w:vAlign w:val="center"/>
          </w:tcPr>
          <w:p w14:paraId="4C603CB5">
            <w:pPr>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5</w:t>
            </w:r>
          </w:p>
        </w:tc>
        <w:tc>
          <w:tcPr>
            <w:tcW w:w="2131" w:type="dxa"/>
            <w:shd w:val="clear" w:color="auto" w:fill="auto"/>
            <w:vAlign w:val="center"/>
          </w:tcPr>
          <w:p w14:paraId="0D758DBB">
            <w:pPr>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35</w:t>
            </w:r>
          </w:p>
        </w:tc>
        <w:tc>
          <w:tcPr>
            <w:tcW w:w="2131" w:type="dxa"/>
            <w:shd w:val="clear" w:color="auto" w:fill="auto"/>
            <w:vAlign w:val="center"/>
          </w:tcPr>
          <w:p w14:paraId="380F3085">
            <w:pPr>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8</w:t>
            </w:r>
          </w:p>
        </w:tc>
      </w:tr>
      <w:tr w14:paraId="37A58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2130" w:type="dxa"/>
            <w:shd w:val="clear" w:color="auto" w:fill="auto"/>
            <w:vAlign w:val="center"/>
          </w:tcPr>
          <w:p w14:paraId="270EAA64">
            <w:pPr>
              <w:jc w:val="center"/>
              <w:rPr>
                <w:rFonts w:hint="eastAsia" w:asciiTheme="minorEastAsia" w:hAnsiTheme="minorEastAsia" w:eastAsiaTheme="minorEastAsia" w:cstheme="minorEastAsia"/>
                <w:b/>
                <w:bCs/>
              </w:rPr>
            </w:pPr>
            <w:r>
              <w:rPr>
                <w:rFonts w:hint="eastAsia" w:asciiTheme="minorEastAsia" w:hAnsiTheme="minorEastAsia" w:eastAsiaTheme="minorEastAsia" w:cstheme="minorEastAsia"/>
                <w:b/>
                <w:bCs/>
              </w:rPr>
              <w:t>10月（人数）</w:t>
            </w:r>
          </w:p>
        </w:tc>
        <w:tc>
          <w:tcPr>
            <w:tcW w:w="2130" w:type="dxa"/>
            <w:shd w:val="clear" w:color="auto" w:fill="auto"/>
            <w:vAlign w:val="center"/>
          </w:tcPr>
          <w:p w14:paraId="0E9B54B1">
            <w:pPr>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4</w:t>
            </w:r>
          </w:p>
        </w:tc>
        <w:tc>
          <w:tcPr>
            <w:tcW w:w="2131" w:type="dxa"/>
            <w:shd w:val="clear" w:color="auto" w:fill="auto"/>
            <w:vAlign w:val="center"/>
          </w:tcPr>
          <w:p w14:paraId="5B1355EC">
            <w:pPr>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17</w:t>
            </w:r>
          </w:p>
        </w:tc>
        <w:tc>
          <w:tcPr>
            <w:tcW w:w="2131" w:type="dxa"/>
            <w:shd w:val="clear" w:color="auto" w:fill="auto"/>
            <w:vAlign w:val="center"/>
          </w:tcPr>
          <w:p w14:paraId="28BAB7D2">
            <w:pPr>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27</w:t>
            </w:r>
          </w:p>
        </w:tc>
      </w:tr>
      <w:tr w14:paraId="279F0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2130" w:type="dxa"/>
            <w:shd w:val="clear" w:color="auto" w:fill="auto"/>
            <w:vAlign w:val="center"/>
          </w:tcPr>
          <w:p w14:paraId="5B312EF9">
            <w:pPr>
              <w:jc w:val="center"/>
              <w:rPr>
                <w:rFonts w:hint="eastAsia" w:asciiTheme="minorEastAsia" w:hAnsiTheme="minorEastAsia" w:eastAsiaTheme="minorEastAsia" w:cstheme="minorEastAsia"/>
                <w:b/>
                <w:bCs/>
              </w:rPr>
            </w:pPr>
            <w:r>
              <w:rPr>
                <w:rFonts w:hint="eastAsia" w:asciiTheme="minorEastAsia" w:hAnsiTheme="minorEastAsia" w:eastAsiaTheme="minorEastAsia" w:cstheme="minorEastAsia"/>
                <w:b/>
                <w:bCs/>
              </w:rPr>
              <w:t>11月（人数）</w:t>
            </w:r>
          </w:p>
        </w:tc>
        <w:tc>
          <w:tcPr>
            <w:tcW w:w="2130" w:type="dxa"/>
            <w:shd w:val="clear" w:color="auto" w:fill="auto"/>
            <w:vAlign w:val="center"/>
          </w:tcPr>
          <w:p w14:paraId="7CFDAA3F">
            <w:pPr>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3</w:t>
            </w:r>
          </w:p>
        </w:tc>
        <w:tc>
          <w:tcPr>
            <w:tcW w:w="2131" w:type="dxa"/>
            <w:shd w:val="clear" w:color="auto" w:fill="auto"/>
            <w:vAlign w:val="center"/>
          </w:tcPr>
          <w:p w14:paraId="7F9473EB">
            <w:pPr>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22</w:t>
            </w:r>
          </w:p>
        </w:tc>
        <w:tc>
          <w:tcPr>
            <w:tcW w:w="2131" w:type="dxa"/>
            <w:shd w:val="clear" w:color="auto" w:fill="auto"/>
            <w:vAlign w:val="center"/>
          </w:tcPr>
          <w:p w14:paraId="06E8B1EC">
            <w:pPr>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23</w:t>
            </w:r>
          </w:p>
        </w:tc>
      </w:tr>
      <w:tr w14:paraId="4B337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2130" w:type="dxa"/>
            <w:shd w:val="clear" w:color="auto" w:fill="auto"/>
            <w:vAlign w:val="center"/>
          </w:tcPr>
          <w:p w14:paraId="761F3601">
            <w:pPr>
              <w:jc w:val="center"/>
              <w:rPr>
                <w:rFonts w:hint="eastAsia" w:asciiTheme="minorEastAsia" w:hAnsiTheme="minorEastAsia" w:eastAsiaTheme="minorEastAsia" w:cstheme="minorEastAsia"/>
                <w:b/>
                <w:bCs/>
              </w:rPr>
            </w:pPr>
            <w:r>
              <w:rPr>
                <w:rFonts w:hint="eastAsia" w:asciiTheme="minorEastAsia" w:hAnsiTheme="minorEastAsia" w:eastAsiaTheme="minorEastAsia" w:cstheme="minorEastAsia"/>
                <w:b/>
                <w:bCs/>
              </w:rPr>
              <w:t>12月（人数）</w:t>
            </w:r>
          </w:p>
        </w:tc>
        <w:tc>
          <w:tcPr>
            <w:tcW w:w="2130" w:type="dxa"/>
            <w:shd w:val="clear" w:color="auto" w:fill="auto"/>
            <w:vAlign w:val="center"/>
          </w:tcPr>
          <w:p w14:paraId="2FB525D9">
            <w:pPr>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0</w:t>
            </w:r>
          </w:p>
        </w:tc>
        <w:tc>
          <w:tcPr>
            <w:tcW w:w="2131" w:type="dxa"/>
            <w:shd w:val="clear" w:color="auto" w:fill="auto"/>
            <w:vAlign w:val="center"/>
          </w:tcPr>
          <w:p w14:paraId="71F633D6">
            <w:pPr>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12</w:t>
            </w:r>
          </w:p>
        </w:tc>
        <w:tc>
          <w:tcPr>
            <w:tcW w:w="2131" w:type="dxa"/>
            <w:shd w:val="clear" w:color="auto" w:fill="auto"/>
            <w:vAlign w:val="center"/>
          </w:tcPr>
          <w:p w14:paraId="289750AB">
            <w:pPr>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36</w:t>
            </w:r>
          </w:p>
        </w:tc>
      </w:tr>
    </w:tbl>
    <w:p w14:paraId="03AE0478">
      <w:pPr>
        <w:pStyle w:val="28"/>
        <w:bidi w:val="0"/>
        <w:rPr>
          <w:rFonts w:hint="eastAsia" w:eastAsia="宋体"/>
          <w:sz w:val="28"/>
          <w:szCs w:val="28"/>
          <w:lang w:eastAsia="zh-CN"/>
        </w:rPr>
      </w:pPr>
      <w:bookmarkStart w:id="240" w:name="_Toc17921"/>
      <w:r>
        <w:rPr>
          <w:rFonts w:hint="eastAsia" w:asciiTheme="minorEastAsia" w:hAnsiTheme="minorEastAsia" w:eastAsiaTheme="minorEastAsia" w:cstheme="minorEastAsia"/>
          <w:b w:val="0"/>
          <w:bCs w:val="0"/>
          <w:sz w:val="21"/>
          <w:szCs w:val="21"/>
          <w:lang w:val="en-US" w:eastAsia="zh-CN"/>
        </w:rPr>
        <w:t>（</w:t>
      </w:r>
      <w:r>
        <w:rPr>
          <w:rFonts w:hint="eastAsia" w:asciiTheme="minorEastAsia" w:hAnsiTheme="minorEastAsia" w:eastAsiaTheme="minorEastAsia" w:cstheme="minorEastAsia"/>
          <w:b w:val="0"/>
          <w:bCs w:val="0"/>
          <w:sz w:val="21"/>
          <w:szCs w:val="21"/>
        </w:rPr>
        <w:t>来源：凌源市职业教育中心</w:t>
      </w:r>
      <w:r>
        <w:rPr>
          <w:rFonts w:hint="eastAsia" w:asciiTheme="minorEastAsia" w:hAnsiTheme="minorEastAsia" w:eastAsiaTheme="minorEastAsia" w:cstheme="minorEastAsia"/>
          <w:b w:val="0"/>
          <w:bCs w:val="0"/>
          <w:sz w:val="21"/>
          <w:szCs w:val="21"/>
          <w:lang w:val="en-US" w:eastAsia="zh-CN"/>
        </w:rPr>
        <w:t>）</w:t>
      </w:r>
      <w:bookmarkEnd w:id="240"/>
    </w:p>
    <w:p w14:paraId="3023C553">
      <w:pPr>
        <w:jc w:val="center"/>
        <w:rPr>
          <w:rFonts w:hint="eastAsia" w:eastAsia="宋体"/>
          <w:sz w:val="28"/>
          <w:szCs w:val="28"/>
          <w:lang w:eastAsia="zh-CN"/>
        </w:rPr>
      </w:pPr>
      <w:r>
        <w:rPr>
          <w:rFonts w:hint="eastAsia" w:eastAsia="宋体"/>
          <w:sz w:val="28"/>
          <w:szCs w:val="28"/>
          <w:lang w:eastAsia="zh-CN"/>
        </w:rPr>
        <w:drawing>
          <wp:inline distT="0" distB="0" distL="114300" distR="114300">
            <wp:extent cx="4646295" cy="2125345"/>
            <wp:effectExtent l="0" t="0" r="1905" b="8255"/>
            <wp:docPr id="5" name="图片 5" descr="8"/>
            <wp:cNvGraphicFramePr/>
            <a:graphic xmlns:a="http://schemas.openxmlformats.org/drawingml/2006/main">
              <a:graphicData uri="http://schemas.openxmlformats.org/drawingml/2006/picture">
                <pic:pic xmlns:pic="http://schemas.openxmlformats.org/drawingml/2006/picture">
                  <pic:nvPicPr>
                    <pic:cNvPr id="5" name="图片 5" descr="8"/>
                    <pic:cNvPicPr/>
                  </pic:nvPicPr>
                  <pic:blipFill>
                    <a:blip r:embed="rId48"/>
                    <a:srcRect t="2816"/>
                    <a:stretch>
                      <a:fillRect/>
                    </a:stretch>
                  </pic:blipFill>
                  <pic:spPr>
                    <a:xfrm>
                      <a:off x="0" y="0"/>
                      <a:ext cx="4646295" cy="2125345"/>
                    </a:xfrm>
                    <a:prstGeom prst="rect">
                      <a:avLst/>
                    </a:prstGeom>
                  </pic:spPr>
                </pic:pic>
              </a:graphicData>
            </a:graphic>
          </wp:inline>
        </w:drawing>
      </w:r>
    </w:p>
    <w:p w14:paraId="4FC70F6E">
      <w:pPr>
        <w:pStyle w:val="29"/>
        <w:bidi w:val="0"/>
        <w:rPr>
          <w:rFonts w:hint="eastAsia"/>
          <w:lang w:val="en-US" w:eastAsia="zh-CN"/>
        </w:rPr>
      </w:pPr>
      <w:bookmarkStart w:id="241" w:name="_Toc18272"/>
      <w:bookmarkStart w:id="242" w:name="_Toc26392"/>
      <w:bookmarkStart w:id="243" w:name="_Toc6333"/>
      <w:bookmarkStart w:id="244" w:name="_Toc29697"/>
      <w:bookmarkStart w:id="245" w:name="_Toc31843"/>
      <w:bookmarkStart w:id="246" w:name="_Toc10379"/>
      <w:r>
        <w:rPr>
          <w:rFonts w:hint="eastAsia"/>
          <w:lang w:val="en-US" w:eastAsia="zh-CN"/>
        </w:rPr>
        <w:t>数据分析图11：凌源市职业教育中心岗位实习学生收入数据</w:t>
      </w:r>
      <w:bookmarkEnd w:id="241"/>
      <w:bookmarkEnd w:id="242"/>
      <w:bookmarkEnd w:id="243"/>
      <w:bookmarkEnd w:id="244"/>
      <w:bookmarkEnd w:id="245"/>
      <w:r>
        <w:rPr>
          <w:rFonts w:hint="eastAsia"/>
          <w:lang w:val="en-US" w:eastAsia="zh-CN"/>
        </w:rPr>
        <w:t xml:space="preserve">  （来源：凌源市职业教育中心）</w:t>
      </w:r>
      <w:bookmarkEnd w:id="246"/>
    </w:p>
    <w:p w14:paraId="2FDDD284">
      <w:pPr>
        <w:pStyle w:val="2"/>
        <w:keepNext w:val="0"/>
        <w:keepLines w:val="0"/>
        <w:pageBreakBefore w:val="0"/>
        <w:kinsoku/>
        <w:wordWrap/>
        <w:overflowPunct/>
        <w:topLinePunct w:val="0"/>
        <w:autoSpaceDE/>
        <w:autoSpaceDN/>
        <w:bidi w:val="0"/>
        <w:adjustRightInd/>
        <w:snapToGrid/>
        <w:spacing w:line="500" w:lineRule="exact"/>
        <w:textAlignment w:val="auto"/>
        <w:rPr>
          <w:rFonts w:hint="eastAsia" w:ascii="楷体" w:hAnsi="楷体" w:eastAsia="楷体" w:cs="楷体"/>
          <w:b/>
          <w:bCs w:val="0"/>
          <w:sz w:val="32"/>
          <w:szCs w:val="32"/>
          <w:lang w:val="en-US" w:eastAsia="zh-CN"/>
        </w:rPr>
      </w:pPr>
      <w:bookmarkStart w:id="247" w:name="_Toc18621"/>
      <w:r>
        <w:rPr>
          <w:rFonts w:hint="eastAsia" w:ascii="楷体" w:hAnsi="楷体" w:eastAsia="楷体" w:cs="楷体"/>
          <w:b/>
          <w:bCs w:val="0"/>
          <w:sz w:val="32"/>
          <w:szCs w:val="32"/>
          <w:lang w:val="en-US" w:eastAsia="zh-CN"/>
        </w:rPr>
        <w:t>5.2产教资源共建</w:t>
      </w:r>
      <w:bookmarkEnd w:id="247"/>
    </w:p>
    <w:p w14:paraId="1787358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pacing w:val="-6"/>
          <w:kern w:val="0"/>
          <w:sz w:val="32"/>
          <w:szCs w:val="32"/>
        </w:rPr>
      </w:pPr>
      <w:r>
        <w:rPr>
          <w:rFonts w:hint="eastAsia" w:ascii="仿宋_GB2312" w:hAnsi="仿宋_GB2312" w:eastAsia="仿宋_GB2312" w:cs="仿宋_GB2312"/>
          <w:sz w:val="32"/>
          <w:szCs w:val="36"/>
          <w:lang w:val="en-US" w:eastAsia="zh-CN"/>
        </w:rPr>
        <w:t>近年，积极引导全市中等职业学校进行办学体制改革，与行业、企业共同构建协同办学、协同育人、协同创新、协同就业的育人模式，探索多种所有制办学模式，大胆尝试校企双主体办学鼓励学校利用师资、场地、专业等优势，引入社会资金、管理、技术设备等资源，共建共管产教融合型实训基地。</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北票市职教中心与辽宁石化职业技术学院、朝阳宏晟机械制造有限公司</w:t>
      </w:r>
      <w:r>
        <w:rPr>
          <w:rFonts w:hint="eastAsia" w:ascii="仿宋_GB2312" w:hAnsi="仿宋_GB2312" w:eastAsia="仿宋_GB2312" w:cs="仿宋_GB2312"/>
          <w:kern w:val="0"/>
          <w:sz w:val="32"/>
          <w:szCs w:val="32"/>
        </w:rPr>
        <w:t>面向县域制造业</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共建了辽宁石化职业技术学院北票市乡村振兴学院，建</w:t>
      </w:r>
      <w:r>
        <w:rPr>
          <w:rFonts w:hint="eastAsia" w:ascii="仿宋_GB2312" w:hAnsi="仿宋_GB2312" w:eastAsia="仿宋_GB2312" w:cs="仿宋_GB2312"/>
          <w:color w:val="000000" w:themeColor="text1"/>
          <w:spacing w:val="-6"/>
          <w:sz w:val="32"/>
          <w:szCs w:val="32"/>
          <w:lang w:val="en-US" w:eastAsia="zh-CN"/>
          <w14:textFill>
            <w14:solidFill>
              <w14:schemeClr w14:val="tx1"/>
            </w14:solidFill>
          </w14:textFill>
        </w:rPr>
        <w:t>平县职教中心与辽宁农业职业技术学院、辽宁建平牧原有限公司</w:t>
      </w:r>
      <w:r>
        <w:rPr>
          <w:rFonts w:hint="eastAsia" w:ascii="仿宋_GB2312" w:hAnsi="仿宋_GB2312" w:eastAsia="仿宋_GB2312" w:cs="仿宋_GB2312"/>
          <w:spacing w:val="-6"/>
          <w:kern w:val="0"/>
          <w:sz w:val="32"/>
          <w:szCs w:val="32"/>
        </w:rPr>
        <w:t>面向县域畜牧业</w:t>
      </w:r>
      <w:r>
        <w:rPr>
          <w:rFonts w:hint="eastAsia" w:ascii="仿宋_GB2312" w:hAnsi="仿宋_GB2312" w:eastAsia="仿宋_GB2312" w:cs="仿宋_GB2312"/>
          <w:color w:val="000000" w:themeColor="text1"/>
          <w:spacing w:val="-6"/>
          <w:sz w:val="32"/>
          <w:szCs w:val="32"/>
          <w:lang w:val="en-US" w:eastAsia="zh-CN"/>
          <w14:textFill>
            <w14:solidFill>
              <w14:schemeClr w14:val="tx1"/>
            </w14:solidFill>
          </w14:textFill>
        </w:rPr>
        <w:t>共建了辽宁农业职业技术学院建平县乡村振兴学院</w:t>
      </w:r>
      <w:r>
        <w:rPr>
          <w:rFonts w:hint="eastAsia" w:ascii="仿宋_GB2312" w:hAnsi="仿宋_GB2312" w:eastAsia="仿宋_GB2312" w:cs="仿宋_GB2312"/>
          <w:spacing w:val="-6"/>
          <w:kern w:val="0"/>
          <w:sz w:val="32"/>
          <w:szCs w:val="32"/>
        </w:rPr>
        <w:t>，联合开展“3+2”贯通培养，获得全省首批乡村振兴学院建设支持，占全省总数的2/15，实现高职技术技能人才县域培养新突破。</w:t>
      </w:r>
    </w:p>
    <w:p w14:paraId="5DD54AD1">
      <w:pPr>
        <w:pStyle w:val="28"/>
        <w:bidi w:val="0"/>
        <w:rPr>
          <w:rFonts w:hint="eastAsia"/>
          <w:lang w:val="en-US" w:eastAsia="zh-CN"/>
        </w:rPr>
      </w:pPr>
      <w:bookmarkStart w:id="248" w:name="_Toc10569"/>
      <w:bookmarkStart w:id="249" w:name="_Toc3520"/>
      <w:r>
        <w:rPr>
          <w:rFonts w:hint="eastAsia"/>
          <w:lang w:val="en-US" w:eastAsia="zh-CN"/>
        </w:rPr>
        <w:t>数据分析表12：朝阳市入选省首批乡村振兴学院数据统计表</w:t>
      </w:r>
      <w:bookmarkEnd w:id="248"/>
      <w:bookmarkEnd w:id="249"/>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39"/>
        <w:gridCol w:w="2882"/>
      </w:tblGrid>
      <w:tr w14:paraId="65B66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739" w:type="dxa"/>
          </w:tcPr>
          <w:p w14:paraId="3F3082EE">
            <w:pPr>
              <w:jc w:val="center"/>
              <w:rPr>
                <w:rFonts w:hint="eastAsia" w:ascii="Times New Roman" w:hAnsi="Times New Roman" w:eastAsia="仿宋" w:cs="Times New Roman"/>
                <w:b/>
                <w:bCs/>
                <w:spacing w:val="-6"/>
                <w:kern w:val="0"/>
                <w:sz w:val="32"/>
                <w:szCs w:val="32"/>
                <w:vertAlign w:val="baseline"/>
                <w:lang w:eastAsia="zh-CN"/>
              </w:rPr>
            </w:pPr>
            <w:r>
              <w:rPr>
                <w:rFonts w:hint="eastAsia" w:ascii="Times New Roman" w:hAnsi="Times New Roman" w:eastAsia="仿宋" w:cs="Times New Roman"/>
                <w:b/>
                <w:bCs/>
                <w:spacing w:val="-6"/>
                <w:kern w:val="0"/>
                <w:sz w:val="32"/>
                <w:szCs w:val="32"/>
              </w:rPr>
              <w:t>省首批乡村振兴学院</w:t>
            </w:r>
            <w:r>
              <w:rPr>
                <w:rFonts w:hint="eastAsia" w:ascii="Times New Roman" w:hAnsi="Times New Roman" w:eastAsia="仿宋" w:cs="Times New Roman"/>
                <w:b/>
                <w:bCs/>
                <w:spacing w:val="-6"/>
                <w:kern w:val="0"/>
                <w:sz w:val="32"/>
                <w:szCs w:val="32"/>
                <w:lang w:eastAsia="zh-CN"/>
              </w:rPr>
              <w:t>建设数量</w:t>
            </w:r>
          </w:p>
        </w:tc>
        <w:tc>
          <w:tcPr>
            <w:tcW w:w="2882" w:type="dxa"/>
          </w:tcPr>
          <w:p w14:paraId="77A62224">
            <w:pPr>
              <w:jc w:val="center"/>
              <w:rPr>
                <w:rFonts w:hint="eastAsia" w:ascii="Times New Roman" w:hAnsi="Times New Roman" w:eastAsia="仿宋" w:cs="Times New Roman"/>
                <w:b/>
                <w:bCs/>
                <w:spacing w:val="-6"/>
                <w:kern w:val="0"/>
                <w:sz w:val="32"/>
                <w:szCs w:val="32"/>
                <w:vertAlign w:val="baseline"/>
                <w:lang w:eastAsia="zh-CN"/>
              </w:rPr>
            </w:pPr>
            <w:r>
              <w:rPr>
                <w:rFonts w:hint="eastAsia" w:ascii="Times New Roman" w:hAnsi="Times New Roman" w:eastAsia="仿宋" w:cs="Times New Roman"/>
                <w:b/>
                <w:bCs/>
                <w:spacing w:val="-6"/>
                <w:kern w:val="0"/>
                <w:sz w:val="32"/>
                <w:szCs w:val="32"/>
                <w:vertAlign w:val="baseline"/>
                <w:lang w:eastAsia="zh-CN"/>
              </w:rPr>
              <w:t>朝阳市入选数量</w:t>
            </w:r>
          </w:p>
        </w:tc>
      </w:tr>
      <w:tr w14:paraId="08F0D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4739" w:type="dxa"/>
          </w:tcPr>
          <w:p w14:paraId="76C33952">
            <w:pPr>
              <w:jc w:val="center"/>
              <w:rPr>
                <w:rFonts w:hint="eastAsia" w:ascii="仿宋_GB2312" w:hAnsi="仿宋_GB2312" w:eastAsia="仿宋_GB2312" w:cs="仿宋_GB2312"/>
                <w:spacing w:val="-6"/>
                <w:kern w:val="0"/>
                <w:sz w:val="30"/>
                <w:szCs w:val="30"/>
                <w:vertAlign w:val="baseline"/>
                <w:lang w:val="en-US" w:eastAsia="zh-CN"/>
              </w:rPr>
            </w:pPr>
            <w:r>
              <w:rPr>
                <w:rFonts w:hint="eastAsia" w:ascii="仿宋_GB2312" w:hAnsi="仿宋_GB2312" w:eastAsia="仿宋_GB2312" w:cs="仿宋_GB2312"/>
                <w:spacing w:val="-6"/>
                <w:kern w:val="0"/>
                <w:sz w:val="30"/>
                <w:szCs w:val="30"/>
                <w:vertAlign w:val="baseline"/>
                <w:lang w:val="en-US" w:eastAsia="zh-CN"/>
              </w:rPr>
              <w:t>15</w:t>
            </w:r>
          </w:p>
        </w:tc>
        <w:tc>
          <w:tcPr>
            <w:tcW w:w="2882" w:type="dxa"/>
          </w:tcPr>
          <w:p w14:paraId="3CA78C57">
            <w:pPr>
              <w:jc w:val="center"/>
              <w:rPr>
                <w:rFonts w:hint="eastAsia" w:ascii="仿宋_GB2312" w:hAnsi="仿宋_GB2312" w:eastAsia="仿宋_GB2312" w:cs="仿宋_GB2312"/>
                <w:spacing w:val="-6"/>
                <w:kern w:val="0"/>
                <w:sz w:val="30"/>
                <w:szCs w:val="30"/>
                <w:vertAlign w:val="baseline"/>
                <w:lang w:val="en-US" w:eastAsia="zh-CN"/>
              </w:rPr>
            </w:pPr>
            <w:r>
              <w:rPr>
                <w:rFonts w:hint="eastAsia" w:ascii="仿宋_GB2312" w:hAnsi="仿宋_GB2312" w:eastAsia="仿宋_GB2312" w:cs="仿宋_GB2312"/>
                <w:spacing w:val="-6"/>
                <w:kern w:val="0"/>
                <w:sz w:val="30"/>
                <w:szCs w:val="30"/>
                <w:vertAlign w:val="baseline"/>
                <w:lang w:val="en-US" w:eastAsia="zh-CN"/>
              </w:rPr>
              <w:t>2</w:t>
            </w:r>
          </w:p>
        </w:tc>
      </w:tr>
    </w:tbl>
    <w:p w14:paraId="706B27D9">
      <w:pPr>
        <w:jc w:val="center"/>
        <w:rPr>
          <w:rFonts w:hint="eastAsia" w:ascii="Times New Roman" w:hAnsi="Times New Roman" w:eastAsia="仿宋" w:cs="Times New Roman"/>
          <w:spacing w:val="-6"/>
          <w:kern w:val="0"/>
          <w:sz w:val="10"/>
          <w:szCs w:val="10"/>
          <w:lang w:eastAsia="zh-CN"/>
        </w:rPr>
      </w:pPr>
    </w:p>
    <w:p w14:paraId="0939BFF4">
      <w:pPr>
        <w:jc w:val="center"/>
        <w:rPr>
          <w:rFonts w:hint="eastAsia" w:ascii="Times New Roman" w:hAnsi="Times New Roman" w:eastAsia="仿宋" w:cs="Times New Roman"/>
          <w:spacing w:val="-6"/>
          <w:kern w:val="0"/>
          <w:sz w:val="32"/>
          <w:szCs w:val="32"/>
          <w:lang w:eastAsia="zh-CN"/>
        </w:rPr>
      </w:pPr>
      <w:r>
        <w:rPr>
          <w:rFonts w:hint="eastAsia" w:ascii="Times New Roman" w:hAnsi="Times New Roman" w:eastAsia="仿宋" w:cs="Times New Roman"/>
          <w:spacing w:val="-6"/>
          <w:kern w:val="0"/>
          <w:sz w:val="32"/>
          <w:szCs w:val="32"/>
          <w:lang w:eastAsia="zh-CN"/>
        </w:rPr>
        <w:drawing>
          <wp:inline distT="0" distB="0" distL="114300" distR="114300">
            <wp:extent cx="4866640" cy="2191385"/>
            <wp:effectExtent l="4445" t="4445" r="5715" b="13970"/>
            <wp:docPr id="16" name="图表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1F9E2D7A">
      <w:pPr>
        <w:pStyle w:val="29"/>
        <w:bidi w:val="0"/>
        <w:rPr>
          <w:rFonts w:hint="eastAsia"/>
          <w:lang w:val="en-US" w:eastAsia="zh-CN"/>
        </w:rPr>
      </w:pPr>
      <w:bookmarkStart w:id="250" w:name="_Toc11511"/>
      <w:r>
        <w:rPr>
          <w:rFonts w:hint="eastAsia"/>
          <w:lang w:val="en-US" w:eastAsia="zh-CN"/>
        </w:rPr>
        <w:t>数据分析图12：朝阳市入选省首批乡村振兴学院数据分析图</w:t>
      </w:r>
      <w:bookmarkEnd w:id="250"/>
    </w:p>
    <w:p w14:paraId="0D76D284">
      <w:pPr>
        <w:jc w:val="center"/>
        <w:rPr>
          <w:rFonts w:hint="eastAsia"/>
        </w:rPr>
      </w:pPr>
      <w:r>
        <w:rPr>
          <w:rFonts w:hint="eastAsia"/>
        </w:rPr>
        <w:drawing>
          <wp:inline distT="0" distB="0" distL="114300" distR="114300">
            <wp:extent cx="4838065" cy="2477135"/>
            <wp:effectExtent l="0" t="0" r="635" b="18415"/>
            <wp:docPr id="58" name="图片 58" descr="图片3"/>
            <wp:cNvGraphicFramePr/>
            <a:graphic xmlns:a="http://schemas.openxmlformats.org/drawingml/2006/main">
              <a:graphicData uri="http://schemas.openxmlformats.org/drawingml/2006/picture">
                <pic:pic xmlns:pic="http://schemas.openxmlformats.org/drawingml/2006/picture">
                  <pic:nvPicPr>
                    <pic:cNvPr id="58" name="图片 58" descr="图片3"/>
                    <pic:cNvPicPr/>
                  </pic:nvPicPr>
                  <pic:blipFill>
                    <a:blip r:embed="rId50"/>
                    <a:srcRect l="4851" t="2463" r="4593" b="3215"/>
                    <a:stretch>
                      <a:fillRect/>
                    </a:stretch>
                  </pic:blipFill>
                  <pic:spPr>
                    <a:xfrm>
                      <a:off x="0" y="0"/>
                      <a:ext cx="4838065" cy="2477135"/>
                    </a:xfrm>
                    <a:prstGeom prst="rect">
                      <a:avLst/>
                    </a:prstGeom>
                  </pic:spPr>
                </pic:pic>
              </a:graphicData>
            </a:graphic>
          </wp:inline>
        </w:drawing>
      </w:r>
    </w:p>
    <w:p w14:paraId="4F238B7D">
      <w:pPr>
        <w:pStyle w:val="14"/>
        <w:bidi w:val="0"/>
        <w:jc w:val="center"/>
        <w:rPr>
          <w:rFonts w:hint="eastAsia"/>
          <w:lang w:val="en-US" w:eastAsia="zh-CN"/>
        </w:rPr>
      </w:pPr>
      <w:bookmarkStart w:id="251" w:name="_Toc15975"/>
      <w:bookmarkStart w:id="252" w:name="_Toc8769"/>
      <w:bookmarkStart w:id="253" w:name="_Toc17060"/>
      <w:bookmarkStart w:id="254" w:name="_Toc31676"/>
      <w:r>
        <w:rPr>
          <w:rFonts w:hint="eastAsia"/>
          <w:lang w:val="en-US" w:eastAsia="zh-CN"/>
        </w:rPr>
        <w:t>图29：建平县职教中心电子商务产业园（来源：建平县职教中心）</w:t>
      </w:r>
      <w:bookmarkEnd w:id="251"/>
      <w:bookmarkEnd w:id="252"/>
      <w:bookmarkEnd w:id="253"/>
      <w:bookmarkEnd w:id="254"/>
    </w:p>
    <w:p w14:paraId="050B3B2E">
      <w:pPr>
        <w:pStyle w:val="15"/>
        <w:keepNext w:val="0"/>
        <w:keepLines w:val="0"/>
        <w:pageBreakBefore w:val="0"/>
        <w:widowControl w:val="0"/>
        <w:kinsoku/>
        <w:wordWrap/>
        <w:overflowPunct/>
        <w:topLinePunct w:val="0"/>
        <w:autoSpaceDE/>
        <w:autoSpaceDN/>
        <w:bidi w:val="0"/>
        <w:adjustRightInd/>
        <w:snapToGrid/>
        <w:ind w:left="0" w:leftChars="0"/>
        <w:jc w:val="center"/>
        <w:textAlignment w:val="auto"/>
        <w:rPr>
          <w:rFonts w:hint="eastAsia"/>
          <w:lang w:val="en-US" w:eastAsia="zh-CN"/>
        </w:rPr>
      </w:pPr>
      <w:r>
        <w:rPr>
          <w:rFonts w:hint="eastAsia"/>
          <w:lang w:val="en-US" w:eastAsia="zh-CN"/>
        </w:rPr>
        <w:drawing>
          <wp:inline distT="0" distB="0" distL="114300" distR="114300">
            <wp:extent cx="5002530" cy="3701415"/>
            <wp:effectExtent l="0" t="0" r="7620" b="13335"/>
            <wp:docPr id="31" name="图片 31" descr="实训"/>
            <wp:cNvGraphicFramePr/>
            <a:graphic xmlns:a="http://schemas.openxmlformats.org/drawingml/2006/main">
              <a:graphicData uri="http://schemas.openxmlformats.org/drawingml/2006/picture">
                <pic:pic xmlns:pic="http://schemas.openxmlformats.org/drawingml/2006/picture">
                  <pic:nvPicPr>
                    <pic:cNvPr id="31" name="图片 31" descr="实训"/>
                    <pic:cNvPicPr/>
                  </pic:nvPicPr>
                  <pic:blipFill>
                    <a:blip r:embed="rId51"/>
                    <a:stretch>
                      <a:fillRect/>
                    </a:stretch>
                  </pic:blipFill>
                  <pic:spPr>
                    <a:xfrm>
                      <a:off x="0" y="0"/>
                      <a:ext cx="5002530" cy="3701415"/>
                    </a:xfrm>
                    <a:prstGeom prst="rect">
                      <a:avLst/>
                    </a:prstGeom>
                  </pic:spPr>
                </pic:pic>
              </a:graphicData>
            </a:graphic>
          </wp:inline>
        </w:drawing>
      </w:r>
    </w:p>
    <w:p w14:paraId="32B05445">
      <w:pPr>
        <w:pStyle w:val="14"/>
        <w:bidi w:val="0"/>
        <w:jc w:val="center"/>
        <w:rPr>
          <w:rFonts w:hint="eastAsia"/>
          <w:lang w:val="en-US" w:eastAsia="zh-CN"/>
        </w:rPr>
      </w:pPr>
      <w:bookmarkStart w:id="255" w:name="_Toc1449"/>
      <w:bookmarkStart w:id="256" w:name="_Toc25992"/>
      <w:bookmarkStart w:id="257" w:name="_Toc27870"/>
      <w:bookmarkStart w:id="258" w:name="_Toc4843"/>
      <w:r>
        <w:rPr>
          <w:rFonts w:hint="eastAsia"/>
          <w:lang w:val="en-US" w:eastAsia="zh-CN"/>
        </w:rPr>
        <w:t>图30：建平县职教中心电商专业小平房实训基地揭牌仪式（来源：建平县职教中心）</w:t>
      </w:r>
      <w:bookmarkEnd w:id="255"/>
      <w:bookmarkEnd w:id="256"/>
      <w:bookmarkEnd w:id="257"/>
      <w:bookmarkEnd w:id="258"/>
    </w:p>
    <w:p w14:paraId="08631F59">
      <w:pPr>
        <w:pStyle w:val="5"/>
        <w:keepNext/>
        <w:keepLines/>
        <w:pageBreakBefore w:val="0"/>
        <w:widowControl w:val="0"/>
        <w:kinsoku/>
        <w:wordWrap/>
        <w:overflowPunct/>
        <w:topLinePunct w:val="0"/>
        <w:autoSpaceDE/>
        <w:autoSpaceDN/>
        <w:bidi w:val="0"/>
        <w:adjustRightInd/>
        <w:snapToGrid/>
        <w:ind w:left="0" w:leftChars="0" w:firstLine="0" w:firstLineChars="0"/>
        <w:jc w:val="left"/>
        <w:textAlignment w:val="auto"/>
        <w:outlineLvl w:val="2"/>
        <w:rPr>
          <w:rFonts w:hint="eastAsia" w:ascii="楷体" w:hAnsi="楷体" w:eastAsia="楷体" w:cs="楷体"/>
          <w:b/>
          <w:lang w:val="en-US" w:eastAsia="zh-CN"/>
        </w:rPr>
      </w:pPr>
      <w:bookmarkStart w:id="259" w:name="_Toc5532"/>
      <w:bookmarkStart w:id="260" w:name="_Toc18802"/>
      <w:r>
        <w:rPr>
          <w:rFonts w:hint="eastAsia" w:ascii="楷体" w:hAnsi="楷体" w:eastAsia="楷体" w:cs="楷体"/>
          <w:b/>
          <w:lang w:val="en-US" w:eastAsia="zh-CN"/>
        </w:rPr>
        <w:t>典型案例 13：</w:t>
      </w:r>
      <w:bookmarkEnd w:id="259"/>
      <w:bookmarkEnd w:id="260"/>
    </w:p>
    <w:p w14:paraId="0D06F837">
      <w:pPr>
        <w:pStyle w:val="5"/>
        <w:keepNext/>
        <w:keepLines/>
        <w:pageBreakBefore w:val="0"/>
        <w:widowControl w:val="0"/>
        <w:kinsoku/>
        <w:wordWrap/>
        <w:overflowPunct/>
        <w:topLinePunct w:val="0"/>
        <w:autoSpaceDE/>
        <w:autoSpaceDN/>
        <w:bidi w:val="0"/>
        <w:adjustRightInd/>
        <w:snapToGrid/>
        <w:ind w:left="0" w:leftChars="0" w:firstLine="0" w:firstLineChars="0"/>
        <w:textAlignment w:val="auto"/>
        <w:rPr>
          <w:rFonts w:hint="eastAsia" w:ascii="Arial" w:hAnsi="Arial"/>
          <w:b/>
          <w:lang w:val="en-US" w:eastAsia="zh-CN"/>
        </w:rPr>
      </w:pPr>
      <w:bookmarkStart w:id="261" w:name="_Toc597325814_WPSOffice_Level3"/>
      <w:bookmarkStart w:id="262" w:name="_Toc26086"/>
      <w:r>
        <w:rPr>
          <w:rFonts w:hint="eastAsia" w:ascii="Arial" w:hAnsi="Arial"/>
          <w:b/>
          <w:lang w:val="en-US" w:eastAsia="zh-CN"/>
        </w:rPr>
        <w:t>校企携手 振兴乡村</w:t>
      </w:r>
      <w:bookmarkEnd w:id="261"/>
      <w:bookmarkEnd w:id="262"/>
    </w:p>
    <w:p w14:paraId="06D40E1A">
      <w:pPr>
        <w:keepNext w:val="0"/>
        <w:keepLines w:val="0"/>
        <w:pageBreakBefore w:val="0"/>
        <w:widowControl/>
        <w:suppressLineNumbers w:val="0"/>
        <w:kinsoku/>
        <w:wordWrap/>
        <w:overflowPunct/>
        <w:topLinePunct w:val="0"/>
        <w:autoSpaceDE/>
        <w:autoSpaceDN/>
        <w:bidi w:val="0"/>
        <w:adjustRightInd/>
        <w:snapToGrid/>
        <w:jc w:val="right"/>
        <w:textAlignment w:val="auto"/>
        <w:rPr>
          <w:rFonts w:hint="eastAsia" w:ascii="楷体" w:hAnsi="楷体" w:eastAsia="楷体" w:cs="楷体"/>
          <w:color w:val="000000"/>
          <w:kern w:val="0"/>
          <w:sz w:val="24"/>
          <w:szCs w:val="24"/>
          <w:lang w:val="en-US" w:eastAsia="zh-CN" w:bidi="ar"/>
        </w:rPr>
      </w:pPr>
      <w:r>
        <w:rPr>
          <w:rFonts w:hint="eastAsia" w:ascii="楷体" w:hAnsi="楷体" w:eastAsia="楷体" w:cs="楷体"/>
          <w:color w:val="000000"/>
          <w:kern w:val="0"/>
          <w:sz w:val="30"/>
          <w:szCs w:val="30"/>
          <w:lang w:val="en-US" w:eastAsia="zh-CN" w:bidi="ar"/>
        </w:rPr>
        <w:t>——建平县职教中心典型案例</w:t>
      </w:r>
      <w:r>
        <w:rPr>
          <w:rFonts w:hint="eastAsia" w:ascii="楷体" w:hAnsi="楷体" w:eastAsia="楷体" w:cs="楷体"/>
          <w:color w:val="000000"/>
          <w:kern w:val="0"/>
          <w:sz w:val="24"/>
          <w:szCs w:val="24"/>
          <w:lang w:val="en-US" w:eastAsia="zh-CN" w:bidi="ar"/>
        </w:rPr>
        <w:t xml:space="preserve"> </w:t>
      </w:r>
    </w:p>
    <w:p w14:paraId="7C9F8EFE">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背景：</w:t>
      </w:r>
      <w:r>
        <w:rPr>
          <w:rFonts w:hint="eastAsia" w:ascii="仿宋_GB2312" w:hAnsi="仿宋_GB2312" w:eastAsia="仿宋_GB2312" w:cs="仿宋_GB2312"/>
          <w:sz w:val="32"/>
          <w:szCs w:val="36"/>
          <w:lang w:val="en-US" w:eastAsia="zh-CN"/>
        </w:rPr>
        <w:t>建平县作为农业大县，正面临产业升级、人才匮乏等难题，急需转型。建平县职业教育中心资源丰富但产业对接不足，牧原集团产业优势显著且渴求人才，辽宁农业职业技术学院教学科研实力深厚。三方携手共建的辽宁农业职业技术学院建平县乡村振兴学院，正式挂牌成立，走上了一条新的教融合之路，为乡村振兴提供人才与技术支撑。</w:t>
      </w:r>
    </w:p>
    <w:p w14:paraId="2BDA4299">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过程与方法：</w:t>
      </w:r>
      <w:r>
        <w:rPr>
          <w:rFonts w:hint="eastAsia" w:ascii="仿宋_GB2312" w:hAnsi="仿宋_GB2312" w:eastAsia="仿宋_GB2312" w:cs="仿宋_GB2312"/>
          <w:sz w:val="32"/>
          <w:szCs w:val="36"/>
          <w:lang w:val="en-US" w:eastAsia="zh-CN"/>
        </w:rPr>
        <w:t xml:space="preserve">三方共同制定方案，依产业和岗位需求设畜牧兽医等专业课程，融入实际案例与前沿技术。采用“工学交替”模式，学生在校学理论后到企业实习，企业导师指导实践，教师也到企业锻炼，提升教学能力；依托学院科研和企业产业基础建技术研发中心，投入资金设备，针对养殖废弃物处理等难题联合攻关，并将成果率先在当地示范推广，带动产业技术升级；互聘师资，学院派教师教学并培训职校教师，企业派专家传授实践经验，共同开展教学能力提升活动，打造“双师型”队伍。 </w:t>
      </w:r>
    </w:p>
    <w:p w14:paraId="02CDBC7E">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成效：</w:t>
      </w:r>
      <w:r>
        <w:rPr>
          <w:rFonts w:hint="eastAsia" w:ascii="仿宋_GB2312" w:hAnsi="仿宋_GB2312" w:eastAsia="仿宋_GB2312" w:cs="仿宋_GB2312"/>
          <w:sz w:val="32"/>
          <w:szCs w:val="36"/>
          <w:lang w:val="en-US" w:eastAsia="zh-CN"/>
        </w:rPr>
        <w:t>2024年秋季，辽宁农业职业技术学院建平县乡村振兴学院正式开始招生，报名情况令人欣喜，60个名额全部招满，这表明社会各界对于乡村振兴战略的重视和支持，以及对于职业教育与企业合作培养模式的认可。这不仅展示了乡村振兴学院在培养农业技术技能人才方面的吸引力，也反映了学生对于投身乡村振兴事业的热情和期待。</w:t>
      </w:r>
    </w:p>
    <w:p w14:paraId="5BB53F46">
      <w:pPr>
        <w:pStyle w:val="2"/>
        <w:spacing w:line="240" w:lineRule="auto"/>
        <w:ind w:left="0" w:leftChars="0" w:firstLine="0" w:firstLineChars="0"/>
        <w:jc w:val="center"/>
        <w:outlineLvl w:val="9"/>
        <w:rPr>
          <w:rFonts w:hint="eastAsia"/>
          <w:lang w:val="en-US" w:eastAsia="zh-CN"/>
        </w:rPr>
      </w:pPr>
      <w:r>
        <w:rPr>
          <w:rFonts w:hint="eastAsia"/>
          <w:lang w:val="en-US" w:eastAsia="zh-CN"/>
        </w:rPr>
        <w:drawing>
          <wp:inline distT="0" distB="0" distL="114300" distR="114300">
            <wp:extent cx="5106035" cy="3442335"/>
            <wp:effectExtent l="0" t="0" r="18415" b="5715"/>
            <wp:docPr id="32" name="图片 32" descr="乡村振兴"/>
            <wp:cNvGraphicFramePr/>
            <a:graphic xmlns:a="http://schemas.openxmlformats.org/drawingml/2006/main">
              <a:graphicData uri="http://schemas.openxmlformats.org/drawingml/2006/picture">
                <pic:pic xmlns:pic="http://schemas.openxmlformats.org/drawingml/2006/picture">
                  <pic:nvPicPr>
                    <pic:cNvPr id="32" name="图片 32" descr="乡村振兴"/>
                    <pic:cNvPicPr/>
                  </pic:nvPicPr>
                  <pic:blipFill>
                    <a:blip r:embed="rId52"/>
                    <a:srcRect l="4410" t="3958" r="3939" b="16195"/>
                    <a:stretch>
                      <a:fillRect/>
                    </a:stretch>
                  </pic:blipFill>
                  <pic:spPr>
                    <a:xfrm>
                      <a:off x="0" y="0"/>
                      <a:ext cx="5106035" cy="3442335"/>
                    </a:xfrm>
                    <a:prstGeom prst="rect">
                      <a:avLst/>
                    </a:prstGeom>
                  </pic:spPr>
                </pic:pic>
              </a:graphicData>
            </a:graphic>
          </wp:inline>
        </w:drawing>
      </w:r>
    </w:p>
    <w:p w14:paraId="415C53DB">
      <w:pPr>
        <w:pStyle w:val="14"/>
        <w:bidi w:val="0"/>
        <w:jc w:val="center"/>
        <w:rPr>
          <w:rFonts w:hint="eastAsia"/>
          <w:lang w:val="en-US" w:eastAsia="zh-CN"/>
        </w:rPr>
      </w:pPr>
      <w:bookmarkStart w:id="263" w:name="_Toc31883"/>
      <w:bookmarkStart w:id="264" w:name="_Toc23597"/>
      <w:bookmarkStart w:id="265" w:name="_Toc9657"/>
      <w:bookmarkStart w:id="266" w:name="_Toc29040"/>
      <w:r>
        <w:rPr>
          <w:rFonts w:hint="eastAsia"/>
          <w:lang w:val="en-US" w:eastAsia="zh-CN"/>
        </w:rPr>
        <w:t>图31：辽宁农业职业技术学院建平县乡村振兴学院签约仪式（来源：建平县职教中心）</w:t>
      </w:r>
      <w:bookmarkEnd w:id="263"/>
      <w:bookmarkEnd w:id="264"/>
      <w:bookmarkEnd w:id="265"/>
      <w:bookmarkEnd w:id="266"/>
    </w:p>
    <w:p w14:paraId="0C7A29F0">
      <w:pPr>
        <w:pStyle w:val="2"/>
        <w:keepNext w:val="0"/>
        <w:keepLines w:val="0"/>
        <w:pageBreakBefore w:val="0"/>
        <w:kinsoku/>
        <w:wordWrap/>
        <w:overflowPunct/>
        <w:topLinePunct w:val="0"/>
        <w:autoSpaceDE/>
        <w:autoSpaceDN/>
        <w:bidi w:val="0"/>
        <w:adjustRightInd/>
        <w:snapToGrid/>
        <w:spacing w:line="540" w:lineRule="exact"/>
        <w:textAlignment w:val="auto"/>
        <w:rPr>
          <w:rFonts w:hint="eastAsia" w:ascii="楷体" w:hAnsi="楷体" w:eastAsia="楷体" w:cs="楷体"/>
          <w:b/>
          <w:bCs w:val="0"/>
          <w:sz w:val="32"/>
          <w:szCs w:val="32"/>
          <w:lang w:val="en-US" w:eastAsia="zh-CN"/>
        </w:rPr>
      </w:pPr>
      <w:bookmarkStart w:id="267" w:name="_Toc18134"/>
      <w:r>
        <w:rPr>
          <w:rFonts w:hint="eastAsia" w:ascii="楷体" w:hAnsi="楷体" w:eastAsia="楷体" w:cs="楷体"/>
          <w:b/>
          <w:bCs w:val="0"/>
          <w:sz w:val="32"/>
          <w:szCs w:val="32"/>
          <w:lang w:val="en-US" w:eastAsia="zh-CN"/>
        </w:rPr>
        <w:t>5.3产教协同育人</w:t>
      </w:r>
      <w:bookmarkEnd w:id="267"/>
    </w:p>
    <w:p w14:paraId="3A504CFB">
      <w:pPr>
        <w:pStyle w:val="17"/>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560" w:lineRule="exact"/>
        <w:ind w:right="0" w:rightChars="0" w:firstLine="640" w:firstLineChars="200"/>
        <w:jc w:val="both"/>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为充分发挥校企双方优势，发挥职业教育服务地方经济，支持行业进步，促进企业发展的社会功能，推进职业教育的高质量发展，鼓励支持中等职业学校与企业开展“订单班”培养，通过</w:t>
      </w:r>
      <w:r>
        <w:rPr>
          <w:rFonts w:hint="eastAsia" w:ascii="仿宋_GB2312" w:hAnsi="仿宋_GB2312" w:eastAsia="仿宋_GB2312" w:cs="仿宋_GB2312"/>
          <w:color w:val="000000" w:themeColor="text1"/>
          <w:sz w:val="32"/>
          <w:szCs w:val="32"/>
          <w:highlight w:val="none"/>
          <w:lang w:val="en-US" w:eastAsia="zh-CN"/>
          <w14:textFill>
            <w14:solidFill>
              <w14:schemeClr w14:val="tx1"/>
            </w14:solidFill>
          </w14:textFill>
        </w:rPr>
        <w:t>引入行业企业新技术、新工艺、新规范，开发符合企业规范和行业标准的特色课程，实施人才培养“订单化”，促进教育链、人才链与产业链相互贯通培养。</w:t>
      </w:r>
      <w:r>
        <w:rPr>
          <w:rFonts w:hint="eastAsia" w:ascii="仿宋_GB2312" w:hAnsi="仿宋_GB2312" w:eastAsia="仿宋_GB2312" w:cs="仿宋_GB2312"/>
          <w:sz w:val="32"/>
          <w:szCs w:val="32"/>
          <w:lang w:val="en-US" w:eastAsia="zh-CN"/>
        </w:rPr>
        <w:t>推动学校优势专业服务地方经济，全面深化“校企共建、产教相融”的人才培养模式，整合、优化资源，引企入校。各校以现代学徒制人才培养模式、企业订单班模式为载体，践行校企双元育人机制，提高技能人才培养质量。2024年，持续开展现代学徒制或企业订单培养，特别是加强与京津冀地区企业对接合作，累计对接合作订单班10个。</w:t>
      </w:r>
    </w:p>
    <w:p w14:paraId="41CC7032">
      <w:pPr>
        <w:pStyle w:val="28"/>
        <w:bidi w:val="0"/>
        <w:rPr>
          <w:rFonts w:hint="eastAsia"/>
          <w:lang w:val="en-US" w:eastAsia="zh-CN"/>
        </w:rPr>
      </w:pPr>
      <w:bookmarkStart w:id="268" w:name="_Toc14066"/>
      <w:bookmarkStart w:id="269" w:name="_Toc28919"/>
      <w:r>
        <w:rPr>
          <w:rFonts w:hint="eastAsia"/>
          <w:lang w:val="en-US" w:eastAsia="zh-CN"/>
        </w:rPr>
        <w:t>数据分析表13：</w:t>
      </w:r>
      <w:r>
        <w:rPr>
          <w:rFonts w:hint="default"/>
          <w:lang w:val="en-US" w:eastAsia="zh-CN"/>
        </w:rPr>
        <w:t>朝阳市与京津冀地区企业对接合作订单班情况统计表</w:t>
      </w:r>
      <w:bookmarkEnd w:id="268"/>
      <w:bookmarkEnd w:id="269"/>
    </w:p>
    <w:tbl>
      <w:tblPr>
        <w:tblStyle w:val="19"/>
        <w:tblW w:w="8768" w:type="dxa"/>
        <w:tblInd w:w="119"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207"/>
        <w:gridCol w:w="2443"/>
        <w:gridCol w:w="422"/>
        <w:gridCol w:w="3696"/>
      </w:tblGrid>
      <w:tr w14:paraId="43013D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22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69EDA">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学校</w:t>
            </w:r>
          </w:p>
        </w:tc>
        <w:tc>
          <w:tcPr>
            <w:tcW w:w="24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714EE5">
            <w:pPr>
              <w:keepNext w:val="0"/>
              <w:keepLines w:val="0"/>
              <w:pageBreakBefore w:val="0"/>
              <w:widowControl/>
              <w:suppressLineNumbers w:val="0"/>
              <w:kinsoku/>
              <w:wordWrap/>
              <w:overflowPunct/>
              <w:topLinePunct w:val="0"/>
              <w:autoSpaceDE/>
              <w:autoSpaceDN/>
              <w:bidi w:val="0"/>
              <w:adjustRightInd/>
              <w:snapToGrid/>
              <w:spacing w:line="480" w:lineRule="exact"/>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对接合作的订单班专业</w:t>
            </w:r>
          </w:p>
        </w:tc>
        <w:tc>
          <w:tcPr>
            <w:tcW w:w="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BDBC8B">
            <w:pPr>
              <w:keepNext w:val="0"/>
              <w:keepLines w:val="0"/>
              <w:pageBreakBefore w:val="0"/>
              <w:widowControl/>
              <w:suppressLineNumbers w:val="0"/>
              <w:kinsoku/>
              <w:wordWrap/>
              <w:overflowPunct/>
              <w:topLinePunct w:val="0"/>
              <w:autoSpaceDE/>
              <w:autoSpaceDN/>
              <w:bidi w:val="0"/>
              <w:adjustRightInd/>
              <w:snapToGrid/>
              <w:spacing w:line="480" w:lineRule="exact"/>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数量</w:t>
            </w:r>
          </w:p>
        </w:tc>
        <w:tc>
          <w:tcPr>
            <w:tcW w:w="3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B8563C">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对接企业名称</w:t>
            </w:r>
          </w:p>
        </w:tc>
      </w:tr>
      <w:tr w14:paraId="7993CA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exact"/>
        </w:trPr>
        <w:tc>
          <w:tcPr>
            <w:tcW w:w="22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A6E6D">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建平县职业教育中心</w:t>
            </w:r>
          </w:p>
        </w:tc>
        <w:tc>
          <w:tcPr>
            <w:tcW w:w="24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FC236">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数控技术应用</w:t>
            </w:r>
          </w:p>
        </w:tc>
        <w:tc>
          <w:tcPr>
            <w:tcW w:w="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D8471">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w:t>
            </w:r>
          </w:p>
        </w:tc>
        <w:tc>
          <w:tcPr>
            <w:tcW w:w="3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D70D7">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天津百诚阀门制造股份有限公司</w:t>
            </w:r>
          </w:p>
        </w:tc>
      </w:tr>
      <w:tr w14:paraId="574402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exact"/>
        </w:trPr>
        <w:tc>
          <w:tcPr>
            <w:tcW w:w="22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C96E6">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建平县职业教育中心</w:t>
            </w:r>
          </w:p>
        </w:tc>
        <w:tc>
          <w:tcPr>
            <w:tcW w:w="24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B8456">
            <w:pPr>
              <w:keepNext w:val="0"/>
              <w:keepLines w:val="0"/>
              <w:pageBreakBefore w:val="0"/>
              <w:widowControl/>
              <w:suppressLineNumbers w:val="0"/>
              <w:kinsoku/>
              <w:wordWrap/>
              <w:overflowPunct/>
              <w:topLinePunct w:val="0"/>
              <w:autoSpaceDE/>
              <w:autoSpaceDN/>
              <w:bidi w:val="0"/>
              <w:adjustRightInd/>
              <w:snapToGrid/>
              <w:spacing w:line="480" w:lineRule="exact"/>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新能源装备运行与维护</w:t>
            </w:r>
          </w:p>
        </w:tc>
        <w:tc>
          <w:tcPr>
            <w:tcW w:w="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E6E7B">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3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8332F">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北京金风科技股份有限公司</w:t>
            </w:r>
          </w:p>
        </w:tc>
      </w:tr>
      <w:tr w14:paraId="4DF392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exact"/>
        </w:trPr>
        <w:tc>
          <w:tcPr>
            <w:tcW w:w="22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D6B70">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凌源市职教中心</w:t>
            </w:r>
          </w:p>
        </w:tc>
        <w:tc>
          <w:tcPr>
            <w:tcW w:w="24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149BB">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工业机器人技术应用</w:t>
            </w:r>
          </w:p>
        </w:tc>
        <w:tc>
          <w:tcPr>
            <w:tcW w:w="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4B1E5">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c>
          <w:tcPr>
            <w:tcW w:w="3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0AB11">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世纪盛邦教育科技（北京）有限公司</w:t>
            </w:r>
          </w:p>
        </w:tc>
      </w:tr>
    </w:tbl>
    <w:p w14:paraId="32611753">
      <w:pPr>
        <w:keepNext w:val="0"/>
        <w:keepLines w:val="0"/>
        <w:pageBreakBefore w:val="0"/>
        <w:widowControl w:val="0"/>
        <w:kinsoku/>
        <w:wordWrap/>
        <w:overflowPunct/>
        <w:topLinePunct w:val="0"/>
        <w:autoSpaceDE/>
        <w:autoSpaceDN/>
        <w:bidi w:val="0"/>
        <w:adjustRightInd/>
        <w:snapToGrid/>
        <w:spacing w:after="157" w:afterLines="50"/>
        <w:jc w:val="center"/>
        <w:textAlignment w:val="auto"/>
        <w:rPr>
          <w:rFonts w:hint="eastAsia" w:asciiTheme="minorEastAsia" w:hAnsiTheme="minorEastAsia" w:eastAsiaTheme="minorEastAsia" w:cstheme="minorEastAsia"/>
          <w:kern w:val="2"/>
          <w:sz w:val="21"/>
          <w:szCs w:val="21"/>
          <w:lang w:val="en-US" w:eastAsia="zh-CN" w:bidi="ar-SA"/>
        </w:rPr>
      </w:pPr>
    </w:p>
    <w:p w14:paraId="470A0504">
      <w:pPr>
        <w:jc w:val="center"/>
        <w:rPr>
          <w:rFonts w:hint="default"/>
          <w:lang w:val="en-US" w:eastAsia="zh-CN"/>
        </w:rPr>
      </w:pPr>
      <w:r>
        <w:rPr>
          <w:rFonts w:hint="default"/>
          <w:lang w:val="en-US" w:eastAsia="zh-CN"/>
        </w:rPr>
        <w:drawing>
          <wp:inline distT="0" distB="0" distL="114300" distR="114300">
            <wp:extent cx="3601085" cy="2305685"/>
            <wp:effectExtent l="4445" t="4445" r="13970" b="13970"/>
            <wp:docPr id="18" name="图表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F187D61">
      <w:pPr>
        <w:pStyle w:val="29"/>
        <w:bidi w:val="0"/>
        <w:outlineLvl w:val="2"/>
        <w:rPr>
          <w:rFonts w:hint="default"/>
          <w:lang w:val="en-US" w:eastAsia="zh-CN"/>
        </w:rPr>
      </w:pPr>
      <w:bookmarkStart w:id="270" w:name="_Toc30036"/>
      <w:bookmarkStart w:id="271" w:name="_Toc15763"/>
      <w:r>
        <w:rPr>
          <w:rFonts w:hint="eastAsia"/>
          <w:lang w:val="en-US" w:eastAsia="zh-CN"/>
        </w:rPr>
        <w:t>数据分析图13：</w:t>
      </w:r>
      <w:r>
        <w:rPr>
          <w:rFonts w:hint="default"/>
          <w:lang w:val="en-US" w:eastAsia="zh-CN"/>
        </w:rPr>
        <w:t>朝阳市与京津冀地区企业对接合作订单班情况</w:t>
      </w:r>
      <w:r>
        <w:rPr>
          <w:rFonts w:hint="eastAsia"/>
          <w:lang w:val="en-US" w:eastAsia="zh-CN"/>
        </w:rPr>
        <w:t>分析</w:t>
      </w:r>
      <w:bookmarkEnd w:id="270"/>
      <w:bookmarkEnd w:id="271"/>
    </w:p>
    <w:p w14:paraId="18CDEDDA">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鼓励中等职业学校积极对接域外大中型企业共建学生实习基地，利用其先进的经营管理理念、产业工人队伍、生产技术设备等优势，为中职生提供良好的实习环境，提升学生专业技能水平和就业竞争力。目前，全市中等职业学校已与北京奔驰汽车、吉利汽车、海信冰箱等多家国内知名企业建立起长期稳定的学生实习合作关系。</w:t>
      </w:r>
    </w:p>
    <w:p w14:paraId="4617FB04">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jc w:val="both"/>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市域内已建成了朝阳市财经学校附属幼儿园（幼儿保育专业实训基地）、建平县职教中心幼儿园（幼儿保育专业实训基地）、建平县职教中心电子产业园（电子商务专业实训基地）等一批规模较大、影响力较高的产教融合型实训基地。</w:t>
      </w:r>
    </w:p>
    <w:p w14:paraId="10D7F421">
      <w:pPr>
        <w:bidi w:val="0"/>
        <w:jc w:val="center"/>
        <w:rPr>
          <w:rFonts w:hint="eastAsia"/>
          <w:lang w:val="en-US" w:eastAsia="zh-CN"/>
        </w:rPr>
      </w:pPr>
      <w:r>
        <w:rPr>
          <w:rFonts w:hint="eastAsia"/>
          <w:lang w:val="en-US" w:eastAsia="zh-CN"/>
        </w:rPr>
        <w:drawing>
          <wp:inline distT="0" distB="0" distL="114300" distR="114300">
            <wp:extent cx="4218940" cy="2479040"/>
            <wp:effectExtent l="0" t="0" r="10160" b="16510"/>
            <wp:docPr id="13" name="图片 13" descr="122187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221875336"/>
                    <pic:cNvPicPr>
                      <a:picLocks noChangeAspect="1"/>
                    </pic:cNvPicPr>
                  </pic:nvPicPr>
                  <pic:blipFill>
                    <a:blip r:embed="rId54"/>
                    <a:srcRect b="6205"/>
                    <a:stretch>
                      <a:fillRect/>
                    </a:stretch>
                  </pic:blipFill>
                  <pic:spPr>
                    <a:xfrm>
                      <a:off x="0" y="0"/>
                      <a:ext cx="4218940" cy="2479040"/>
                    </a:xfrm>
                    <a:prstGeom prst="rect">
                      <a:avLst/>
                    </a:prstGeom>
                  </pic:spPr>
                </pic:pic>
              </a:graphicData>
            </a:graphic>
          </wp:inline>
        </w:drawing>
      </w:r>
    </w:p>
    <w:p w14:paraId="341D59A0">
      <w:pPr>
        <w:pStyle w:val="14"/>
        <w:bidi w:val="0"/>
        <w:jc w:val="center"/>
        <w:rPr>
          <w:rFonts w:hint="eastAsia"/>
          <w:lang w:val="en-US" w:eastAsia="zh-CN"/>
        </w:rPr>
      </w:pPr>
      <w:bookmarkStart w:id="272" w:name="_Toc18588"/>
      <w:bookmarkStart w:id="273" w:name="_Toc27939"/>
      <w:bookmarkStart w:id="274" w:name="_Toc17199"/>
      <w:bookmarkStart w:id="275" w:name="_Toc9032"/>
      <w:r>
        <w:rPr>
          <w:rFonts w:hint="eastAsia"/>
          <w:lang w:val="en-US" w:eastAsia="zh-CN"/>
        </w:rPr>
        <w:t>图32：朝阳工程技术学校校地企合作签约仪式（来源：朝阳工程技术学校）</w:t>
      </w:r>
      <w:bookmarkEnd w:id="272"/>
      <w:bookmarkEnd w:id="273"/>
      <w:bookmarkEnd w:id="274"/>
      <w:bookmarkEnd w:id="275"/>
    </w:p>
    <w:p w14:paraId="23A63067">
      <w:pPr>
        <w:jc w:val="center"/>
        <w:rPr>
          <w:rFonts w:hint="eastAsia"/>
          <w:lang w:val="en-US" w:eastAsia="zh-CN"/>
        </w:rPr>
      </w:pPr>
      <w:r>
        <w:rPr>
          <w:rFonts w:hint="eastAsia"/>
          <w:lang w:val="en-US" w:eastAsia="zh-CN"/>
        </w:rPr>
        <w:drawing>
          <wp:inline distT="0" distB="0" distL="114300" distR="114300">
            <wp:extent cx="4246880" cy="2154555"/>
            <wp:effectExtent l="0" t="0" r="1270" b="17145"/>
            <wp:docPr id="61" name="图片 61" descr="C:\Users\ASUS\Desktop\培训.png培训"/>
            <wp:cNvGraphicFramePr/>
            <a:graphic xmlns:a="http://schemas.openxmlformats.org/drawingml/2006/main">
              <a:graphicData uri="http://schemas.openxmlformats.org/drawingml/2006/picture">
                <pic:pic xmlns:pic="http://schemas.openxmlformats.org/drawingml/2006/picture">
                  <pic:nvPicPr>
                    <pic:cNvPr id="61" name="图片 61" descr="C:\Users\ASUS\Desktop\培训.png培训"/>
                    <pic:cNvPicPr/>
                  </pic:nvPicPr>
                  <pic:blipFill>
                    <a:blip r:embed="rId55"/>
                    <a:srcRect/>
                    <a:stretch>
                      <a:fillRect/>
                    </a:stretch>
                  </pic:blipFill>
                  <pic:spPr>
                    <a:xfrm>
                      <a:off x="0" y="0"/>
                      <a:ext cx="4246880" cy="2154555"/>
                    </a:xfrm>
                    <a:prstGeom prst="rect">
                      <a:avLst/>
                    </a:prstGeom>
                  </pic:spPr>
                </pic:pic>
              </a:graphicData>
            </a:graphic>
          </wp:inline>
        </w:drawing>
      </w:r>
    </w:p>
    <w:p w14:paraId="1BF2D3EE">
      <w:pPr>
        <w:pStyle w:val="14"/>
        <w:bidi w:val="0"/>
        <w:jc w:val="center"/>
        <w:rPr>
          <w:rFonts w:hint="eastAsia"/>
          <w:lang w:val="en-US" w:eastAsia="zh-CN"/>
        </w:rPr>
      </w:pPr>
      <w:bookmarkStart w:id="276" w:name="_Toc12783"/>
      <w:bookmarkStart w:id="277" w:name="_Toc26879"/>
      <w:bookmarkStart w:id="278" w:name="_Toc13111"/>
      <w:bookmarkStart w:id="279" w:name="_Toc14380"/>
      <w:r>
        <w:rPr>
          <w:rFonts w:hint="eastAsia"/>
          <w:lang w:val="en-US" w:eastAsia="zh-CN"/>
        </w:rPr>
        <w:t>图33：合作企业对实习学生进行岗前培训（来源：朝阳市卫生学校）</w:t>
      </w:r>
      <w:bookmarkEnd w:id="276"/>
      <w:bookmarkEnd w:id="277"/>
      <w:bookmarkEnd w:id="278"/>
      <w:bookmarkEnd w:id="279"/>
    </w:p>
    <w:p w14:paraId="00489A25">
      <w:pPr>
        <w:pStyle w:val="5"/>
        <w:keepNext/>
        <w:keepLines/>
        <w:pageBreakBefore w:val="0"/>
        <w:widowControl w:val="0"/>
        <w:kinsoku/>
        <w:wordWrap/>
        <w:overflowPunct/>
        <w:topLinePunct w:val="0"/>
        <w:autoSpaceDE/>
        <w:autoSpaceDN/>
        <w:bidi w:val="0"/>
        <w:adjustRightInd/>
        <w:snapToGrid/>
        <w:ind w:left="0" w:leftChars="0" w:firstLine="0" w:firstLineChars="0"/>
        <w:jc w:val="left"/>
        <w:textAlignment w:val="auto"/>
        <w:rPr>
          <w:rFonts w:hint="eastAsia" w:ascii="楷体" w:hAnsi="楷体" w:eastAsia="楷体" w:cs="楷体"/>
          <w:b/>
          <w:lang w:val="en-US" w:eastAsia="zh-CN"/>
        </w:rPr>
      </w:pPr>
      <w:bookmarkStart w:id="280" w:name="_Toc25076"/>
      <w:r>
        <w:rPr>
          <w:rFonts w:hint="eastAsia" w:ascii="楷体" w:hAnsi="楷体" w:eastAsia="楷体" w:cs="楷体"/>
          <w:b/>
          <w:lang w:val="en-US" w:eastAsia="zh-CN"/>
        </w:rPr>
        <w:t>典型案例 14：</w:t>
      </w:r>
      <w:bookmarkEnd w:id="280"/>
    </w:p>
    <w:p w14:paraId="1DE6C78D">
      <w:pPr>
        <w:pStyle w:val="5"/>
        <w:keepNext/>
        <w:keepLines/>
        <w:pageBreakBefore w:val="0"/>
        <w:widowControl w:val="0"/>
        <w:kinsoku/>
        <w:wordWrap/>
        <w:overflowPunct/>
        <w:topLinePunct w:val="0"/>
        <w:autoSpaceDE/>
        <w:autoSpaceDN/>
        <w:bidi w:val="0"/>
        <w:adjustRightInd/>
        <w:snapToGrid/>
        <w:ind w:left="0" w:leftChars="0" w:firstLine="0" w:firstLineChars="0"/>
        <w:textAlignment w:val="auto"/>
        <w:rPr>
          <w:rFonts w:hint="default" w:ascii="Arial" w:hAnsi="Arial"/>
          <w:b/>
          <w:lang w:val="en-US" w:eastAsia="zh-CN"/>
        </w:rPr>
      </w:pPr>
      <w:bookmarkStart w:id="281" w:name="_Toc13945"/>
      <w:bookmarkStart w:id="282" w:name="_Toc1536791057_WPSOffice_Level3"/>
      <w:r>
        <w:rPr>
          <w:rFonts w:hint="default" w:ascii="Arial" w:hAnsi="Arial"/>
          <w:b/>
          <w:lang w:val="en-US" w:eastAsia="zh-CN"/>
        </w:rPr>
        <w:t>校企合作创新，助力企业技术升级</w:t>
      </w:r>
      <w:bookmarkEnd w:id="281"/>
      <w:bookmarkEnd w:id="282"/>
    </w:p>
    <w:p w14:paraId="107DDCAF">
      <w:pPr>
        <w:keepNext w:val="0"/>
        <w:keepLines w:val="0"/>
        <w:pageBreakBefore w:val="0"/>
        <w:widowControl/>
        <w:suppressLineNumbers w:val="0"/>
        <w:kinsoku/>
        <w:wordWrap/>
        <w:overflowPunct/>
        <w:topLinePunct w:val="0"/>
        <w:autoSpaceDE/>
        <w:autoSpaceDN/>
        <w:bidi w:val="0"/>
        <w:adjustRightInd/>
        <w:snapToGrid/>
        <w:jc w:val="right"/>
        <w:textAlignment w:val="auto"/>
        <w:rPr>
          <w:rFonts w:hint="default" w:ascii="楷体" w:hAnsi="楷体" w:eastAsia="楷体" w:cs="楷体"/>
          <w:color w:val="000000"/>
          <w:kern w:val="0"/>
          <w:sz w:val="30"/>
          <w:szCs w:val="30"/>
          <w:lang w:val="en-US" w:eastAsia="zh-CN" w:bidi="ar"/>
        </w:rPr>
      </w:pPr>
      <w:r>
        <w:rPr>
          <w:rFonts w:hint="default" w:ascii="楷体" w:hAnsi="楷体" w:eastAsia="楷体" w:cs="楷体"/>
          <w:color w:val="000000"/>
          <w:kern w:val="0"/>
          <w:sz w:val="30"/>
          <w:szCs w:val="30"/>
          <w:lang w:val="en-US" w:eastAsia="zh-CN" w:bidi="ar"/>
        </w:rPr>
        <w:t>——</w:t>
      </w:r>
      <w:r>
        <w:rPr>
          <w:rFonts w:hint="eastAsia" w:ascii="楷体" w:hAnsi="楷体" w:eastAsia="楷体" w:cs="楷体"/>
          <w:color w:val="000000"/>
          <w:kern w:val="0"/>
          <w:sz w:val="30"/>
          <w:szCs w:val="30"/>
          <w:lang w:val="en-US" w:eastAsia="zh-CN" w:bidi="ar"/>
        </w:rPr>
        <w:t>朝阳工程技术学校</w:t>
      </w:r>
      <w:r>
        <w:rPr>
          <w:rFonts w:hint="default" w:ascii="楷体" w:hAnsi="楷体" w:eastAsia="楷体" w:cs="楷体"/>
          <w:color w:val="000000"/>
          <w:kern w:val="0"/>
          <w:sz w:val="30"/>
          <w:szCs w:val="30"/>
          <w:lang w:val="en-US" w:eastAsia="zh-CN" w:bidi="ar"/>
        </w:rPr>
        <w:t xml:space="preserve">典型案例 </w:t>
      </w:r>
    </w:p>
    <w:p w14:paraId="7BC04875">
      <w:pPr>
        <w:keepNext w:val="0"/>
        <w:keepLines w:val="0"/>
        <w:pageBreakBefore w:val="0"/>
        <w:widowControl w:val="0"/>
        <w:kinsoku/>
        <w:wordWrap/>
        <w:overflowPunct/>
        <w:topLinePunct w:val="0"/>
        <w:autoSpaceDE/>
        <w:autoSpaceDN/>
        <w:bidi w:val="0"/>
        <w:adjustRightInd/>
        <w:snapToGrid/>
        <w:spacing w:line="54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背景：</w:t>
      </w:r>
      <w:r>
        <w:rPr>
          <w:rFonts w:hint="eastAsia" w:ascii="仿宋_GB2312" w:hAnsi="仿宋_GB2312" w:eastAsia="仿宋_GB2312" w:cs="仿宋_GB2312"/>
          <w:sz w:val="32"/>
          <w:szCs w:val="36"/>
          <w:lang w:val="en-US" w:eastAsia="zh-CN"/>
        </w:rPr>
        <w:t>积极响应并落实“千名专家进园区”活动，深入全市企业围绕培育技能人才、开展技能技术合作、共建产学研基地等开展活动，强力助推朝阳全面振兴、全方位振兴。</w:t>
      </w:r>
    </w:p>
    <w:p w14:paraId="256AE843">
      <w:pPr>
        <w:keepNext w:val="0"/>
        <w:keepLines w:val="0"/>
        <w:pageBreakBefore w:val="0"/>
        <w:widowControl w:val="0"/>
        <w:kinsoku/>
        <w:wordWrap/>
        <w:overflowPunct/>
        <w:topLinePunct w:val="0"/>
        <w:autoSpaceDE/>
        <w:autoSpaceDN/>
        <w:bidi w:val="0"/>
        <w:adjustRightInd/>
        <w:snapToGrid/>
        <w:spacing w:line="54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过程与方法：</w:t>
      </w:r>
      <w:r>
        <w:rPr>
          <w:rFonts w:hint="eastAsia" w:ascii="仿宋_GB2312" w:hAnsi="仿宋_GB2312" w:eastAsia="仿宋_GB2312" w:cs="仿宋_GB2312"/>
          <w:sz w:val="32"/>
          <w:szCs w:val="36"/>
          <w:lang w:val="en-US" w:eastAsia="zh-CN"/>
        </w:rPr>
        <w:t>学校对接服务辽宁万力通电力有限公司，该服务项目历时一年，按照总体规划、目标要求，由肖丽老师带领的项目组成员明确分工任务，发挥各自的专业特长和优势，完成了协助企业开展员工专业技术培训和智能配电柜控制系统升级改造两项任务，并取得优异成绩，</w:t>
      </w:r>
    </w:p>
    <w:p w14:paraId="2D3F6017">
      <w:pPr>
        <w:keepNext w:val="0"/>
        <w:keepLines w:val="0"/>
        <w:pageBreakBefore w:val="0"/>
        <w:widowControl w:val="0"/>
        <w:kinsoku/>
        <w:wordWrap/>
        <w:overflowPunct/>
        <w:topLinePunct w:val="0"/>
        <w:autoSpaceDE/>
        <w:autoSpaceDN/>
        <w:bidi w:val="0"/>
        <w:adjustRightInd/>
        <w:snapToGrid/>
        <w:spacing w:line="54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成效：</w:t>
      </w:r>
      <w:r>
        <w:rPr>
          <w:rFonts w:hint="eastAsia" w:ascii="仿宋_GB2312" w:hAnsi="仿宋_GB2312" w:eastAsia="仿宋_GB2312" w:cs="仿宋_GB2312"/>
          <w:sz w:val="32"/>
          <w:szCs w:val="36"/>
          <w:lang w:val="en-US" w:eastAsia="zh-CN"/>
        </w:rPr>
        <w:t>提升了企业员工整体技术水平，促进了企业产品的技术升级和改造，使企业发展后劲十足。同时，项目组成员编写了培训教材《电气控制与 PLC 技术应用》并出版，李欣洋老师所发明的《一种施工用电缆盘线的调节装置》获得实用新型专利，肖丽老师开发的《智能精密配电柜运行安全监控系统》软件获得软件著作证书。</w:t>
      </w:r>
    </w:p>
    <w:p w14:paraId="6F38F66E">
      <w:pPr>
        <w:pStyle w:val="5"/>
        <w:keepNext/>
        <w:keepLines/>
        <w:pageBreakBefore w:val="0"/>
        <w:widowControl w:val="0"/>
        <w:kinsoku/>
        <w:wordWrap/>
        <w:overflowPunct/>
        <w:topLinePunct w:val="0"/>
        <w:autoSpaceDE/>
        <w:autoSpaceDN/>
        <w:bidi w:val="0"/>
        <w:adjustRightInd/>
        <w:snapToGrid/>
        <w:ind w:left="0" w:leftChars="0" w:firstLine="0" w:firstLineChars="0"/>
        <w:jc w:val="left"/>
        <w:textAlignment w:val="auto"/>
        <w:rPr>
          <w:rFonts w:hint="eastAsia" w:ascii="楷体" w:hAnsi="楷体" w:eastAsia="楷体" w:cs="楷体"/>
          <w:b/>
          <w:lang w:val="en-US" w:eastAsia="zh-CN"/>
        </w:rPr>
      </w:pPr>
      <w:bookmarkStart w:id="283" w:name="_Toc26632"/>
      <w:r>
        <w:rPr>
          <w:rFonts w:hint="eastAsia" w:ascii="楷体" w:hAnsi="楷体" w:eastAsia="楷体" w:cs="楷体"/>
          <w:b/>
          <w:lang w:val="en-US" w:eastAsia="zh-CN"/>
        </w:rPr>
        <w:t>典型案例15：</w:t>
      </w:r>
      <w:bookmarkEnd w:id="283"/>
    </w:p>
    <w:p w14:paraId="6B3C5E13">
      <w:pPr>
        <w:pStyle w:val="5"/>
        <w:keepNext/>
        <w:keepLines/>
        <w:pageBreakBefore w:val="0"/>
        <w:widowControl w:val="0"/>
        <w:kinsoku/>
        <w:wordWrap/>
        <w:overflowPunct/>
        <w:topLinePunct w:val="0"/>
        <w:autoSpaceDE/>
        <w:autoSpaceDN/>
        <w:bidi w:val="0"/>
        <w:adjustRightInd/>
        <w:snapToGrid/>
        <w:ind w:left="0" w:leftChars="0" w:firstLine="0" w:firstLineChars="0"/>
        <w:textAlignment w:val="auto"/>
        <w:rPr>
          <w:rFonts w:hint="default"/>
          <w:lang w:val="en-US" w:eastAsia="zh-CN"/>
        </w:rPr>
      </w:pPr>
      <w:bookmarkStart w:id="284" w:name="_Toc522102140_WPSOffice_Level3"/>
      <w:bookmarkStart w:id="285" w:name="_Toc27248"/>
      <w:r>
        <w:rPr>
          <w:rFonts w:hint="default"/>
          <w:lang w:val="en-US" w:eastAsia="zh-CN"/>
        </w:rPr>
        <w:t>校企合作服务地方产业发展</w:t>
      </w:r>
      <w:bookmarkEnd w:id="284"/>
      <w:bookmarkEnd w:id="285"/>
    </w:p>
    <w:p w14:paraId="1AAFA544">
      <w:pPr>
        <w:keepNext w:val="0"/>
        <w:keepLines w:val="0"/>
        <w:pageBreakBefore w:val="0"/>
        <w:widowControl/>
        <w:suppressLineNumbers w:val="0"/>
        <w:kinsoku/>
        <w:wordWrap/>
        <w:overflowPunct/>
        <w:topLinePunct w:val="0"/>
        <w:autoSpaceDE/>
        <w:autoSpaceDN/>
        <w:bidi w:val="0"/>
        <w:adjustRightInd/>
        <w:snapToGrid/>
        <w:spacing w:line="540" w:lineRule="exact"/>
        <w:jc w:val="right"/>
        <w:textAlignment w:val="auto"/>
        <w:rPr>
          <w:rFonts w:hint="default" w:ascii="楷体" w:hAnsi="楷体" w:eastAsia="楷体" w:cs="楷体"/>
          <w:color w:val="000000"/>
          <w:kern w:val="0"/>
          <w:sz w:val="30"/>
          <w:szCs w:val="30"/>
          <w:lang w:val="en-US" w:eastAsia="zh-CN" w:bidi="ar"/>
        </w:rPr>
      </w:pPr>
      <w:r>
        <w:rPr>
          <w:rFonts w:hint="default" w:ascii="楷体" w:hAnsi="楷体" w:eastAsia="楷体" w:cs="楷体"/>
          <w:color w:val="000000"/>
          <w:kern w:val="0"/>
          <w:sz w:val="30"/>
          <w:szCs w:val="30"/>
          <w:lang w:val="en-US" w:eastAsia="zh-CN" w:bidi="ar"/>
        </w:rPr>
        <w:t>——朝阳</w:t>
      </w:r>
      <w:r>
        <w:rPr>
          <w:rFonts w:hint="eastAsia" w:ascii="楷体" w:hAnsi="楷体" w:eastAsia="楷体" w:cs="楷体"/>
          <w:color w:val="000000"/>
          <w:kern w:val="0"/>
          <w:sz w:val="30"/>
          <w:szCs w:val="30"/>
          <w:lang w:val="en-US" w:eastAsia="zh-CN" w:bidi="ar"/>
        </w:rPr>
        <w:t>县职教中心</w:t>
      </w:r>
      <w:r>
        <w:rPr>
          <w:rFonts w:hint="default" w:ascii="楷体" w:hAnsi="楷体" w:eastAsia="楷体" w:cs="楷体"/>
          <w:color w:val="000000"/>
          <w:kern w:val="0"/>
          <w:sz w:val="30"/>
          <w:szCs w:val="30"/>
          <w:lang w:val="en-US" w:eastAsia="zh-CN" w:bidi="ar"/>
        </w:rPr>
        <w:t xml:space="preserve">典型案例 </w:t>
      </w:r>
    </w:p>
    <w:p w14:paraId="26B151AA">
      <w:pPr>
        <w:keepNext w:val="0"/>
        <w:keepLines w:val="0"/>
        <w:pageBreakBefore w:val="0"/>
        <w:widowControl w:val="0"/>
        <w:kinsoku/>
        <w:wordWrap/>
        <w:overflowPunct/>
        <w:topLinePunct w:val="0"/>
        <w:autoSpaceDE/>
        <w:autoSpaceDN/>
        <w:bidi w:val="0"/>
        <w:adjustRightInd/>
        <w:snapToGrid/>
        <w:spacing w:line="54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背景：</w:t>
      </w:r>
      <w:r>
        <w:rPr>
          <w:rFonts w:hint="eastAsia" w:ascii="仿宋_GB2312" w:hAnsi="仿宋_GB2312" w:eastAsia="仿宋_GB2312" w:cs="仿宋_GB2312"/>
          <w:sz w:val="32"/>
          <w:szCs w:val="36"/>
          <w:lang w:val="en-US" w:eastAsia="zh-CN"/>
        </w:rPr>
        <w:t>朝阳博远电力建设有限公司于2002年11月15日在朝阳市成立，公司经营范围包括电力工程施工总承包二级、土建工程施工等，是朝阳地区服务国家电网的主要基建单位。</w:t>
      </w:r>
    </w:p>
    <w:p w14:paraId="54907A01">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过程与方法：</w:t>
      </w:r>
      <w:r>
        <w:rPr>
          <w:rFonts w:hint="eastAsia" w:ascii="仿宋_GB2312" w:hAnsi="仿宋_GB2312" w:eastAsia="仿宋_GB2312" w:cs="仿宋_GB2312"/>
          <w:sz w:val="32"/>
          <w:szCs w:val="36"/>
          <w:lang w:val="en-US" w:eastAsia="zh-CN"/>
        </w:rPr>
        <w:t>校企双方通过多次洽谈，就专业设置、订单培养及就业需求等达成初步合作意向。博远电建领导给学生及家长宣讲了电力建设专业相关设置以及就业需求、工资待遇等，得到了学生和家长的认同。后续学校将与博远电建展开多方面合作。</w:t>
      </w:r>
    </w:p>
    <w:p w14:paraId="15A14C0B">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成效：</w:t>
      </w:r>
      <w:r>
        <w:rPr>
          <w:rFonts w:hint="eastAsia" w:ascii="仿宋_GB2312" w:hAnsi="仿宋_GB2312" w:eastAsia="仿宋_GB2312" w:cs="仿宋_GB2312"/>
          <w:sz w:val="32"/>
          <w:szCs w:val="36"/>
          <w:lang w:val="en-US" w:eastAsia="zh-CN"/>
        </w:rPr>
        <w:t>通过校企合作为学生后续职业规划打下基础，同时提升学生学习兴趣，推动学生自觉主动提升专业技能水平，增强就业竞争力。</w:t>
      </w:r>
    </w:p>
    <w:p w14:paraId="024A1A11">
      <w:pPr>
        <w:pStyle w:val="15"/>
        <w:keepNext w:val="0"/>
        <w:keepLines w:val="0"/>
        <w:pageBreakBefore w:val="0"/>
        <w:widowControl w:val="0"/>
        <w:kinsoku/>
        <w:wordWrap/>
        <w:overflowPunct/>
        <w:topLinePunct w:val="0"/>
        <w:autoSpaceDE/>
        <w:autoSpaceDN/>
        <w:bidi w:val="0"/>
        <w:adjustRightInd/>
        <w:snapToGrid/>
        <w:ind w:left="0" w:leftChars="0"/>
        <w:jc w:val="left"/>
        <w:textAlignment w:val="auto"/>
        <w:rPr>
          <w:rFonts w:hint="eastAsia" w:ascii="楷体" w:hAnsi="楷体" w:eastAsia="楷体" w:cs="楷体"/>
          <w:lang w:val="en-US" w:eastAsia="zh-CN"/>
        </w:rPr>
      </w:pPr>
      <w:r>
        <w:rPr>
          <w:rFonts w:hint="eastAsia" w:ascii="楷体" w:hAnsi="楷体" w:eastAsia="楷体" w:cs="楷体"/>
          <w:lang w:val="en-US" w:eastAsia="zh-CN"/>
        </w:rPr>
        <w:t>典型案例16：</w:t>
      </w:r>
    </w:p>
    <w:p w14:paraId="361A6D6A">
      <w:pPr>
        <w:pStyle w:val="15"/>
        <w:keepNext w:val="0"/>
        <w:keepLines w:val="0"/>
        <w:pageBreakBefore w:val="0"/>
        <w:widowControl w:val="0"/>
        <w:kinsoku/>
        <w:wordWrap/>
        <w:overflowPunct/>
        <w:topLinePunct w:val="0"/>
        <w:autoSpaceDE/>
        <w:autoSpaceDN/>
        <w:bidi w:val="0"/>
        <w:adjustRightInd/>
        <w:snapToGrid/>
        <w:ind w:left="0" w:leftChars="0"/>
        <w:jc w:val="center"/>
        <w:textAlignment w:val="auto"/>
        <w:rPr>
          <w:rFonts w:hint="eastAsia"/>
          <w:lang w:val="en-US" w:eastAsia="zh-CN"/>
        </w:rPr>
      </w:pPr>
      <w:bookmarkStart w:id="286" w:name="_Toc1401110564_WPSOffice_Level3"/>
      <w:r>
        <w:rPr>
          <w:rFonts w:hint="eastAsia"/>
          <w:lang w:val="en-US" w:eastAsia="zh-CN"/>
        </w:rPr>
        <w:t>打造产教共建特色品牌</w:t>
      </w:r>
      <w:bookmarkEnd w:id="286"/>
    </w:p>
    <w:p w14:paraId="24C3284E">
      <w:pPr>
        <w:keepNext w:val="0"/>
        <w:keepLines w:val="0"/>
        <w:pageBreakBefore w:val="0"/>
        <w:widowControl/>
        <w:suppressLineNumbers w:val="0"/>
        <w:kinsoku/>
        <w:wordWrap/>
        <w:overflowPunct/>
        <w:topLinePunct w:val="0"/>
        <w:autoSpaceDE/>
        <w:autoSpaceDN/>
        <w:bidi w:val="0"/>
        <w:adjustRightInd/>
        <w:snapToGrid/>
        <w:jc w:val="right"/>
        <w:textAlignment w:val="auto"/>
        <w:rPr>
          <w:rFonts w:hint="eastAsia" w:ascii="楷体" w:hAnsi="楷体" w:eastAsia="楷体" w:cs="楷体"/>
          <w:color w:val="000000"/>
          <w:kern w:val="0"/>
          <w:sz w:val="30"/>
          <w:szCs w:val="30"/>
          <w:lang w:val="en-US" w:eastAsia="zh-CN" w:bidi="ar"/>
        </w:rPr>
      </w:pPr>
      <w:r>
        <w:rPr>
          <w:rFonts w:hint="default" w:ascii="楷体" w:hAnsi="楷体" w:eastAsia="楷体" w:cs="楷体"/>
          <w:color w:val="000000"/>
          <w:kern w:val="0"/>
          <w:sz w:val="30"/>
          <w:szCs w:val="30"/>
          <w:lang w:val="en-US" w:eastAsia="zh-CN" w:bidi="ar"/>
        </w:rPr>
        <w:t>——</w:t>
      </w:r>
      <w:r>
        <w:rPr>
          <w:rFonts w:hint="eastAsia" w:ascii="楷体" w:hAnsi="楷体" w:eastAsia="楷体" w:cs="楷体"/>
          <w:color w:val="000000"/>
          <w:kern w:val="0"/>
          <w:sz w:val="30"/>
          <w:szCs w:val="30"/>
          <w:lang w:val="en-US" w:eastAsia="zh-CN" w:bidi="ar"/>
        </w:rPr>
        <w:t>朝阳市财经学校</w:t>
      </w:r>
      <w:r>
        <w:rPr>
          <w:rFonts w:hint="default" w:ascii="楷体" w:hAnsi="楷体" w:eastAsia="楷体" w:cs="楷体"/>
          <w:color w:val="000000"/>
          <w:kern w:val="0"/>
          <w:sz w:val="30"/>
          <w:szCs w:val="30"/>
          <w:lang w:val="en-US" w:eastAsia="zh-CN" w:bidi="ar"/>
        </w:rPr>
        <w:t xml:space="preserve">典型案例 </w:t>
      </w:r>
    </w:p>
    <w:p w14:paraId="5BA4435A">
      <w:pPr>
        <w:keepNext w:val="0"/>
        <w:keepLines w:val="0"/>
        <w:pageBreakBefore w:val="0"/>
        <w:widowControl w:val="0"/>
        <w:kinsoku/>
        <w:wordWrap/>
        <w:overflowPunct/>
        <w:topLinePunct w:val="0"/>
        <w:autoSpaceDE/>
        <w:autoSpaceDN/>
        <w:bidi w:val="0"/>
        <w:adjustRightInd/>
        <w:snapToGrid/>
        <w:spacing w:line="540" w:lineRule="exact"/>
        <w:ind w:firstLine="643" w:firstLineChars="200"/>
        <w:textAlignment w:val="auto"/>
        <w:rPr>
          <w:rFonts w:hint="default" w:ascii="仿宋_GB2312" w:eastAsia="仿宋_GB2312"/>
          <w:sz w:val="32"/>
          <w:szCs w:val="36"/>
          <w:lang w:val="en-US" w:eastAsia="zh-CN"/>
        </w:rPr>
      </w:pPr>
      <w:r>
        <w:rPr>
          <w:rFonts w:hint="eastAsia" w:ascii="仿宋_GB2312" w:eastAsia="仿宋_GB2312"/>
          <w:b/>
          <w:bCs/>
          <w:sz w:val="32"/>
          <w:szCs w:val="36"/>
          <w:lang w:val="en-US" w:eastAsia="zh-CN"/>
        </w:rPr>
        <w:t>背景：</w:t>
      </w:r>
      <w:r>
        <w:rPr>
          <w:rFonts w:hint="eastAsia" w:ascii="仿宋_GB2312" w:eastAsia="仿宋_GB2312"/>
          <w:sz w:val="32"/>
          <w:szCs w:val="36"/>
          <w:lang w:val="en-US" w:eastAsia="zh-CN"/>
        </w:rPr>
        <w:t>朝阳市财经学校附属幼儿园结合学校学前教育专业的资源优势，以“生活中教育、环境中熏陶、游戏中学习、快乐中成长”的办园理念，打造探索性的科技园所。双方结合教学特色、办园理念，共同打造特色品牌，提升校企合作影响力。</w:t>
      </w:r>
    </w:p>
    <w:p w14:paraId="1069A398">
      <w:pPr>
        <w:keepNext w:val="0"/>
        <w:keepLines w:val="0"/>
        <w:pageBreakBefore w:val="0"/>
        <w:widowControl w:val="0"/>
        <w:kinsoku/>
        <w:wordWrap/>
        <w:overflowPunct/>
        <w:topLinePunct w:val="0"/>
        <w:autoSpaceDE/>
        <w:autoSpaceDN/>
        <w:bidi w:val="0"/>
        <w:adjustRightInd/>
        <w:snapToGrid/>
        <w:spacing w:line="540" w:lineRule="exact"/>
        <w:ind w:firstLine="643" w:firstLineChars="200"/>
        <w:textAlignment w:val="auto"/>
        <w:rPr>
          <w:rFonts w:hint="default" w:ascii="仿宋_GB2312" w:eastAsia="仿宋_GB2312"/>
          <w:sz w:val="32"/>
          <w:szCs w:val="36"/>
          <w:lang w:val="en-US" w:eastAsia="zh-CN"/>
        </w:rPr>
      </w:pPr>
      <w:r>
        <w:rPr>
          <w:rFonts w:hint="eastAsia" w:ascii="仿宋_GB2312" w:eastAsia="仿宋_GB2312"/>
          <w:b/>
          <w:bCs/>
          <w:sz w:val="32"/>
          <w:szCs w:val="36"/>
          <w:lang w:val="en-US" w:eastAsia="zh-CN"/>
        </w:rPr>
        <w:t>过程与方法：</w:t>
      </w:r>
      <w:r>
        <w:rPr>
          <w:rFonts w:hint="eastAsia" w:ascii="仿宋_GB2312" w:eastAsia="仿宋_GB2312"/>
          <w:sz w:val="32"/>
          <w:szCs w:val="36"/>
          <w:lang w:val="en-US" w:eastAsia="zh-CN"/>
        </w:rPr>
        <w:t>校企合作旨在共同探索“校企协同育人”的人才培养新模式来打造标准、输送人才，同时拓宽朝阳市财经学校学前教育专业学生的就业渠道，为学生提供更多的实习和就业机会，从源头解决专业师资问题，共同推动教育事业的蓬勃发展。幼儿园作为朝阳市财经学校幼儿保育专业实习实训基地，每个学期都会接收学生到幼儿园见习，使学生熟悉幼儿的日常行为表现，增强对幼儿的认识和了解；初步感受幼儿园教育和生活环境；了解幼儿园的一日活动常规和对教师的基本要求；感知幼儿园教学的基本过程和活动组织方法；基本掌握编写活动方案，组织活动实施的技能等，培养学生积极的职业情感和准教师意识。</w:t>
      </w:r>
    </w:p>
    <w:p w14:paraId="38C9423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sz w:val="32"/>
          <w:szCs w:val="36"/>
          <w:lang w:val="en-US" w:eastAsia="zh-CN"/>
        </w:rPr>
        <w:t>2024年，朝阳市财经学校附属幼儿园共接收学校学前教育专业实习生121人，输送幼儿园大班毕业生近百名。在学校场地顺利举办了第二届六一嘉年华亲子趣味运动会、2024届大班毕业典礼等大型活动。</w:t>
      </w:r>
    </w:p>
    <w:p w14:paraId="19404E7A">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b/>
          <w:bCs/>
          <w:sz w:val="32"/>
          <w:szCs w:val="36"/>
          <w:lang w:val="en-US" w:eastAsia="zh-CN"/>
        </w:rPr>
        <w:t>成效：</w:t>
      </w:r>
      <w:r>
        <w:rPr>
          <w:rFonts w:hint="eastAsia" w:ascii="仿宋_GB2312" w:hAnsi="仿宋_GB2312" w:eastAsia="仿宋_GB2312" w:cs="仿宋_GB2312"/>
          <w:sz w:val="32"/>
          <w:szCs w:val="36"/>
          <w:lang w:val="en-US" w:eastAsia="zh-CN"/>
        </w:rPr>
        <w:t>通过加强学校与幼儿园之间的深度合作，构建资源共享、优势互补的合作机制，校企合作影响力有较大提升，为本市学前教育事业发展贡献了力量。</w:t>
      </w:r>
    </w:p>
    <w:p w14:paraId="1CE29137">
      <w:pPr>
        <w:pStyle w:val="2"/>
        <w:keepNext w:val="0"/>
        <w:keepLines w:val="0"/>
        <w:pageBreakBefore w:val="0"/>
        <w:kinsoku/>
        <w:wordWrap/>
        <w:overflowPunct/>
        <w:topLinePunct w:val="0"/>
        <w:autoSpaceDE/>
        <w:autoSpaceDN/>
        <w:bidi w:val="0"/>
        <w:adjustRightInd/>
        <w:snapToGrid/>
        <w:spacing w:line="540" w:lineRule="exact"/>
        <w:textAlignment w:val="auto"/>
        <w:rPr>
          <w:rFonts w:hint="eastAsia" w:ascii="楷体" w:hAnsi="楷体" w:eastAsia="楷体" w:cs="楷体"/>
          <w:b/>
          <w:bCs w:val="0"/>
          <w:sz w:val="32"/>
          <w:szCs w:val="32"/>
          <w:lang w:val="en-US" w:eastAsia="zh-CN"/>
        </w:rPr>
      </w:pPr>
      <w:bookmarkStart w:id="287" w:name="_Toc17992"/>
      <w:r>
        <w:rPr>
          <w:rFonts w:hint="eastAsia" w:ascii="楷体" w:hAnsi="楷体" w:eastAsia="楷体" w:cs="楷体"/>
          <w:b/>
          <w:bCs w:val="0"/>
          <w:sz w:val="32"/>
          <w:szCs w:val="32"/>
          <w:lang w:val="en-US" w:eastAsia="zh-CN"/>
        </w:rPr>
        <w:t>5.4产教双师共培</w:t>
      </w:r>
      <w:bookmarkEnd w:id="287"/>
      <w:r>
        <w:rPr>
          <w:rFonts w:hint="eastAsia" w:ascii="楷体" w:hAnsi="楷体" w:eastAsia="楷体" w:cs="楷体"/>
          <w:b/>
          <w:bCs w:val="0"/>
          <w:sz w:val="32"/>
          <w:szCs w:val="32"/>
          <w:lang w:val="en-US" w:eastAsia="zh-CN"/>
        </w:rPr>
        <w:t xml:space="preserve"> </w:t>
      </w:r>
    </w:p>
    <w:p w14:paraId="613AA0E5">
      <w:pPr>
        <w:pStyle w:val="7"/>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val="0"/>
          <w:bCs w:val="0"/>
          <w:spacing w:val="0"/>
          <w:kern w:val="2"/>
          <w:sz w:val="32"/>
          <w:szCs w:val="36"/>
          <w:lang w:val="en-US" w:eastAsia="zh-CN" w:bidi="ar-SA"/>
        </w:rPr>
        <w:t>认真落实教育部关于推进现代学徒制改革及《关于扩大 1+X证书制度试点规模有关事项的通知》要求，同时，不断加大“双师型”教师培养力度，积极推行行动导向教学，完善“1+X”证书试点建设，扩大“1+X”证书覆盖面。强化职业技能评价在办学模式、教学方式、人才培养等方面的引领作用，优化“岗课赛证”综合育人机制，把X证书培训融入专业人才培养过程。严把证书标准和质量两个关口，改善实训条件，盘活教学资源，提高培训能力，规范人才培养与证书培训过程，严格做好职业技能等级考核与证书发放，不断提高获批考点考核工作科学化、标准化、规范化水平。</w:t>
      </w:r>
    </w:p>
    <w:p w14:paraId="30F0A035">
      <w:pPr>
        <w:pStyle w:val="3"/>
        <w:bidi w:val="0"/>
        <w:ind w:firstLine="640" w:firstLineChars="200"/>
        <w:rPr>
          <w:rFonts w:hint="eastAsia" w:ascii="黑体" w:hAnsi="黑体" w:eastAsia="黑体" w:cs="黑体"/>
          <w:b w:val="0"/>
          <w:bCs/>
          <w:sz w:val="32"/>
          <w:szCs w:val="32"/>
          <w:lang w:val="en-US" w:eastAsia="zh-CN"/>
        </w:rPr>
      </w:pPr>
      <w:bookmarkStart w:id="288" w:name="_Toc5463"/>
      <w:r>
        <w:rPr>
          <w:rFonts w:hint="eastAsia" w:ascii="黑体" w:hAnsi="黑体" w:eastAsia="黑体" w:cs="黑体"/>
          <w:b w:val="0"/>
          <w:bCs/>
          <w:sz w:val="32"/>
          <w:szCs w:val="32"/>
          <w:lang w:val="en-US" w:eastAsia="zh-CN"/>
        </w:rPr>
        <w:t>6.发展保障</w:t>
      </w:r>
      <w:bookmarkEnd w:id="288"/>
    </w:p>
    <w:p w14:paraId="09A9699A">
      <w:pPr>
        <w:pStyle w:val="2"/>
        <w:bidi w:val="0"/>
        <w:rPr>
          <w:rFonts w:hint="eastAsia" w:ascii="楷体" w:hAnsi="楷体" w:eastAsia="楷体" w:cs="楷体"/>
          <w:b/>
          <w:bCs w:val="0"/>
          <w:sz w:val="32"/>
          <w:szCs w:val="32"/>
          <w:lang w:val="en-US" w:eastAsia="zh-CN"/>
        </w:rPr>
      </w:pPr>
      <w:bookmarkStart w:id="289" w:name="_Toc7383"/>
      <w:r>
        <w:rPr>
          <w:rFonts w:hint="eastAsia" w:ascii="楷体" w:hAnsi="楷体" w:eastAsia="楷体" w:cs="楷体"/>
          <w:b/>
          <w:bCs w:val="0"/>
          <w:sz w:val="32"/>
          <w:szCs w:val="32"/>
          <w:lang w:val="en-US" w:eastAsia="zh-CN"/>
        </w:rPr>
        <w:t>6.1党建引领</w:t>
      </w:r>
      <w:bookmarkEnd w:id="289"/>
    </w:p>
    <w:p w14:paraId="30B886E7">
      <w:pPr>
        <w:pStyle w:val="7"/>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val="0"/>
          <w:bCs w:val="0"/>
          <w:spacing w:val="0"/>
          <w:kern w:val="2"/>
          <w:sz w:val="32"/>
          <w:szCs w:val="36"/>
          <w:lang w:val="en-US" w:eastAsia="zh-CN" w:bidi="ar-SA"/>
        </w:rPr>
        <w:t>始终坚持以习近平新时代中国特色社会主义思想为指导，坚持和加强党对教育工作的全面领导，全面落实立德树人根本任务，指导各校扎实推进党建工作，将党建工作与业务工作深度融合，运用党建工作指导业务工作，以高质量党建引领职业教育实现高质量发展。</w:t>
      </w:r>
    </w:p>
    <w:p w14:paraId="0BA391DB">
      <w:pPr>
        <w:pStyle w:val="7"/>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highlight w:val="none"/>
          <w:lang w:val="en-US" w:eastAsia="zh-CN"/>
        </w:rPr>
      </w:pPr>
      <w:r>
        <w:rPr>
          <w:rFonts w:hint="eastAsia" w:ascii="仿宋_GB2312" w:hAnsi="仿宋_GB2312" w:eastAsia="仿宋_GB2312" w:cs="仿宋_GB2312"/>
          <w:b/>
          <w:bCs/>
          <w:spacing w:val="0"/>
          <w:kern w:val="2"/>
          <w:sz w:val="32"/>
          <w:szCs w:val="36"/>
          <w:lang w:val="en-US" w:eastAsia="zh-CN" w:bidi="ar-SA"/>
        </w:rPr>
        <w:t>一是指导各校壮大党务工作队伍。</w:t>
      </w:r>
      <w:r>
        <w:rPr>
          <w:rFonts w:hint="eastAsia" w:ascii="仿宋_GB2312" w:hAnsi="仿宋_GB2312" w:eastAsia="仿宋_GB2312" w:cs="仿宋_GB2312"/>
          <w:b w:val="0"/>
          <w:bCs w:val="0"/>
          <w:spacing w:val="0"/>
          <w:kern w:val="2"/>
          <w:sz w:val="32"/>
          <w:szCs w:val="36"/>
          <w:lang w:val="en-US" w:eastAsia="zh-CN" w:bidi="ar-SA"/>
        </w:rPr>
        <w:t>提高政治站位，强化理论武装，全面推行新入职教师、新生入学“第一课”机制，引导广大师生增强“四个意识”、坚持“四个自信”、坚定拥护“两个确立”、坚决做到“两个维护”。积极发展吸纳入党积极分子，搭建交流学习平台，分层分类开展培训，定期开展教育系统主题学习教育大会，实现以学促工，在学习交流中提升业务工作能力。</w:t>
      </w:r>
    </w:p>
    <w:p w14:paraId="2B8D95A8">
      <w:pPr>
        <w:pStyle w:val="7"/>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bCs/>
          <w:spacing w:val="0"/>
          <w:kern w:val="2"/>
          <w:sz w:val="32"/>
          <w:szCs w:val="36"/>
          <w:lang w:val="en-US" w:eastAsia="zh-CN" w:bidi="ar-SA"/>
        </w:rPr>
        <w:t>二是引导各校创新宣讲方式手段。</w:t>
      </w:r>
      <w:r>
        <w:rPr>
          <w:rFonts w:hint="eastAsia" w:ascii="仿宋_GB2312" w:hAnsi="仿宋_GB2312" w:eastAsia="仿宋_GB2312" w:cs="仿宋_GB2312"/>
          <w:b w:val="0"/>
          <w:bCs w:val="0"/>
          <w:spacing w:val="0"/>
          <w:kern w:val="2"/>
          <w:sz w:val="32"/>
          <w:szCs w:val="36"/>
          <w:lang w:val="en-US" w:eastAsia="zh-CN" w:bidi="ar-SA"/>
        </w:rPr>
        <w:t>充分发挥“红色”资源优势，组织市教育系统宣讲团成员进校门、进课堂，与广大中职师生进行专题交流，广泛开展爱国主义教育，弘扬革命文化与社会主义先进文化。持续抓好“学习强国”平台的学习使用，常态化开展“青年大学习”，组织广大共青团员深入学习习近平总书记重要讲话精神，提高中职学生的思想道德修养与科学文化修养。</w:t>
      </w:r>
    </w:p>
    <w:p w14:paraId="6627DDD3">
      <w:pPr>
        <w:pStyle w:val="15"/>
        <w:keepNext w:val="0"/>
        <w:keepLines w:val="0"/>
        <w:pageBreakBefore w:val="0"/>
        <w:widowControl w:val="0"/>
        <w:kinsoku/>
        <w:wordWrap/>
        <w:overflowPunct/>
        <w:topLinePunct w:val="0"/>
        <w:autoSpaceDE/>
        <w:autoSpaceDN/>
        <w:bidi w:val="0"/>
        <w:adjustRightInd/>
        <w:snapToGrid/>
        <w:ind w:left="0" w:leftChars="0"/>
        <w:jc w:val="left"/>
        <w:textAlignment w:val="auto"/>
        <w:rPr>
          <w:rFonts w:hint="eastAsia" w:ascii="楷体" w:hAnsi="楷体" w:eastAsia="楷体" w:cs="楷体"/>
          <w:lang w:val="en-US" w:eastAsia="zh-CN"/>
        </w:rPr>
      </w:pPr>
      <w:r>
        <w:rPr>
          <w:rFonts w:hint="eastAsia" w:ascii="楷体" w:hAnsi="楷体" w:eastAsia="楷体" w:cs="楷体"/>
          <w:lang w:val="en-US" w:eastAsia="zh-CN"/>
        </w:rPr>
        <w:t>典型案例17：</w:t>
      </w:r>
    </w:p>
    <w:p w14:paraId="1A714420">
      <w:pPr>
        <w:pStyle w:val="15"/>
        <w:keepNext w:val="0"/>
        <w:keepLines w:val="0"/>
        <w:pageBreakBefore w:val="0"/>
        <w:widowControl w:val="0"/>
        <w:kinsoku/>
        <w:wordWrap/>
        <w:overflowPunct/>
        <w:topLinePunct w:val="0"/>
        <w:autoSpaceDE/>
        <w:autoSpaceDN/>
        <w:bidi w:val="0"/>
        <w:adjustRightInd/>
        <w:snapToGrid/>
        <w:ind w:left="0" w:leftChars="0"/>
        <w:jc w:val="center"/>
        <w:textAlignment w:val="auto"/>
        <w:outlineLvl w:val="2"/>
        <w:rPr>
          <w:rFonts w:hint="default"/>
          <w:lang w:val="en-US" w:eastAsia="zh-CN"/>
        </w:rPr>
      </w:pPr>
      <w:bookmarkStart w:id="290" w:name="_Toc14592"/>
      <w:bookmarkStart w:id="291" w:name="_Toc421489198_WPSOffice_Level3"/>
      <w:r>
        <w:rPr>
          <w:rFonts w:hint="eastAsia"/>
          <w:lang w:val="en-US" w:eastAsia="zh-CN"/>
        </w:rPr>
        <w:t>党建引领促发展，四维聚力铸先锋</w:t>
      </w:r>
      <w:bookmarkEnd w:id="290"/>
      <w:bookmarkEnd w:id="291"/>
    </w:p>
    <w:p w14:paraId="5C33D047">
      <w:pPr>
        <w:keepNext w:val="0"/>
        <w:keepLines w:val="0"/>
        <w:pageBreakBefore w:val="0"/>
        <w:widowControl/>
        <w:suppressLineNumbers w:val="0"/>
        <w:kinsoku/>
        <w:wordWrap/>
        <w:overflowPunct/>
        <w:topLinePunct w:val="0"/>
        <w:autoSpaceDE/>
        <w:autoSpaceDN/>
        <w:bidi w:val="0"/>
        <w:adjustRightInd/>
        <w:snapToGrid/>
        <w:jc w:val="right"/>
        <w:textAlignment w:val="auto"/>
        <w:rPr>
          <w:rFonts w:hint="eastAsia" w:ascii="楷体" w:hAnsi="楷体" w:eastAsia="楷体" w:cs="楷体"/>
          <w:color w:val="000000"/>
          <w:kern w:val="0"/>
          <w:sz w:val="30"/>
          <w:szCs w:val="30"/>
          <w:lang w:val="en-US" w:eastAsia="zh-CN" w:bidi="ar"/>
        </w:rPr>
      </w:pPr>
      <w:r>
        <w:rPr>
          <w:rFonts w:hint="eastAsia" w:ascii="楷体" w:hAnsi="楷体" w:eastAsia="楷体" w:cs="楷体"/>
          <w:color w:val="000000"/>
          <w:kern w:val="0"/>
          <w:sz w:val="30"/>
          <w:szCs w:val="30"/>
          <w:lang w:val="en-US" w:eastAsia="zh-CN" w:bidi="ar"/>
        </w:rPr>
        <w:t xml:space="preserve">——建平县职业教育中心典型案例 </w:t>
      </w:r>
    </w:p>
    <w:p w14:paraId="0FCEB5C3">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3" w:firstLineChars="200"/>
        <w:textAlignment w:val="auto"/>
        <w:rPr>
          <w:rFonts w:hint="eastAsia" w:ascii="仿宋_GB2312" w:eastAsia="仿宋_GB2312" w:hAnsiTheme="minorHAnsi" w:cstheme="minorBidi"/>
          <w:b w:val="0"/>
          <w:bCs w:val="0"/>
          <w:spacing w:val="0"/>
          <w:kern w:val="2"/>
          <w:sz w:val="32"/>
          <w:szCs w:val="36"/>
          <w:lang w:val="en-US" w:eastAsia="zh-CN" w:bidi="ar-SA"/>
        </w:rPr>
      </w:pPr>
      <w:r>
        <w:rPr>
          <w:rFonts w:hint="eastAsia" w:ascii="仿宋_GB2312" w:eastAsia="仿宋_GB2312" w:hAnsiTheme="minorHAnsi" w:cstheme="minorBidi"/>
          <w:b/>
          <w:bCs/>
          <w:spacing w:val="0"/>
          <w:kern w:val="2"/>
          <w:sz w:val="32"/>
          <w:szCs w:val="36"/>
          <w:lang w:val="en-US" w:eastAsia="zh-CN" w:bidi="ar-SA"/>
        </w:rPr>
        <w:t>背景：</w:t>
      </w:r>
      <w:r>
        <w:rPr>
          <w:rFonts w:hint="eastAsia" w:ascii="仿宋_GB2312" w:eastAsia="仿宋_GB2312" w:hAnsiTheme="minorHAnsi" w:cstheme="minorBidi"/>
          <w:b w:val="0"/>
          <w:bCs w:val="0"/>
          <w:spacing w:val="0"/>
          <w:kern w:val="2"/>
          <w:sz w:val="32"/>
          <w:szCs w:val="36"/>
          <w:lang w:val="en-US" w:eastAsia="zh-CN" w:bidi="ar-SA"/>
        </w:rPr>
        <w:t>党委领导下的职业学校保持长久可持续发展和高质量发展，离不开正确有力的党建引领。建平县职业教育中心党委带领党办和部分教师，以“党建+学生核心素养培养实践的研究”课题为切入点和抓手，积极探索实践。</w:t>
      </w:r>
    </w:p>
    <w:p w14:paraId="1DEE6B95">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3"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eastAsia="仿宋_GB2312" w:hAnsiTheme="minorHAnsi" w:cstheme="minorBidi"/>
          <w:b/>
          <w:bCs/>
          <w:spacing w:val="0"/>
          <w:kern w:val="2"/>
          <w:sz w:val="32"/>
          <w:szCs w:val="36"/>
          <w:lang w:val="en-US" w:eastAsia="zh-CN" w:bidi="ar-SA"/>
        </w:rPr>
        <w:t>过程与方法：</w:t>
      </w:r>
      <w:r>
        <w:rPr>
          <w:rFonts w:hint="eastAsia" w:ascii="仿宋_GB2312" w:eastAsia="仿宋_GB2312" w:hAnsiTheme="minorHAnsi" w:cstheme="minorBidi"/>
          <w:b w:val="0"/>
          <w:bCs w:val="0"/>
          <w:spacing w:val="0"/>
          <w:kern w:val="2"/>
          <w:sz w:val="32"/>
          <w:szCs w:val="36"/>
          <w:lang w:val="en-US" w:eastAsia="zh-CN" w:bidi="ar-SA"/>
        </w:rPr>
        <w:t>建平县职教中心启动“党建+学生核心素养培养实践的研究”课题，通过“党建+”模式的研究，促进党务工作者和教育教学人员增强立德树人意识，革新学生核心素养的培养方式，探索以党建为引领的学生核心素养培养策略，探索“党</w:t>
      </w:r>
      <w:r>
        <w:rPr>
          <w:rFonts w:hint="eastAsia" w:ascii="仿宋_GB2312" w:hAnsi="仿宋_GB2312" w:eastAsia="仿宋_GB2312" w:cs="仿宋_GB2312"/>
          <w:b w:val="0"/>
          <w:bCs w:val="0"/>
          <w:spacing w:val="0"/>
          <w:kern w:val="2"/>
          <w:sz w:val="32"/>
          <w:szCs w:val="36"/>
          <w:lang w:val="en-US" w:eastAsia="zh-CN" w:bidi="ar-SA"/>
        </w:rPr>
        <w:t>建+”在学生核心素养培养中的切入点、有效方法和正确手段，通过“党建+”模式的实施，将党建引领贯穿于学生培养全程。</w:t>
      </w:r>
    </w:p>
    <w:p w14:paraId="451B2BC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bCs/>
          <w:spacing w:val="0"/>
          <w:kern w:val="2"/>
          <w:sz w:val="32"/>
          <w:szCs w:val="36"/>
          <w:lang w:val="en-US" w:eastAsia="zh-CN" w:bidi="ar-SA"/>
        </w:rPr>
        <w:t>成效：</w:t>
      </w:r>
      <w:r>
        <w:rPr>
          <w:rFonts w:hint="eastAsia" w:ascii="仿宋_GB2312" w:hAnsi="仿宋_GB2312" w:eastAsia="仿宋_GB2312" w:cs="仿宋_GB2312"/>
          <w:b w:val="0"/>
          <w:bCs w:val="0"/>
          <w:spacing w:val="0"/>
          <w:kern w:val="2"/>
          <w:sz w:val="32"/>
          <w:szCs w:val="36"/>
          <w:lang w:val="en-US" w:eastAsia="zh-CN" w:bidi="ar-SA"/>
        </w:rPr>
        <w:t>党员队伍素质显著提升，在工作中发挥先锋模范作用，带动了单位整体工作水平的提高；党支部的凝聚力和战斗力不断增强，在重大任务和困难面前能够迎难而上，出色完成各项工作；赢得了群众的广泛赞誉和认可，提升了单位的社会形象，为学校的发展做出了积极贡献。</w:t>
      </w:r>
    </w:p>
    <w:p w14:paraId="4824B757">
      <w:pPr>
        <w:pStyle w:val="15"/>
        <w:keepNext w:val="0"/>
        <w:keepLines w:val="0"/>
        <w:pageBreakBefore w:val="0"/>
        <w:widowControl w:val="0"/>
        <w:kinsoku/>
        <w:wordWrap/>
        <w:overflowPunct/>
        <w:topLinePunct w:val="0"/>
        <w:autoSpaceDE/>
        <w:autoSpaceDN/>
        <w:bidi w:val="0"/>
        <w:adjustRightInd/>
        <w:snapToGrid/>
        <w:ind w:left="0" w:leftChars="0" w:firstLine="0" w:firstLineChars="0"/>
        <w:jc w:val="left"/>
        <w:textAlignment w:val="auto"/>
        <w:rPr>
          <w:rFonts w:hint="eastAsia" w:ascii="楷体" w:hAnsi="楷体" w:eastAsia="楷体" w:cs="楷体"/>
          <w:lang w:val="en-US" w:eastAsia="zh-CN"/>
        </w:rPr>
      </w:pPr>
      <w:r>
        <w:rPr>
          <w:rFonts w:hint="eastAsia" w:ascii="楷体" w:hAnsi="楷体" w:eastAsia="楷体" w:cs="楷体"/>
          <w:lang w:val="en-US" w:eastAsia="zh-CN"/>
        </w:rPr>
        <w:t>典型案例18：</w:t>
      </w:r>
    </w:p>
    <w:p w14:paraId="5ECF53A4">
      <w:pPr>
        <w:pStyle w:val="15"/>
        <w:keepNext w:val="0"/>
        <w:keepLines w:val="0"/>
        <w:pageBreakBefore w:val="0"/>
        <w:widowControl w:val="0"/>
        <w:kinsoku/>
        <w:wordWrap/>
        <w:overflowPunct/>
        <w:topLinePunct w:val="0"/>
        <w:autoSpaceDE/>
        <w:autoSpaceDN/>
        <w:bidi w:val="0"/>
        <w:adjustRightInd/>
        <w:snapToGrid/>
        <w:ind w:left="0" w:leftChars="0"/>
        <w:jc w:val="center"/>
        <w:textAlignment w:val="auto"/>
        <w:rPr>
          <w:rFonts w:hint="eastAsia"/>
          <w:lang w:val="en-US" w:eastAsia="zh-CN"/>
        </w:rPr>
      </w:pPr>
      <w:bookmarkStart w:id="292" w:name="_Toc1142168330_WPSOffice_Level3"/>
      <w:r>
        <w:rPr>
          <w:rFonts w:hint="eastAsia"/>
          <w:lang w:val="en-US" w:eastAsia="zh-CN"/>
        </w:rPr>
        <w:t>市委副书记、市长老颜武讲授思政课</w:t>
      </w:r>
      <w:bookmarkEnd w:id="292"/>
    </w:p>
    <w:p w14:paraId="1CBB3899">
      <w:pPr>
        <w:keepNext w:val="0"/>
        <w:keepLines w:val="0"/>
        <w:pageBreakBefore w:val="0"/>
        <w:widowControl/>
        <w:suppressLineNumbers w:val="0"/>
        <w:kinsoku/>
        <w:wordWrap/>
        <w:overflowPunct/>
        <w:topLinePunct w:val="0"/>
        <w:autoSpaceDE/>
        <w:autoSpaceDN/>
        <w:bidi w:val="0"/>
        <w:adjustRightInd/>
        <w:snapToGrid/>
        <w:jc w:val="right"/>
        <w:textAlignment w:val="auto"/>
        <w:rPr>
          <w:rFonts w:hint="eastAsia"/>
          <w:sz w:val="30"/>
          <w:szCs w:val="30"/>
          <w:lang w:val="en-US" w:eastAsia="zh-CN"/>
        </w:rPr>
      </w:pPr>
      <w:r>
        <w:rPr>
          <w:rFonts w:hint="eastAsia" w:ascii="楷体" w:hAnsi="楷体" w:eastAsia="楷体" w:cs="楷体"/>
          <w:color w:val="000000"/>
          <w:kern w:val="0"/>
          <w:sz w:val="30"/>
          <w:szCs w:val="30"/>
          <w:lang w:val="en-US" w:eastAsia="zh-CN" w:bidi="ar"/>
        </w:rPr>
        <w:t xml:space="preserve">——朝阳工程技术学校典型案例 </w:t>
      </w:r>
    </w:p>
    <w:p w14:paraId="4ADE8A98">
      <w:pPr>
        <w:rPr>
          <w:rFonts w:hint="eastAsia" w:ascii="仿宋_GB2312" w:hAnsi="仿宋_GB2312" w:eastAsia="仿宋_GB2312" w:cs="仿宋_GB2312"/>
          <w:b w:val="0"/>
          <w:bCs w:val="0"/>
          <w:spacing w:val="0"/>
          <w:kern w:val="2"/>
          <w:sz w:val="32"/>
          <w:szCs w:val="32"/>
          <w:lang w:val="en-US" w:eastAsia="zh-CN" w:bidi="ar-SA"/>
        </w:rPr>
      </w:pPr>
      <w:r>
        <w:rPr>
          <w:rFonts w:hint="eastAsia"/>
          <w:lang w:val="en-US" w:eastAsia="zh-CN"/>
        </w:rPr>
        <w:t xml:space="preserve">   </w:t>
      </w:r>
      <w:r>
        <w:rPr>
          <w:rFonts w:hint="eastAsia" w:ascii="仿宋_GB2312" w:eastAsia="仿宋_GB2312" w:hAnsiTheme="minorHAnsi" w:cstheme="minorBidi"/>
          <w:b w:val="0"/>
          <w:bCs w:val="0"/>
          <w:spacing w:val="0"/>
          <w:kern w:val="2"/>
          <w:sz w:val="32"/>
          <w:szCs w:val="36"/>
          <w:lang w:val="en-US" w:eastAsia="zh-CN" w:bidi="ar-SA"/>
        </w:rPr>
        <w:t xml:space="preserve"> </w:t>
      </w:r>
      <w:r>
        <w:rPr>
          <w:rFonts w:hint="eastAsia" w:ascii="仿宋_GB2312" w:hAnsi="仿宋_GB2312" w:eastAsia="仿宋_GB2312" w:cs="仿宋_GB2312"/>
          <w:b/>
          <w:bCs/>
          <w:spacing w:val="0"/>
          <w:kern w:val="2"/>
          <w:sz w:val="32"/>
          <w:szCs w:val="32"/>
          <w:lang w:val="en-US" w:eastAsia="zh-CN" w:bidi="ar-SA"/>
        </w:rPr>
        <w:t xml:space="preserve"> 背景：</w:t>
      </w:r>
      <w:r>
        <w:rPr>
          <w:rFonts w:hint="eastAsia" w:ascii="仿宋_GB2312" w:hAnsi="仿宋_GB2312" w:eastAsia="仿宋_GB2312" w:cs="仿宋_GB2312"/>
          <w:b w:val="0"/>
          <w:bCs w:val="0"/>
          <w:spacing w:val="0"/>
          <w:kern w:val="2"/>
          <w:sz w:val="32"/>
          <w:szCs w:val="32"/>
          <w:lang w:val="en-US" w:eastAsia="zh-CN" w:bidi="ar-SA"/>
        </w:rPr>
        <w:t>青年是祖国的未来，更是朝阳的希望。2024年12月26日，市委副书记、市长老颜武到朝阳工程技术学校讲授思政课，深入贯彻落实习近平总书记在全国教育大会上的重要讲话精神和对学校思政课建设作出的重要指示精神，围绕新时代党和国家事业取得的伟大成就、奋力实施全面振兴新突破三年行动、新时代青年的使命任务与责任担当等内容，与师生们互动交流，并寄语青年学子心怀家国，知责奋进，在推动朝阳高质量发展中谱写青春华章。</w:t>
      </w:r>
    </w:p>
    <w:p w14:paraId="09D6A78E">
      <w:pPr>
        <w:ind w:firstLine="643" w:firstLineChars="200"/>
        <w:rPr>
          <w:rFonts w:hint="eastAsia" w:ascii="仿宋_GB2312" w:hAnsi="仿宋_GB2312" w:eastAsia="仿宋_GB2312" w:cs="仿宋_GB2312"/>
          <w:sz w:val="32"/>
          <w:szCs w:val="32"/>
        </w:rPr>
      </w:pPr>
      <w:r>
        <w:rPr>
          <w:rFonts w:hint="eastAsia" w:ascii="仿宋_GB2312" w:hAnsi="仿宋_GB2312" w:eastAsia="仿宋_GB2312" w:cs="仿宋_GB2312"/>
          <w:b/>
          <w:bCs/>
          <w:spacing w:val="0"/>
          <w:kern w:val="2"/>
          <w:sz w:val="32"/>
          <w:szCs w:val="32"/>
          <w:lang w:val="en-US" w:eastAsia="zh-CN" w:bidi="ar-SA"/>
        </w:rPr>
        <w:t>过程与方法：</w:t>
      </w:r>
      <w:r>
        <w:rPr>
          <w:rFonts w:hint="eastAsia" w:ascii="仿宋_GB2312" w:hAnsi="仿宋_GB2312" w:eastAsia="仿宋_GB2312" w:cs="仿宋_GB2312"/>
          <w:b w:val="0"/>
          <w:bCs w:val="0"/>
          <w:spacing w:val="0"/>
          <w:kern w:val="2"/>
          <w:sz w:val="32"/>
          <w:szCs w:val="32"/>
          <w:lang w:val="en-US" w:eastAsia="zh-CN" w:bidi="ar-SA"/>
        </w:rPr>
        <w:t>老颜武用通俗易懂的语言、深入浅出的讲解、生动鲜活的事例，向师生们介绍了朝阳经济社会发展情况，他指出，朝阳有深厚的历史积淀、优越的交通区位、独特的资源禀赋、优美的生态环境，振兴发展的底气更足、奋发崛起的信心更强。当前，朝阳正扎实推进“六个着力建设”、聚力实现“八个攻坚突破”，全年经济社会发展目标任务即将顺利完成，三年行动攻坚之年攻坚之战胜利在望。广大青年要观大势、识大局，常怀家国情怀，明确奋斗方向，将个人的理想追求融入党和国家事业之中，转化为助推全面振兴新突破的青春动能、全新力量。</w:t>
      </w:r>
    </w:p>
    <w:p w14:paraId="61089219">
      <w:pPr>
        <w:ind w:firstLine="643"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b/>
          <w:bCs/>
          <w:spacing w:val="0"/>
          <w:kern w:val="2"/>
          <w:sz w:val="32"/>
          <w:szCs w:val="32"/>
          <w:lang w:val="en-US" w:eastAsia="zh-CN" w:bidi="ar-SA"/>
        </w:rPr>
        <w:t>成效：</w:t>
      </w:r>
      <w:r>
        <w:rPr>
          <w:rFonts w:hint="eastAsia" w:ascii="仿宋_GB2312" w:hAnsi="仿宋_GB2312" w:eastAsia="仿宋_GB2312" w:cs="仿宋_GB2312"/>
          <w:b w:val="0"/>
          <w:bCs w:val="0"/>
          <w:spacing w:val="0"/>
          <w:kern w:val="2"/>
          <w:sz w:val="32"/>
          <w:szCs w:val="32"/>
          <w:lang w:val="en-US" w:eastAsia="zh-CN" w:bidi="ar-SA"/>
        </w:rPr>
        <w:t>各相关部门、院校积极践行立德树人的教育使命，坚持教育优先发展，持续深化教育领域改革，补齐教育短板弱项，加强师资队伍建设，办好人民满意的教育；坚持立德树人导向，加强专业建设，落细就业服务，打造特色职业教育品牌；坚持思政教育引领，打造高水平思政教师队伍，更好教育和引导学生，坚定理想信念，提升综合素质，勇担时代责任，更好促进青少年成长成才，夯实朝阳高质量发展的人才根基。</w:t>
      </w:r>
    </w:p>
    <w:p w14:paraId="39F05782">
      <w:pPr>
        <w:pStyle w:val="2"/>
        <w:bidi w:val="0"/>
        <w:rPr>
          <w:rFonts w:hint="eastAsia" w:ascii="楷体" w:hAnsi="楷体" w:eastAsia="楷体" w:cs="楷体"/>
          <w:b/>
          <w:bCs w:val="0"/>
          <w:sz w:val="32"/>
          <w:szCs w:val="32"/>
          <w:lang w:val="en-US" w:eastAsia="zh-CN"/>
        </w:rPr>
      </w:pPr>
      <w:bookmarkStart w:id="293" w:name="_Toc23159"/>
      <w:r>
        <w:rPr>
          <w:rFonts w:hint="eastAsia" w:ascii="楷体" w:hAnsi="楷体" w:eastAsia="楷体" w:cs="楷体"/>
          <w:b/>
          <w:bCs w:val="0"/>
          <w:sz w:val="32"/>
          <w:szCs w:val="32"/>
          <w:lang w:val="en-US" w:eastAsia="zh-CN"/>
        </w:rPr>
        <w:t>6.2政策落实</w:t>
      </w:r>
      <w:bookmarkEnd w:id="293"/>
    </w:p>
    <w:p w14:paraId="1BD3F7A4">
      <w:pPr>
        <w:pStyle w:val="4"/>
        <w:keepNext/>
        <w:keepLines/>
        <w:pageBreakBefore w:val="0"/>
        <w:widowControl w:val="0"/>
        <w:kinsoku/>
        <w:wordWrap/>
        <w:overflowPunct/>
        <w:topLinePunct w:val="0"/>
        <w:autoSpaceDE/>
        <w:autoSpaceDN/>
        <w:bidi w:val="0"/>
        <w:adjustRightInd/>
        <w:snapToGrid/>
        <w:ind w:firstLine="643" w:firstLineChars="200"/>
        <w:textAlignment w:val="auto"/>
        <w:rPr>
          <w:rFonts w:hint="eastAsia" w:ascii="仿宋_GB2312" w:hAnsi="仿宋_GB2312" w:eastAsia="仿宋_GB2312" w:cs="仿宋_GB2312"/>
          <w:b/>
          <w:bCs w:val="0"/>
          <w:sz w:val="32"/>
          <w:szCs w:val="32"/>
          <w:lang w:val="en-US" w:eastAsia="zh-CN"/>
        </w:rPr>
      </w:pPr>
      <w:bookmarkStart w:id="294" w:name="_Toc995050021_WPSOffice_Level3"/>
      <w:bookmarkStart w:id="295" w:name="_Toc10866"/>
      <w:r>
        <w:rPr>
          <w:rFonts w:hint="eastAsia" w:ascii="仿宋_GB2312" w:hAnsi="仿宋_GB2312" w:eastAsia="仿宋_GB2312" w:cs="仿宋_GB2312"/>
          <w:b/>
          <w:bCs w:val="0"/>
          <w:sz w:val="32"/>
          <w:szCs w:val="32"/>
          <w:lang w:val="en-US" w:eastAsia="zh-CN"/>
        </w:rPr>
        <w:t>6.2.1 国家政策落实</w:t>
      </w:r>
      <w:bookmarkEnd w:id="294"/>
      <w:bookmarkEnd w:id="295"/>
      <w:r>
        <w:rPr>
          <w:rFonts w:hint="eastAsia" w:ascii="仿宋_GB2312" w:hAnsi="仿宋_GB2312" w:eastAsia="仿宋_GB2312" w:cs="仿宋_GB2312"/>
          <w:b/>
          <w:bCs w:val="0"/>
          <w:sz w:val="32"/>
          <w:szCs w:val="32"/>
          <w:lang w:val="en-US" w:eastAsia="zh-CN"/>
        </w:rPr>
        <w:t xml:space="preserve"> </w:t>
      </w:r>
    </w:p>
    <w:p w14:paraId="1729164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val="0"/>
          <w:bCs w:val="0"/>
          <w:spacing w:val="0"/>
          <w:kern w:val="2"/>
          <w:sz w:val="32"/>
          <w:szCs w:val="36"/>
          <w:lang w:val="en-US" w:eastAsia="zh-CN" w:bidi="ar-SA"/>
        </w:rPr>
        <w:t>认真贯彻落实《国务院关于加快发展现代职业教育的决定》、《国家职业教育改革》实施方案以及《职业教育提质培优行动计划》等文件要求，加强校企合作，实现校企深度融合，促进人才培养质量的提高，更好地服务地方经济发展。</w:t>
      </w:r>
    </w:p>
    <w:p w14:paraId="56C703C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bCs/>
          <w:spacing w:val="0"/>
          <w:kern w:val="2"/>
          <w:sz w:val="32"/>
          <w:szCs w:val="36"/>
          <w:lang w:val="en-US" w:eastAsia="zh-CN" w:bidi="ar-SA"/>
        </w:rPr>
        <w:t>一是依法依规积极推进职业教育工作。</w:t>
      </w:r>
      <w:r>
        <w:rPr>
          <w:rFonts w:hint="eastAsia" w:ascii="仿宋_GB2312" w:hAnsi="仿宋_GB2312" w:eastAsia="仿宋_GB2312" w:cs="仿宋_GB2312"/>
          <w:b w:val="0"/>
          <w:bCs w:val="0"/>
          <w:spacing w:val="0"/>
          <w:kern w:val="2"/>
          <w:sz w:val="32"/>
          <w:szCs w:val="36"/>
          <w:lang w:val="en-US" w:eastAsia="zh-CN" w:bidi="ar-SA"/>
        </w:rPr>
        <w:t>加强与域内外行业和企业的合作，吸引行业专家到校指导教育教学工作，广泛借鉴合作企业的管理经验，根据企业和岗位的需要制订人才培养目标和培养方案，实现所学所需的高度黏合。</w:t>
      </w:r>
    </w:p>
    <w:p w14:paraId="4AC1F94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bCs/>
          <w:spacing w:val="0"/>
          <w:kern w:val="2"/>
          <w:sz w:val="32"/>
          <w:szCs w:val="36"/>
          <w:lang w:val="en-US" w:eastAsia="zh-CN" w:bidi="ar-SA"/>
        </w:rPr>
        <w:t>二是积极开展职业教育宣传与落实工作。</w:t>
      </w:r>
      <w:r>
        <w:rPr>
          <w:rFonts w:hint="eastAsia" w:ascii="仿宋_GB2312" w:hAnsi="仿宋_GB2312" w:eastAsia="仿宋_GB2312" w:cs="仿宋_GB2312"/>
          <w:b w:val="0"/>
          <w:bCs w:val="0"/>
          <w:spacing w:val="0"/>
          <w:kern w:val="2"/>
          <w:sz w:val="32"/>
          <w:szCs w:val="36"/>
          <w:lang w:val="en-US" w:eastAsia="zh-CN" w:bidi="ar-SA"/>
        </w:rPr>
        <w:t>努力形成了人人学习宣传贯彻职业教育政策、处处彰显职业教育办学类型特色、工匠文化吸引中小学及社会团队参观、工匠品牌文化引发校内外学习、工匠精神传承激发学术平台研讨的良好氛围。</w:t>
      </w:r>
    </w:p>
    <w:p w14:paraId="3A183BA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bCs/>
          <w:spacing w:val="0"/>
          <w:kern w:val="2"/>
          <w:sz w:val="32"/>
          <w:szCs w:val="36"/>
          <w:lang w:val="en-US" w:eastAsia="zh-CN" w:bidi="ar-SA"/>
        </w:rPr>
        <w:t>三是积极推动并形成多元办学、多元育人格局。</w:t>
      </w:r>
      <w:r>
        <w:rPr>
          <w:rFonts w:hint="eastAsia" w:ascii="仿宋_GB2312" w:hAnsi="仿宋_GB2312" w:eastAsia="仿宋_GB2312" w:cs="仿宋_GB2312"/>
          <w:b w:val="0"/>
          <w:bCs w:val="0"/>
          <w:spacing w:val="0"/>
          <w:kern w:val="2"/>
          <w:sz w:val="32"/>
          <w:szCs w:val="36"/>
          <w:lang w:val="en-US" w:eastAsia="zh-CN" w:bidi="ar-SA"/>
        </w:rPr>
        <w:t>深入对接重点发展产业需求，坚持政府驱动、产业引导、行业指导、企业参与，全面深化产教融合、校企合作，适应和服务地方产业结构转型升级。探索建立企业、行业、产业、专业、就业、职业“六业”联动新机制，同步推进产教融合发展政策制定、要素支持和重点项目建设。</w:t>
      </w:r>
    </w:p>
    <w:p w14:paraId="2E437228">
      <w:pPr>
        <w:pStyle w:val="4"/>
        <w:keepNext/>
        <w:keepLines/>
        <w:pageBreakBefore w:val="0"/>
        <w:widowControl w:val="0"/>
        <w:kinsoku/>
        <w:wordWrap/>
        <w:overflowPunct/>
        <w:topLinePunct w:val="0"/>
        <w:autoSpaceDE/>
        <w:autoSpaceDN/>
        <w:bidi w:val="0"/>
        <w:adjustRightInd/>
        <w:snapToGrid/>
        <w:ind w:firstLine="643" w:firstLineChars="200"/>
        <w:textAlignment w:val="auto"/>
        <w:rPr>
          <w:rFonts w:hint="eastAsia" w:ascii="仿宋_GB2312" w:hAnsi="仿宋_GB2312" w:eastAsia="仿宋_GB2312" w:cs="仿宋_GB2312"/>
          <w:b/>
          <w:bCs w:val="0"/>
          <w:sz w:val="32"/>
          <w:szCs w:val="32"/>
          <w:lang w:val="en-US" w:eastAsia="zh-CN"/>
        </w:rPr>
      </w:pPr>
      <w:bookmarkStart w:id="296" w:name="_Toc6862"/>
      <w:bookmarkStart w:id="297" w:name="_Toc1676476542_WPSOffice_Level3"/>
      <w:r>
        <w:rPr>
          <w:rFonts w:hint="eastAsia" w:ascii="仿宋_GB2312" w:hAnsi="仿宋_GB2312" w:eastAsia="仿宋_GB2312" w:cs="仿宋_GB2312"/>
          <w:b/>
          <w:bCs w:val="0"/>
          <w:sz w:val="32"/>
          <w:szCs w:val="32"/>
          <w:lang w:val="en-US" w:eastAsia="zh-CN"/>
        </w:rPr>
        <w:t>6.2.2地方政策落实</w:t>
      </w:r>
      <w:bookmarkEnd w:id="296"/>
      <w:bookmarkEnd w:id="297"/>
      <w:r>
        <w:rPr>
          <w:rFonts w:hint="eastAsia" w:ascii="仿宋_GB2312" w:hAnsi="仿宋_GB2312" w:eastAsia="仿宋_GB2312" w:cs="仿宋_GB2312"/>
          <w:b/>
          <w:bCs w:val="0"/>
          <w:sz w:val="32"/>
          <w:szCs w:val="32"/>
          <w:lang w:val="en-US" w:eastAsia="zh-CN"/>
        </w:rPr>
        <w:t xml:space="preserve"> </w:t>
      </w:r>
    </w:p>
    <w:p w14:paraId="3CAB454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val="0"/>
          <w:bCs w:val="0"/>
          <w:spacing w:val="0"/>
          <w:kern w:val="2"/>
          <w:sz w:val="32"/>
          <w:szCs w:val="36"/>
          <w:lang w:val="en-US" w:eastAsia="zh-CN" w:bidi="ar-SA"/>
        </w:rPr>
        <w:t>认真贯彻《辽宁省关于推动现代职业教育高质量发展若干措施》，深入推动《朝阳市支持职业教育发展若干措施》《朝阳市推进职业教育实用高效发展  提升服务地方经济发展能力实施方案》落地落实，全市职业教育高质量发展成绩显著。</w:t>
      </w:r>
    </w:p>
    <w:p w14:paraId="4C00DBD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val="0"/>
          <w:bCs w:val="0"/>
          <w:spacing w:val="0"/>
          <w:kern w:val="2"/>
          <w:sz w:val="32"/>
          <w:szCs w:val="36"/>
          <w:lang w:val="en-US" w:eastAsia="zh-CN" w:bidi="ar-SA"/>
        </w:rPr>
        <w:t>研究制定《强化职业学校培训职能 服务朝阳全面振兴新突破三年行动实施方案》，强化职业学校培训职能，提高劳动者素质和职业技能水平，提升职业教育服务发展和促进就业创业能力，有效服务“全面振兴新突破三年行动”和“建设融入京津冀协同发展战略先导区”战略，为支持朝阳实现全面振兴全方位振兴储备技能人才。</w:t>
      </w:r>
    </w:p>
    <w:p w14:paraId="6E06B6B4">
      <w:pPr>
        <w:pStyle w:val="2"/>
        <w:bidi w:val="0"/>
        <w:rPr>
          <w:rFonts w:hint="eastAsia" w:ascii="楷体" w:hAnsi="楷体" w:eastAsia="楷体" w:cs="楷体"/>
          <w:b/>
          <w:bCs w:val="0"/>
          <w:sz w:val="32"/>
          <w:szCs w:val="32"/>
          <w:lang w:val="en-US" w:eastAsia="zh-CN"/>
        </w:rPr>
      </w:pPr>
      <w:bookmarkStart w:id="298" w:name="_Toc28800"/>
      <w:r>
        <w:rPr>
          <w:rFonts w:hint="eastAsia" w:ascii="楷体" w:hAnsi="楷体" w:eastAsia="楷体" w:cs="楷体"/>
          <w:b/>
          <w:bCs w:val="0"/>
          <w:sz w:val="32"/>
          <w:szCs w:val="32"/>
          <w:lang w:val="en-US" w:eastAsia="zh-CN"/>
        </w:rPr>
        <w:t>6.3合规性检查</w:t>
      </w:r>
      <w:bookmarkEnd w:id="298"/>
    </w:p>
    <w:p w14:paraId="7B7FEF1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val="0"/>
          <w:bCs w:val="0"/>
          <w:spacing w:val="0"/>
          <w:kern w:val="2"/>
          <w:sz w:val="32"/>
          <w:szCs w:val="36"/>
          <w:lang w:val="en-US" w:eastAsia="zh-CN" w:bidi="ar-SA"/>
        </w:rPr>
        <w:t>全面贯彻落实《辽宁省教育办公室关于做好2024年职业教育质量报告编制发布和报送工作的通知》要求，督促、指导各中职学校做好学校年报的编制工作，各校成立质量年报工作小组，全面汇总各校相关数据图表，并由专人负责编制报告。同时严格按照评价指标体系，对全市中等职业学校年报开展合规性检查。民办校由于存在成立时间晚、师资水平低、发展规模小、教学资源开发不足等问题短板，导致学校年报在呈现上显现出典型案例少、图表佐证不足、整体结构完整性不足的问题，分值在70-75区间。四所市直学校与五所职教中心的质量年报能够体现县域特色与学校亮点，从量化分析的角度报告年报的各项内容，但也存在典型案例数量少、特点不鲜明、内容冗长的问题，分值在80-85区间。其中朝阳工程技术学校与建平县职教中心的质量年报基本要素齐全、编制报送质量高、类型特色鲜明，分值在85-90区间。</w:t>
      </w:r>
    </w:p>
    <w:p w14:paraId="2FD8FFB0">
      <w:pPr>
        <w:pStyle w:val="2"/>
        <w:bidi w:val="0"/>
        <w:rPr>
          <w:rFonts w:hint="eastAsia" w:ascii="楷体" w:hAnsi="楷体" w:eastAsia="楷体" w:cs="楷体"/>
          <w:b/>
          <w:bCs w:val="0"/>
          <w:sz w:val="32"/>
          <w:szCs w:val="32"/>
          <w:lang w:val="en-US" w:eastAsia="zh-CN"/>
        </w:rPr>
      </w:pPr>
      <w:bookmarkStart w:id="299" w:name="_Toc25608"/>
      <w:r>
        <w:rPr>
          <w:rFonts w:hint="eastAsia" w:ascii="楷体" w:hAnsi="楷体" w:eastAsia="楷体" w:cs="楷体"/>
          <w:b/>
          <w:bCs w:val="0"/>
          <w:sz w:val="32"/>
          <w:szCs w:val="32"/>
          <w:lang w:val="en-US" w:eastAsia="zh-CN"/>
        </w:rPr>
        <w:t>6.4条件保障</w:t>
      </w:r>
      <w:bookmarkEnd w:id="299"/>
    </w:p>
    <w:p w14:paraId="39BBB1AC">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eastAsia="仿宋_GB2312" w:hAnsiTheme="minorHAnsi" w:cstheme="minorBidi"/>
          <w:b/>
          <w:bCs/>
          <w:spacing w:val="0"/>
          <w:kern w:val="2"/>
          <w:sz w:val="32"/>
          <w:szCs w:val="36"/>
          <w:lang w:val="en-US" w:eastAsia="zh-CN" w:bidi="ar-SA"/>
        </w:rPr>
        <w:t>一是</w:t>
      </w:r>
      <w:r>
        <w:rPr>
          <w:rFonts w:hint="eastAsia" w:ascii="仿宋_GB2312" w:hAnsi="仿宋_GB2312" w:eastAsia="仿宋_GB2312" w:cs="仿宋_GB2312"/>
          <w:b w:val="0"/>
          <w:bCs w:val="0"/>
          <w:spacing w:val="0"/>
          <w:kern w:val="2"/>
          <w:sz w:val="32"/>
          <w:szCs w:val="36"/>
          <w:lang w:val="en-US" w:eastAsia="zh-CN" w:bidi="ar-SA"/>
        </w:rPr>
        <w:t>指导各校建立具有本校特色、符合本校实际的建立健全教学管理制度，健全管理网络组织体系，构建教学质量监控体系，对教学工作施行全过程管理。</w:t>
      </w:r>
    </w:p>
    <w:p w14:paraId="3EFBC3EA">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bCs/>
          <w:spacing w:val="0"/>
          <w:kern w:val="2"/>
          <w:sz w:val="32"/>
          <w:szCs w:val="36"/>
          <w:lang w:val="en-US" w:eastAsia="zh-CN" w:bidi="ar-SA"/>
        </w:rPr>
        <w:t>二是</w:t>
      </w:r>
      <w:r>
        <w:rPr>
          <w:rFonts w:hint="eastAsia" w:ascii="仿宋_GB2312" w:hAnsi="仿宋_GB2312" w:eastAsia="仿宋_GB2312" w:cs="仿宋_GB2312"/>
          <w:b w:val="0"/>
          <w:bCs w:val="0"/>
          <w:spacing w:val="0"/>
          <w:kern w:val="2"/>
          <w:sz w:val="32"/>
          <w:szCs w:val="36"/>
          <w:lang w:val="en-US" w:eastAsia="zh-CN" w:bidi="ar-SA"/>
        </w:rPr>
        <w:t>督促各校聚焦产业发展，进一步调整人才培养方案，建立与之相匹配的课程体系，开发出一定数量的校本课程，教学内容能体现相关行业的新知识、新技术、新工艺、新方法。</w:t>
      </w:r>
    </w:p>
    <w:p w14:paraId="298DE12C">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bCs/>
          <w:spacing w:val="0"/>
          <w:kern w:val="2"/>
          <w:sz w:val="32"/>
          <w:szCs w:val="36"/>
          <w:lang w:val="en-US" w:eastAsia="zh-CN" w:bidi="ar-SA"/>
        </w:rPr>
        <w:t>三是</w:t>
      </w:r>
      <w:r>
        <w:rPr>
          <w:rFonts w:hint="eastAsia" w:ascii="仿宋_GB2312" w:hAnsi="仿宋_GB2312" w:eastAsia="仿宋_GB2312" w:cs="仿宋_GB2312"/>
          <w:b w:val="0"/>
          <w:bCs w:val="0"/>
          <w:spacing w:val="0"/>
          <w:kern w:val="2"/>
          <w:sz w:val="32"/>
          <w:szCs w:val="36"/>
          <w:lang w:val="en-US" w:eastAsia="zh-CN" w:bidi="ar-SA"/>
        </w:rPr>
        <w:t>不断创新人才培养模式。改变以课堂为中心的教学方式，缩短了技能与岗位、专业与职业、课堂与车间、实训与生产的距离，把课堂设在仿真实验室，实训基地等场所，灵活采用任务驱动、项目带动、情境教学、案例教学、现场指导、综合练习等教学方式，边学边练，讲练结合，学做合一。</w:t>
      </w:r>
    </w:p>
    <w:p w14:paraId="61E8522F">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bCs/>
          <w:spacing w:val="0"/>
          <w:kern w:val="2"/>
          <w:sz w:val="32"/>
          <w:szCs w:val="36"/>
          <w:lang w:val="en-US" w:eastAsia="zh-CN" w:bidi="ar-SA"/>
        </w:rPr>
        <w:t>四是</w:t>
      </w:r>
      <w:r>
        <w:rPr>
          <w:rFonts w:hint="eastAsia" w:ascii="仿宋_GB2312" w:hAnsi="仿宋_GB2312" w:eastAsia="仿宋_GB2312" w:cs="仿宋_GB2312"/>
          <w:b w:val="0"/>
          <w:bCs w:val="0"/>
          <w:spacing w:val="0"/>
          <w:kern w:val="2"/>
          <w:sz w:val="32"/>
          <w:szCs w:val="36"/>
          <w:lang w:val="en-US" w:eastAsia="zh-CN" w:bidi="ar-SA"/>
        </w:rPr>
        <w:t>加强师资队伍管理。建立骨干教师培训管理机制，选拔推荐优秀的中、青年骨干教师参加国培、省培，按计划选送专业教师赴企业顶岗实践等，让更多的教师脱颖而出，逐步成长为专业（学科）带头人、名师。</w:t>
      </w:r>
    </w:p>
    <w:p w14:paraId="25A44EAC">
      <w:pPr>
        <w:pStyle w:val="7"/>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b/>
          <w:bCs/>
          <w:spacing w:val="0"/>
          <w:kern w:val="2"/>
          <w:sz w:val="32"/>
          <w:szCs w:val="36"/>
          <w:lang w:val="en-US" w:eastAsia="zh-CN" w:bidi="ar-SA"/>
        </w:rPr>
        <w:t>五是</w:t>
      </w:r>
      <w:r>
        <w:rPr>
          <w:rFonts w:hint="eastAsia" w:ascii="仿宋_GB2312" w:hAnsi="仿宋_GB2312" w:eastAsia="仿宋_GB2312" w:cs="仿宋_GB2312"/>
          <w:b w:val="0"/>
          <w:bCs w:val="0"/>
          <w:spacing w:val="0"/>
          <w:kern w:val="2"/>
          <w:sz w:val="32"/>
          <w:szCs w:val="36"/>
          <w:lang w:val="en-US" w:eastAsia="zh-CN" w:bidi="ar-SA"/>
        </w:rPr>
        <w:t>充分发挥职业技能大赛作用，达到“以赛促教、以赛促学、以赛促改”的目的，不断深化教育教学改革。</w:t>
      </w:r>
      <w:r>
        <w:rPr>
          <w:rFonts w:hint="eastAsia" w:ascii="仿宋_GB2312" w:hAnsi="仿宋_GB2312" w:eastAsia="仿宋_GB2312" w:cs="仿宋_GB2312"/>
          <w:b w:val="0"/>
          <w:bCs w:val="0"/>
          <w:spacing w:val="0"/>
          <w:kern w:val="2"/>
          <w:sz w:val="32"/>
          <w:szCs w:val="32"/>
          <w:lang w:val="en-US" w:eastAsia="zh-CN" w:bidi="ar-SA"/>
        </w:rPr>
        <w:t>举办朝阳市中职学校技能大赛教师能力类比赛，设置教学能力比赛、思政课程教学能力比赛和班主任能力比赛3项赛事，全市共29支队伍98名教师入围决赛，评定一等奖5项，二等奖10项，三等奖14项；择优推荐18支队伍参加省赛，获得一等奖3项、二等奖1项，并有3支团队（教师）推荐参加国赛。</w:t>
      </w:r>
    </w:p>
    <w:p w14:paraId="79B29DF0">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lang w:val="en-US" w:eastAsia="zh-CN"/>
        </w:rPr>
      </w:pPr>
      <w:r>
        <w:rPr>
          <w:rFonts w:hint="eastAsia" w:ascii="仿宋_GB2312" w:hAnsi="仿宋_GB2312" w:eastAsia="仿宋_GB2312" w:cs="仿宋_GB2312"/>
          <w:b/>
          <w:bCs/>
          <w:spacing w:val="0"/>
          <w:kern w:val="2"/>
          <w:sz w:val="32"/>
          <w:szCs w:val="36"/>
          <w:lang w:val="en-US" w:eastAsia="zh-CN" w:bidi="ar-SA"/>
        </w:rPr>
        <w:t>六是</w:t>
      </w:r>
      <w:r>
        <w:rPr>
          <w:rFonts w:hint="eastAsia" w:ascii="仿宋_GB2312" w:hAnsi="仿宋_GB2312" w:eastAsia="仿宋_GB2312" w:cs="仿宋_GB2312"/>
          <w:b w:val="0"/>
          <w:bCs w:val="0"/>
          <w:spacing w:val="-11"/>
          <w:kern w:val="2"/>
          <w:sz w:val="32"/>
          <w:szCs w:val="36"/>
          <w:lang w:val="en-US" w:eastAsia="zh-CN" w:bidi="ar-SA"/>
        </w:rPr>
        <w:t>加快实现职业学校办学条件显著提升</w:t>
      </w:r>
      <w:r>
        <w:rPr>
          <w:rFonts w:hint="eastAsia" w:ascii="仿宋_GB2312" w:hAnsi="仿宋_GB2312" w:eastAsia="仿宋_GB2312" w:cs="仿宋_GB2312"/>
          <w:b w:val="0"/>
          <w:bCs w:val="0"/>
          <w:spacing w:val="-6"/>
          <w:kern w:val="2"/>
          <w:sz w:val="32"/>
          <w:szCs w:val="36"/>
          <w:lang w:val="en-US" w:eastAsia="zh-CN" w:bidi="ar-SA"/>
        </w:rPr>
        <w:t>，长效推动职业教</w:t>
      </w:r>
      <w:r>
        <w:rPr>
          <w:rFonts w:hint="eastAsia" w:ascii="仿宋_GB2312" w:hAnsi="仿宋_GB2312" w:eastAsia="仿宋_GB2312" w:cs="仿宋_GB2312"/>
          <w:b w:val="0"/>
          <w:bCs w:val="0"/>
          <w:spacing w:val="-11"/>
          <w:kern w:val="2"/>
          <w:sz w:val="32"/>
          <w:szCs w:val="36"/>
          <w:lang w:val="en-US" w:eastAsia="zh-CN" w:bidi="ar-SA"/>
        </w:rPr>
        <w:t>育办学质量和吸引力显著增强的工作目标，实现职业教育高质量发</w:t>
      </w:r>
      <w:r>
        <w:rPr>
          <w:rFonts w:hint="eastAsia" w:ascii="仿宋_GB2312" w:hAnsi="仿宋_GB2312" w:eastAsia="仿宋_GB2312" w:cs="仿宋_GB2312"/>
          <w:b w:val="0"/>
          <w:bCs w:val="0"/>
          <w:spacing w:val="-6"/>
          <w:kern w:val="2"/>
          <w:sz w:val="32"/>
          <w:szCs w:val="36"/>
          <w:lang w:val="en-US" w:eastAsia="zh-CN" w:bidi="ar-SA"/>
        </w:rPr>
        <w:t>展。</w:t>
      </w:r>
    </w:p>
    <w:p w14:paraId="71702158">
      <w:pPr>
        <w:pStyle w:val="15"/>
        <w:keepNext w:val="0"/>
        <w:keepLines w:val="0"/>
        <w:pageBreakBefore w:val="0"/>
        <w:widowControl w:val="0"/>
        <w:kinsoku/>
        <w:wordWrap/>
        <w:overflowPunct/>
        <w:topLinePunct w:val="0"/>
        <w:autoSpaceDE/>
        <w:autoSpaceDN/>
        <w:bidi w:val="0"/>
        <w:adjustRightInd/>
        <w:snapToGrid/>
        <w:ind w:left="0" w:leftChars="0"/>
        <w:jc w:val="left"/>
        <w:textAlignment w:val="auto"/>
        <w:rPr>
          <w:rFonts w:hint="eastAsia" w:ascii="楷体" w:hAnsi="楷体" w:eastAsia="楷体" w:cs="楷体"/>
          <w:highlight w:val="none"/>
          <w:lang w:val="en-US" w:eastAsia="zh-CN"/>
        </w:rPr>
      </w:pPr>
      <w:r>
        <w:rPr>
          <w:rFonts w:hint="eastAsia" w:ascii="楷体" w:hAnsi="楷体" w:eastAsia="楷体" w:cs="楷体"/>
          <w:highlight w:val="none"/>
          <w:lang w:val="en-US" w:eastAsia="zh-CN"/>
        </w:rPr>
        <w:t>典型案例19：</w:t>
      </w:r>
    </w:p>
    <w:p w14:paraId="69099D30">
      <w:pPr>
        <w:pStyle w:val="15"/>
        <w:keepNext w:val="0"/>
        <w:keepLines w:val="0"/>
        <w:pageBreakBefore w:val="0"/>
        <w:widowControl w:val="0"/>
        <w:kinsoku/>
        <w:wordWrap/>
        <w:overflowPunct/>
        <w:topLinePunct w:val="0"/>
        <w:autoSpaceDE/>
        <w:autoSpaceDN/>
        <w:bidi w:val="0"/>
        <w:adjustRightInd/>
        <w:snapToGrid/>
        <w:ind w:left="0" w:leftChars="0"/>
        <w:jc w:val="center"/>
        <w:textAlignment w:val="auto"/>
        <w:outlineLvl w:val="2"/>
        <w:rPr>
          <w:rFonts w:hint="eastAsia"/>
          <w:highlight w:val="none"/>
          <w:lang w:val="en-US" w:eastAsia="zh-CN"/>
        </w:rPr>
      </w:pPr>
      <w:bookmarkStart w:id="300" w:name="_Toc257932067_WPSOffice_Level3"/>
      <w:bookmarkStart w:id="301" w:name="_Toc12483"/>
      <w:r>
        <w:rPr>
          <w:rFonts w:hint="eastAsia"/>
          <w:highlight w:val="none"/>
          <w:lang w:val="en-US" w:eastAsia="zh-CN"/>
        </w:rPr>
        <w:t>异地新建 助力办学能力提升</w:t>
      </w:r>
      <w:bookmarkEnd w:id="300"/>
      <w:bookmarkEnd w:id="301"/>
    </w:p>
    <w:p w14:paraId="3964DE6B">
      <w:pPr>
        <w:keepNext w:val="0"/>
        <w:keepLines w:val="0"/>
        <w:pageBreakBefore w:val="0"/>
        <w:widowControl/>
        <w:suppressLineNumbers w:val="0"/>
        <w:kinsoku/>
        <w:wordWrap/>
        <w:overflowPunct/>
        <w:topLinePunct w:val="0"/>
        <w:autoSpaceDE/>
        <w:autoSpaceDN/>
        <w:bidi w:val="0"/>
        <w:adjustRightInd/>
        <w:snapToGrid/>
        <w:jc w:val="right"/>
        <w:textAlignment w:val="auto"/>
        <w:rPr>
          <w:rFonts w:hint="eastAsia" w:ascii="楷体" w:hAnsi="楷体" w:eastAsia="楷体" w:cs="楷体"/>
          <w:color w:val="000000"/>
          <w:kern w:val="0"/>
          <w:sz w:val="24"/>
          <w:szCs w:val="24"/>
          <w:lang w:val="en-US" w:eastAsia="zh-CN" w:bidi="ar"/>
        </w:rPr>
      </w:pPr>
      <w:r>
        <w:rPr>
          <w:rFonts w:hint="eastAsia" w:ascii="楷体" w:hAnsi="楷体" w:eastAsia="楷体" w:cs="楷体"/>
          <w:color w:val="000000"/>
          <w:kern w:val="0"/>
          <w:sz w:val="30"/>
          <w:szCs w:val="30"/>
          <w:lang w:val="en-US" w:eastAsia="zh-CN" w:bidi="ar"/>
        </w:rPr>
        <w:t>——朝阳县职业教育中心典型案例</w:t>
      </w:r>
      <w:r>
        <w:rPr>
          <w:rFonts w:hint="eastAsia" w:ascii="楷体" w:hAnsi="楷体" w:eastAsia="楷体" w:cs="楷体"/>
          <w:color w:val="000000"/>
          <w:kern w:val="0"/>
          <w:sz w:val="24"/>
          <w:szCs w:val="24"/>
          <w:lang w:val="en-US" w:eastAsia="zh-CN" w:bidi="ar"/>
        </w:rPr>
        <w:t xml:space="preserve"> </w:t>
      </w:r>
    </w:p>
    <w:p w14:paraId="670929E3">
      <w:pPr>
        <w:keepNext w:val="0"/>
        <w:keepLines w:val="0"/>
        <w:pageBreakBefore w:val="0"/>
        <w:widowControl w:val="0"/>
        <w:kinsoku/>
        <w:wordWrap/>
        <w:overflowPunct/>
        <w:topLinePunct w:val="0"/>
        <w:autoSpaceDE/>
        <w:autoSpaceDN/>
        <w:bidi w:val="0"/>
        <w:adjustRightInd/>
        <w:snapToGrid/>
        <w:spacing w:line="540" w:lineRule="exact"/>
        <w:ind w:firstLine="643"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bCs/>
          <w:spacing w:val="0"/>
          <w:kern w:val="2"/>
          <w:sz w:val="32"/>
          <w:szCs w:val="36"/>
          <w:lang w:val="en-US" w:eastAsia="zh-CN" w:bidi="ar-SA"/>
        </w:rPr>
        <w:t>背景：</w:t>
      </w:r>
      <w:r>
        <w:rPr>
          <w:rFonts w:hint="eastAsia" w:ascii="仿宋_GB2312" w:hAnsi="仿宋_GB2312" w:eastAsia="仿宋_GB2312" w:cs="仿宋_GB2312"/>
          <w:b w:val="0"/>
          <w:bCs w:val="0"/>
          <w:spacing w:val="0"/>
          <w:kern w:val="2"/>
          <w:sz w:val="32"/>
          <w:szCs w:val="36"/>
          <w:lang w:val="en-US" w:eastAsia="zh-CN" w:bidi="ar-SA"/>
        </w:rPr>
        <w:t>朝阳县职教中心是辽宁省中职名校，学校办学能力、办学层次和服务能力的进一步提升，需要尽快改善办学条件。</w:t>
      </w:r>
    </w:p>
    <w:p w14:paraId="6CDF65C3">
      <w:pPr>
        <w:keepNext w:val="0"/>
        <w:keepLines w:val="0"/>
        <w:pageBreakBefore w:val="0"/>
        <w:widowControl w:val="0"/>
        <w:kinsoku/>
        <w:wordWrap/>
        <w:overflowPunct/>
        <w:topLinePunct w:val="0"/>
        <w:autoSpaceDE/>
        <w:autoSpaceDN/>
        <w:bidi w:val="0"/>
        <w:adjustRightInd/>
        <w:snapToGrid/>
        <w:spacing w:line="540" w:lineRule="exact"/>
        <w:ind w:firstLine="643"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bCs/>
          <w:spacing w:val="0"/>
          <w:kern w:val="2"/>
          <w:sz w:val="32"/>
          <w:szCs w:val="36"/>
          <w:lang w:val="en-US" w:eastAsia="zh-CN" w:bidi="ar-SA"/>
        </w:rPr>
        <w:t>过程与方法：</w:t>
      </w:r>
      <w:r>
        <w:rPr>
          <w:rFonts w:hint="eastAsia" w:ascii="仿宋_GB2312" w:hAnsi="仿宋_GB2312" w:eastAsia="仿宋_GB2312" w:cs="仿宋_GB2312"/>
          <w:b w:val="0"/>
          <w:bCs w:val="0"/>
          <w:spacing w:val="0"/>
          <w:kern w:val="2"/>
          <w:sz w:val="32"/>
          <w:szCs w:val="36"/>
          <w:lang w:val="en-US" w:eastAsia="zh-CN" w:bidi="ar-SA"/>
        </w:rPr>
        <w:t>朝阳县职业教育中心异地新建项目于 2019 年立项，建设地点位于朝阳县新县城，启城路以西，淑城路以北。项目总投资25521.88万元，规划用地面积 97467.62平方米（合146.20亩），项目总建筑面积55313.79 平方米。共新建建筑物14栋，分两期建设，其中一期建设11栋，总建筑面积 47041.59㎡，同时完成运动场及附属工程建设。2024年3月，职教中心异地新建项目在县委县政府、教育局及各部门的大力支持下开始启动，于2024年6月6日正式开工建设，预计2026年6月竣工并投入使用。</w:t>
      </w:r>
    </w:p>
    <w:p w14:paraId="1596EF42">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pacing w:val="-11"/>
          <w:kern w:val="2"/>
          <w:sz w:val="32"/>
          <w:szCs w:val="36"/>
          <w:lang w:val="en-US" w:eastAsia="zh-CN" w:bidi="ar-SA"/>
        </w:rPr>
      </w:pPr>
      <w:r>
        <w:rPr>
          <w:rFonts w:hint="eastAsia" w:ascii="仿宋_GB2312" w:hAnsi="仿宋_GB2312" w:eastAsia="仿宋_GB2312" w:cs="仿宋_GB2312"/>
          <w:b/>
          <w:bCs/>
          <w:spacing w:val="0"/>
          <w:kern w:val="2"/>
          <w:sz w:val="32"/>
          <w:szCs w:val="36"/>
          <w:lang w:val="en-US" w:eastAsia="zh-CN" w:bidi="ar-SA"/>
        </w:rPr>
        <w:t>成效：</w:t>
      </w:r>
      <w:r>
        <w:rPr>
          <w:rFonts w:hint="eastAsia" w:ascii="仿宋_GB2312" w:hAnsi="仿宋_GB2312" w:eastAsia="仿宋_GB2312" w:cs="仿宋_GB2312"/>
          <w:b w:val="0"/>
          <w:bCs w:val="0"/>
          <w:spacing w:val="-11"/>
          <w:kern w:val="2"/>
          <w:sz w:val="32"/>
          <w:szCs w:val="36"/>
          <w:lang w:val="en-US" w:eastAsia="zh-CN" w:bidi="ar-SA"/>
        </w:rPr>
        <w:t>一期项目建成后，将满足开设14个专业，60班型，容纳在校生约2400人的办学规模，大大改善我县职业教育办学条件。</w:t>
      </w:r>
    </w:p>
    <w:p w14:paraId="35221E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eastAsia="仿宋_GB2312" w:hAnsiTheme="minorHAnsi" w:cstheme="minorBidi"/>
          <w:b w:val="0"/>
          <w:bCs w:val="0"/>
          <w:spacing w:val="0"/>
          <w:kern w:val="2"/>
          <w:sz w:val="32"/>
          <w:szCs w:val="36"/>
          <w:lang w:val="en-US" w:eastAsia="zh-CN" w:bidi="ar-SA"/>
        </w:rPr>
      </w:pPr>
      <w:r>
        <w:rPr>
          <w:rFonts w:hint="eastAsia" w:ascii="仿宋_GB2312" w:eastAsia="仿宋_GB2312" w:hAnsiTheme="minorHAnsi" w:cstheme="minorBidi"/>
          <w:b w:val="0"/>
          <w:bCs w:val="0"/>
          <w:spacing w:val="0"/>
          <w:kern w:val="2"/>
          <w:sz w:val="32"/>
          <w:szCs w:val="36"/>
          <w:lang w:val="en-US" w:eastAsia="zh-CN" w:bidi="ar-SA"/>
        </w:rPr>
        <w:drawing>
          <wp:inline distT="0" distB="0" distL="114300" distR="114300">
            <wp:extent cx="5293995" cy="3816985"/>
            <wp:effectExtent l="0" t="0" r="1905" b="12065"/>
            <wp:docPr id="33" name="图片 33" descr="图标"/>
            <wp:cNvGraphicFramePr/>
            <a:graphic xmlns:a="http://schemas.openxmlformats.org/drawingml/2006/main">
              <a:graphicData uri="http://schemas.openxmlformats.org/drawingml/2006/picture">
                <pic:pic xmlns:pic="http://schemas.openxmlformats.org/drawingml/2006/picture">
                  <pic:nvPicPr>
                    <pic:cNvPr id="33" name="图片 33" descr="图标"/>
                    <pic:cNvPicPr/>
                  </pic:nvPicPr>
                  <pic:blipFill>
                    <a:blip r:embed="rId56"/>
                    <a:srcRect b="3549"/>
                    <a:stretch>
                      <a:fillRect/>
                    </a:stretch>
                  </pic:blipFill>
                  <pic:spPr>
                    <a:xfrm>
                      <a:off x="0" y="0"/>
                      <a:ext cx="5293995" cy="3816985"/>
                    </a:xfrm>
                    <a:prstGeom prst="rect">
                      <a:avLst/>
                    </a:prstGeom>
                  </pic:spPr>
                </pic:pic>
              </a:graphicData>
            </a:graphic>
          </wp:inline>
        </w:drawing>
      </w:r>
    </w:p>
    <w:p w14:paraId="13811FD8">
      <w:pPr>
        <w:pStyle w:val="14"/>
        <w:bidi w:val="0"/>
        <w:jc w:val="center"/>
        <w:rPr>
          <w:rFonts w:hint="default"/>
          <w:lang w:val="en-US" w:eastAsia="zh-CN"/>
        </w:rPr>
      </w:pPr>
      <w:bookmarkStart w:id="302" w:name="_Toc32641"/>
      <w:bookmarkStart w:id="303" w:name="_Toc10736"/>
      <w:bookmarkStart w:id="304" w:name="_Toc24089"/>
      <w:bookmarkStart w:id="305" w:name="_Toc4702"/>
      <w:r>
        <w:rPr>
          <w:rFonts w:hint="eastAsia"/>
          <w:lang w:val="en-US" w:eastAsia="zh-CN"/>
        </w:rPr>
        <w:t>图34：朝阳县职教中心异地新建项目鸟瞰效果图（来源：朝阳县职教中心）</w:t>
      </w:r>
      <w:bookmarkEnd w:id="302"/>
      <w:bookmarkEnd w:id="303"/>
      <w:bookmarkEnd w:id="304"/>
      <w:bookmarkEnd w:id="305"/>
    </w:p>
    <w:p w14:paraId="5D83D188">
      <w:pPr>
        <w:pStyle w:val="2"/>
        <w:numPr>
          <w:ilvl w:val="0"/>
          <w:numId w:val="0"/>
        </w:numPr>
        <w:bidi w:val="0"/>
        <w:ind w:leftChars="200" w:firstLine="321" w:firstLineChars="100"/>
        <w:rPr>
          <w:rFonts w:hint="eastAsia" w:ascii="楷体" w:hAnsi="楷体" w:eastAsia="楷体" w:cs="楷体"/>
          <w:b/>
          <w:bCs w:val="0"/>
          <w:sz w:val="32"/>
          <w:szCs w:val="32"/>
          <w:lang w:val="en-US" w:eastAsia="zh-CN"/>
        </w:rPr>
      </w:pPr>
      <w:bookmarkStart w:id="306" w:name="_Toc1295"/>
      <w:r>
        <w:rPr>
          <w:rFonts w:hint="eastAsia" w:ascii="楷体" w:hAnsi="楷体" w:eastAsia="楷体" w:cs="楷体"/>
          <w:b/>
          <w:bCs w:val="0"/>
          <w:sz w:val="32"/>
          <w:szCs w:val="32"/>
          <w:lang w:val="en-US" w:eastAsia="zh-CN"/>
        </w:rPr>
        <w:t>6.5经费保障</w:t>
      </w:r>
      <w:bookmarkEnd w:id="306"/>
    </w:p>
    <w:p w14:paraId="0118AF6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val="0"/>
          <w:bCs w:val="0"/>
          <w:spacing w:val="0"/>
          <w:kern w:val="2"/>
          <w:sz w:val="32"/>
          <w:szCs w:val="36"/>
          <w:lang w:val="en-US" w:eastAsia="zh-CN" w:bidi="ar-SA"/>
        </w:rPr>
        <w:t>2024年，朝阳市中职免学费资助30440人次，金额3044万元;取得助学金学生5395人次，金额539.5万元，24名学生获得国家奖学金。具体情况统计见下表：</w:t>
      </w:r>
    </w:p>
    <w:p w14:paraId="2B9670D0">
      <w:pPr>
        <w:pStyle w:val="28"/>
        <w:bidi w:val="0"/>
        <w:rPr>
          <w:rFonts w:hint="eastAsia"/>
          <w:lang w:val="en-US" w:eastAsia="zh-CN"/>
        </w:rPr>
      </w:pPr>
      <w:bookmarkStart w:id="307" w:name="_Toc25215"/>
      <w:bookmarkStart w:id="308" w:name="_Toc32519"/>
      <w:r>
        <w:rPr>
          <w:rFonts w:hint="eastAsia"/>
          <w:lang w:val="en-US" w:eastAsia="zh-CN"/>
        </w:rPr>
        <w:t>数据分析表14：免学费、助学金资金数据对比分析表</w:t>
      </w:r>
      <w:bookmarkEnd w:id="307"/>
      <w:bookmarkEnd w:id="308"/>
    </w:p>
    <w:tbl>
      <w:tblPr>
        <w:tblStyle w:val="19"/>
        <w:tblW w:w="86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324"/>
        <w:gridCol w:w="2149"/>
        <w:gridCol w:w="2149"/>
      </w:tblGrid>
      <w:tr w14:paraId="74658D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4" w:hRule="atLeast"/>
          <w:jc w:val="center"/>
        </w:trPr>
        <w:tc>
          <w:tcPr>
            <w:tcW w:w="4324" w:type="dxa"/>
            <w:tcBorders>
              <w:top w:val="single" w:color="FFFFFF" w:sz="4" w:space="0"/>
              <w:left w:val="single" w:color="FFFFFF" w:sz="4" w:space="0"/>
              <w:bottom w:val="single" w:color="FFFFFF" w:sz="4" w:space="0"/>
              <w:right w:val="single" w:color="FFFFFF" w:sz="4" w:space="0"/>
              <w:tl2br w:val="nil"/>
            </w:tcBorders>
            <w:shd w:val="clear" w:color="auto" w:fill="5B9BD5"/>
            <w:noWrap w:val="0"/>
            <w:vAlign w:val="center"/>
          </w:tcPr>
          <w:p w14:paraId="56395F7A">
            <w:pPr>
              <w:spacing w:line="240" w:lineRule="exact"/>
              <w:jc w:val="center"/>
              <w:rPr>
                <w:rFonts w:hint="eastAsia" w:ascii="宋体" w:hAnsi="宋体" w:eastAsia="宋体" w:cs="宋体"/>
                <w:b/>
                <w:bCs/>
                <w:color w:val="FFFFFF"/>
                <w:sz w:val="21"/>
                <w:szCs w:val="21"/>
              </w:rPr>
            </w:pPr>
            <w:r>
              <w:rPr>
                <w:rFonts w:hint="eastAsia" w:ascii="宋体" w:hAnsi="宋体" w:eastAsia="宋体" w:cs="宋体"/>
                <w:b/>
                <w:bCs/>
                <w:color w:val="FFFFFF"/>
                <w:sz w:val="21"/>
                <w:szCs w:val="21"/>
              </w:rPr>
              <w:t>指      标</w:t>
            </w:r>
          </w:p>
        </w:tc>
        <w:tc>
          <w:tcPr>
            <w:tcW w:w="2149" w:type="dxa"/>
            <w:tcBorders>
              <w:top w:val="single" w:color="FFFFFF" w:sz="4" w:space="0"/>
              <w:left w:val="single" w:color="FFFFFF" w:sz="4" w:space="0"/>
              <w:bottom w:val="single" w:color="FFFFFF" w:sz="4" w:space="0"/>
              <w:right w:val="single" w:color="FFFFFF" w:sz="4" w:space="0"/>
            </w:tcBorders>
            <w:shd w:val="clear" w:color="auto" w:fill="DEEBF7"/>
            <w:noWrap w:val="0"/>
            <w:vAlign w:val="center"/>
          </w:tcPr>
          <w:p w14:paraId="5C262177">
            <w:pPr>
              <w:spacing w:line="240" w:lineRule="exact"/>
              <w:jc w:val="center"/>
              <w:rPr>
                <w:rFonts w:hint="eastAsia" w:ascii="宋体" w:hAnsi="宋体" w:eastAsia="宋体" w:cs="宋体"/>
                <w:b/>
                <w:bCs w:val="0"/>
                <w:color w:val="000000"/>
                <w:sz w:val="21"/>
                <w:szCs w:val="21"/>
                <w:lang w:eastAsia="zh-CN"/>
              </w:rPr>
            </w:pPr>
            <w:r>
              <w:rPr>
                <w:rFonts w:hint="eastAsia" w:ascii="宋体" w:hAnsi="宋体" w:cs="宋体"/>
                <w:b/>
                <w:bCs w:val="0"/>
                <w:color w:val="000000"/>
                <w:sz w:val="21"/>
                <w:szCs w:val="21"/>
                <w:lang w:val="en-US" w:eastAsia="zh-CN"/>
              </w:rPr>
              <w:t>2023年</w:t>
            </w:r>
          </w:p>
        </w:tc>
        <w:tc>
          <w:tcPr>
            <w:tcW w:w="2149" w:type="dxa"/>
            <w:tcBorders>
              <w:top w:val="single" w:color="FFFFFF" w:sz="4" w:space="0"/>
              <w:left w:val="single" w:color="FFFFFF" w:sz="4" w:space="0"/>
              <w:bottom w:val="single" w:color="FFFFFF" w:sz="4" w:space="0"/>
              <w:right w:val="single" w:color="FFFFFF" w:sz="4" w:space="0"/>
            </w:tcBorders>
            <w:shd w:val="clear" w:color="auto" w:fill="DEEBF7"/>
            <w:noWrap w:val="0"/>
            <w:vAlign w:val="center"/>
          </w:tcPr>
          <w:p w14:paraId="28030026">
            <w:pPr>
              <w:spacing w:line="240" w:lineRule="exact"/>
              <w:jc w:val="center"/>
              <w:rPr>
                <w:rFonts w:hint="default" w:ascii="宋体" w:hAnsi="宋体" w:cs="宋体"/>
                <w:b/>
                <w:bCs w:val="0"/>
                <w:color w:val="000000"/>
                <w:sz w:val="21"/>
                <w:szCs w:val="21"/>
                <w:lang w:val="en-US" w:eastAsia="zh-CN"/>
              </w:rPr>
            </w:pPr>
            <w:r>
              <w:rPr>
                <w:rFonts w:hint="eastAsia" w:ascii="宋体" w:hAnsi="宋体" w:cs="宋体"/>
                <w:b/>
                <w:bCs w:val="0"/>
                <w:color w:val="000000"/>
                <w:sz w:val="21"/>
                <w:szCs w:val="21"/>
                <w:lang w:val="en-US" w:eastAsia="zh-CN"/>
              </w:rPr>
              <w:t>2024年</w:t>
            </w:r>
          </w:p>
        </w:tc>
      </w:tr>
      <w:tr w14:paraId="687DE8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324" w:type="dxa"/>
            <w:tcBorders>
              <w:top w:val="single" w:color="FFFFFF" w:sz="4" w:space="0"/>
              <w:left w:val="single" w:color="FFFFFF" w:sz="4" w:space="0"/>
              <w:bottom w:val="single" w:color="FFFFFF" w:sz="4" w:space="0"/>
              <w:right w:val="single" w:color="FFFFFF" w:sz="4" w:space="0"/>
            </w:tcBorders>
            <w:shd w:val="clear" w:color="auto" w:fill="5B9BD5"/>
            <w:noWrap w:val="0"/>
            <w:vAlign w:val="center"/>
          </w:tcPr>
          <w:p w14:paraId="2E06D5B5">
            <w:pPr>
              <w:spacing w:line="240" w:lineRule="exact"/>
              <w:jc w:val="center"/>
              <w:rPr>
                <w:rFonts w:hint="eastAsia" w:ascii="宋体" w:hAnsi="宋体" w:eastAsia="宋体" w:cs="宋体"/>
                <w:b/>
                <w:color w:val="FFFFFF"/>
                <w:sz w:val="21"/>
                <w:szCs w:val="21"/>
              </w:rPr>
            </w:pPr>
            <w:r>
              <w:rPr>
                <w:rFonts w:hint="eastAsia" w:ascii="宋体" w:hAnsi="宋体" w:eastAsia="宋体" w:cs="宋体"/>
                <w:b/>
                <w:color w:val="FFFFFF"/>
                <w:sz w:val="21"/>
                <w:szCs w:val="21"/>
              </w:rPr>
              <w:t>免学费总金额（万元）</w:t>
            </w:r>
          </w:p>
        </w:tc>
        <w:tc>
          <w:tcPr>
            <w:tcW w:w="2149" w:type="dxa"/>
            <w:tcBorders>
              <w:top w:val="single" w:color="FFFFFF" w:sz="4" w:space="0"/>
              <w:left w:val="single" w:color="FFFFFF" w:sz="4" w:space="0"/>
              <w:bottom w:val="single" w:color="FFFFFF" w:sz="4" w:space="0"/>
              <w:right w:val="single" w:color="FFFFFF" w:sz="4" w:space="0"/>
            </w:tcBorders>
            <w:shd w:val="clear" w:color="auto" w:fill="DEEBF7"/>
            <w:noWrap w:val="0"/>
            <w:vAlign w:val="center"/>
          </w:tcPr>
          <w:p w14:paraId="1FB300EC">
            <w:pPr>
              <w:spacing w:line="240" w:lineRule="exact"/>
              <w:jc w:val="center"/>
              <w:rPr>
                <w:rFonts w:hint="default" w:ascii="宋体" w:hAnsi="宋体" w:eastAsia="宋体" w:cs="宋体"/>
                <w:b w:val="0"/>
                <w:color w:val="000000"/>
                <w:sz w:val="21"/>
                <w:szCs w:val="21"/>
                <w:lang w:val="en-US" w:eastAsia="zh-CN"/>
              </w:rPr>
            </w:pPr>
            <w:r>
              <w:rPr>
                <w:rFonts w:hint="eastAsia" w:ascii="宋体" w:hAnsi="宋体" w:cs="宋体"/>
                <w:b w:val="0"/>
                <w:color w:val="000000"/>
                <w:sz w:val="21"/>
                <w:szCs w:val="21"/>
                <w:lang w:val="en-US" w:eastAsia="zh-CN"/>
              </w:rPr>
              <w:t>3001.8</w:t>
            </w:r>
          </w:p>
        </w:tc>
        <w:tc>
          <w:tcPr>
            <w:tcW w:w="2149" w:type="dxa"/>
            <w:tcBorders>
              <w:top w:val="single" w:color="FFFFFF" w:sz="4" w:space="0"/>
              <w:left w:val="single" w:color="FFFFFF" w:sz="4" w:space="0"/>
              <w:bottom w:val="single" w:color="FFFFFF" w:sz="4" w:space="0"/>
              <w:right w:val="single" w:color="FFFFFF" w:sz="4" w:space="0"/>
            </w:tcBorders>
            <w:shd w:val="clear" w:color="auto" w:fill="DEEBF7"/>
            <w:noWrap w:val="0"/>
            <w:vAlign w:val="center"/>
          </w:tcPr>
          <w:p w14:paraId="185AA06D">
            <w:pPr>
              <w:spacing w:line="240" w:lineRule="exact"/>
              <w:jc w:val="center"/>
              <w:rPr>
                <w:rFonts w:hint="default" w:ascii="宋体" w:hAnsi="宋体" w:cs="宋体"/>
                <w:b w:val="0"/>
                <w:color w:val="000000"/>
                <w:sz w:val="21"/>
                <w:szCs w:val="21"/>
                <w:lang w:val="en-US" w:eastAsia="zh-CN"/>
              </w:rPr>
            </w:pPr>
            <w:r>
              <w:rPr>
                <w:rFonts w:hint="eastAsia" w:ascii="宋体" w:hAnsi="宋体" w:cs="宋体"/>
                <w:b w:val="0"/>
                <w:color w:val="000000"/>
                <w:sz w:val="21"/>
                <w:szCs w:val="21"/>
                <w:lang w:val="en-US" w:eastAsia="zh-CN"/>
              </w:rPr>
              <w:t>3044</w:t>
            </w:r>
          </w:p>
        </w:tc>
      </w:tr>
      <w:tr w14:paraId="58E5A2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94" w:hRule="atLeast"/>
          <w:jc w:val="center"/>
        </w:trPr>
        <w:tc>
          <w:tcPr>
            <w:tcW w:w="4324" w:type="dxa"/>
            <w:tcBorders>
              <w:top w:val="single" w:color="FFFFFF" w:sz="4" w:space="0"/>
              <w:left w:val="single" w:color="FFFFFF" w:sz="4" w:space="0"/>
              <w:bottom w:val="single" w:color="FFFFFF" w:sz="4" w:space="0"/>
              <w:right w:val="single" w:color="FFFFFF" w:sz="4" w:space="0"/>
            </w:tcBorders>
            <w:shd w:val="clear" w:color="auto" w:fill="5B9BD5"/>
            <w:noWrap w:val="0"/>
            <w:vAlign w:val="center"/>
          </w:tcPr>
          <w:p w14:paraId="2E9AB6C6">
            <w:pPr>
              <w:spacing w:line="240" w:lineRule="exact"/>
              <w:jc w:val="center"/>
              <w:rPr>
                <w:rFonts w:hint="eastAsia" w:ascii="宋体" w:hAnsi="宋体" w:eastAsia="宋体" w:cs="宋体"/>
                <w:b/>
                <w:color w:val="FFFFFF"/>
                <w:sz w:val="21"/>
                <w:szCs w:val="21"/>
              </w:rPr>
            </w:pPr>
            <w:r>
              <w:rPr>
                <w:rFonts w:hint="eastAsia" w:ascii="宋体" w:hAnsi="宋体" w:eastAsia="宋体" w:cs="宋体"/>
                <w:b/>
                <w:color w:val="FFFFFF"/>
                <w:sz w:val="21"/>
                <w:szCs w:val="21"/>
              </w:rPr>
              <w:t>助学金总金额（万元）</w:t>
            </w:r>
          </w:p>
        </w:tc>
        <w:tc>
          <w:tcPr>
            <w:tcW w:w="2149" w:type="dxa"/>
            <w:tcBorders>
              <w:top w:val="single" w:color="FFFFFF" w:sz="4" w:space="0"/>
              <w:left w:val="single" w:color="FFFFFF" w:sz="4" w:space="0"/>
              <w:bottom w:val="single" w:color="FFFFFF" w:sz="4" w:space="0"/>
              <w:right w:val="single" w:color="FFFFFF" w:sz="4" w:space="0"/>
            </w:tcBorders>
            <w:shd w:val="clear" w:color="auto" w:fill="DEEBF7"/>
            <w:noWrap w:val="0"/>
            <w:vAlign w:val="center"/>
          </w:tcPr>
          <w:p w14:paraId="16BBB824">
            <w:pPr>
              <w:spacing w:line="240" w:lineRule="exact"/>
              <w:jc w:val="center"/>
              <w:rPr>
                <w:rFonts w:hint="default" w:ascii="宋体" w:hAnsi="宋体" w:eastAsia="宋体" w:cs="宋体"/>
                <w:b w:val="0"/>
                <w:color w:val="000000"/>
                <w:sz w:val="21"/>
                <w:szCs w:val="21"/>
                <w:lang w:val="en-US" w:eastAsia="zh-CN"/>
              </w:rPr>
            </w:pPr>
            <w:r>
              <w:rPr>
                <w:rFonts w:hint="eastAsia" w:ascii="宋体" w:hAnsi="宋体" w:cs="宋体"/>
                <w:b w:val="0"/>
                <w:color w:val="000000"/>
                <w:sz w:val="21"/>
                <w:szCs w:val="21"/>
                <w:lang w:val="en-US" w:eastAsia="zh-CN"/>
              </w:rPr>
              <w:t>568.41</w:t>
            </w:r>
          </w:p>
        </w:tc>
        <w:tc>
          <w:tcPr>
            <w:tcW w:w="2149" w:type="dxa"/>
            <w:tcBorders>
              <w:top w:val="single" w:color="FFFFFF" w:sz="4" w:space="0"/>
              <w:left w:val="single" w:color="FFFFFF" w:sz="4" w:space="0"/>
              <w:bottom w:val="single" w:color="FFFFFF" w:sz="4" w:space="0"/>
              <w:right w:val="single" w:color="FFFFFF" w:sz="4" w:space="0"/>
            </w:tcBorders>
            <w:shd w:val="clear" w:color="auto" w:fill="DEEBF7"/>
            <w:noWrap w:val="0"/>
            <w:vAlign w:val="center"/>
          </w:tcPr>
          <w:p w14:paraId="1903E934">
            <w:pPr>
              <w:spacing w:line="240" w:lineRule="exact"/>
              <w:jc w:val="center"/>
              <w:rPr>
                <w:rFonts w:hint="default" w:ascii="宋体" w:hAnsi="宋体" w:cs="宋体"/>
                <w:b w:val="0"/>
                <w:color w:val="000000"/>
                <w:sz w:val="21"/>
                <w:szCs w:val="21"/>
                <w:lang w:val="en-US" w:eastAsia="zh-CN"/>
              </w:rPr>
            </w:pPr>
            <w:r>
              <w:rPr>
                <w:rFonts w:hint="eastAsia" w:ascii="宋体" w:hAnsi="宋体" w:cs="宋体"/>
                <w:b w:val="0"/>
                <w:color w:val="000000"/>
                <w:sz w:val="21"/>
                <w:szCs w:val="21"/>
                <w:lang w:val="en-US" w:eastAsia="zh-CN"/>
              </w:rPr>
              <w:t>539.5</w:t>
            </w:r>
          </w:p>
        </w:tc>
      </w:tr>
    </w:tbl>
    <w:p w14:paraId="7B084401">
      <w:pPr>
        <w:keepNext w:val="0"/>
        <w:keepLines w:val="0"/>
        <w:pageBreakBefore w:val="0"/>
        <w:widowControl w:val="0"/>
        <w:kinsoku/>
        <w:wordWrap/>
        <w:overflowPunct/>
        <w:topLinePunct w:val="0"/>
        <w:autoSpaceDE/>
        <w:autoSpaceDN/>
        <w:bidi w:val="0"/>
        <w:adjustRightInd/>
        <w:snapToGrid/>
        <w:spacing w:after="157" w:afterLines="50"/>
        <w:jc w:val="center"/>
        <w:textAlignment w:val="auto"/>
        <w:rPr>
          <w:rFonts w:hint="default"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 xml:space="preserve">   </w:t>
      </w:r>
    </w:p>
    <w:p w14:paraId="3497F068">
      <w:pPr>
        <w:pStyle w:val="8"/>
        <w:keepNext w:val="0"/>
        <w:keepLines w:val="0"/>
        <w:pageBreakBefore w:val="0"/>
        <w:widowControl w:val="0"/>
        <w:kinsoku/>
        <w:wordWrap/>
        <w:overflowPunct/>
        <w:topLinePunct w:val="0"/>
        <w:autoSpaceDE/>
        <w:autoSpaceDN/>
        <w:bidi w:val="0"/>
        <w:adjustRightInd/>
        <w:snapToGrid w:val="0"/>
        <w:spacing w:after="157" w:afterLines="50"/>
        <w:jc w:val="center"/>
        <w:textAlignment w:val="auto"/>
        <w:rPr>
          <w:rFonts w:hint="eastAsia"/>
          <w:sz w:val="20"/>
          <w:szCs w:val="20"/>
          <w:lang w:val="en-US" w:eastAsia="zh-CN"/>
        </w:rPr>
      </w:pPr>
      <w:r>
        <w:rPr>
          <w:rFonts w:hint="eastAsia"/>
          <w:sz w:val="20"/>
          <w:szCs w:val="20"/>
          <w:lang w:val="en-US" w:eastAsia="zh-CN"/>
        </w:rPr>
        <w:drawing>
          <wp:inline distT="0" distB="0" distL="114300" distR="114300">
            <wp:extent cx="5387340" cy="2861945"/>
            <wp:effectExtent l="4445" t="4445" r="18415" b="10160"/>
            <wp:docPr id="12" name="图表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17DEED2">
      <w:pPr>
        <w:pStyle w:val="29"/>
        <w:bidi w:val="0"/>
        <w:rPr>
          <w:rFonts w:hint="eastAsia"/>
          <w:lang w:val="en-US" w:eastAsia="zh-CN"/>
        </w:rPr>
      </w:pPr>
      <w:bookmarkStart w:id="309" w:name="_Toc14162"/>
      <w:r>
        <w:rPr>
          <w:rFonts w:hint="eastAsia"/>
          <w:lang w:val="en-US" w:eastAsia="zh-CN"/>
        </w:rPr>
        <w:t>数据分析图14：免学费、助学金资金数据对比分析图</w:t>
      </w:r>
      <w:bookmarkEnd w:id="309"/>
    </w:p>
    <w:p w14:paraId="2F2E73A1">
      <w:pPr>
        <w:pStyle w:val="28"/>
        <w:bidi w:val="0"/>
        <w:rPr>
          <w:rFonts w:hint="eastAsia"/>
          <w:lang w:val="en-US" w:eastAsia="zh-CN"/>
        </w:rPr>
      </w:pPr>
      <w:bookmarkStart w:id="310" w:name="_Toc12578"/>
      <w:bookmarkStart w:id="311" w:name="_Toc10811"/>
      <w:r>
        <w:rPr>
          <w:rFonts w:hint="eastAsia"/>
          <w:lang w:val="en-US" w:eastAsia="zh-CN"/>
        </w:rPr>
        <w:t>数据分析表15：免学费、助学金资助人次数据对比分析表</w:t>
      </w:r>
      <w:bookmarkEnd w:id="310"/>
      <w:bookmarkEnd w:id="311"/>
    </w:p>
    <w:tbl>
      <w:tblPr>
        <w:tblStyle w:val="20"/>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2841"/>
      </w:tblGrid>
      <w:tr w14:paraId="7D044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2840" w:type="dxa"/>
            <w:tcBorders>
              <w:top w:val="single" w:color="FFFFFF" w:sz="4" w:space="0"/>
              <w:left w:val="single" w:color="FFFFFF" w:sz="4" w:space="0"/>
              <w:bottom w:val="single" w:color="FFFFFF" w:sz="4" w:space="0"/>
              <w:right w:val="single" w:color="FFFFFF" w:sz="4" w:space="0"/>
              <w:tl2br w:val="nil"/>
            </w:tcBorders>
            <w:shd w:val="clear" w:color="auto" w:fill="5B9BD5"/>
            <w:vAlign w:val="center"/>
          </w:tcPr>
          <w:p w14:paraId="1640F1F1">
            <w:pPr>
              <w:spacing w:line="240" w:lineRule="exact"/>
              <w:jc w:val="center"/>
              <w:rPr>
                <w:rFonts w:hint="eastAsia" w:ascii="宋体" w:hAnsi="宋体" w:eastAsia="宋体" w:cs="宋体"/>
                <w:b/>
                <w:color w:val="FFFFFF"/>
                <w:sz w:val="21"/>
                <w:szCs w:val="21"/>
                <w:lang w:val="en-US" w:eastAsia="zh-CN"/>
              </w:rPr>
            </w:pPr>
            <w:r>
              <w:rPr>
                <w:rFonts w:hint="eastAsia" w:ascii="宋体" w:hAnsi="宋体" w:eastAsia="宋体" w:cs="宋体"/>
                <w:b/>
                <w:color w:val="FFFFFF"/>
                <w:sz w:val="21"/>
                <w:szCs w:val="21"/>
              </w:rPr>
              <w:t>指      标</w:t>
            </w:r>
          </w:p>
        </w:tc>
        <w:tc>
          <w:tcPr>
            <w:tcW w:w="2841"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1C1A8811">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bCs/>
                <w:color w:val="000000"/>
                <w:sz w:val="24"/>
                <w:szCs w:val="24"/>
                <w:vertAlign w:val="baseline"/>
                <w:lang w:val="en-US" w:eastAsia="zh-CN"/>
              </w:rPr>
            </w:pPr>
            <w:r>
              <w:rPr>
                <w:rFonts w:hint="eastAsia" w:ascii="宋体" w:hAnsi="宋体" w:eastAsia="宋体" w:cs="宋体"/>
                <w:b/>
                <w:bCs/>
                <w:sz w:val="22"/>
                <w:szCs w:val="28"/>
              </w:rPr>
              <w:t>2023</w:t>
            </w:r>
            <w:r>
              <w:rPr>
                <w:rFonts w:hint="eastAsia" w:ascii="宋体" w:hAnsi="宋体" w:eastAsia="宋体" w:cs="宋体"/>
                <w:b/>
                <w:bCs/>
                <w:sz w:val="22"/>
                <w:szCs w:val="28"/>
                <w:lang w:eastAsia="zh-CN"/>
              </w:rPr>
              <w:t>年</w:t>
            </w:r>
          </w:p>
        </w:tc>
        <w:tc>
          <w:tcPr>
            <w:tcW w:w="2841"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324125F5">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b/>
                <w:bCs/>
                <w:sz w:val="22"/>
                <w:szCs w:val="28"/>
                <w:lang w:val="en-US" w:eastAsia="zh-CN"/>
              </w:rPr>
            </w:pPr>
            <w:r>
              <w:rPr>
                <w:rFonts w:hint="eastAsia" w:ascii="宋体" w:hAnsi="宋体" w:eastAsia="宋体" w:cs="宋体"/>
                <w:b/>
                <w:bCs/>
                <w:sz w:val="22"/>
                <w:szCs w:val="28"/>
                <w:lang w:val="en-US" w:eastAsia="zh-CN"/>
              </w:rPr>
              <w:t>2024年</w:t>
            </w:r>
          </w:p>
        </w:tc>
      </w:tr>
      <w:tr w14:paraId="2F535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2840" w:type="dxa"/>
            <w:tcBorders>
              <w:top w:val="single" w:color="FFFFFF" w:sz="4" w:space="0"/>
              <w:left w:val="single" w:color="FFFFFF" w:sz="4" w:space="0"/>
              <w:bottom w:val="single" w:color="FFFFFF" w:sz="4" w:space="0"/>
              <w:right w:val="single" w:color="FFFFFF" w:sz="4" w:space="0"/>
            </w:tcBorders>
            <w:shd w:val="clear" w:color="auto" w:fill="5B9BD5"/>
            <w:vAlign w:val="center"/>
          </w:tcPr>
          <w:p w14:paraId="68E38C1B">
            <w:pPr>
              <w:spacing w:line="240" w:lineRule="exact"/>
              <w:jc w:val="center"/>
              <w:rPr>
                <w:rFonts w:hint="eastAsia" w:ascii="宋体" w:hAnsi="宋体" w:eastAsia="宋体" w:cs="宋体"/>
                <w:b/>
                <w:color w:val="FFFFFF"/>
                <w:sz w:val="21"/>
                <w:szCs w:val="21"/>
                <w:lang w:val="en-US" w:eastAsia="zh-CN"/>
              </w:rPr>
            </w:pPr>
            <w:r>
              <w:rPr>
                <w:rFonts w:hint="eastAsia" w:ascii="宋体" w:hAnsi="宋体" w:eastAsia="宋体" w:cs="宋体"/>
                <w:b/>
                <w:color w:val="FFFFFF"/>
                <w:sz w:val="21"/>
                <w:szCs w:val="21"/>
              </w:rPr>
              <w:t>免学费学生数（人</w:t>
            </w:r>
            <w:r>
              <w:rPr>
                <w:rFonts w:hint="eastAsia" w:ascii="宋体" w:hAnsi="宋体" w:eastAsia="宋体" w:cs="宋体"/>
                <w:b/>
                <w:color w:val="FFFFFF"/>
                <w:sz w:val="21"/>
                <w:szCs w:val="21"/>
                <w:lang w:eastAsia="zh-CN"/>
              </w:rPr>
              <w:t>次</w:t>
            </w:r>
            <w:r>
              <w:rPr>
                <w:rFonts w:hint="eastAsia" w:ascii="宋体" w:hAnsi="宋体" w:eastAsia="宋体" w:cs="宋体"/>
                <w:b/>
                <w:color w:val="FFFFFF"/>
                <w:sz w:val="21"/>
                <w:szCs w:val="21"/>
              </w:rPr>
              <w:t>）</w:t>
            </w:r>
          </w:p>
        </w:tc>
        <w:tc>
          <w:tcPr>
            <w:tcW w:w="2841"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4EFB18E0">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000000"/>
                <w:sz w:val="24"/>
                <w:szCs w:val="24"/>
                <w:vertAlign w:val="baseline"/>
                <w:lang w:val="en-US" w:eastAsia="zh-CN"/>
              </w:rPr>
            </w:pPr>
            <w:r>
              <w:rPr>
                <w:rFonts w:hint="eastAsia" w:ascii="宋体" w:hAnsi="宋体" w:eastAsia="宋体" w:cs="宋体"/>
                <w:sz w:val="22"/>
                <w:szCs w:val="28"/>
              </w:rPr>
              <w:t>26284</w:t>
            </w:r>
          </w:p>
        </w:tc>
        <w:tc>
          <w:tcPr>
            <w:tcW w:w="2841"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2B673346">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2"/>
                <w:szCs w:val="28"/>
              </w:rPr>
            </w:pPr>
            <w:r>
              <w:rPr>
                <w:rFonts w:hint="eastAsia" w:ascii="宋体" w:hAnsi="宋体" w:eastAsia="宋体" w:cs="宋体"/>
                <w:sz w:val="22"/>
                <w:szCs w:val="28"/>
                <w:lang w:val="en-US" w:eastAsia="zh-CN"/>
              </w:rPr>
              <w:t>30440</w:t>
            </w:r>
          </w:p>
        </w:tc>
      </w:tr>
      <w:tr w14:paraId="3B5FB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2840" w:type="dxa"/>
            <w:tcBorders>
              <w:top w:val="single" w:color="FFFFFF" w:sz="4" w:space="0"/>
              <w:left w:val="single" w:color="FFFFFF" w:sz="4" w:space="0"/>
              <w:bottom w:val="single" w:color="FFFFFF" w:sz="4" w:space="0"/>
              <w:right w:val="single" w:color="FFFFFF" w:sz="4" w:space="0"/>
            </w:tcBorders>
            <w:shd w:val="clear" w:color="auto" w:fill="5B9BD5"/>
            <w:vAlign w:val="center"/>
          </w:tcPr>
          <w:p w14:paraId="560FDCBA">
            <w:pPr>
              <w:spacing w:line="240" w:lineRule="exact"/>
              <w:jc w:val="center"/>
              <w:rPr>
                <w:rFonts w:hint="eastAsia" w:ascii="宋体" w:hAnsi="宋体" w:eastAsia="宋体" w:cs="宋体"/>
                <w:b/>
                <w:color w:val="FFFFFF"/>
                <w:sz w:val="21"/>
                <w:szCs w:val="21"/>
                <w:lang w:val="en-US" w:eastAsia="zh-CN"/>
              </w:rPr>
            </w:pPr>
            <w:r>
              <w:rPr>
                <w:rFonts w:hint="eastAsia" w:ascii="宋体" w:hAnsi="宋体" w:eastAsia="宋体" w:cs="宋体"/>
                <w:b/>
                <w:color w:val="FFFFFF"/>
                <w:sz w:val="21"/>
                <w:szCs w:val="21"/>
              </w:rPr>
              <w:t>取得助学金学生数（人</w:t>
            </w:r>
            <w:r>
              <w:rPr>
                <w:rFonts w:hint="eastAsia" w:ascii="宋体" w:hAnsi="宋体" w:eastAsia="宋体" w:cs="宋体"/>
                <w:b/>
                <w:color w:val="FFFFFF"/>
                <w:sz w:val="21"/>
                <w:szCs w:val="21"/>
                <w:lang w:eastAsia="zh-CN"/>
              </w:rPr>
              <w:t>次</w:t>
            </w:r>
            <w:r>
              <w:rPr>
                <w:rFonts w:hint="eastAsia" w:ascii="宋体" w:hAnsi="宋体" w:eastAsia="宋体" w:cs="宋体"/>
                <w:b/>
                <w:color w:val="FFFFFF"/>
                <w:sz w:val="21"/>
                <w:szCs w:val="21"/>
              </w:rPr>
              <w:t>）</w:t>
            </w:r>
          </w:p>
        </w:tc>
        <w:tc>
          <w:tcPr>
            <w:tcW w:w="2841"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08C47E0E">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000000"/>
                <w:sz w:val="24"/>
                <w:szCs w:val="24"/>
                <w:vertAlign w:val="baseline"/>
                <w:lang w:val="en-US" w:eastAsia="zh-CN"/>
              </w:rPr>
            </w:pPr>
            <w:r>
              <w:rPr>
                <w:rFonts w:hint="eastAsia" w:ascii="宋体" w:hAnsi="宋体" w:eastAsia="宋体" w:cs="宋体"/>
                <w:sz w:val="22"/>
                <w:szCs w:val="28"/>
              </w:rPr>
              <w:t>5170</w:t>
            </w:r>
          </w:p>
        </w:tc>
        <w:tc>
          <w:tcPr>
            <w:tcW w:w="2841" w:type="dxa"/>
            <w:tcBorders>
              <w:top w:val="single" w:color="FFFFFF" w:sz="4" w:space="0"/>
              <w:left w:val="single" w:color="FFFFFF" w:sz="4" w:space="0"/>
              <w:bottom w:val="single" w:color="FFFFFF" w:sz="4" w:space="0"/>
              <w:right w:val="single" w:color="FFFFFF" w:sz="4" w:space="0"/>
            </w:tcBorders>
            <w:shd w:val="clear" w:color="auto" w:fill="DEEBF7"/>
            <w:vAlign w:val="center"/>
          </w:tcPr>
          <w:p w14:paraId="2434D3F4">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sz w:val="22"/>
                <w:szCs w:val="28"/>
                <w:lang w:val="en-US" w:eastAsia="zh-CN"/>
              </w:rPr>
            </w:pPr>
            <w:r>
              <w:rPr>
                <w:rFonts w:hint="eastAsia" w:ascii="宋体" w:hAnsi="宋体" w:eastAsia="宋体" w:cs="宋体"/>
                <w:sz w:val="22"/>
                <w:szCs w:val="28"/>
                <w:lang w:val="en-US" w:eastAsia="zh-CN"/>
              </w:rPr>
              <w:t>5395</w:t>
            </w:r>
          </w:p>
        </w:tc>
      </w:tr>
    </w:tbl>
    <w:p w14:paraId="63CBCB34">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cs="宋体"/>
          <w:b w:val="0"/>
          <w:bCs w:val="0"/>
          <w:sz w:val="11"/>
          <w:szCs w:val="11"/>
          <w:lang w:val="en-US" w:eastAsia="zh-CN"/>
        </w:rPr>
      </w:pPr>
    </w:p>
    <w:p w14:paraId="72FD8220">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cs="宋体"/>
          <w:b w:val="0"/>
          <w:bCs w:val="0"/>
          <w:sz w:val="22"/>
          <w:szCs w:val="22"/>
          <w:lang w:val="en-US" w:eastAsia="zh-CN"/>
        </w:rPr>
      </w:pPr>
      <w:r>
        <w:rPr>
          <w:rFonts w:hint="eastAsia" w:ascii="宋体" w:hAnsi="宋体" w:cs="宋体"/>
          <w:b w:val="0"/>
          <w:bCs w:val="0"/>
          <w:sz w:val="22"/>
          <w:szCs w:val="22"/>
          <w:lang w:val="en-US" w:eastAsia="zh-CN"/>
        </w:rPr>
        <w:drawing>
          <wp:inline distT="0" distB="0" distL="114300" distR="114300">
            <wp:extent cx="5391150" cy="2990215"/>
            <wp:effectExtent l="4445" t="4445" r="14605" b="15240"/>
            <wp:docPr id="17" name="图表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88BA503">
      <w:pPr>
        <w:pStyle w:val="29"/>
        <w:bidi w:val="0"/>
        <w:rPr>
          <w:rFonts w:hint="eastAsia"/>
          <w:lang w:val="en-US" w:eastAsia="zh-CN"/>
        </w:rPr>
      </w:pPr>
      <w:bookmarkStart w:id="312" w:name="_Toc30674"/>
      <w:r>
        <w:rPr>
          <w:rFonts w:hint="eastAsia"/>
          <w:lang w:val="en-US" w:eastAsia="zh-CN"/>
        </w:rPr>
        <w:t>数据分析图15：免学费、助学金资助人次数据对比分析图</w:t>
      </w:r>
      <w:bookmarkEnd w:id="312"/>
    </w:p>
    <w:p w14:paraId="020FD9D9">
      <w:pPr>
        <w:pStyle w:val="2"/>
        <w:numPr>
          <w:ilvl w:val="0"/>
          <w:numId w:val="0"/>
        </w:numPr>
        <w:bidi w:val="0"/>
        <w:ind w:leftChars="200" w:firstLine="321" w:firstLineChars="100"/>
        <w:rPr>
          <w:rFonts w:hint="eastAsia" w:ascii="楷体" w:hAnsi="楷体" w:eastAsia="楷体" w:cs="楷体"/>
          <w:b/>
          <w:bCs w:val="0"/>
          <w:sz w:val="32"/>
          <w:szCs w:val="32"/>
          <w:lang w:val="en-US" w:eastAsia="zh-CN"/>
        </w:rPr>
      </w:pPr>
      <w:bookmarkStart w:id="313" w:name="_Toc1895"/>
      <w:r>
        <w:rPr>
          <w:rFonts w:hint="eastAsia" w:ascii="楷体" w:hAnsi="楷体" w:eastAsia="楷体" w:cs="楷体"/>
          <w:b/>
          <w:bCs w:val="0"/>
          <w:sz w:val="32"/>
          <w:szCs w:val="32"/>
          <w:lang w:val="en-US" w:eastAsia="zh-CN"/>
        </w:rPr>
        <w:t>6.6教学资源保障</w:t>
      </w:r>
      <w:bookmarkEnd w:id="313"/>
    </w:p>
    <w:p w14:paraId="360C636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val="0"/>
          <w:bCs/>
          <w:sz w:val="32"/>
          <w:szCs w:val="32"/>
          <w:lang w:val="en-US" w:eastAsia="zh-CN"/>
        </w:rPr>
        <w:t>2024年，全市中等职业教育学校产权占地面积913209.13平方米；产权校舍建筑面积为476014.45平方米；固定资产总值124407.9485万元，其中教学实习仪器设备资产值为17004.2万元。教职工2183人，专任教师1660人，生师比9.88：1。专业教学资源库数40个，虚拟仿真实训基地数6个，生均教学科研仪器</w:t>
      </w:r>
      <w:r>
        <w:rPr>
          <w:rFonts w:hint="eastAsia" w:ascii="仿宋_GB2312" w:hAnsi="仿宋_GB2312" w:eastAsia="仿宋_GB2312" w:cs="仿宋_GB2312"/>
          <w:b w:val="0"/>
          <w:bCs/>
          <w:sz w:val="32"/>
          <w:szCs w:val="32"/>
          <w:highlight w:val="none"/>
          <w:lang w:val="en-US" w:eastAsia="zh-CN"/>
        </w:rPr>
        <w:t>设备</w:t>
      </w:r>
      <w:r>
        <w:rPr>
          <w:rFonts w:hint="eastAsia" w:ascii="仿宋_GB2312" w:hAnsi="仿宋_GB2312" w:eastAsia="仿宋_GB2312" w:cs="仿宋_GB2312"/>
          <w:b w:val="0"/>
          <w:bCs/>
          <w:sz w:val="32"/>
          <w:szCs w:val="32"/>
          <w:lang w:val="en-US" w:eastAsia="zh-CN"/>
        </w:rPr>
        <w:t>值10370.94元</w:t>
      </w:r>
      <w:r>
        <w:rPr>
          <w:rFonts w:hint="eastAsia" w:ascii="仿宋_GB2312" w:hAnsi="仿宋_GB2312" w:eastAsia="仿宋_GB2312" w:cs="仿宋_GB2312"/>
          <w:b w:val="0"/>
          <w:bCs/>
          <w:sz w:val="32"/>
          <w:szCs w:val="32"/>
          <w:highlight w:val="none"/>
          <w:lang w:val="en-US" w:eastAsia="zh-CN"/>
        </w:rPr>
        <w:t>/生</w:t>
      </w:r>
      <w:r>
        <w:rPr>
          <w:rFonts w:hint="eastAsia" w:ascii="仿宋_GB2312" w:hAnsi="仿宋_GB2312" w:eastAsia="仿宋_GB2312" w:cs="仿宋_GB2312"/>
          <w:b w:val="0"/>
          <w:bCs/>
          <w:sz w:val="32"/>
          <w:szCs w:val="32"/>
          <w:lang w:val="en-US" w:eastAsia="zh-CN"/>
        </w:rPr>
        <w:t>。</w:t>
      </w:r>
      <w:r>
        <w:rPr>
          <w:rFonts w:hint="eastAsia" w:ascii="仿宋_GB2312" w:hAnsi="仿宋_GB2312" w:eastAsia="仿宋_GB2312" w:cs="仿宋_GB2312"/>
          <w:b w:val="0"/>
          <w:bCs w:val="0"/>
          <w:spacing w:val="0"/>
          <w:kern w:val="2"/>
          <w:sz w:val="32"/>
          <w:szCs w:val="36"/>
          <w:lang w:val="en-US" w:eastAsia="zh-CN" w:bidi="ar-SA"/>
        </w:rPr>
        <w:t>具体情况统计见下表：</w:t>
      </w:r>
    </w:p>
    <w:p w14:paraId="50AC7AA8">
      <w:pPr>
        <w:pStyle w:val="28"/>
        <w:bidi w:val="0"/>
        <w:rPr>
          <w:rFonts w:hint="eastAsia"/>
          <w:lang w:val="en-US" w:eastAsia="zh-CN"/>
        </w:rPr>
      </w:pPr>
      <w:bookmarkStart w:id="314" w:name="_Toc15689"/>
      <w:bookmarkStart w:id="315" w:name="_Toc23142"/>
      <w:r>
        <w:rPr>
          <w:rFonts w:hint="eastAsia"/>
          <w:lang w:val="en-US" w:eastAsia="zh-CN"/>
        </w:rPr>
        <w:t>数据分析表16：教学资源数据对比分析表</w:t>
      </w:r>
      <w:bookmarkEnd w:id="314"/>
      <w:bookmarkEnd w:id="315"/>
    </w:p>
    <w:tbl>
      <w:tblPr>
        <w:tblStyle w:val="19"/>
        <w:tblW w:w="86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324"/>
        <w:gridCol w:w="2149"/>
        <w:gridCol w:w="2149"/>
      </w:tblGrid>
      <w:tr w14:paraId="3B8FFF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4" w:hRule="atLeast"/>
          <w:jc w:val="center"/>
        </w:trPr>
        <w:tc>
          <w:tcPr>
            <w:tcW w:w="4324" w:type="dxa"/>
            <w:tcBorders>
              <w:top w:val="single" w:color="FFFFFF" w:sz="4" w:space="0"/>
              <w:left w:val="single" w:color="FFFFFF" w:sz="4" w:space="0"/>
              <w:bottom w:val="single" w:color="FFFFFF" w:sz="4" w:space="0"/>
              <w:right w:val="single" w:color="FFFFFF" w:sz="4" w:space="0"/>
              <w:tl2br w:val="nil"/>
            </w:tcBorders>
            <w:shd w:val="clear" w:color="auto" w:fill="5B9BD5"/>
            <w:noWrap w:val="0"/>
            <w:vAlign w:val="center"/>
          </w:tcPr>
          <w:p w14:paraId="77DBE399">
            <w:pPr>
              <w:spacing w:line="240" w:lineRule="exact"/>
              <w:jc w:val="center"/>
              <w:rPr>
                <w:rFonts w:hint="eastAsia" w:ascii="宋体" w:hAnsi="宋体" w:eastAsia="宋体" w:cs="宋体"/>
                <w:b/>
                <w:bCs/>
                <w:color w:val="FFFFFF"/>
                <w:sz w:val="21"/>
                <w:szCs w:val="21"/>
              </w:rPr>
            </w:pPr>
            <w:r>
              <w:rPr>
                <w:rFonts w:hint="eastAsia" w:ascii="宋体" w:hAnsi="宋体" w:eastAsia="宋体" w:cs="宋体"/>
                <w:b/>
                <w:bCs/>
                <w:color w:val="FFFFFF"/>
                <w:sz w:val="21"/>
                <w:szCs w:val="21"/>
              </w:rPr>
              <w:t>指      标</w:t>
            </w:r>
          </w:p>
        </w:tc>
        <w:tc>
          <w:tcPr>
            <w:tcW w:w="2149" w:type="dxa"/>
            <w:tcBorders>
              <w:top w:val="single" w:color="FFFFFF" w:sz="4" w:space="0"/>
              <w:left w:val="single" w:color="FFFFFF" w:sz="4" w:space="0"/>
              <w:bottom w:val="single" w:color="FFFFFF" w:sz="4" w:space="0"/>
              <w:right w:val="single" w:color="FFFFFF" w:sz="4" w:space="0"/>
            </w:tcBorders>
            <w:shd w:val="clear" w:color="auto" w:fill="DEEBF7"/>
            <w:noWrap w:val="0"/>
            <w:vAlign w:val="center"/>
          </w:tcPr>
          <w:p w14:paraId="6DA38BF7">
            <w:pPr>
              <w:spacing w:line="240" w:lineRule="exact"/>
              <w:jc w:val="center"/>
              <w:rPr>
                <w:rFonts w:hint="eastAsia" w:ascii="宋体" w:hAnsi="宋体" w:eastAsia="宋体" w:cs="宋体"/>
                <w:b/>
                <w:bCs w:val="0"/>
                <w:color w:val="000000"/>
                <w:sz w:val="21"/>
                <w:szCs w:val="21"/>
                <w:lang w:eastAsia="zh-CN"/>
              </w:rPr>
            </w:pPr>
            <w:r>
              <w:rPr>
                <w:rFonts w:hint="eastAsia" w:ascii="宋体" w:hAnsi="宋体" w:cs="宋体"/>
                <w:b/>
                <w:bCs w:val="0"/>
                <w:color w:val="000000"/>
                <w:sz w:val="21"/>
                <w:szCs w:val="21"/>
                <w:lang w:val="en-US" w:eastAsia="zh-CN"/>
              </w:rPr>
              <w:t>2023年</w:t>
            </w:r>
          </w:p>
        </w:tc>
        <w:tc>
          <w:tcPr>
            <w:tcW w:w="2149" w:type="dxa"/>
            <w:tcBorders>
              <w:top w:val="single" w:color="FFFFFF" w:sz="4" w:space="0"/>
              <w:left w:val="single" w:color="FFFFFF" w:sz="4" w:space="0"/>
              <w:bottom w:val="single" w:color="FFFFFF" w:sz="4" w:space="0"/>
              <w:right w:val="single" w:color="FFFFFF" w:sz="4" w:space="0"/>
            </w:tcBorders>
            <w:shd w:val="clear" w:color="auto" w:fill="DEEBF7"/>
            <w:noWrap w:val="0"/>
            <w:vAlign w:val="center"/>
          </w:tcPr>
          <w:p w14:paraId="3B955BB7">
            <w:pPr>
              <w:spacing w:line="240" w:lineRule="exact"/>
              <w:jc w:val="center"/>
              <w:rPr>
                <w:rFonts w:hint="default" w:ascii="宋体" w:hAnsi="宋体" w:cs="宋体"/>
                <w:b/>
                <w:bCs w:val="0"/>
                <w:color w:val="000000"/>
                <w:sz w:val="21"/>
                <w:szCs w:val="21"/>
                <w:lang w:val="en-US" w:eastAsia="zh-CN"/>
              </w:rPr>
            </w:pPr>
            <w:r>
              <w:rPr>
                <w:rFonts w:hint="eastAsia" w:ascii="宋体" w:hAnsi="宋体" w:cs="宋体"/>
                <w:b/>
                <w:bCs w:val="0"/>
                <w:color w:val="000000"/>
                <w:sz w:val="21"/>
                <w:szCs w:val="21"/>
                <w:lang w:val="en-US" w:eastAsia="zh-CN"/>
              </w:rPr>
              <w:t>2024年</w:t>
            </w:r>
          </w:p>
        </w:tc>
      </w:tr>
      <w:tr w14:paraId="0AE993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324" w:type="dxa"/>
            <w:tcBorders>
              <w:top w:val="single" w:color="FFFFFF" w:sz="4" w:space="0"/>
              <w:left w:val="single" w:color="FFFFFF" w:sz="4" w:space="0"/>
              <w:bottom w:val="single" w:color="FFFFFF" w:sz="4" w:space="0"/>
              <w:right w:val="single" w:color="FFFFFF" w:sz="4" w:space="0"/>
            </w:tcBorders>
            <w:shd w:val="clear" w:color="auto" w:fill="5B9BD5"/>
            <w:noWrap w:val="0"/>
            <w:vAlign w:val="center"/>
          </w:tcPr>
          <w:p w14:paraId="51CE27F4">
            <w:pPr>
              <w:spacing w:line="240" w:lineRule="exact"/>
              <w:jc w:val="center"/>
              <w:rPr>
                <w:rFonts w:hint="eastAsia" w:ascii="宋体" w:hAnsi="宋体" w:eastAsia="宋体" w:cs="宋体"/>
                <w:b/>
                <w:color w:val="FFFFFF"/>
                <w:sz w:val="21"/>
                <w:szCs w:val="21"/>
                <w:lang w:eastAsia="zh-CN"/>
              </w:rPr>
            </w:pPr>
            <w:r>
              <w:rPr>
                <w:rFonts w:hint="eastAsia" w:ascii="宋体" w:hAnsi="宋体" w:eastAsia="宋体" w:cs="宋体"/>
                <w:b/>
                <w:color w:val="FFFFFF"/>
                <w:sz w:val="21"/>
                <w:szCs w:val="21"/>
                <w:lang w:eastAsia="zh-CN"/>
              </w:rPr>
              <w:t>生师比（</w:t>
            </w:r>
            <w:r>
              <w:rPr>
                <w:rFonts w:hint="eastAsia" w:ascii="宋体" w:hAnsi="宋体" w:eastAsia="宋体" w:cs="宋体"/>
                <w:b/>
                <w:color w:val="FFFFFF"/>
                <w:sz w:val="21"/>
                <w:szCs w:val="21"/>
                <w:lang w:val="en-US" w:eastAsia="zh-CN"/>
              </w:rPr>
              <w:t>%</w:t>
            </w:r>
            <w:r>
              <w:rPr>
                <w:rFonts w:hint="eastAsia" w:ascii="宋体" w:hAnsi="宋体" w:eastAsia="宋体" w:cs="宋体"/>
                <w:b/>
                <w:color w:val="FFFFFF"/>
                <w:sz w:val="21"/>
                <w:szCs w:val="21"/>
                <w:lang w:eastAsia="zh-CN"/>
              </w:rPr>
              <w:t>）</w:t>
            </w:r>
          </w:p>
        </w:tc>
        <w:tc>
          <w:tcPr>
            <w:tcW w:w="2149" w:type="dxa"/>
            <w:tcBorders>
              <w:top w:val="single" w:color="FFFFFF" w:sz="4" w:space="0"/>
              <w:left w:val="single" w:color="FFFFFF" w:sz="4" w:space="0"/>
              <w:bottom w:val="single" w:color="FFFFFF" w:sz="4" w:space="0"/>
              <w:right w:val="single" w:color="FFFFFF" w:sz="4" w:space="0"/>
            </w:tcBorders>
            <w:shd w:val="clear" w:color="auto" w:fill="DEEBF7"/>
            <w:noWrap w:val="0"/>
            <w:vAlign w:val="center"/>
          </w:tcPr>
          <w:p w14:paraId="3B134BEF">
            <w:pPr>
              <w:spacing w:line="240" w:lineRule="exact"/>
              <w:jc w:val="center"/>
              <w:rPr>
                <w:rFonts w:hint="default" w:ascii="宋体" w:hAnsi="宋体" w:eastAsia="宋体" w:cs="宋体"/>
                <w:b w:val="0"/>
                <w:color w:val="000000"/>
                <w:sz w:val="21"/>
                <w:szCs w:val="21"/>
                <w:lang w:val="en-US" w:eastAsia="zh-CN"/>
              </w:rPr>
            </w:pPr>
            <w:r>
              <w:rPr>
                <w:rFonts w:hint="eastAsia" w:ascii="宋体" w:hAnsi="宋体" w:eastAsia="宋体" w:cs="宋体"/>
                <w:b w:val="0"/>
                <w:color w:val="000000"/>
                <w:sz w:val="21"/>
                <w:szCs w:val="21"/>
                <w:lang w:val="en-US" w:eastAsia="zh-CN"/>
              </w:rPr>
              <w:t>9.31</w:t>
            </w:r>
          </w:p>
        </w:tc>
        <w:tc>
          <w:tcPr>
            <w:tcW w:w="2149" w:type="dxa"/>
            <w:tcBorders>
              <w:top w:val="single" w:color="FFFFFF" w:sz="4" w:space="0"/>
              <w:left w:val="single" w:color="FFFFFF" w:sz="4" w:space="0"/>
              <w:bottom w:val="single" w:color="FFFFFF" w:sz="4" w:space="0"/>
              <w:right w:val="single" w:color="FFFFFF" w:sz="4" w:space="0"/>
            </w:tcBorders>
            <w:shd w:val="clear" w:color="auto" w:fill="DEEBF7"/>
            <w:noWrap w:val="0"/>
            <w:vAlign w:val="center"/>
          </w:tcPr>
          <w:p w14:paraId="61DE7B45">
            <w:pPr>
              <w:spacing w:line="240" w:lineRule="exact"/>
              <w:jc w:val="center"/>
              <w:rPr>
                <w:rFonts w:hint="default" w:ascii="宋体" w:hAnsi="宋体" w:eastAsia="宋体" w:cs="宋体"/>
                <w:b w:val="0"/>
                <w:color w:val="000000"/>
                <w:sz w:val="21"/>
                <w:szCs w:val="21"/>
                <w:lang w:val="en-US" w:eastAsia="zh-CN"/>
              </w:rPr>
            </w:pPr>
            <w:r>
              <w:rPr>
                <w:rFonts w:hint="eastAsia" w:ascii="宋体" w:hAnsi="宋体" w:eastAsia="宋体" w:cs="宋体"/>
                <w:b w:val="0"/>
                <w:color w:val="000000"/>
                <w:sz w:val="21"/>
                <w:szCs w:val="21"/>
                <w:lang w:val="en-US" w:eastAsia="zh-CN"/>
              </w:rPr>
              <w:t>9.88</w:t>
            </w:r>
          </w:p>
        </w:tc>
      </w:tr>
      <w:tr w14:paraId="71BD3E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94" w:hRule="atLeast"/>
          <w:jc w:val="center"/>
        </w:trPr>
        <w:tc>
          <w:tcPr>
            <w:tcW w:w="4324" w:type="dxa"/>
            <w:tcBorders>
              <w:top w:val="single" w:color="FFFFFF" w:sz="4" w:space="0"/>
              <w:left w:val="single" w:color="FFFFFF" w:sz="4" w:space="0"/>
              <w:bottom w:val="single" w:color="FFFFFF" w:sz="4" w:space="0"/>
              <w:right w:val="single" w:color="FFFFFF" w:sz="4" w:space="0"/>
            </w:tcBorders>
            <w:shd w:val="clear" w:color="auto" w:fill="5B9BD5"/>
            <w:noWrap w:val="0"/>
            <w:vAlign w:val="center"/>
          </w:tcPr>
          <w:p w14:paraId="14181633">
            <w:pPr>
              <w:spacing w:line="240" w:lineRule="exact"/>
              <w:jc w:val="center"/>
              <w:rPr>
                <w:rFonts w:hint="eastAsia" w:ascii="宋体" w:hAnsi="宋体" w:eastAsia="宋体" w:cs="宋体"/>
                <w:b/>
                <w:color w:val="FFFFFF"/>
                <w:sz w:val="21"/>
                <w:szCs w:val="21"/>
                <w:lang w:eastAsia="zh-CN"/>
              </w:rPr>
            </w:pPr>
            <w:r>
              <w:rPr>
                <w:rFonts w:hint="eastAsia" w:ascii="宋体" w:hAnsi="宋体" w:eastAsia="宋体" w:cs="宋体"/>
                <w:b/>
                <w:color w:val="FFFFFF"/>
                <w:sz w:val="21"/>
                <w:szCs w:val="21"/>
                <w:lang w:val="en-US" w:eastAsia="zh-CN"/>
              </w:rPr>
              <w:t>生均教学科研仪器设备值 （元/生）</w:t>
            </w:r>
          </w:p>
        </w:tc>
        <w:tc>
          <w:tcPr>
            <w:tcW w:w="2149" w:type="dxa"/>
            <w:tcBorders>
              <w:top w:val="single" w:color="FFFFFF" w:sz="4" w:space="0"/>
              <w:left w:val="single" w:color="FFFFFF" w:sz="4" w:space="0"/>
              <w:bottom w:val="single" w:color="FFFFFF" w:sz="4" w:space="0"/>
              <w:right w:val="single" w:color="FFFFFF" w:sz="4" w:space="0"/>
            </w:tcBorders>
            <w:shd w:val="clear" w:color="auto" w:fill="DEEBF7"/>
            <w:noWrap w:val="0"/>
            <w:vAlign w:val="center"/>
          </w:tcPr>
          <w:p w14:paraId="2E131A30">
            <w:pPr>
              <w:spacing w:line="240" w:lineRule="exact"/>
              <w:jc w:val="center"/>
              <w:rPr>
                <w:rFonts w:hint="default" w:ascii="宋体" w:hAnsi="宋体" w:eastAsia="宋体" w:cs="宋体"/>
                <w:b w:val="0"/>
                <w:color w:val="000000"/>
                <w:sz w:val="21"/>
                <w:szCs w:val="21"/>
                <w:lang w:val="en-US" w:eastAsia="zh-CN"/>
              </w:rPr>
            </w:pPr>
            <w:r>
              <w:rPr>
                <w:rFonts w:hint="eastAsia" w:ascii="宋体" w:hAnsi="宋体" w:eastAsia="宋体" w:cs="宋体"/>
                <w:b w:val="0"/>
                <w:color w:val="000000"/>
                <w:sz w:val="21"/>
                <w:szCs w:val="21"/>
                <w:lang w:val="en-US" w:eastAsia="zh-CN"/>
              </w:rPr>
              <w:t>9882.25</w:t>
            </w:r>
          </w:p>
        </w:tc>
        <w:tc>
          <w:tcPr>
            <w:tcW w:w="2149" w:type="dxa"/>
            <w:tcBorders>
              <w:top w:val="single" w:color="FFFFFF" w:sz="4" w:space="0"/>
              <w:left w:val="single" w:color="FFFFFF" w:sz="4" w:space="0"/>
              <w:bottom w:val="single" w:color="FFFFFF" w:sz="4" w:space="0"/>
              <w:right w:val="single" w:color="FFFFFF" w:sz="4" w:space="0"/>
            </w:tcBorders>
            <w:shd w:val="clear" w:color="auto" w:fill="DEEBF7"/>
            <w:noWrap w:val="0"/>
            <w:vAlign w:val="center"/>
          </w:tcPr>
          <w:p w14:paraId="2CAC5A7A">
            <w:pPr>
              <w:spacing w:line="240" w:lineRule="exact"/>
              <w:jc w:val="center"/>
              <w:rPr>
                <w:rFonts w:hint="default" w:ascii="宋体" w:hAnsi="宋体" w:eastAsia="宋体" w:cs="宋体"/>
                <w:b w:val="0"/>
                <w:color w:val="000000"/>
                <w:sz w:val="21"/>
                <w:szCs w:val="21"/>
                <w:highlight w:val="yellow"/>
                <w:lang w:val="en-US" w:eastAsia="zh-CN"/>
              </w:rPr>
            </w:pPr>
            <w:r>
              <w:rPr>
                <w:rFonts w:hint="eastAsia" w:ascii="宋体" w:hAnsi="宋体" w:eastAsia="宋体" w:cs="宋体"/>
                <w:b w:val="0"/>
                <w:color w:val="000000"/>
                <w:sz w:val="21"/>
                <w:szCs w:val="21"/>
                <w:highlight w:val="none"/>
                <w:lang w:val="en-US" w:eastAsia="zh-CN"/>
              </w:rPr>
              <w:t>10370.94</w:t>
            </w:r>
          </w:p>
        </w:tc>
      </w:tr>
    </w:tbl>
    <w:p w14:paraId="10009B93">
      <w:pPr>
        <w:pStyle w:val="8"/>
        <w:keepNext w:val="0"/>
        <w:keepLines w:val="0"/>
        <w:pageBreakBefore w:val="0"/>
        <w:widowControl w:val="0"/>
        <w:kinsoku/>
        <w:wordWrap/>
        <w:overflowPunct/>
        <w:topLinePunct w:val="0"/>
        <w:autoSpaceDE/>
        <w:autoSpaceDN/>
        <w:bidi w:val="0"/>
        <w:adjustRightInd/>
        <w:snapToGrid w:val="0"/>
        <w:spacing w:after="157" w:afterLines="50"/>
        <w:jc w:val="center"/>
        <w:textAlignment w:val="auto"/>
        <w:rPr>
          <w:rFonts w:hint="eastAsia"/>
          <w:sz w:val="20"/>
          <w:szCs w:val="20"/>
          <w:highlight w:val="none"/>
          <w:lang w:val="en-US" w:eastAsia="zh-CN"/>
        </w:rPr>
      </w:pPr>
    </w:p>
    <w:p w14:paraId="60DF71B8">
      <w:pPr>
        <w:keepNext w:val="0"/>
        <w:keepLines w:val="0"/>
        <w:widowControl/>
        <w:suppressLineNumbers w:val="0"/>
        <w:jc w:val="both"/>
        <w:rPr>
          <w:rFonts w:hint="default" w:ascii="仿宋_GB2312" w:hAnsi="仿宋_GB2312" w:eastAsia="仿宋_GB2312" w:cs="仿宋_GB2312"/>
          <w:b w:val="0"/>
          <w:bCs/>
          <w:sz w:val="32"/>
          <w:szCs w:val="32"/>
          <w:lang w:val="en-US" w:eastAsia="zh-CN"/>
        </w:rPr>
      </w:pPr>
      <w:r>
        <w:rPr>
          <w:rFonts w:hint="default" w:ascii="仿宋_GB2312" w:hAnsi="仿宋_GB2312" w:eastAsia="仿宋_GB2312" w:cs="仿宋_GB2312"/>
          <w:b w:val="0"/>
          <w:bCs/>
          <w:sz w:val="32"/>
          <w:szCs w:val="32"/>
          <w:lang w:val="en-US" w:eastAsia="zh-CN"/>
        </w:rPr>
        <w:drawing>
          <wp:inline distT="0" distB="0" distL="114300" distR="114300">
            <wp:extent cx="5583555" cy="2465070"/>
            <wp:effectExtent l="4445" t="4445" r="12700" b="6985"/>
            <wp:docPr id="24" name="图表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736D809">
      <w:pPr>
        <w:pStyle w:val="29"/>
        <w:bidi w:val="0"/>
        <w:rPr>
          <w:rFonts w:hint="eastAsia"/>
          <w:lang w:val="en-US" w:eastAsia="zh-CN"/>
        </w:rPr>
      </w:pPr>
      <w:bookmarkStart w:id="316" w:name="_Toc23501"/>
      <w:r>
        <w:rPr>
          <w:rFonts w:hint="eastAsia"/>
          <w:lang w:val="en-US" w:eastAsia="zh-CN"/>
        </w:rPr>
        <w:t>数据分析图16：生均教学科研仪器设备值对比分析图</w:t>
      </w:r>
      <w:bookmarkEnd w:id="316"/>
    </w:p>
    <w:p w14:paraId="40F3E4E8">
      <w:pPr>
        <w:pStyle w:val="3"/>
        <w:bidi w:val="0"/>
        <w:ind w:firstLine="640" w:firstLineChars="200"/>
        <w:rPr>
          <w:rFonts w:hint="eastAsia" w:ascii="黑体" w:hAnsi="黑体" w:eastAsia="黑体" w:cs="黑体"/>
          <w:b w:val="0"/>
          <w:bCs/>
          <w:sz w:val="32"/>
          <w:szCs w:val="32"/>
          <w:highlight w:val="none"/>
          <w:lang w:val="en-US" w:eastAsia="zh-CN"/>
        </w:rPr>
      </w:pPr>
      <w:bookmarkStart w:id="317" w:name="_Toc13976"/>
      <w:r>
        <w:rPr>
          <w:rFonts w:hint="eastAsia" w:ascii="黑体" w:hAnsi="黑体" w:eastAsia="黑体" w:cs="黑体"/>
          <w:b w:val="0"/>
          <w:bCs/>
          <w:sz w:val="32"/>
          <w:szCs w:val="32"/>
          <w:highlight w:val="none"/>
          <w:lang w:val="en-US" w:eastAsia="zh-CN"/>
        </w:rPr>
        <w:t>7.面临挑战</w:t>
      </w:r>
      <w:bookmarkEnd w:id="317"/>
    </w:p>
    <w:p w14:paraId="660996E8">
      <w:pPr>
        <w:pStyle w:val="2"/>
        <w:bidi w:val="0"/>
        <w:rPr>
          <w:rFonts w:hint="eastAsia" w:ascii="楷体" w:hAnsi="楷体" w:eastAsia="楷体" w:cs="楷体"/>
          <w:lang w:val="en-US" w:eastAsia="zh-CN"/>
        </w:rPr>
      </w:pPr>
      <w:bookmarkStart w:id="318" w:name="_Toc10884"/>
      <w:r>
        <w:rPr>
          <w:rFonts w:hint="eastAsia" w:ascii="楷体" w:hAnsi="楷体" w:eastAsia="楷体" w:cs="楷体"/>
          <w:b/>
          <w:bCs w:val="0"/>
          <w:lang w:val="en-US" w:eastAsia="zh-CN"/>
        </w:rPr>
        <w:t>7.1现实挑战</w:t>
      </w:r>
      <w:bookmarkEnd w:id="318"/>
    </w:p>
    <w:p w14:paraId="2A69349F">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bCs/>
          <w:spacing w:val="0"/>
          <w:kern w:val="2"/>
          <w:sz w:val="32"/>
          <w:szCs w:val="36"/>
          <w:lang w:val="en-US" w:eastAsia="zh-CN" w:bidi="ar-SA"/>
        </w:rPr>
        <w:t>一是各中职学校发展资源不均衡。</w:t>
      </w:r>
      <w:r>
        <w:rPr>
          <w:rFonts w:hint="eastAsia" w:ascii="仿宋_GB2312" w:hAnsi="仿宋_GB2312" w:eastAsia="仿宋_GB2312" w:cs="仿宋_GB2312"/>
          <w:b w:val="0"/>
          <w:bCs w:val="0"/>
          <w:spacing w:val="0"/>
          <w:kern w:val="2"/>
          <w:sz w:val="32"/>
          <w:szCs w:val="36"/>
          <w:lang w:val="en-US" w:eastAsia="zh-CN" w:bidi="ar-SA"/>
        </w:rPr>
        <w:t>各中职学校在成立时间先后、发展规模大小、班主任队伍发展水平、硬件设施等方面存在些许差异，导致各中职学校在工作运转、招生规模、师资队伍、班级德育水平等方面存在一定的差异性。</w:t>
      </w:r>
    </w:p>
    <w:p w14:paraId="27C7A4C6">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bCs/>
          <w:spacing w:val="0"/>
          <w:kern w:val="2"/>
          <w:sz w:val="32"/>
          <w:szCs w:val="36"/>
          <w:lang w:val="en-US" w:eastAsia="zh-CN" w:bidi="ar-SA"/>
        </w:rPr>
        <w:t>二是横向同等级别学校竞争大。</w:t>
      </w:r>
      <w:r>
        <w:rPr>
          <w:rFonts w:hint="eastAsia" w:ascii="仿宋_GB2312" w:hAnsi="仿宋_GB2312" w:eastAsia="仿宋_GB2312" w:cs="仿宋_GB2312"/>
          <w:b w:val="0"/>
          <w:bCs w:val="0"/>
          <w:spacing w:val="0"/>
          <w:kern w:val="2"/>
          <w:sz w:val="32"/>
          <w:szCs w:val="36"/>
          <w:lang w:val="en-US" w:eastAsia="zh-CN" w:bidi="ar-SA"/>
        </w:rPr>
        <w:t>省内以及省外新的中等职业学校不断涌现，所开设专业大多与新技术、新能源、新材料有关，且具备地理优势和就业优势，对于初中毕业生更具有吸引力，对部分县域职教中心以及民办中职学校的招生规模造成一定冲击。</w:t>
      </w:r>
    </w:p>
    <w:p w14:paraId="3DFA88BB">
      <w:pPr>
        <w:pStyle w:val="2"/>
        <w:bidi w:val="0"/>
        <w:rPr>
          <w:rFonts w:hint="eastAsia" w:ascii="楷体" w:hAnsi="楷体" w:eastAsia="楷体" w:cs="楷体"/>
          <w:b/>
          <w:bCs w:val="0"/>
          <w:lang w:val="en-US" w:eastAsia="zh-CN"/>
        </w:rPr>
      </w:pPr>
      <w:bookmarkStart w:id="319" w:name="_Toc7606"/>
      <w:r>
        <w:rPr>
          <w:rFonts w:hint="eastAsia" w:ascii="楷体" w:hAnsi="楷体" w:eastAsia="楷体" w:cs="楷体"/>
          <w:b/>
          <w:bCs w:val="0"/>
          <w:lang w:val="en-US" w:eastAsia="zh-CN"/>
        </w:rPr>
        <w:t>7.2发展对策</w:t>
      </w:r>
      <w:bookmarkEnd w:id="319"/>
    </w:p>
    <w:p w14:paraId="100CEC2A">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bCs/>
          <w:spacing w:val="0"/>
          <w:kern w:val="2"/>
          <w:sz w:val="32"/>
          <w:szCs w:val="36"/>
          <w:lang w:val="en-US" w:eastAsia="zh-CN" w:bidi="ar-SA"/>
        </w:rPr>
        <w:t>一是坚持立德树人根本任务。</w:t>
      </w:r>
      <w:r>
        <w:rPr>
          <w:rFonts w:hint="eastAsia" w:ascii="仿宋_GB2312" w:hAnsi="仿宋_GB2312" w:eastAsia="仿宋_GB2312" w:cs="仿宋_GB2312"/>
          <w:b w:val="0"/>
          <w:bCs w:val="0"/>
          <w:spacing w:val="0"/>
          <w:kern w:val="2"/>
          <w:sz w:val="32"/>
          <w:szCs w:val="36"/>
          <w:lang w:val="en-US" w:eastAsia="zh-CN" w:bidi="ar-SA"/>
        </w:rPr>
        <w:t>推动习近平新时代中国特色社会主义思想进教材、进课堂、进头脑，推进职业院校思政课建设改革创新。落实职业院校专职思政课教师师生配比要求，做强思政教育工作队伍，做活思政教育工作形式，做优思政教育工作资源。积极培育和践行社会主义核心价值观，弘扬优秀中华传统文化和“朝阳红色文化”，加强职业道德、职业素养、职业行为习惯培养，职业精神、工匠精神、劳模精神等专题教育。</w:t>
      </w:r>
    </w:p>
    <w:p w14:paraId="3E042B4F">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pacing w:val="0"/>
          <w:kern w:val="2"/>
          <w:sz w:val="32"/>
          <w:szCs w:val="36"/>
          <w:lang w:val="en-US" w:eastAsia="zh-CN" w:bidi="ar-SA"/>
        </w:rPr>
      </w:pPr>
      <w:r>
        <w:rPr>
          <w:rFonts w:hint="eastAsia" w:ascii="仿宋_GB2312" w:hAnsi="仿宋_GB2312" w:eastAsia="仿宋_GB2312" w:cs="仿宋_GB2312"/>
          <w:b/>
          <w:bCs/>
          <w:spacing w:val="0"/>
          <w:kern w:val="2"/>
          <w:sz w:val="32"/>
          <w:szCs w:val="36"/>
          <w:lang w:val="en-US" w:eastAsia="zh-CN" w:bidi="ar-SA"/>
        </w:rPr>
        <w:t>二是提升中职学校教师整体素质。</w:t>
      </w:r>
      <w:r>
        <w:rPr>
          <w:rFonts w:hint="eastAsia" w:ascii="仿宋_GB2312" w:hAnsi="仿宋_GB2312" w:eastAsia="仿宋_GB2312" w:cs="仿宋_GB2312"/>
          <w:b w:val="0"/>
          <w:bCs w:val="0"/>
          <w:spacing w:val="0"/>
          <w:kern w:val="2"/>
          <w:sz w:val="32"/>
          <w:szCs w:val="36"/>
          <w:lang w:val="en-US" w:eastAsia="zh-CN" w:bidi="ar-SA"/>
        </w:rPr>
        <w:t>鼓励中职学校实施“青蓝工程”，通过“结对子”，充分发挥优秀教师的榜样带头作用，带动新入职教师的迅速成长，帮助年轻教师提升教学能力、管理水平与育人能力。组织开展校级、市级教师教学能力比赛和班主任能力比赛，力求对接国赛、省赛标准，通过校级推选、资格审查等程序，选拔优秀教师团队、班主任参加省赛，以学促赛，以赛带学，通过赛事活动，直观感受发展空间与自身不足，倒逼教师队伍自觉自发提升专业技术水平和实践教学能力。</w:t>
      </w:r>
    </w:p>
    <w:p w14:paraId="55E506D0">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z w:val="28"/>
          <w:szCs w:val="28"/>
          <w:lang w:val="en-US" w:eastAsia="zh-CN"/>
        </w:rPr>
      </w:pPr>
      <w:r>
        <w:rPr>
          <w:rFonts w:hint="eastAsia" w:ascii="仿宋_GB2312" w:hAnsi="仿宋_GB2312" w:eastAsia="仿宋_GB2312" w:cs="仿宋_GB2312"/>
          <w:b/>
          <w:bCs/>
          <w:spacing w:val="0"/>
          <w:kern w:val="2"/>
          <w:sz w:val="32"/>
          <w:szCs w:val="36"/>
          <w:lang w:val="en-US" w:eastAsia="zh-CN" w:bidi="ar-SA"/>
        </w:rPr>
        <w:t>三是提高职业教育培养质量。</w:t>
      </w:r>
      <w:r>
        <w:rPr>
          <w:rFonts w:hint="eastAsia" w:ascii="仿宋_GB2312" w:hAnsi="仿宋_GB2312" w:eastAsia="仿宋_GB2312" w:cs="仿宋_GB2312"/>
          <w:b w:val="0"/>
          <w:bCs w:val="0"/>
          <w:spacing w:val="0"/>
          <w:kern w:val="2"/>
          <w:sz w:val="32"/>
          <w:szCs w:val="36"/>
          <w:lang w:val="en-US" w:eastAsia="zh-CN" w:bidi="ar-SA"/>
        </w:rPr>
        <w:t>实施新时代职业教育提质培优工程，注重内涵建设和特色发展，深化职业教育“三教”改革、“校企双元”和“岗课赛证”育人模式模式改革，打造一批高水平教学成果和专业群，全面提高技术技能人才培养质量。实施职业院校教师素质提高计划，加大职业教育“双师型”教师培养和高层次人才引进力度。推进信息技术与教育教学改革深度融合，优化职业教育人才培养模式，推动教育教学改革创新。</w:t>
      </w:r>
    </w:p>
    <w:p w14:paraId="377C7EE7">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eastAsia="宋体" w:cs="Times New Roman"/>
          <w:sz w:val="28"/>
          <w:szCs w:val="28"/>
          <w:lang w:val="en-US" w:eastAsia="zh-CN"/>
        </w:rPr>
      </w:pPr>
    </w:p>
    <w:p w14:paraId="43663B94">
      <w:pPr>
        <w:rPr>
          <w:rFonts w:hint="eastAsia"/>
          <w:lang w:val="en-US" w:eastAsia="zh-CN"/>
        </w:rPr>
        <w:sectPr>
          <w:footerReference r:id="rId7" w:type="default"/>
          <w:pgSz w:w="11906" w:h="16838"/>
          <w:pgMar w:top="1644" w:right="1531" w:bottom="1644" w:left="1531"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59A7351">
      <w:pPr>
        <w:pStyle w:val="3"/>
        <w:bidi w:val="0"/>
        <w:rPr>
          <w:rFonts w:hint="eastAsia"/>
          <w:lang w:val="en-US" w:eastAsia="zh-CN"/>
        </w:rPr>
      </w:pPr>
      <w:bookmarkStart w:id="320" w:name="_Toc7408"/>
      <w:r>
        <w:rPr>
          <w:rFonts w:hint="eastAsia"/>
          <w:lang w:val="en-US" w:eastAsia="zh-CN"/>
        </w:rPr>
        <w:t>附表1 人才培养质量积分卡</w:t>
      </w:r>
      <w:bookmarkEnd w:id="320"/>
    </w:p>
    <w:p w14:paraId="05B64139">
      <w:pPr>
        <w:rPr>
          <w:rFonts w:hint="default"/>
          <w:lang w:val="en-US" w:eastAsia="zh-CN"/>
        </w:rPr>
      </w:pPr>
      <w:r>
        <w:rPr>
          <w:rFonts w:hint="default"/>
          <w:lang w:val="en-US" w:eastAsia="zh-CN"/>
        </w:rPr>
        <w:drawing>
          <wp:inline distT="0" distB="0" distL="114300" distR="114300">
            <wp:extent cx="5274310" cy="4813935"/>
            <wp:effectExtent l="0" t="0" r="2540" b="5715"/>
            <wp:docPr id="46" name="图片 46" descr="表1 人才培养质量计分卡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表1 人才培养质量计分卡_new"/>
                    <pic:cNvPicPr>
                      <a:picLocks noChangeAspect="1"/>
                    </pic:cNvPicPr>
                  </pic:nvPicPr>
                  <pic:blipFill>
                    <a:blip r:embed="rId60"/>
                    <a:stretch>
                      <a:fillRect/>
                    </a:stretch>
                  </pic:blipFill>
                  <pic:spPr>
                    <a:xfrm>
                      <a:off x="0" y="0"/>
                      <a:ext cx="5274310" cy="4813935"/>
                    </a:xfrm>
                    <a:prstGeom prst="rect">
                      <a:avLst/>
                    </a:prstGeom>
                  </pic:spPr>
                </pic:pic>
              </a:graphicData>
            </a:graphic>
          </wp:inline>
        </w:drawing>
      </w:r>
    </w:p>
    <w:p w14:paraId="30470483">
      <w:pPr>
        <w:pStyle w:val="3"/>
        <w:bidi w:val="0"/>
        <w:rPr>
          <w:rFonts w:hint="eastAsia"/>
          <w:lang w:val="en-US" w:eastAsia="zh-CN"/>
        </w:rPr>
      </w:pPr>
      <w:bookmarkStart w:id="321" w:name="_Toc964"/>
      <w:r>
        <w:rPr>
          <w:rFonts w:hint="eastAsia"/>
          <w:lang w:val="en-US" w:eastAsia="zh-CN"/>
        </w:rPr>
        <w:t>附表2 满意度调查表</w:t>
      </w:r>
    </w:p>
    <w:p w14:paraId="196F7987">
      <w:pPr>
        <w:pStyle w:val="3"/>
        <w:bidi w:val="0"/>
        <w:rPr>
          <w:rFonts w:hint="eastAsia"/>
          <w:lang w:val="en-US" w:eastAsia="zh-CN"/>
        </w:rPr>
      </w:pPr>
      <w:r>
        <w:rPr>
          <w:rFonts w:hint="default"/>
          <w:lang w:val="en-US" w:eastAsia="zh-CN"/>
        </w:rPr>
        <w:drawing>
          <wp:anchor distT="0" distB="0" distL="114935" distR="114935" simplePos="0" relativeHeight="251667456" behindDoc="0" locked="0" layoutInCell="1" allowOverlap="1">
            <wp:simplePos x="0" y="0"/>
            <wp:positionH relativeFrom="column">
              <wp:posOffset>-17145</wp:posOffset>
            </wp:positionH>
            <wp:positionV relativeFrom="paragraph">
              <wp:posOffset>136525</wp:posOffset>
            </wp:positionV>
            <wp:extent cx="5264150" cy="5335270"/>
            <wp:effectExtent l="0" t="0" r="12700" b="17780"/>
            <wp:wrapNone/>
            <wp:docPr id="50" name="图片 50" descr="表2 满意度调查表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表2 满意度调查表_new"/>
                    <pic:cNvPicPr>
                      <a:picLocks noChangeAspect="1"/>
                    </pic:cNvPicPr>
                  </pic:nvPicPr>
                  <pic:blipFill>
                    <a:blip r:embed="rId61"/>
                    <a:stretch>
                      <a:fillRect/>
                    </a:stretch>
                  </pic:blipFill>
                  <pic:spPr>
                    <a:xfrm>
                      <a:off x="0" y="0"/>
                      <a:ext cx="5264150" cy="5335270"/>
                    </a:xfrm>
                    <a:prstGeom prst="rect">
                      <a:avLst/>
                    </a:prstGeom>
                  </pic:spPr>
                </pic:pic>
              </a:graphicData>
            </a:graphic>
          </wp:anchor>
        </w:drawing>
      </w:r>
    </w:p>
    <w:p w14:paraId="72260FED">
      <w:pPr>
        <w:pStyle w:val="3"/>
        <w:bidi w:val="0"/>
        <w:rPr>
          <w:rFonts w:hint="eastAsia"/>
          <w:lang w:val="en-US" w:eastAsia="zh-CN"/>
        </w:rPr>
      </w:pPr>
    </w:p>
    <w:p w14:paraId="721D561B">
      <w:pPr>
        <w:pStyle w:val="3"/>
        <w:bidi w:val="0"/>
        <w:rPr>
          <w:rFonts w:hint="eastAsia"/>
          <w:lang w:val="en-US" w:eastAsia="zh-CN"/>
        </w:rPr>
      </w:pPr>
    </w:p>
    <w:p w14:paraId="745A0193">
      <w:pPr>
        <w:pStyle w:val="3"/>
        <w:bidi w:val="0"/>
        <w:rPr>
          <w:rFonts w:hint="eastAsia"/>
          <w:lang w:val="en-US" w:eastAsia="zh-CN"/>
        </w:rPr>
      </w:pPr>
    </w:p>
    <w:p w14:paraId="3983C927">
      <w:pPr>
        <w:pStyle w:val="3"/>
        <w:bidi w:val="0"/>
        <w:rPr>
          <w:rFonts w:hint="eastAsia"/>
          <w:lang w:val="en-US" w:eastAsia="zh-CN"/>
        </w:rPr>
      </w:pPr>
    </w:p>
    <w:p w14:paraId="789725B3">
      <w:pPr>
        <w:pStyle w:val="3"/>
        <w:bidi w:val="0"/>
        <w:rPr>
          <w:rFonts w:hint="eastAsia"/>
          <w:lang w:val="en-US" w:eastAsia="zh-CN"/>
        </w:rPr>
      </w:pPr>
    </w:p>
    <w:p w14:paraId="27CFD744">
      <w:pPr>
        <w:pStyle w:val="3"/>
        <w:bidi w:val="0"/>
        <w:rPr>
          <w:rFonts w:hint="eastAsia"/>
          <w:lang w:val="en-US" w:eastAsia="zh-CN"/>
        </w:rPr>
      </w:pPr>
    </w:p>
    <w:p w14:paraId="7E1DFC05">
      <w:pPr>
        <w:pStyle w:val="3"/>
        <w:bidi w:val="0"/>
        <w:rPr>
          <w:rFonts w:hint="eastAsia"/>
          <w:lang w:val="en-US" w:eastAsia="zh-CN"/>
        </w:rPr>
      </w:pPr>
    </w:p>
    <w:bookmarkEnd w:id="321"/>
    <w:p w14:paraId="5E128A65">
      <w:pPr>
        <w:rPr>
          <w:rFonts w:hint="default"/>
          <w:lang w:val="en-US" w:eastAsia="zh-CN"/>
        </w:rPr>
      </w:pPr>
    </w:p>
    <w:p w14:paraId="7FEFBC9E">
      <w:pPr>
        <w:rPr>
          <w:rFonts w:hint="default"/>
          <w:lang w:val="en-US" w:eastAsia="zh-CN"/>
        </w:rPr>
      </w:pPr>
    </w:p>
    <w:p w14:paraId="66ECB26B">
      <w:pPr>
        <w:pStyle w:val="2"/>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A10015A">
      <w:pPr>
        <w:pStyle w:val="3"/>
        <w:bidi w:val="0"/>
        <w:rPr>
          <w:rFonts w:hint="default"/>
          <w:lang w:val="en-US" w:eastAsia="zh-CN"/>
        </w:rPr>
      </w:pPr>
      <w:bookmarkStart w:id="322" w:name="_Toc5359"/>
      <w:r>
        <w:rPr>
          <w:rFonts w:hint="default"/>
          <w:lang w:val="en-US" w:eastAsia="zh-CN"/>
        </w:rPr>
        <w:t>附表</w:t>
      </w:r>
      <w:r>
        <w:rPr>
          <w:rFonts w:hint="eastAsia"/>
          <w:lang w:val="en-US" w:eastAsia="zh-CN"/>
        </w:rPr>
        <w:t>3</w:t>
      </w:r>
      <w:r>
        <w:rPr>
          <w:rFonts w:hint="default"/>
          <w:lang w:val="en-US" w:eastAsia="zh-CN"/>
        </w:rPr>
        <w:t xml:space="preserve"> </w:t>
      </w:r>
      <w:r>
        <w:rPr>
          <w:rFonts w:hint="eastAsia"/>
          <w:lang w:val="en-US" w:eastAsia="zh-CN"/>
        </w:rPr>
        <w:t>教学资源</w:t>
      </w:r>
      <w:r>
        <w:rPr>
          <w:rFonts w:hint="default"/>
          <w:lang w:val="en-US" w:eastAsia="zh-CN"/>
        </w:rPr>
        <w:t>表</w:t>
      </w:r>
      <w:bookmarkEnd w:id="322"/>
    </w:p>
    <w:p w14:paraId="3AF9CB4B">
      <w:pPr>
        <w:rPr>
          <w:rFonts w:hint="default"/>
          <w:lang w:val="en-US" w:eastAsia="zh-CN"/>
        </w:rPr>
      </w:pPr>
      <w:r>
        <w:rPr>
          <w:rFonts w:hint="default"/>
          <w:lang w:val="en-US" w:eastAsia="zh-CN"/>
        </w:rPr>
        <w:drawing>
          <wp:anchor distT="0" distB="0" distL="114300" distR="114300" simplePos="0" relativeHeight="251669504" behindDoc="0" locked="0" layoutInCell="1" allowOverlap="1">
            <wp:simplePos x="0" y="0"/>
            <wp:positionH relativeFrom="column">
              <wp:posOffset>26035</wp:posOffset>
            </wp:positionH>
            <wp:positionV relativeFrom="paragraph">
              <wp:posOffset>34290</wp:posOffset>
            </wp:positionV>
            <wp:extent cx="5224780" cy="8604885"/>
            <wp:effectExtent l="0" t="0" r="13970" b="5715"/>
            <wp:wrapNone/>
            <wp:docPr id="34" name="图片 34" descr="表3 教学资源表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表3 教学资源表_new"/>
                    <pic:cNvPicPr>
                      <a:picLocks noChangeAspect="1"/>
                    </pic:cNvPicPr>
                  </pic:nvPicPr>
                  <pic:blipFill>
                    <a:blip r:embed="rId62"/>
                    <a:srcRect b="4335"/>
                    <a:stretch>
                      <a:fillRect/>
                    </a:stretch>
                  </pic:blipFill>
                  <pic:spPr>
                    <a:xfrm>
                      <a:off x="0" y="0"/>
                      <a:ext cx="5224780" cy="8604885"/>
                    </a:xfrm>
                    <a:prstGeom prst="rect">
                      <a:avLst/>
                    </a:prstGeom>
                  </pic:spPr>
                </pic:pic>
              </a:graphicData>
            </a:graphic>
          </wp:anchor>
        </w:drawing>
      </w:r>
    </w:p>
    <w:p w14:paraId="1B901932">
      <w:pPr>
        <w:pStyle w:val="2"/>
        <w:outlineLvl w:val="9"/>
        <w:rPr>
          <w:rFonts w:hint="default"/>
          <w:lang w:val="en-US" w:eastAsia="zh-CN"/>
        </w:rPr>
      </w:pPr>
    </w:p>
    <w:p w14:paraId="39922CBF">
      <w:pPr>
        <w:rPr>
          <w:rFonts w:hint="default"/>
          <w:lang w:val="en-US" w:eastAsia="zh-CN"/>
        </w:rPr>
      </w:pPr>
    </w:p>
    <w:p w14:paraId="252D0945">
      <w:pPr>
        <w:pStyle w:val="2"/>
        <w:rPr>
          <w:rFonts w:hint="default"/>
          <w:lang w:val="en-US" w:eastAsia="zh-CN"/>
        </w:rPr>
      </w:pPr>
    </w:p>
    <w:p w14:paraId="1A55923F">
      <w:pPr>
        <w:rPr>
          <w:rFonts w:hint="default"/>
          <w:lang w:val="en-US" w:eastAsia="zh-CN"/>
        </w:rPr>
      </w:pPr>
    </w:p>
    <w:p w14:paraId="7B7ACAF8">
      <w:pPr>
        <w:pStyle w:val="2"/>
        <w:rPr>
          <w:rFonts w:hint="default"/>
          <w:lang w:val="en-US" w:eastAsia="zh-CN"/>
        </w:rPr>
      </w:pPr>
    </w:p>
    <w:p w14:paraId="342B840A">
      <w:pPr>
        <w:rPr>
          <w:rFonts w:hint="default"/>
          <w:lang w:val="en-US" w:eastAsia="zh-CN"/>
        </w:rPr>
      </w:pPr>
    </w:p>
    <w:p w14:paraId="015AFA33">
      <w:pPr>
        <w:pStyle w:val="2"/>
        <w:rPr>
          <w:rFonts w:hint="default"/>
          <w:lang w:val="en-US" w:eastAsia="zh-CN"/>
        </w:rPr>
      </w:pPr>
    </w:p>
    <w:p w14:paraId="11529E2A">
      <w:pPr>
        <w:rPr>
          <w:rFonts w:hint="default"/>
          <w:lang w:val="en-US" w:eastAsia="zh-CN"/>
        </w:rPr>
      </w:pPr>
    </w:p>
    <w:p w14:paraId="45738D8B">
      <w:pPr>
        <w:pStyle w:val="2"/>
        <w:rPr>
          <w:rFonts w:hint="default"/>
          <w:lang w:val="en-US" w:eastAsia="zh-CN"/>
        </w:rPr>
      </w:pPr>
    </w:p>
    <w:p w14:paraId="5B58B9B8">
      <w:pPr>
        <w:rPr>
          <w:rFonts w:hint="default"/>
          <w:lang w:val="en-US" w:eastAsia="zh-CN"/>
        </w:rPr>
      </w:pPr>
    </w:p>
    <w:p w14:paraId="010F69EB">
      <w:pPr>
        <w:pStyle w:val="2"/>
        <w:rPr>
          <w:rFonts w:hint="default"/>
          <w:lang w:val="en-US" w:eastAsia="zh-CN"/>
        </w:rPr>
      </w:pPr>
    </w:p>
    <w:p w14:paraId="33617814">
      <w:pPr>
        <w:rPr>
          <w:rFonts w:hint="default"/>
          <w:lang w:val="en-US" w:eastAsia="zh-CN"/>
        </w:rPr>
      </w:pPr>
    </w:p>
    <w:p w14:paraId="792592D7">
      <w:pPr>
        <w:pStyle w:val="2"/>
        <w:rPr>
          <w:rFonts w:hint="default"/>
          <w:lang w:val="en-US" w:eastAsia="zh-CN"/>
        </w:rPr>
      </w:pPr>
    </w:p>
    <w:p w14:paraId="104F3F00">
      <w:pPr>
        <w:rPr>
          <w:rFonts w:hint="default"/>
          <w:lang w:val="en-US" w:eastAsia="zh-CN"/>
        </w:rPr>
      </w:pPr>
    </w:p>
    <w:p w14:paraId="19545B4A">
      <w:pPr>
        <w:pStyle w:val="2"/>
        <w:rPr>
          <w:rFonts w:hint="default"/>
          <w:lang w:val="en-US" w:eastAsia="zh-CN"/>
        </w:rPr>
      </w:pPr>
    </w:p>
    <w:p w14:paraId="3D67881B">
      <w:pPr>
        <w:rPr>
          <w:rFonts w:hint="default"/>
          <w:lang w:val="en-US" w:eastAsia="zh-CN"/>
        </w:rPr>
        <w:sectPr>
          <w:pgSz w:w="11906" w:h="16838"/>
          <w:pgMar w:top="1043" w:right="1800" w:bottom="1043"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45A2DEB">
      <w:pPr>
        <w:pStyle w:val="3"/>
        <w:bidi w:val="0"/>
        <w:rPr>
          <w:rFonts w:hint="default"/>
          <w:lang w:val="en-US" w:eastAsia="zh-CN"/>
        </w:rPr>
      </w:pPr>
      <w:bookmarkStart w:id="323" w:name="_Toc30443"/>
      <w:r>
        <w:rPr>
          <w:rFonts w:hint="default"/>
          <w:lang w:val="en-US" w:eastAsia="zh-CN"/>
        </w:rPr>
        <w:t>附表</w:t>
      </w:r>
      <w:r>
        <w:rPr>
          <w:rFonts w:hint="eastAsia"/>
          <w:lang w:val="en-US" w:eastAsia="zh-CN"/>
        </w:rPr>
        <w:t>4</w:t>
      </w:r>
      <w:r>
        <w:rPr>
          <w:rFonts w:hint="default"/>
          <w:lang w:val="en-US" w:eastAsia="zh-CN"/>
        </w:rPr>
        <w:t xml:space="preserve"> </w:t>
      </w:r>
      <w:r>
        <w:rPr>
          <w:rFonts w:hint="eastAsia"/>
          <w:lang w:val="en-US" w:eastAsia="zh-CN"/>
        </w:rPr>
        <w:t>服务贡献</w:t>
      </w:r>
      <w:r>
        <w:rPr>
          <w:rFonts w:hint="default"/>
          <w:lang w:val="en-US" w:eastAsia="zh-CN"/>
        </w:rPr>
        <w:t>表</w:t>
      </w:r>
      <w:bookmarkEnd w:id="323"/>
    </w:p>
    <w:p w14:paraId="17CC8D3C">
      <w:pPr>
        <w:rPr>
          <w:rFonts w:hint="default"/>
          <w:lang w:val="en-US" w:eastAsia="zh-CN"/>
        </w:rPr>
      </w:pPr>
      <w:r>
        <w:rPr>
          <w:rFonts w:hint="default"/>
          <w:lang w:val="en-US" w:eastAsia="zh-CN"/>
        </w:rPr>
        <w:drawing>
          <wp:anchor distT="0" distB="0" distL="114935" distR="114935" simplePos="0" relativeHeight="251668480" behindDoc="0" locked="0" layoutInCell="1" allowOverlap="1">
            <wp:simplePos x="0" y="0"/>
            <wp:positionH relativeFrom="column">
              <wp:posOffset>-17145</wp:posOffset>
            </wp:positionH>
            <wp:positionV relativeFrom="paragraph">
              <wp:posOffset>106680</wp:posOffset>
            </wp:positionV>
            <wp:extent cx="5317490" cy="6316980"/>
            <wp:effectExtent l="0" t="0" r="16510" b="7620"/>
            <wp:wrapNone/>
            <wp:docPr id="52" name="图片 52" descr="表4 服务贡献表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表4 服务贡献表_new"/>
                    <pic:cNvPicPr>
                      <a:picLocks noChangeAspect="1"/>
                    </pic:cNvPicPr>
                  </pic:nvPicPr>
                  <pic:blipFill>
                    <a:blip r:embed="rId63"/>
                    <a:stretch>
                      <a:fillRect/>
                    </a:stretch>
                  </pic:blipFill>
                  <pic:spPr>
                    <a:xfrm>
                      <a:off x="0" y="0"/>
                      <a:ext cx="5317490" cy="6316980"/>
                    </a:xfrm>
                    <a:prstGeom prst="rect">
                      <a:avLst/>
                    </a:prstGeom>
                  </pic:spPr>
                </pic:pic>
              </a:graphicData>
            </a:graphic>
          </wp:anchor>
        </w:drawing>
      </w:r>
    </w:p>
    <w:p w14:paraId="6F517BEC">
      <w:pPr>
        <w:pStyle w:val="2"/>
        <w:outlineLvl w:val="9"/>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4FD1A20">
      <w:pPr>
        <w:pStyle w:val="3"/>
        <w:bidi w:val="0"/>
        <w:rPr>
          <w:rFonts w:hint="default"/>
          <w:lang w:val="en-US" w:eastAsia="zh-CN"/>
        </w:rPr>
      </w:pPr>
      <w:bookmarkStart w:id="324" w:name="_Toc7476"/>
      <w:r>
        <w:rPr>
          <w:rFonts w:hint="default"/>
          <w:lang w:val="en-US" w:eastAsia="zh-CN"/>
        </w:rPr>
        <w:t>附表</w:t>
      </w:r>
      <w:r>
        <w:rPr>
          <w:rFonts w:hint="eastAsia"/>
          <w:lang w:val="en-US" w:eastAsia="zh-CN"/>
        </w:rPr>
        <w:t>5</w:t>
      </w:r>
      <w:r>
        <w:rPr>
          <w:rFonts w:hint="default"/>
          <w:lang w:val="en-US" w:eastAsia="zh-CN"/>
        </w:rPr>
        <w:t xml:space="preserve"> </w:t>
      </w:r>
      <w:r>
        <w:rPr>
          <w:rFonts w:hint="eastAsia"/>
          <w:lang w:val="en-US" w:eastAsia="zh-CN"/>
        </w:rPr>
        <w:t>国际影响</w:t>
      </w:r>
      <w:r>
        <w:rPr>
          <w:rFonts w:hint="default"/>
          <w:lang w:val="en-US" w:eastAsia="zh-CN"/>
        </w:rPr>
        <w:t>表</w:t>
      </w:r>
      <w:bookmarkEnd w:id="324"/>
    </w:p>
    <w:p w14:paraId="7FF21A7C">
      <w:pPr>
        <w:rPr>
          <w:rFonts w:hint="default"/>
          <w:lang w:val="en-US" w:eastAsia="zh-CN"/>
        </w:rPr>
      </w:pPr>
    </w:p>
    <w:p w14:paraId="304E978F">
      <w:pPr>
        <w:rPr>
          <w:rFonts w:hint="default"/>
          <w:lang w:val="en-US" w:eastAsia="zh-CN"/>
        </w:rPr>
      </w:pPr>
      <w:r>
        <w:rPr>
          <w:rFonts w:hint="default"/>
          <w:lang w:val="en-US" w:eastAsia="zh-CN"/>
        </w:rPr>
        <w:drawing>
          <wp:inline distT="0" distB="0" distL="114300" distR="114300">
            <wp:extent cx="5274310" cy="5948680"/>
            <wp:effectExtent l="0" t="0" r="2540" b="13970"/>
            <wp:docPr id="53" name="图片 53" descr="表5 国际影响表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表5 国际影响表_new"/>
                    <pic:cNvPicPr>
                      <a:picLocks noChangeAspect="1"/>
                    </pic:cNvPicPr>
                  </pic:nvPicPr>
                  <pic:blipFill>
                    <a:blip r:embed="rId64"/>
                    <a:stretch>
                      <a:fillRect/>
                    </a:stretch>
                  </pic:blipFill>
                  <pic:spPr>
                    <a:xfrm>
                      <a:off x="0" y="0"/>
                      <a:ext cx="5274310" cy="5948680"/>
                    </a:xfrm>
                    <a:prstGeom prst="rect">
                      <a:avLst/>
                    </a:prstGeom>
                  </pic:spPr>
                </pic:pic>
              </a:graphicData>
            </a:graphic>
          </wp:inline>
        </w:drawing>
      </w:r>
      <w:r>
        <w:rPr>
          <w:rFonts w:hint="default"/>
          <w:lang w:val="en-US" w:eastAsia="zh-CN"/>
        </w:rPr>
        <w:br w:type="page"/>
      </w:r>
    </w:p>
    <w:p w14:paraId="137C85D1">
      <w:pPr>
        <w:pStyle w:val="3"/>
        <w:bidi w:val="0"/>
        <w:rPr>
          <w:rFonts w:hint="default"/>
          <w:lang w:val="en-US" w:eastAsia="zh-CN"/>
        </w:rPr>
      </w:pPr>
      <w:bookmarkStart w:id="325" w:name="_Toc24463"/>
      <w:r>
        <w:rPr>
          <w:rFonts w:hint="default"/>
          <w:lang w:val="en-US" w:eastAsia="zh-CN"/>
        </w:rPr>
        <w:t>附表</w:t>
      </w:r>
      <w:r>
        <w:rPr>
          <w:rFonts w:hint="eastAsia"/>
          <w:lang w:val="en-US" w:eastAsia="zh-CN"/>
        </w:rPr>
        <w:t>6</w:t>
      </w:r>
      <w:r>
        <w:rPr>
          <w:rFonts w:hint="default"/>
          <w:lang w:val="en-US" w:eastAsia="zh-CN"/>
        </w:rPr>
        <w:t xml:space="preserve"> </w:t>
      </w:r>
      <w:r>
        <w:rPr>
          <w:rFonts w:hint="eastAsia"/>
          <w:lang w:val="en-US" w:eastAsia="zh-CN"/>
        </w:rPr>
        <w:t>落实政策</w:t>
      </w:r>
      <w:r>
        <w:rPr>
          <w:rFonts w:hint="default"/>
          <w:lang w:val="en-US" w:eastAsia="zh-CN"/>
        </w:rPr>
        <w:t>表</w:t>
      </w:r>
      <w:bookmarkEnd w:id="325"/>
    </w:p>
    <w:p w14:paraId="353D5534">
      <w:pPr>
        <w:rPr>
          <w:rFonts w:hint="default"/>
          <w:lang w:val="en-US" w:eastAsia="zh-CN"/>
        </w:rPr>
      </w:pPr>
      <w:r>
        <w:rPr>
          <w:rFonts w:hint="default"/>
          <w:lang w:val="en-US" w:eastAsia="zh-CN"/>
        </w:rPr>
        <w:drawing>
          <wp:inline distT="0" distB="0" distL="114300" distR="114300">
            <wp:extent cx="5272405" cy="5613400"/>
            <wp:effectExtent l="0" t="0" r="4445" b="6350"/>
            <wp:docPr id="55" name="图片 55" descr="表6 落实政策表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表6 落实政策表_new"/>
                    <pic:cNvPicPr>
                      <a:picLocks noChangeAspect="1"/>
                    </pic:cNvPicPr>
                  </pic:nvPicPr>
                  <pic:blipFill>
                    <a:blip r:embed="rId65"/>
                    <a:stretch>
                      <a:fillRect/>
                    </a:stretch>
                  </pic:blipFill>
                  <pic:spPr>
                    <a:xfrm>
                      <a:off x="0" y="0"/>
                      <a:ext cx="5272405" cy="5613400"/>
                    </a:xfrm>
                    <a:prstGeom prst="rect">
                      <a:avLst/>
                    </a:prstGeom>
                  </pic:spPr>
                </pic:pic>
              </a:graphicData>
            </a:graphic>
          </wp:inline>
        </w:drawing>
      </w:r>
    </w:p>
    <w:p w14:paraId="32DAF670">
      <w:pPr>
        <w:pStyle w:val="2"/>
        <w:rPr>
          <w:rFonts w:hint="default"/>
          <w:lang w:val="en-US" w:eastAsia="zh-CN"/>
        </w:rPr>
      </w:pPr>
    </w:p>
    <w:p w14:paraId="461B4DCD">
      <w:pPr>
        <w:rPr>
          <w:rFonts w:hint="default"/>
          <w:lang w:val="en-US" w:eastAsia="zh-CN"/>
        </w:rPr>
      </w:pPr>
    </w:p>
    <w:p w14:paraId="70C6E5DB">
      <w:pPr>
        <w:pStyle w:val="2"/>
        <w:rPr>
          <w:rFonts w:hint="default"/>
          <w:lang w:val="en-US" w:eastAsia="zh-CN"/>
        </w:rPr>
      </w:pPr>
    </w:p>
    <w:p w14:paraId="1F084EC0">
      <w:pPr>
        <w:rPr>
          <w:rFonts w:hint="default"/>
          <w:lang w:val="en-US" w:eastAsia="zh-CN"/>
        </w:rPr>
      </w:pPr>
    </w:p>
    <w:p w14:paraId="66538B1A">
      <w:pPr>
        <w:pStyle w:val="2"/>
        <w:rPr>
          <w:rFonts w:hint="default"/>
          <w:lang w:val="en-US" w:eastAsia="zh-CN"/>
        </w:rPr>
      </w:pPr>
    </w:p>
    <w:p w14:paraId="093CDF4B">
      <w:pPr>
        <w:rPr>
          <w:rFonts w:hint="default"/>
          <w:lang w:val="en-US" w:eastAsia="zh-CN"/>
        </w:rPr>
      </w:pPr>
    </w:p>
    <w:p w14:paraId="4EE44489">
      <w:pPr>
        <w:pStyle w:val="2"/>
        <w:rPr>
          <w:rFonts w:hint="default"/>
          <w:lang w:val="en-US" w:eastAsia="zh-CN"/>
        </w:rPr>
      </w:pPr>
    </w:p>
    <w:p w14:paraId="61D7A7E5">
      <w:pPr>
        <w:rPr>
          <w:rFonts w:hint="default"/>
          <w:lang w:val="en-US" w:eastAsia="zh-CN"/>
        </w:rPr>
      </w:pPr>
    </w:p>
    <w:p w14:paraId="02293D2E">
      <w:pPr>
        <w:pStyle w:val="2"/>
        <w:rPr>
          <w:rFonts w:hint="default"/>
          <w:lang w:val="en-US" w:eastAsia="zh-CN"/>
        </w:rPr>
      </w:pPr>
    </w:p>
    <w:p w14:paraId="261F0D13">
      <w:pPr>
        <w:rPr>
          <w:rFonts w:hint="default"/>
          <w:lang w:val="en-US" w:eastAsia="zh-CN"/>
        </w:rPr>
      </w:pP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auto"/>
    <w:pitch w:val="default"/>
    <w:sig w:usb0="800002BF" w:usb1="38CF7CFA" w:usb2="00000016" w:usb3="00000000" w:csb0="00040001" w:csb1="00000000"/>
  </w:font>
  <w:font w:name="方正小标宋简体">
    <w:panose1 w:val="02010601030101010101"/>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0BD59D">
    <w:pPr>
      <w:pStyle w:val="8"/>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58613E">
                          <w:pPr>
                            <w:pStyle w:val="8"/>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2458613E">
                    <w:pPr>
                      <w:pStyle w:val="8"/>
                    </w:pPr>
                    <w:r>
                      <w:fldChar w:fldCharType="begin"/>
                    </w:r>
                    <w:r>
                      <w:instrText xml:space="preserve"> PAGE  \* MERGEFORMAT </w:instrText>
                    </w:r>
                    <w:r>
                      <w:fldChar w:fldCharType="separate"/>
                    </w:r>
                    <w:r>
                      <w:t>0</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2D4821">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D2B5A7">
    <w:pPr>
      <w:pStyle w:val="8"/>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D4D83F">
                          <w:pPr>
                            <w:pStyle w:val="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2T0J0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2T0J0zAgAAYwQAAA4AAAAAAAAAAQAgAAAAHwEAAGRycy9lMm9Eb2MueG1sUEsF&#10;BgAAAAAGAAYAWQEAAMQFAAAAAA==&#10;">
              <v:fill on="f" focussize="0,0"/>
              <v:stroke on="f" weight="0.5pt"/>
              <v:imagedata o:title=""/>
              <o:lock v:ext="edit" aspectratio="f"/>
              <v:textbox inset="0mm,0mm,0mm,0mm" style="mso-fit-shape-to-text:t;">
                <w:txbxContent>
                  <w:p w14:paraId="73D4D83F">
                    <w:pPr>
                      <w:pStyle w:val="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6AF2E0">
    <w:pPr>
      <w:pStyle w:val="8"/>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F8629C">
                          <w:pPr>
                            <w:pStyle w:val="8"/>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9bQWsy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tBazICAABjBAAADgAAAAAAAAABACAAAAAfAQAAZHJzL2Uyb0RvYy54bWxQSwUG&#10;AAAAAAYABgBZAQAAwwUAAAAA&#10;">
              <v:fill on="f" focussize="0,0"/>
              <v:stroke on="f" weight="0.5pt"/>
              <v:imagedata o:title=""/>
              <o:lock v:ext="edit" aspectratio="f"/>
              <v:textbox inset="0mm,0mm,0mm,0mm" style="mso-fit-shape-to-text:t;">
                <w:txbxContent>
                  <w:p w14:paraId="29F8629C">
                    <w:pPr>
                      <w:pStyle w:val="8"/>
                    </w:pPr>
                    <w:r>
                      <w:fldChar w:fldCharType="begin"/>
                    </w:r>
                    <w:r>
                      <w:instrText xml:space="preserve"> PAGE  \* MERGEFORMAT </w:instrText>
                    </w:r>
                    <w:r>
                      <w:fldChar w:fldCharType="separate"/>
                    </w:r>
                    <w:r>
                      <w:t>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E8AC1A">
    <w:pPr>
      <w:pStyle w:val="8"/>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49CC88">
                          <w:pPr>
                            <w:pStyle w:val="8"/>
                          </w:pPr>
                          <w:r>
                            <w:fldChar w:fldCharType="begin"/>
                          </w:r>
                          <w:r>
                            <w:instrText xml:space="preserve"> PAGE  \* MERGEFORMAT </w:instrText>
                          </w:r>
                          <w:r>
                            <w:fldChar w:fldCharType="separate"/>
                          </w:r>
                          <w:r>
                            <w:t>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YzS4AzAgAAYw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YzS4AzAgAAYwQAAA4AAAAAAAAAAQAgAAAAHwEAAGRycy9lMm9Eb2MueG1sUEsF&#10;BgAAAAAGAAYAWQEAAMQFAAAAAA==&#10;">
              <v:fill on="f" focussize="0,0"/>
              <v:stroke on="f" weight="0.5pt"/>
              <v:imagedata o:title=""/>
              <o:lock v:ext="edit" aspectratio="f"/>
              <v:textbox inset="0mm,0mm,0mm,0mm" style="mso-fit-shape-to-text:t;">
                <w:txbxContent>
                  <w:p w14:paraId="1549CC88">
                    <w:pPr>
                      <w:pStyle w:val="8"/>
                    </w:pPr>
                    <w:r>
                      <w:fldChar w:fldCharType="begin"/>
                    </w:r>
                    <w:r>
                      <w:instrText xml:space="preserve"> PAGE  \* MERGEFORMAT </w:instrText>
                    </w:r>
                    <w:r>
                      <w:fldChar w:fldCharType="separate"/>
                    </w:r>
                    <w:r>
                      <w:t>7</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FiZDY5OTc3NjliNzBjNzYxOGEyZTg1N2Y2YTIwYTkifQ=="/>
  </w:docVars>
  <w:rsids>
    <w:rsidRoot w:val="00000000"/>
    <w:rsid w:val="00726300"/>
    <w:rsid w:val="012C2953"/>
    <w:rsid w:val="030D40BE"/>
    <w:rsid w:val="03C4237C"/>
    <w:rsid w:val="06510766"/>
    <w:rsid w:val="06A670EF"/>
    <w:rsid w:val="070D0A19"/>
    <w:rsid w:val="07F74177"/>
    <w:rsid w:val="091647BE"/>
    <w:rsid w:val="0A7A73D8"/>
    <w:rsid w:val="0A7B2255"/>
    <w:rsid w:val="0B1F7084"/>
    <w:rsid w:val="0C030754"/>
    <w:rsid w:val="0C831895"/>
    <w:rsid w:val="0ED05D6F"/>
    <w:rsid w:val="0EE725F1"/>
    <w:rsid w:val="0EFF11A7"/>
    <w:rsid w:val="0F24110D"/>
    <w:rsid w:val="0FDA7A1E"/>
    <w:rsid w:val="11DC5CCF"/>
    <w:rsid w:val="141E43CD"/>
    <w:rsid w:val="16AE2E8C"/>
    <w:rsid w:val="16BF64A0"/>
    <w:rsid w:val="173DD06E"/>
    <w:rsid w:val="1763654B"/>
    <w:rsid w:val="177048A0"/>
    <w:rsid w:val="17D368DE"/>
    <w:rsid w:val="183304F5"/>
    <w:rsid w:val="18EA221C"/>
    <w:rsid w:val="1A7FC02C"/>
    <w:rsid w:val="1AF220BF"/>
    <w:rsid w:val="1AF35A11"/>
    <w:rsid w:val="1C0C71B1"/>
    <w:rsid w:val="1CD27619"/>
    <w:rsid w:val="1D65301C"/>
    <w:rsid w:val="1DA227A9"/>
    <w:rsid w:val="1DBF0627"/>
    <w:rsid w:val="1EB753B6"/>
    <w:rsid w:val="1EE7180F"/>
    <w:rsid w:val="1F75149B"/>
    <w:rsid w:val="20A976C4"/>
    <w:rsid w:val="215509C4"/>
    <w:rsid w:val="236A7291"/>
    <w:rsid w:val="23B779AF"/>
    <w:rsid w:val="244204A7"/>
    <w:rsid w:val="26DF33AC"/>
    <w:rsid w:val="27F17B45"/>
    <w:rsid w:val="2851101B"/>
    <w:rsid w:val="285A63D5"/>
    <w:rsid w:val="28924EE2"/>
    <w:rsid w:val="29D15596"/>
    <w:rsid w:val="2A7A3E7F"/>
    <w:rsid w:val="2A7C2B93"/>
    <w:rsid w:val="2B9C77C5"/>
    <w:rsid w:val="2B9E594C"/>
    <w:rsid w:val="2BDD46C6"/>
    <w:rsid w:val="2BE07A80"/>
    <w:rsid w:val="2CEE6E45"/>
    <w:rsid w:val="2D3C541C"/>
    <w:rsid w:val="2E20199F"/>
    <w:rsid w:val="2EA74B17"/>
    <w:rsid w:val="2EF5E77E"/>
    <w:rsid w:val="30265F6A"/>
    <w:rsid w:val="30613CF8"/>
    <w:rsid w:val="31705F5C"/>
    <w:rsid w:val="324D4BA7"/>
    <w:rsid w:val="32E3C268"/>
    <w:rsid w:val="33C148CD"/>
    <w:rsid w:val="34FC1C4A"/>
    <w:rsid w:val="35F8B80D"/>
    <w:rsid w:val="36FFEF17"/>
    <w:rsid w:val="371F8377"/>
    <w:rsid w:val="379A445E"/>
    <w:rsid w:val="37FB2F62"/>
    <w:rsid w:val="37FD03A5"/>
    <w:rsid w:val="386B4E07"/>
    <w:rsid w:val="3879638F"/>
    <w:rsid w:val="3A4B7556"/>
    <w:rsid w:val="3AD7AD7A"/>
    <w:rsid w:val="3AEAA97C"/>
    <w:rsid w:val="3AF81660"/>
    <w:rsid w:val="3B023801"/>
    <w:rsid w:val="3B691AD2"/>
    <w:rsid w:val="3BCFE8FC"/>
    <w:rsid w:val="3BFDAFBF"/>
    <w:rsid w:val="3CCD254B"/>
    <w:rsid w:val="3CF5D085"/>
    <w:rsid w:val="3D87B85F"/>
    <w:rsid w:val="3DAB363A"/>
    <w:rsid w:val="3DEDC6C3"/>
    <w:rsid w:val="3E35213F"/>
    <w:rsid w:val="3E79409E"/>
    <w:rsid w:val="3EA7EE1C"/>
    <w:rsid w:val="3F3F385D"/>
    <w:rsid w:val="3FA02E79"/>
    <w:rsid w:val="3FACF006"/>
    <w:rsid w:val="3FE5B01B"/>
    <w:rsid w:val="3FEE3E1F"/>
    <w:rsid w:val="412E6EA0"/>
    <w:rsid w:val="423A0CFF"/>
    <w:rsid w:val="4359067E"/>
    <w:rsid w:val="43F860E9"/>
    <w:rsid w:val="452D1DC2"/>
    <w:rsid w:val="45862A4E"/>
    <w:rsid w:val="45E55486"/>
    <w:rsid w:val="46B300A5"/>
    <w:rsid w:val="476C255A"/>
    <w:rsid w:val="47B95B8F"/>
    <w:rsid w:val="48C742DC"/>
    <w:rsid w:val="48C805BF"/>
    <w:rsid w:val="494E2A79"/>
    <w:rsid w:val="4A563B69"/>
    <w:rsid w:val="4B9C37FE"/>
    <w:rsid w:val="4BABFC46"/>
    <w:rsid w:val="4BDB2578"/>
    <w:rsid w:val="4C912C37"/>
    <w:rsid w:val="4CBD5B50"/>
    <w:rsid w:val="4CD86AB8"/>
    <w:rsid w:val="4CEA59F4"/>
    <w:rsid w:val="4D0201D0"/>
    <w:rsid w:val="4D1D12C9"/>
    <w:rsid w:val="4DF7CBA9"/>
    <w:rsid w:val="4E3E0B9C"/>
    <w:rsid w:val="50DB5CD6"/>
    <w:rsid w:val="50DFC666"/>
    <w:rsid w:val="514E1CC6"/>
    <w:rsid w:val="516F1403"/>
    <w:rsid w:val="51BA04A8"/>
    <w:rsid w:val="53964FD7"/>
    <w:rsid w:val="53A443C4"/>
    <w:rsid w:val="540F4AC1"/>
    <w:rsid w:val="558B198C"/>
    <w:rsid w:val="578DB899"/>
    <w:rsid w:val="57B8AF7A"/>
    <w:rsid w:val="584752EC"/>
    <w:rsid w:val="58823D7B"/>
    <w:rsid w:val="59CFBF2C"/>
    <w:rsid w:val="5A3D1613"/>
    <w:rsid w:val="5AAF8A43"/>
    <w:rsid w:val="5B7A7456"/>
    <w:rsid w:val="5BCF9EC4"/>
    <w:rsid w:val="5BEB5921"/>
    <w:rsid w:val="5BFF3DCB"/>
    <w:rsid w:val="5C4A675F"/>
    <w:rsid w:val="5D1288BC"/>
    <w:rsid w:val="5D8A795A"/>
    <w:rsid w:val="5DCE21EE"/>
    <w:rsid w:val="5DFD4560"/>
    <w:rsid w:val="5E077511"/>
    <w:rsid w:val="5E27955C"/>
    <w:rsid w:val="5E525AB4"/>
    <w:rsid w:val="5EC57B5D"/>
    <w:rsid w:val="5F1E062E"/>
    <w:rsid w:val="5F2F5A66"/>
    <w:rsid w:val="5F585836"/>
    <w:rsid w:val="5FAE82DD"/>
    <w:rsid w:val="61BC0233"/>
    <w:rsid w:val="61FB8144"/>
    <w:rsid w:val="643A38A5"/>
    <w:rsid w:val="6445580E"/>
    <w:rsid w:val="64E55867"/>
    <w:rsid w:val="65FB088C"/>
    <w:rsid w:val="667D0DBB"/>
    <w:rsid w:val="66903B07"/>
    <w:rsid w:val="67BBE37A"/>
    <w:rsid w:val="67E759FE"/>
    <w:rsid w:val="68437083"/>
    <w:rsid w:val="69325C13"/>
    <w:rsid w:val="695C1DE7"/>
    <w:rsid w:val="6AB44A88"/>
    <w:rsid w:val="6BCAF5D3"/>
    <w:rsid w:val="6BCBDD87"/>
    <w:rsid w:val="6C7F9869"/>
    <w:rsid w:val="6C8A2C6D"/>
    <w:rsid w:val="6D301BA0"/>
    <w:rsid w:val="6D8F68C7"/>
    <w:rsid w:val="6DEF76A4"/>
    <w:rsid w:val="6DF7DF6E"/>
    <w:rsid w:val="6DFFBAF6"/>
    <w:rsid w:val="6E964FCD"/>
    <w:rsid w:val="6EEE5CEF"/>
    <w:rsid w:val="6F082E84"/>
    <w:rsid w:val="6F9C81B0"/>
    <w:rsid w:val="6F9D3725"/>
    <w:rsid w:val="6FAF5176"/>
    <w:rsid w:val="6FB3909A"/>
    <w:rsid w:val="6FB7F042"/>
    <w:rsid w:val="6FBBFE3A"/>
    <w:rsid w:val="6FCC20A6"/>
    <w:rsid w:val="6FCCFCCF"/>
    <w:rsid w:val="6FCE8333"/>
    <w:rsid w:val="6FFD3A3A"/>
    <w:rsid w:val="6FFE39D3"/>
    <w:rsid w:val="707A6C85"/>
    <w:rsid w:val="70D326CD"/>
    <w:rsid w:val="71B0505E"/>
    <w:rsid w:val="720B5297"/>
    <w:rsid w:val="725D539E"/>
    <w:rsid w:val="72D719F4"/>
    <w:rsid w:val="736D67C8"/>
    <w:rsid w:val="73BA645C"/>
    <w:rsid w:val="73EDB473"/>
    <w:rsid w:val="73F2574A"/>
    <w:rsid w:val="73FD6EEA"/>
    <w:rsid w:val="744213FF"/>
    <w:rsid w:val="74FC0CE6"/>
    <w:rsid w:val="75DB4699"/>
    <w:rsid w:val="75DEF31A"/>
    <w:rsid w:val="76041807"/>
    <w:rsid w:val="7657A4F7"/>
    <w:rsid w:val="76FE4427"/>
    <w:rsid w:val="775F9663"/>
    <w:rsid w:val="777547D9"/>
    <w:rsid w:val="777F53E2"/>
    <w:rsid w:val="77B43AFA"/>
    <w:rsid w:val="77F2E75E"/>
    <w:rsid w:val="77F7FE76"/>
    <w:rsid w:val="77FBDFD1"/>
    <w:rsid w:val="77FF950E"/>
    <w:rsid w:val="79776F22"/>
    <w:rsid w:val="79F7D0ED"/>
    <w:rsid w:val="79FF3494"/>
    <w:rsid w:val="7AA53BCD"/>
    <w:rsid w:val="7AED3A99"/>
    <w:rsid w:val="7AFF6235"/>
    <w:rsid w:val="7B120688"/>
    <w:rsid w:val="7B6B07E5"/>
    <w:rsid w:val="7B6F4892"/>
    <w:rsid w:val="7BB66D57"/>
    <w:rsid w:val="7BBFC4C8"/>
    <w:rsid w:val="7BCC50F8"/>
    <w:rsid w:val="7BF1F80A"/>
    <w:rsid w:val="7BFFE0FC"/>
    <w:rsid w:val="7C6C74D8"/>
    <w:rsid w:val="7C8617DD"/>
    <w:rsid w:val="7CEF2905"/>
    <w:rsid w:val="7CFB4A9F"/>
    <w:rsid w:val="7CFFDC51"/>
    <w:rsid w:val="7D1F0460"/>
    <w:rsid w:val="7D524231"/>
    <w:rsid w:val="7D5FC0E9"/>
    <w:rsid w:val="7D6C94E0"/>
    <w:rsid w:val="7D742F87"/>
    <w:rsid w:val="7DB7AA97"/>
    <w:rsid w:val="7DBBB1D2"/>
    <w:rsid w:val="7DBF8045"/>
    <w:rsid w:val="7DED875C"/>
    <w:rsid w:val="7DFE1159"/>
    <w:rsid w:val="7E1D3F2F"/>
    <w:rsid w:val="7E6640E6"/>
    <w:rsid w:val="7EE3FF57"/>
    <w:rsid w:val="7F798D95"/>
    <w:rsid w:val="7FBFBC06"/>
    <w:rsid w:val="7FE231CE"/>
    <w:rsid w:val="7FE5A877"/>
    <w:rsid w:val="7FF56A5D"/>
    <w:rsid w:val="7FF75965"/>
    <w:rsid w:val="7FFEB592"/>
    <w:rsid w:val="7FFF378A"/>
    <w:rsid w:val="8B3D9153"/>
    <w:rsid w:val="8BEF12B5"/>
    <w:rsid w:val="95FFDA5E"/>
    <w:rsid w:val="9AD527C9"/>
    <w:rsid w:val="9EFF0887"/>
    <w:rsid w:val="9F5911BE"/>
    <w:rsid w:val="9FFDF320"/>
    <w:rsid w:val="A79FCC53"/>
    <w:rsid w:val="A7EBA108"/>
    <w:rsid w:val="AEA37C09"/>
    <w:rsid w:val="AF779BCD"/>
    <w:rsid w:val="AFFBC0D6"/>
    <w:rsid w:val="B1BF5DEB"/>
    <w:rsid w:val="B37B722B"/>
    <w:rsid w:val="B4B7CFD4"/>
    <w:rsid w:val="B79D46F5"/>
    <w:rsid w:val="B7F7D86C"/>
    <w:rsid w:val="B9FF96F8"/>
    <w:rsid w:val="BB5E54AC"/>
    <w:rsid w:val="BB6DD437"/>
    <w:rsid w:val="BBFF3870"/>
    <w:rsid w:val="BBFF78FD"/>
    <w:rsid w:val="BD1B5719"/>
    <w:rsid w:val="BDCE083C"/>
    <w:rsid w:val="BDEF0EF1"/>
    <w:rsid w:val="BDF71697"/>
    <w:rsid w:val="BE9BFD39"/>
    <w:rsid w:val="BEEEB6CC"/>
    <w:rsid w:val="BF259A3E"/>
    <w:rsid w:val="BF4B59D8"/>
    <w:rsid w:val="BF57763D"/>
    <w:rsid w:val="BF57C0B5"/>
    <w:rsid w:val="BF67A910"/>
    <w:rsid w:val="BFA67811"/>
    <w:rsid w:val="BFAF8F4C"/>
    <w:rsid w:val="BFEB2E29"/>
    <w:rsid w:val="BFF7BB4D"/>
    <w:rsid w:val="CA7EEBA9"/>
    <w:rsid w:val="CBFF0BEA"/>
    <w:rsid w:val="CDDE8216"/>
    <w:rsid w:val="CFFD7BF1"/>
    <w:rsid w:val="CFFFF147"/>
    <w:rsid w:val="D39D59AD"/>
    <w:rsid w:val="D77E9D85"/>
    <w:rsid w:val="D7C7763F"/>
    <w:rsid w:val="D7F6E618"/>
    <w:rsid w:val="D89E860A"/>
    <w:rsid w:val="D8FD3752"/>
    <w:rsid w:val="DBE964F9"/>
    <w:rsid w:val="DDFF1113"/>
    <w:rsid w:val="DE7F7D27"/>
    <w:rsid w:val="DEED05DF"/>
    <w:rsid w:val="DEFBD570"/>
    <w:rsid w:val="DEFE3C2E"/>
    <w:rsid w:val="DF3F508C"/>
    <w:rsid w:val="DFDB0F84"/>
    <w:rsid w:val="DFE368F0"/>
    <w:rsid w:val="DFF703D7"/>
    <w:rsid w:val="DFFED819"/>
    <w:rsid w:val="DFFF11B8"/>
    <w:rsid w:val="DFFF4230"/>
    <w:rsid w:val="E67B42FB"/>
    <w:rsid w:val="EA561BB9"/>
    <w:rsid w:val="EAF9D14E"/>
    <w:rsid w:val="ED73E5AB"/>
    <w:rsid w:val="EDF99B8B"/>
    <w:rsid w:val="EE1D1AED"/>
    <w:rsid w:val="EEF3263B"/>
    <w:rsid w:val="EF7DC143"/>
    <w:rsid w:val="EFDEB8EE"/>
    <w:rsid w:val="EFFF5483"/>
    <w:rsid w:val="EFFFC720"/>
    <w:rsid w:val="EFFFE1A4"/>
    <w:rsid w:val="F1D751CD"/>
    <w:rsid w:val="F3FEB201"/>
    <w:rsid w:val="F679CC60"/>
    <w:rsid w:val="F736CA78"/>
    <w:rsid w:val="F7FBCC99"/>
    <w:rsid w:val="F89994F4"/>
    <w:rsid w:val="F97D459B"/>
    <w:rsid w:val="F9AFD9CF"/>
    <w:rsid w:val="F9EF08A0"/>
    <w:rsid w:val="FADD1747"/>
    <w:rsid w:val="FB7F7A46"/>
    <w:rsid w:val="FBB7B2B4"/>
    <w:rsid w:val="FBFD422F"/>
    <w:rsid w:val="FBFF6A64"/>
    <w:rsid w:val="FCD94BD8"/>
    <w:rsid w:val="FCEFDE5C"/>
    <w:rsid w:val="FDF5076A"/>
    <w:rsid w:val="FDFF1160"/>
    <w:rsid w:val="FE3524DF"/>
    <w:rsid w:val="FE6FE618"/>
    <w:rsid w:val="FEFFE98A"/>
    <w:rsid w:val="FF3F6DA7"/>
    <w:rsid w:val="FF3FDCA5"/>
    <w:rsid w:val="FF6CF9C3"/>
    <w:rsid w:val="FF6F2E6D"/>
    <w:rsid w:val="FF7E78E1"/>
    <w:rsid w:val="FF7E8ED5"/>
    <w:rsid w:val="FF7F3EDA"/>
    <w:rsid w:val="FF9BD164"/>
    <w:rsid w:val="FFBDCB58"/>
    <w:rsid w:val="FFBF18D1"/>
    <w:rsid w:val="FFEF29C4"/>
    <w:rsid w:val="FFF5E456"/>
    <w:rsid w:val="FFF7DA4A"/>
    <w:rsid w:val="FFF7E65A"/>
    <w:rsid w:val="FFFDB5DA"/>
    <w:rsid w:val="FFFDDF7C"/>
    <w:rsid w:val="FFFE5B35"/>
    <w:rsid w:val="FFFEEEBC"/>
    <w:rsid w:val="FFFFECC1"/>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2"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qFormat="1"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1624"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0"/>
    <w:pPr>
      <w:keepNext/>
      <w:keepLines/>
      <w:spacing w:before="50" w:beforeLines="50" w:beforeAutospacing="0" w:after="50" w:afterLines="50" w:afterAutospacing="0" w:line="560" w:lineRule="exact"/>
      <w:outlineLvl w:val="0"/>
    </w:pPr>
    <w:rPr>
      <w:rFonts w:asciiTheme="minorAscii" w:hAnsiTheme="minorAscii"/>
      <w:b/>
      <w:kern w:val="44"/>
      <w:sz w:val="30"/>
    </w:rPr>
  </w:style>
  <w:style w:type="paragraph" w:styleId="2">
    <w:name w:val="heading 2"/>
    <w:basedOn w:val="1"/>
    <w:next w:val="1"/>
    <w:link w:val="23"/>
    <w:qFormat/>
    <w:uiPriority w:val="9"/>
    <w:pPr>
      <w:widowControl/>
      <w:spacing w:beforeAutospacing="0" w:afterAutospacing="0" w:line="560" w:lineRule="exact"/>
      <w:ind w:firstLine="420" w:firstLineChars="200"/>
      <w:jc w:val="left"/>
      <w:outlineLvl w:val="1"/>
    </w:pPr>
    <w:rPr>
      <w:rFonts w:ascii="宋体" w:hAnsi="宋体" w:eastAsia="宋体" w:cs="宋体"/>
      <w:bCs/>
      <w:kern w:val="0"/>
      <w:sz w:val="30"/>
      <w:szCs w:val="36"/>
    </w:rPr>
  </w:style>
  <w:style w:type="paragraph" w:styleId="4">
    <w:name w:val="heading 3"/>
    <w:basedOn w:val="1"/>
    <w:next w:val="1"/>
    <w:unhideWhenUsed/>
    <w:qFormat/>
    <w:uiPriority w:val="0"/>
    <w:pPr>
      <w:keepNext/>
      <w:keepLines/>
      <w:spacing w:beforeLines="0" w:beforeAutospacing="0" w:afterLines="0" w:afterAutospacing="0" w:line="360" w:lineRule="auto"/>
      <w:outlineLvl w:val="2"/>
    </w:pPr>
    <w:rPr>
      <w:rFonts w:ascii="Calibri" w:hAnsi="Calibri" w:eastAsia="黑体" w:cs="宋体"/>
      <w:b/>
      <w:sz w:val="24"/>
      <w:szCs w:val="21"/>
    </w:rPr>
  </w:style>
  <w:style w:type="paragraph" w:styleId="5">
    <w:name w:val="heading 4"/>
    <w:basedOn w:val="1"/>
    <w:next w:val="1"/>
    <w:unhideWhenUsed/>
    <w:qFormat/>
    <w:uiPriority w:val="0"/>
    <w:pPr>
      <w:keepNext/>
      <w:keepLines/>
      <w:spacing w:beforeLines="0" w:beforeAutospacing="0" w:afterLines="0" w:afterAutospacing="0" w:line="360" w:lineRule="auto"/>
      <w:ind w:left="0" w:leftChars="0" w:firstLine="0" w:firstLineChars="0"/>
      <w:jc w:val="center"/>
      <w:outlineLvl w:val="3"/>
    </w:pPr>
    <w:rPr>
      <w:rFonts w:ascii="Arial" w:hAnsi="Arial" w:eastAsia="楷体"/>
      <w:b/>
      <w:sz w:val="32"/>
    </w:rPr>
  </w:style>
  <w:style w:type="character" w:default="1" w:styleId="21">
    <w:name w:val="Default Paragraph Font"/>
    <w:qFormat/>
    <w:uiPriority w:val="0"/>
  </w:style>
  <w:style w:type="table" w:default="1" w:styleId="19">
    <w:name w:val="Normal Table"/>
    <w:semiHidden/>
    <w:qFormat/>
    <w:uiPriority w:val="0"/>
    <w:tblPr>
      <w:tblCellMar>
        <w:top w:w="0" w:type="dxa"/>
        <w:left w:w="108" w:type="dxa"/>
        <w:bottom w:w="0" w:type="dxa"/>
        <w:right w:w="108" w:type="dxa"/>
      </w:tblCellMar>
    </w:tblPr>
  </w:style>
  <w:style w:type="paragraph" w:styleId="6">
    <w:name w:val="index 5"/>
    <w:basedOn w:val="1"/>
    <w:next w:val="1"/>
    <w:qFormat/>
    <w:uiPriority w:val="2"/>
    <w:pPr>
      <w:ind w:left="1680"/>
    </w:pPr>
  </w:style>
  <w:style w:type="paragraph" w:styleId="7">
    <w:name w:val="Body Text"/>
    <w:basedOn w:val="1"/>
    <w:next w:val="8"/>
    <w:qFormat/>
    <w:uiPriority w:val="1624"/>
    <w:rPr>
      <w:rFonts w:ascii="Times New Roman" w:hAnsi="Times New Roman" w:cs="Times New Roman"/>
      <w:b/>
      <w:bCs/>
      <w:spacing w:val="0"/>
      <w:szCs w:val="24"/>
    </w:rPr>
  </w:style>
  <w:style w:type="paragraph" w:styleId="8">
    <w:name w:val="footer"/>
    <w:basedOn w:val="1"/>
    <w:next w:val="6"/>
    <w:qFormat/>
    <w:uiPriority w:val="99"/>
    <w:pPr>
      <w:tabs>
        <w:tab w:val="center" w:pos="4153"/>
        <w:tab w:val="right" w:pos="8306"/>
      </w:tabs>
      <w:snapToGrid w:val="0"/>
      <w:jc w:val="left"/>
    </w:pPr>
    <w:rPr>
      <w:sz w:val="18"/>
    </w:rPr>
  </w:style>
  <w:style w:type="paragraph" w:styleId="9">
    <w:name w:val="Body Text Indent"/>
    <w:basedOn w:val="1"/>
    <w:qFormat/>
    <w:uiPriority w:val="0"/>
    <w:pPr>
      <w:spacing w:after="120" w:afterLines="0" w:afterAutospacing="0"/>
      <w:ind w:left="420" w:leftChars="200"/>
    </w:pPr>
  </w:style>
  <w:style w:type="paragraph" w:styleId="10">
    <w:name w:val="toc 3"/>
    <w:basedOn w:val="1"/>
    <w:next w:val="1"/>
    <w:qFormat/>
    <w:uiPriority w:val="0"/>
    <w:pPr>
      <w:ind w:left="840" w:leftChars="400"/>
    </w:p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toc 1"/>
    <w:basedOn w:val="1"/>
    <w:next w:val="1"/>
    <w:qFormat/>
    <w:uiPriority w:val="0"/>
  </w:style>
  <w:style w:type="paragraph" w:styleId="13">
    <w:name w:val="toc 6"/>
    <w:basedOn w:val="1"/>
    <w:next w:val="1"/>
    <w:qFormat/>
    <w:uiPriority w:val="0"/>
    <w:pPr>
      <w:ind w:left="2100" w:leftChars="1000"/>
      <w:jc w:val="center"/>
    </w:pPr>
    <w:rPr>
      <w:rFonts w:asciiTheme="minorAscii" w:hAnsiTheme="minorAscii"/>
    </w:rPr>
  </w:style>
  <w:style w:type="paragraph" w:styleId="14">
    <w:name w:val="table of figures"/>
    <w:basedOn w:val="1"/>
    <w:next w:val="1"/>
    <w:link w:val="34"/>
    <w:qFormat/>
    <w:uiPriority w:val="0"/>
    <w:pPr>
      <w:ind w:leftChars="200" w:hanging="200" w:hangingChars="200"/>
      <w:jc w:val="center"/>
    </w:pPr>
    <w:rPr>
      <w:rFonts w:asciiTheme="minorAscii" w:hAnsiTheme="minorAscii"/>
    </w:rPr>
  </w:style>
  <w:style w:type="paragraph" w:styleId="15">
    <w:name w:val="toc 2"/>
    <w:basedOn w:val="1"/>
    <w:next w:val="1"/>
    <w:link w:val="27"/>
    <w:qFormat/>
    <w:uiPriority w:val="0"/>
    <w:pPr>
      <w:spacing w:line="360" w:lineRule="auto"/>
      <w:ind w:left="420" w:leftChars="200"/>
      <w:jc w:val="center"/>
    </w:pPr>
    <w:rPr>
      <w:rFonts w:eastAsia="楷体" w:asciiTheme="minorAscii" w:hAnsiTheme="minorAscii"/>
      <w:b/>
      <w:sz w:val="32"/>
    </w:rPr>
  </w:style>
  <w:style w:type="paragraph" w:styleId="16">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17">
    <w:name w:val="Normal (Web)"/>
    <w:basedOn w:val="1"/>
    <w:next w:val="13"/>
    <w:qFormat/>
    <w:uiPriority w:val="0"/>
    <w:pPr>
      <w:spacing w:before="100" w:beforeAutospacing="1" w:after="100" w:afterAutospacing="1"/>
      <w:ind w:left="0" w:right="0"/>
      <w:jc w:val="left"/>
    </w:pPr>
    <w:rPr>
      <w:rFonts w:asciiTheme="minorAscii" w:hAnsiTheme="minorAscii"/>
      <w:kern w:val="0"/>
      <w:sz w:val="24"/>
      <w:lang w:bidi="ar"/>
    </w:rPr>
  </w:style>
  <w:style w:type="paragraph" w:styleId="18">
    <w:name w:val="Body Text First Indent 2"/>
    <w:basedOn w:val="9"/>
    <w:qFormat/>
    <w:uiPriority w:val="0"/>
    <w:pPr>
      <w:ind w:firstLine="420" w:firstLineChars="200"/>
    </w:pPr>
  </w:style>
  <w:style w:type="table" w:styleId="20">
    <w:name w:val="Table Grid"/>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Strong"/>
    <w:basedOn w:val="21"/>
    <w:qFormat/>
    <w:uiPriority w:val="0"/>
    <w:rPr>
      <w:b/>
    </w:rPr>
  </w:style>
  <w:style w:type="character" w:customStyle="1" w:styleId="23">
    <w:name w:val="标题 2 Char"/>
    <w:link w:val="2"/>
    <w:qFormat/>
    <w:uiPriority w:val="9"/>
    <w:rPr>
      <w:rFonts w:ascii="宋体" w:hAnsi="宋体" w:eastAsia="宋体" w:cs="宋体"/>
      <w:bCs/>
      <w:kern w:val="0"/>
      <w:sz w:val="30"/>
      <w:szCs w:val="36"/>
    </w:rPr>
  </w:style>
  <w:style w:type="paragraph" w:customStyle="1" w:styleId="24">
    <w:name w:val="WPSOffice手动目录 1"/>
    <w:qFormat/>
    <w:uiPriority w:val="0"/>
    <w:pPr>
      <w:ind w:leftChars="0"/>
    </w:pPr>
    <w:rPr>
      <w:rFonts w:ascii="Times New Roman" w:hAnsi="Times New Roman" w:eastAsia="宋体" w:cs="Times New Roman"/>
      <w:sz w:val="20"/>
      <w:szCs w:val="20"/>
    </w:rPr>
  </w:style>
  <w:style w:type="paragraph" w:customStyle="1" w:styleId="25">
    <w:name w:val="WPSOffice手动目录 2"/>
    <w:qFormat/>
    <w:uiPriority w:val="0"/>
    <w:pPr>
      <w:ind w:leftChars="200"/>
    </w:pPr>
    <w:rPr>
      <w:rFonts w:ascii="Times New Roman" w:hAnsi="Times New Roman" w:eastAsia="宋体" w:cs="Times New Roman"/>
      <w:sz w:val="20"/>
      <w:szCs w:val="20"/>
    </w:rPr>
  </w:style>
  <w:style w:type="paragraph" w:customStyle="1" w:styleId="26">
    <w:name w:val="WPSOffice手动目录 3"/>
    <w:qFormat/>
    <w:uiPriority w:val="0"/>
    <w:pPr>
      <w:ind w:leftChars="400"/>
    </w:pPr>
    <w:rPr>
      <w:rFonts w:ascii="Times New Roman" w:hAnsi="Times New Roman" w:eastAsia="宋体" w:cs="Times New Roman"/>
      <w:sz w:val="20"/>
      <w:szCs w:val="20"/>
    </w:rPr>
  </w:style>
  <w:style w:type="character" w:customStyle="1" w:styleId="27">
    <w:name w:val="目录 2 Char"/>
    <w:link w:val="15"/>
    <w:qFormat/>
    <w:uiPriority w:val="0"/>
    <w:rPr>
      <w:rFonts w:eastAsia="楷体" w:asciiTheme="minorAscii" w:hAnsiTheme="minorAscii"/>
      <w:b/>
      <w:sz w:val="32"/>
    </w:rPr>
  </w:style>
  <w:style w:type="paragraph" w:customStyle="1" w:styleId="28">
    <w:name w:val="表目录"/>
    <w:basedOn w:val="1"/>
    <w:qFormat/>
    <w:uiPriority w:val="0"/>
    <w:pPr>
      <w:spacing w:line="480" w:lineRule="exact"/>
      <w:jc w:val="center"/>
    </w:pPr>
    <w:rPr>
      <w:rFonts w:eastAsia="黑体" w:asciiTheme="minorAscii" w:hAnsiTheme="minorAscii"/>
    </w:rPr>
  </w:style>
  <w:style w:type="paragraph" w:customStyle="1" w:styleId="29">
    <w:name w:val="统计图目录"/>
    <w:basedOn w:val="28"/>
    <w:qFormat/>
    <w:uiPriority w:val="0"/>
  </w:style>
  <w:style w:type="character" w:customStyle="1" w:styleId="30">
    <w:name w:val="font11"/>
    <w:basedOn w:val="21"/>
    <w:qFormat/>
    <w:uiPriority w:val="0"/>
    <w:rPr>
      <w:rFonts w:hint="eastAsia" w:ascii="宋体" w:hAnsi="宋体" w:eastAsia="宋体" w:cs="宋体"/>
      <w:color w:val="000000"/>
      <w:sz w:val="28"/>
      <w:szCs w:val="28"/>
      <w:u w:val="none"/>
    </w:rPr>
  </w:style>
  <w:style w:type="character" w:customStyle="1" w:styleId="31">
    <w:name w:val="font71"/>
    <w:basedOn w:val="21"/>
    <w:qFormat/>
    <w:uiPriority w:val="0"/>
    <w:rPr>
      <w:rFonts w:hint="eastAsia" w:ascii="宋体" w:hAnsi="宋体" w:eastAsia="宋体" w:cs="宋体"/>
      <w:color w:val="000000"/>
      <w:sz w:val="24"/>
      <w:szCs w:val="24"/>
      <w:u w:val="none"/>
    </w:rPr>
  </w:style>
  <w:style w:type="character" w:customStyle="1" w:styleId="32">
    <w:name w:val="font31"/>
    <w:basedOn w:val="21"/>
    <w:qFormat/>
    <w:uiPriority w:val="0"/>
    <w:rPr>
      <w:rFonts w:hint="eastAsia" w:ascii="宋体" w:hAnsi="宋体" w:eastAsia="宋体" w:cs="宋体"/>
      <w:color w:val="000000"/>
      <w:sz w:val="24"/>
      <w:szCs w:val="24"/>
      <w:u w:val="none"/>
    </w:rPr>
  </w:style>
  <w:style w:type="paragraph" w:customStyle="1" w:styleId="33">
    <w:name w:val="图目录"/>
    <w:basedOn w:val="1"/>
    <w:qFormat/>
    <w:uiPriority w:val="0"/>
    <w:pPr>
      <w:ind w:leftChars="0" w:firstLine="0" w:firstLineChars="0"/>
      <w:jc w:val="center"/>
    </w:pPr>
    <w:rPr>
      <w:rFonts w:hint="default" w:asciiTheme="minorAscii" w:hAnsiTheme="minorAscii"/>
    </w:rPr>
  </w:style>
  <w:style w:type="character" w:customStyle="1" w:styleId="34">
    <w:name w:val="图表目录 Char"/>
    <w:link w:val="14"/>
    <w:qFormat/>
    <w:uiPriority w:val="0"/>
    <w:rPr>
      <w:rFonts w:asciiTheme="minorAscii" w:hAnsiTheme="minorAscii"/>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5.xml"/><Relationship Id="rId67" Type="http://schemas.openxmlformats.org/officeDocument/2006/relationships/fontTable" Target="fontTable.xml"/><Relationship Id="rId66" Type="http://schemas.openxmlformats.org/officeDocument/2006/relationships/customXml" Target="../customXml/item1.xml"/><Relationship Id="rId65" Type="http://schemas.openxmlformats.org/officeDocument/2006/relationships/image" Target="media/image42.png"/><Relationship Id="rId64" Type="http://schemas.openxmlformats.org/officeDocument/2006/relationships/image" Target="media/image41.png"/><Relationship Id="rId63" Type="http://schemas.openxmlformats.org/officeDocument/2006/relationships/image" Target="media/image40.png"/><Relationship Id="rId62" Type="http://schemas.openxmlformats.org/officeDocument/2006/relationships/image" Target="media/image39.png"/><Relationship Id="rId61" Type="http://schemas.openxmlformats.org/officeDocument/2006/relationships/image" Target="media/image38.png"/><Relationship Id="rId60" Type="http://schemas.openxmlformats.org/officeDocument/2006/relationships/image" Target="media/image37.png"/><Relationship Id="rId6" Type="http://schemas.openxmlformats.org/officeDocument/2006/relationships/footer" Target="footer4.xml"/><Relationship Id="rId59" Type="http://schemas.openxmlformats.org/officeDocument/2006/relationships/chart" Target="charts/chart15.xml"/><Relationship Id="rId58" Type="http://schemas.openxmlformats.org/officeDocument/2006/relationships/chart" Target="charts/chart14.xml"/><Relationship Id="rId57" Type="http://schemas.openxmlformats.org/officeDocument/2006/relationships/chart" Target="charts/chart13.xml"/><Relationship Id="rId56" Type="http://schemas.openxmlformats.org/officeDocument/2006/relationships/image" Target="media/image36.png"/><Relationship Id="rId55" Type="http://schemas.openxmlformats.org/officeDocument/2006/relationships/image" Target="media/image35.png"/><Relationship Id="rId54" Type="http://schemas.openxmlformats.org/officeDocument/2006/relationships/image" Target="media/image34.jpeg"/><Relationship Id="rId53" Type="http://schemas.openxmlformats.org/officeDocument/2006/relationships/chart" Target="charts/chart12.xml"/><Relationship Id="rId52" Type="http://schemas.openxmlformats.org/officeDocument/2006/relationships/image" Target="media/image33.png"/><Relationship Id="rId51" Type="http://schemas.openxmlformats.org/officeDocument/2006/relationships/image" Target="media/image32.png"/><Relationship Id="rId50" Type="http://schemas.openxmlformats.org/officeDocument/2006/relationships/image" Target="media/image31.png"/><Relationship Id="rId5" Type="http://schemas.openxmlformats.org/officeDocument/2006/relationships/footer" Target="footer3.xml"/><Relationship Id="rId49" Type="http://schemas.openxmlformats.org/officeDocument/2006/relationships/chart" Target="charts/chart11.xml"/><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png"/><Relationship Id="rId44" Type="http://schemas.openxmlformats.org/officeDocument/2006/relationships/image" Target="media/image26.png"/><Relationship Id="rId43" Type="http://schemas.openxmlformats.org/officeDocument/2006/relationships/image" Target="media/image25.png"/><Relationship Id="rId42" Type="http://schemas.openxmlformats.org/officeDocument/2006/relationships/image" Target="media/image24.png"/><Relationship Id="rId41" Type="http://schemas.openxmlformats.org/officeDocument/2006/relationships/chart" Target="charts/chart10.xml"/><Relationship Id="rId40" Type="http://schemas.openxmlformats.org/officeDocument/2006/relationships/image" Target="media/image23.png"/><Relationship Id="rId4" Type="http://schemas.openxmlformats.org/officeDocument/2006/relationships/footer" Target="footer2.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chart" Target="charts/chart9.xml"/><Relationship Id="rId32" Type="http://schemas.openxmlformats.org/officeDocument/2006/relationships/chart" Target="charts/chart8.xml"/><Relationship Id="rId31" Type="http://schemas.openxmlformats.org/officeDocument/2006/relationships/chart" Target="charts/chart7.xml"/><Relationship Id="rId30" Type="http://schemas.openxmlformats.org/officeDocument/2006/relationships/image" Target="media/image16.jpeg"/><Relationship Id="rId3" Type="http://schemas.openxmlformats.org/officeDocument/2006/relationships/footer" Target="footer1.xml"/><Relationship Id="rId29" Type="http://schemas.openxmlformats.org/officeDocument/2006/relationships/image" Target="media/image15.jpeg"/><Relationship Id="rId28" Type="http://schemas.openxmlformats.org/officeDocument/2006/relationships/image" Target="media/image14.jpeg"/><Relationship Id="rId27" Type="http://schemas.openxmlformats.org/officeDocument/2006/relationships/chart" Target="charts/chart6.xml"/><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chart" Target="charts/chart5.xml"/><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chart" Target="charts/chart4.xml"/><Relationship Id="rId15" Type="http://schemas.openxmlformats.org/officeDocument/2006/relationships/image" Target="media/image4.jpeg"/><Relationship Id="rId14" Type="http://schemas.openxmlformats.org/officeDocument/2006/relationships/chart" Target="charts/chart3.xml"/><Relationship Id="rId13" Type="http://schemas.openxmlformats.org/officeDocument/2006/relationships/chart" Target="charts/chart2.xml"/><Relationship Id="rId12" Type="http://schemas.openxmlformats.org/officeDocument/2006/relationships/image" Target="media/image3.jpeg"/><Relationship Id="rId11" Type="http://schemas.openxmlformats.org/officeDocument/2006/relationships/chart" Target="charts/chart1.xml"/><Relationship Id="rId10" Type="http://schemas.openxmlformats.org/officeDocument/2006/relationships/image" Target="media/image2.pn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package" Target="../embeddings/Workbook3.xlsx"/></Relationships>
</file>

<file path=word/charts/_rels/chart10.xml.rels><?xml version="1.0" encoding="UTF-8" standalone="yes"?>
<Relationships xmlns="http://schemas.openxmlformats.org/package/2006/relationships"><Relationship Id="rId3" Type="http://schemas.microsoft.com/office/2011/relationships/chartColorStyle" Target="colors11.xml"/><Relationship Id="rId2" Type="http://schemas.microsoft.com/office/2011/relationships/chartStyle" Target="style11.xml"/><Relationship Id="rId1" Type="http://schemas.openxmlformats.org/officeDocument/2006/relationships/oleObject" Target="file:///E:\2024&#24180;&#25991;&#20214;\&#20013;&#32844;&#36136;&#37327;&#24180;&#25253;\&#26032;&#24314;%20XLS%20&#24037;&#20316;&#34920;.xls" TargetMode="External"/></Relationships>
</file>

<file path=word/charts/_rels/chart11.xml.rels><?xml version="1.0" encoding="UTF-8" standalone="yes"?>
<Relationships xmlns="http://schemas.openxmlformats.org/package/2006/relationships"><Relationship Id="rId3" Type="http://schemas.microsoft.com/office/2011/relationships/chartColorStyle" Target="colors12.xml"/><Relationship Id="rId2" Type="http://schemas.microsoft.com/office/2011/relationships/chartStyle" Target="style12.xml"/><Relationship Id="rId1" Type="http://schemas.openxmlformats.org/officeDocument/2006/relationships/package" Target="../embeddings/Workbook11.xlsx"/></Relationships>
</file>

<file path=word/charts/_rels/chart12.xml.rels><?xml version="1.0" encoding="UTF-8" standalone="yes"?>
<Relationships xmlns="http://schemas.openxmlformats.org/package/2006/relationships"><Relationship Id="rId3" Type="http://schemas.microsoft.com/office/2011/relationships/chartColorStyle" Target="colors8.xml"/><Relationship Id="rId2" Type="http://schemas.microsoft.com/office/2011/relationships/chartStyle" Target="style8.xml"/><Relationship Id="rId1" Type="http://schemas.openxmlformats.org/officeDocument/2006/relationships/package" Target="../embeddings/Workbook8.xlsx"/></Relationships>
</file>

<file path=word/charts/_rels/chart13.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package" Target="../embeddings/Workbook5.xlsx"/></Relationships>
</file>

<file path=word/charts/_rels/chart14.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package" Target="../embeddings/Workbook6.xlsx"/></Relationships>
</file>

<file path=word/charts/_rels/chart15.xml.rels><?xml version="1.0" encoding="UTF-8" standalone="yes"?>
<Relationships xmlns="http://schemas.openxmlformats.org/package/2006/relationships"><Relationship Id="rId3" Type="http://schemas.microsoft.com/office/2011/relationships/chartColorStyle" Target="colors13.xml"/><Relationship Id="rId2" Type="http://schemas.microsoft.com/office/2011/relationships/chartStyle" Target="style13.xml"/><Relationship Id="rId1" Type="http://schemas.openxmlformats.org/officeDocument/2006/relationships/package" Target="../embeddings/Workbook12.xlsx"/></Relationships>
</file>

<file path=word/charts/_rels/chart2.xml.rels><?xml version="1.0" encoding="UTF-8" standalone="yes"?>
<Relationships xmlns="http://schemas.openxmlformats.org/package/2006/relationships"><Relationship Id="rId1" Type="http://schemas.openxmlformats.org/officeDocument/2006/relationships/package" Target="../embeddings/Workbook4.xlsx"/></Relationships>
</file>

<file path=word/charts/_rels/chart3.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1.xlsx"/></Relationships>
</file>

<file path=word/charts/_rels/chart4.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package" Target="../embeddings/Workbook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Workbook7.xlsx"/></Relationships>
</file>

<file path=word/charts/_rels/chart6.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file:///E:\2024&#24180;&#25991;&#20214;\&#20013;&#32844;&#36136;&#37327;&#24180;&#25253;\&#26032;&#24314;%20XLS%20&#24037;&#20316;&#34920;.xls" TargetMode="External"/></Relationships>
</file>

<file path=word/charts/_rels/chart7.xml.rels><?xml version="1.0" encoding="UTF-8" standalone="yes"?>
<Relationships xmlns="http://schemas.openxmlformats.org/package/2006/relationships"><Relationship Id="rId3" Type="http://schemas.microsoft.com/office/2011/relationships/chartColorStyle" Target="colors7.xml"/><Relationship Id="rId2" Type="http://schemas.microsoft.com/office/2011/relationships/chartStyle" Target="style7.xml"/><Relationship Id="rId1" Type="http://schemas.openxmlformats.org/officeDocument/2006/relationships/oleObject" Target="file:///E:\2024&#24180;&#25991;&#20214;\&#20013;&#32844;&#36136;&#37327;&#24180;&#25253;\&#26032;&#24314;%20XLS%20&#24037;&#20316;&#34920;.xls" TargetMode="External"/></Relationships>
</file>

<file path=word/charts/_rels/chart8.xml.rels><?xml version="1.0" encoding="UTF-8" standalone="yes"?>
<Relationships xmlns="http://schemas.openxmlformats.org/package/2006/relationships"><Relationship Id="rId3" Type="http://schemas.microsoft.com/office/2011/relationships/chartColorStyle" Target="colors10.xml"/><Relationship Id="rId2" Type="http://schemas.microsoft.com/office/2011/relationships/chartStyle" Target="style10.xml"/><Relationship Id="rId1" Type="http://schemas.openxmlformats.org/officeDocument/2006/relationships/package" Target="../embeddings/Workbook10.xlsx"/></Relationships>
</file>

<file path=word/charts/_rels/chart9.xml.rels><?xml version="1.0" encoding="UTF-8" standalone="yes"?>
<Relationships xmlns="http://schemas.openxmlformats.org/package/2006/relationships"><Relationship Id="rId3" Type="http://schemas.microsoft.com/office/2011/relationships/chartColorStyle" Target="colors9.xml"/><Relationship Id="rId2" Type="http://schemas.microsoft.com/office/2011/relationships/chartStyle" Target="style9.xml"/><Relationship Id="rId1" Type="http://schemas.openxmlformats.org/officeDocument/2006/relationships/package" Target="../embeddings/Workbook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近三年在校生数情况统计图</c:v>
                </c:pt>
              </c:strCache>
            </c:strRef>
          </c:tx>
          <c:spPr>
            <a:ln w="28575" cap="rnd">
              <a:solidFill>
                <a:schemeClr val="accent1"/>
              </a:solidFill>
              <a:round/>
            </a:ln>
            <a:effectLst/>
          </c:spPr>
          <c:marker>
            <c:symbol val="none"/>
          </c:marker>
          <c:dLbls>
            <c:dLbl>
              <c:idx val="0"/>
              <c:layout/>
              <c:dLblPos val="r"/>
              <c:showLegendKey val="0"/>
              <c:showVal val="1"/>
              <c:showCatName val="0"/>
              <c:showSerName val="0"/>
              <c:showPercent val="0"/>
              <c:showBubbleSize val="0"/>
              <c:extLst>
                <c:ext xmlns:c15="http://schemas.microsoft.com/office/drawing/2012/chart" uri="{CE6537A1-D6FC-4f65-9D91-7224C49458BB}"/>
              </c:extLst>
            </c:dLbl>
            <c:dLbl>
              <c:idx val="1"/>
              <c:layout/>
              <c:dLblPos val="r"/>
              <c:showLegendKey val="0"/>
              <c:showVal val="1"/>
              <c:showCatName val="0"/>
              <c:showSerName val="0"/>
              <c:showPercent val="0"/>
              <c:showBubbleSize val="0"/>
              <c:extLst>
                <c:ext xmlns:c15="http://schemas.microsoft.com/office/drawing/2012/chart" uri="{CE6537A1-D6FC-4f65-9D91-7224C49458BB}"/>
              </c:extLst>
            </c:dLbl>
            <c:dLbl>
              <c:idx val="2"/>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2022级</c:v>
                </c:pt>
                <c:pt idx="1">
                  <c:v>2023级</c:v>
                </c:pt>
                <c:pt idx="2">
                  <c:v>2024级</c:v>
                </c:pt>
              </c:strCache>
            </c:strRef>
          </c:cat>
          <c:val>
            <c:numRef>
              <c:f>Sheet1!$B$2:$B$4</c:f>
              <c:numCache>
                <c:formatCode>General</c:formatCode>
                <c:ptCount val="3"/>
                <c:pt idx="0">
                  <c:v>5850</c:v>
                </c:pt>
                <c:pt idx="1">
                  <c:v>5447</c:v>
                </c:pt>
                <c:pt idx="2">
                  <c:v>5099</c:v>
                </c:pt>
              </c:numCache>
            </c:numRef>
          </c:val>
          <c:smooth val="0"/>
        </c:ser>
        <c:dLbls>
          <c:showLegendKey val="0"/>
          <c:showVal val="0"/>
          <c:showCatName val="0"/>
          <c:showSerName val="0"/>
          <c:showPercent val="0"/>
          <c:showBubbleSize val="0"/>
        </c:dLbls>
        <c:marker val="0"/>
        <c:smooth val="0"/>
        <c:axId val="793059605"/>
        <c:axId val="811596024"/>
      </c:lineChart>
      <c:catAx>
        <c:axId val="793059605"/>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11596024"/>
        <c:crosses val="autoZero"/>
        <c:auto val="1"/>
        <c:lblAlgn val="ctr"/>
        <c:lblOffset val="100"/>
        <c:noMultiLvlLbl val="0"/>
      </c:catAx>
      <c:valAx>
        <c:axId val="811596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93059605"/>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f8cf9729-f2c3-466f-9e6b-3bcdb515858e}"/>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'[新建 XLS 工作表.xls]Sheet1'!$A$48</c:f>
              <c:strCache>
                <c:ptCount val="1"/>
                <c:pt idx="0">
                  <c:v>人数</c:v>
                </c:pt>
              </c:strCache>
            </c:strRef>
          </c:tx>
          <c:spPr>
            <a:solidFill>
              <a:schemeClr val="accent1"/>
            </a:solidFill>
            <a:ln>
              <a:noFill/>
            </a:ln>
            <a:effectLst/>
          </c:spPr>
          <c:invertIfNegative val="0"/>
          <c:dLbls>
            <c:delete val="1"/>
          </c:dLbls>
          <c:cat>
            <c:strRef>
              <c:f>'[新建 XLS 工作表.xls]Sheet1'!$B$47:$G$47</c:f>
              <c:strCache>
                <c:ptCount val="6"/>
                <c:pt idx="0">
                  <c:v>庆祝新中国成立75周年宣传教育活动</c:v>
                </c:pt>
                <c:pt idx="1">
                  <c:v>“未来工匠”读书行动</c:v>
                </c:pt>
                <c:pt idx="2">
                  <c:v>职教学生读党报活动</c:v>
                </c:pt>
                <c:pt idx="3">
                  <c:v>“劳模工匠进校园”行动</c:v>
                </c:pt>
                <c:pt idx="4">
                  <c:v>技能传承中华优秀传统文化活动</c:v>
                </c:pt>
                <c:pt idx="5">
                  <c:v>“文明风采”活动</c:v>
                </c:pt>
              </c:strCache>
            </c:strRef>
          </c:cat>
          <c:val>
            <c:numRef>
              <c:f>'[新建 XLS 工作表.xls]Sheet1'!$B$48:$G$48</c:f>
              <c:numCache>
                <c:formatCode>General</c:formatCode>
                <c:ptCount val="6"/>
                <c:pt idx="0">
                  <c:v>12569</c:v>
                </c:pt>
                <c:pt idx="1">
                  <c:v>5924</c:v>
                </c:pt>
                <c:pt idx="2">
                  <c:v>3683</c:v>
                </c:pt>
                <c:pt idx="3">
                  <c:v>5826</c:v>
                </c:pt>
                <c:pt idx="4">
                  <c:v>4229</c:v>
                </c:pt>
                <c:pt idx="5">
                  <c:v>2169</c:v>
                </c:pt>
              </c:numCache>
            </c:numRef>
          </c:val>
        </c:ser>
        <c:dLbls>
          <c:showLegendKey val="0"/>
          <c:showVal val="0"/>
          <c:showCatName val="0"/>
          <c:showSerName val="0"/>
          <c:showPercent val="0"/>
          <c:showBubbleSize val="0"/>
        </c:dLbls>
        <c:gapWidth val="219"/>
        <c:overlap val="-27"/>
        <c:axId val="35473157"/>
        <c:axId val="463049424"/>
      </c:barChart>
      <c:catAx>
        <c:axId val="35473157"/>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63049424"/>
        <c:crosses val="autoZero"/>
        <c:auto val="1"/>
        <c:lblAlgn val="ctr"/>
        <c:lblOffset val="100"/>
        <c:noMultiLvlLbl val="0"/>
      </c:catAx>
      <c:valAx>
        <c:axId val="463049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547315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dTable>
      <c:spPr>
        <a:noFill/>
        <a:ln>
          <a:noFill/>
        </a:ln>
        <a:effectLst/>
      </c:spPr>
    </c:plotArea>
    <c:plotVisOnly val="1"/>
    <c:dispBlanksAs val="gap"/>
    <c:showDLblsOverMax val="0"/>
    <c:extLst>
      <c:ext uri="{0b15fc19-7d7d-44ad-8c2d-2c3a37ce22c3}">
        <chartProps xmlns="https://web.wps.cn/et/2018/main" chartId="{498c26af-aecb-49e7-a8d8-1592f10de112}"/>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销售额</c:v>
                </c:pt>
              </c:strCache>
            </c:strRef>
          </c:tx>
          <c:spPr/>
          <c:explosion val="0"/>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Lbls>
            <c:delete val="1"/>
          </c:dLbls>
          <c:cat>
            <c:strRef>
              <c:f>Sheet1!$A$2:$A$3</c:f>
              <c:strCache>
                <c:ptCount val="2"/>
                <c:pt idx="0">
                  <c:v>省首批乡村振兴学院建设数量</c:v>
                </c:pt>
                <c:pt idx="1">
                  <c:v>朝阳市入选数量</c:v>
                </c:pt>
              </c:strCache>
            </c:strRef>
          </c:cat>
          <c:val>
            <c:numRef>
              <c:f>Sheet1!$B$2:$B$3</c:f>
              <c:numCache>
                <c:formatCode>General</c:formatCode>
                <c:ptCount val="2"/>
                <c:pt idx="0">
                  <c:v>15</c:v>
                </c:pt>
                <c:pt idx="1">
                  <c:v>2</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0" vertOverflow="ellipsis" vert="horz" wrap="square" anchor="ctr" anchorCtr="1"/>
        <a:lstStyle/>
        <a:p>
          <a:pPr>
            <a:defRPr lang="zh-CN" sz="900" b="0" i="0" u="none" strike="noStrike" kern="1200" baseline="0">
              <a:solidFill>
                <a:schemeClr val="dk1">
                  <a:lumMod val="75000"/>
                  <a:lumOff val="25000"/>
                </a:schemeClr>
              </a:solidFill>
              <a:latin typeface="+mn-lt"/>
              <a:ea typeface="+mn-ea"/>
              <a:cs typeface="+mn-cs"/>
            </a:defRPr>
          </a:pPr>
        </a:p>
      </c:txPr>
    </c:legend>
    <c:plotVisOnly val="1"/>
    <c:dispBlanksAs val="gap"/>
    <c:showDLblsOverMax val="0"/>
    <c:extLst>
      <c:ext uri="{0b15fc19-7d7d-44ad-8c2d-2c3a37ce22c3}">
        <chartProps xmlns="https://web.wps.cn/et/2018/main" chartId="{fd840e76-fd55-4576-b979-3347352f60cb}"/>
      </c:ext>
    </c:extLst>
  </c:chart>
  <c:spPr>
    <a:gradFill flip="none" rotWithShape="1">
      <a:gsLst>
        <a:gs pos="0">
          <a:schemeClr val="lt1"/>
        </a:gs>
        <a:gs pos="39000">
          <a:schemeClr val="lt1"/>
        </a:gs>
        <a:gs pos="100000">
          <a:schemeClr val="lt1">
            <a:lumMod val="75000"/>
          </a:schemeClr>
        </a:gs>
      </a:gsLst>
      <a:path path="circle">
        <a:fillToRect l="50000" t="-80000" r="50000" b="180000"/>
      </a:path>
    </a:gradFill>
    <a:ln w="9525" cap="flat" cmpd="sng" algn="ctr">
      <a:solidFill>
        <a:schemeClr val="dk1">
          <a:lumMod val="25000"/>
          <a:lumOff val="75000"/>
        </a:schemeClr>
      </a:solidFill>
      <a:round/>
    </a:ln>
    <a:effectLst/>
  </c:spPr>
  <c:txPr>
    <a:bodyPr/>
    <a:lstStyle/>
    <a:p>
      <a:pPr>
        <a:defRPr lang="zh-CN"/>
      </a:pP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销售额</c:v>
                </c:pt>
              </c:strCache>
            </c:strRef>
          </c:tx>
          <c:spPr/>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北京企业合作订单班数量</c:v>
                </c:pt>
                <c:pt idx="1">
                  <c:v>天津企业合作订单班数量</c:v>
                </c:pt>
              </c:strCache>
            </c:strRef>
          </c:cat>
          <c:val>
            <c:numRef>
              <c:f>Sheet1!$B$2:$B$3</c:f>
              <c:numCache>
                <c:formatCode>General</c:formatCode>
                <c:ptCount val="2"/>
                <c:pt idx="0">
                  <c:v>4</c:v>
                </c:pt>
                <c:pt idx="1">
                  <c:v>6</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5cecd656-3695-400c-a323-f1446e355934}"/>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2023年</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免学费金额（万元）</c:v>
                </c:pt>
                <c:pt idx="1">
                  <c:v>助学金金额（万元）</c:v>
                </c:pt>
              </c:strCache>
            </c:strRef>
          </c:cat>
          <c:val>
            <c:numRef>
              <c:f>Sheet1!$B$2:$B$3</c:f>
              <c:numCache>
                <c:formatCode>General</c:formatCode>
                <c:ptCount val="2"/>
                <c:pt idx="0">
                  <c:v>3001.8</c:v>
                </c:pt>
                <c:pt idx="1">
                  <c:v>568.41</c:v>
                </c:pt>
              </c:numCache>
            </c:numRef>
          </c:val>
        </c:ser>
        <c:ser>
          <c:idx val="1"/>
          <c:order val="1"/>
          <c:tx>
            <c:strRef>
              <c:f>Sheet1!$C$1</c:f>
              <c:strCache>
                <c:ptCount val="1"/>
                <c:pt idx="0">
                  <c:v>2024年</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免学费金额（万元）</c:v>
                </c:pt>
                <c:pt idx="1">
                  <c:v>助学金金额（万元）</c:v>
                </c:pt>
              </c:strCache>
            </c:strRef>
          </c:cat>
          <c:val>
            <c:numRef>
              <c:f>Sheet1!$C$2:$C$3</c:f>
              <c:numCache>
                <c:formatCode>General</c:formatCode>
                <c:ptCount val="2"/>
                <c:pt idx="0">
                  <c:v>3044</c:v>
                </c:pt>
                <c:pt idx="1">
                  <c:v>539.5</c:v>
                </c:pt>
              </c:numCache>
            </c:numRef>
          </c:val>
        </c:ser>
        <c:dLbls>
          <c:showLegendKey val="0"/>
          <c:showVal val="1"/>
          <c:showCatName val="0"/>
          <c:showSerName val="0"/>
          <c:showPercent val="0"/>
          <c:showBubbleSize val="0"/>
        </c:dLbls>
        <c:gapWidth val="219"/>
        <c:overlap val="-27"/>
        <c:axId val="810920226"/>
        <c:axId val="570933285"/>
      </c:barChart>
      <c:catAx>
        <c:axId val="81092022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70933285"/>
        <c:crosses val="autoZero"/>
        <c:auto val="1"/>
        <c:lblAlgn val="ctr"/>
        <c:lblOffset val="100"/>
        <c:noMultiLvlLbl val="0"/>
      </c:catAx>
      <c:valAx>
        <c:axId val="57093328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10920226"/>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a2edad51-6b3a-493e-9f5d-45eb57254d02}"/>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2023年</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免学费学生数（人次）</c:v>
                </c:pt>
                <c:pt idx="1">
                  <c:v>取得助学金学生数（人次）</c:v>
                </c:pt>
              </c:strCache>
            </c:strRef>
          </c:cat>
          <c:val>
            <c:numRef>
              <c:f>Sheet1!$B$2:$B$3</c:f>
              <c:numCache>
                <c:formatCode>General</c:formatCode>
                <c:ptCount val="2"/>
                <c:pt idx="0">
                  <c:v>26284</c:v>
                </c:pt>
                <c:pt idx="1">
                  <c:v>5170</c:v>
                </c:pt>
              </c:numCache>
            </c:numRef>
          </c:val>
        </c:ser>
        <c:ser>
          <c:idx val="1"/>
          <c:order val="1"/>
          <c:tx>
            <c:strRef>
              <c:f>Sheet1!$C$1</c:f>
              <c:strCache>
                <c:ptCount val="1"/>
                <c:pt idx="0">
                  <c:v>2024年</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免学费学生数（人次）</c:v>
                </c:pt>
                <c:pt idx="1">
                  <c:v>取得助学金学生数（人次）</c:v>
                </c:pt>
              </c:strCache>
            </c:strRef>
          </c:cat>
          <c:val>
            <c:numRef>
              <c:f>Sheet1!$C$2:$C$3</c:f>
              <c:numCache>
                <c:formatCode>General</c:formatCode>
                <c:ptCount val="2"/>
                <c:pt idx="0">
                  <c:v>30440</c:v>
                </c:pt>
                <c:pt idx="1">
                  <c:v>5395</c:v>
                </c:pt>
              </c:numCache>
            </c:numRef>
          </c:val>
        </c:ser>
        <c:dLbls>
          <c:showLegendKey val="0"/>
          <c:showVal val="1"/>
          <c:showCatName val="0"/>
          <c:showSerName val="0"/>
          <c:showPercent val="0"/>
          <c:showBubbleSize val="0"/>
        </c:dLbls>
        <c:gapWidth val="219"/>
        <c:overlap val="-27"/>
        <c:axId val="11038065"/>
        <c:axId val="319762329"/>
      </c:barChart>
      <c:catAx>
        <c:axId val="11038065"/>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19762329"/>
        <c:crosses val="autoZero"/>
        <c:auto val="1"/>
        <c:lblAlgn val="ctr"/>
        <c:lblOffset val="100"/>
        <c:noMultiLvlLbl val="0"/>
      </c:catAx>
      <c:valAx>
        <c:axId val="31976232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1038065"/>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499f47b9-35b3-4656-8987-9df6b9a8d959}"/>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7340708871133"/>
          <c:y val="0.0829033367733058"/>
          <c:w val="0.646056136037697"/>
          <c:h val="0.613140694874441"/>
        </c:manualLayout>
      </c:layout>
      <c:barChart>
        <c:barDir val="col"/>
        <c:grouping val="clustered"/>
        <c:varyColors val="0"/>
        <c:ser>
          <c:idx val="0"/>
          <c:order val="0"/>
          <c:tx>
            <c:strRef>
              <c:f>Sheet1!$B$1</c:f>
              <c:strCache>
                <c:ptCount val="1"/>
                <c:pt idx="0">
                  <c:v>2023年</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生均教学科研仪器设备值 （元/生）</c:v>
                </c:pt>
              </c:strCache>
            </c:strRef>
          </c:cat>
          <c:val>
            <c:numRef>
              <c:f>Sheet1!$B$2</c:f>
              <c:numCache>
                <c:formatCode>General</c:formatCode>
                <c:ptCount val="1"/>
                <c:pt idx="0">
                  <c:v>9882.25</c:v>
                </c:pt>
              </c:numCache>
            </c:numRef>
          </c:val>
        </c:ser>
        <c:ser>
          <c:idx val="1"/>
          <c:order val="1"/>
          <c:tx>
            <c:strRef>
              <c:f>Sheet1!$C$1</c:f>
              <c:strCache>
                <c:ptCount val="1"/>
                <c:pt idx="0">
                  <c:v>2024年</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生均教学科研仪器设备值 （元/生）</c:v>
                </c:pt>
              </c:strCache>
            </c:strRef>
          </c:cat>
          <c:val>
            <c:numRef>
              <c:f>Sheet1!$C$2</c:f>
              <c:numCache>
                <c:formatCode>General</c:formatCode>
                <c:ptCount val="1"/>
                <c:pt idx="0">
                  <c:v>10370.94</c:v>
                </c:pt>
              </c:numCache>
            </c:numRef>
          </c:val>
        </c:ser>
        <c:dLbls>
          <c:showLegendKey val="0"/>
          <c:showVal val="0"/>
          <c:showCatName val="0"/>
          <c:showSerName val="0"/>
          <c:showPercent val="0"/>
          <c:showBubbleSize val="0"/>
        </c:dLbls>
        <c:gapWidth val="219"/>
        <c:overlap val="-27"/>
        <c:axId val="209896856"/>
        <c:axId val="658486955"/>
      </c:barChart>
      <c:catAx>
        <c:axId val="20989685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58486955"/>
        <c:crosses val="autoZero"/>
        <c:auto val="1"/>
        <c:lblAlgn val="ctr"/>
        <c:lblOffset val="100"/>
        <c:noMultiLvlLbl val="0"/>
      </c:catAx>
      <c:valAx>
        <c:axId val="6584869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09896856"/>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21b30d6f-8e81-4090-9783-dea4418f59da}"/>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
        <c:rich>
          <a:bodyPr/>
          <a:lstStyle/>
          <a:p>
            <a:pPr>
              <a:defRPr/>
            </a:pPr>
          </a:p>
        </c:rich>
      </c:tx>
    </c:title>
    <c:autoTitleDeleted val="0"/>
    <c:plotArea>
      <c:layout/>
      <c:barChart>
        <c:barDir val="col"/>
        <c:grouping val="clustered"/>
        <c:varyColors val="0"/>
        <c:ser>
          <c:idx val="0"/>
          <c:order val="0"/>
          <c:tx>
            <c:strRef>
              <c:f>Sheet1!$B$1</c:f>
              <c:strCache>
                <c:ptCount val="1"/>
                <c:pt idx="0">
                  <c:v>2023年</c:v>
                </c:pt>
              </c:strCache>
            </c:strRef>
          </c:tx>
          <c:spPr>
            <a:solidFill>
              <a:schemeClr val="accent1"/>
            </a:solidFill>
            <a:ln>
              <a:noFill/>
            </a:ln>
            <a:effectLst/>
          </c:spPr>
          <c:invertIfNegative val="0"/>
          <c:dLbls>
            <c:dLbl>
              <c:idx val="0"/>
              <c:layout/>
              <c:dLblPos val="outEnd"/>
              <c:showLegendKey val="0"/>
              <c:showVal val="1"/>
              <c:showCatName val="0"/>
              <c:showSerName val="0"/>
              <c:showPercent val="0"/>
              <c:showBubbleSize val="0"/>
              <c:extLst>
                <c:ext xmlns:c15="http://schemas.microsoft.com/office/drawing/2012/chart" uri="{CE6537A1-D6FC-4f65-9D91-7224C49458BB}"/>
              </c:extLst>
            </c:dLbl>
            <c:dLbl>
              <c:idx val="1"/>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Sheet1!$A$2:$A$3</c:f>
              <c:strCache>
                <c:ptCount val="2"/>
                <c:pt idx="0">
                  <c:v>教职工</c:v>
                </c:pt>
                <c:pt idx="1">
                  <c:v>专任教师</c:v>
                </c:pt>
              </c:strCache>
            </c:strRef>
          </c:cat>
          <c:val>
            <c:numRef>
              <c:f>Sheet1!$B$2:$B$3</c:f>
              <c:numCache>
                <c:formatCode>General</c:formatCode>
                <c:ptCount val="2"/>
                <c:pt idx="0">
                  <c:v>2181</c:v>
                </c:pt>
                <c:pt idx="1">
                  <c:v>1683</c:v>
                </c:pt>
              </c:numCache>
            </c:numRef>
          </c:val>
        </c:ser>
        <c:ser>
          <c:idx val="1"/>
          <c:order val="1"/>
          <c:tx>
            <c:strRef>
              <c:f>Sheet1!$C$1</c:f>
              <c:strCache>
                <c:ptCount val="1"/>
                <c:pt idx="0">
                  <c:v>2024年</c:v>
                </c:pt>
              </c:strCache>
            </c:strRef>
          </c:tx>
          <c:invertIfNegative val="0"/>
          <c:dLbls>
            <c:numFmt formatCode="General" sourceLinked="1"/>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ext>
            </c:extLst>
          </c:dLbls>
          <c:cat>
            <c:strRef>
              <c:f>Sheet1!$A$2:$A$3</c:f>
              <c:strCache>
                <c:ptCount val="2"/>
                <c:pt idx="0">
                  <c:v>教职工</c:v>
                </c:pt>
                <c:pt idx="1">
                  <c:v>专任教师</c:v>
                </c:pt>
              </c:strCache>
            </c:strRef>
          </c:cat>
          <c:val>
            <c:numRef>
              <c:f>Sheet1!$C$2:$C$3</c:f>
              <c:numCache>
                <c:formatCode>General</c:formatCode>
                <c:ptCount val="2"/>
                <c:pt idx="0">
                  <c:v>2183</c:v>
                </c:pt>
                <c:pt idx="1">
                  <c:v>1660</c:v>
                </c:pt>
              </c:numCache>
            </c:numRef>
          </c:val>
        </c:ser>
        <c:dLbls>
          <c:showLegendKey val="0"/>
          <c:showVal val="0"/>
          <c:showCatName val="0"/>
          <c:showSerName val="0"/>
          <c:showPercent val="0"/>
          <c:showBubbleSize val="0"/>
        </c:dLbls>
        <c:gapWidth val="219"/>
        <c:overlap val="-27"/>
        <c:axId val="170093924"/>
        <c:axId val="902754204"/>
      </c:barChart>
      <c:catAx>
        <c:axId val="170093924"/>
        <c:scaling>
          <c:orientation val="minMax"/>
        </c:scaling>
        <c:delete val="0"/>
        <c:axPos val="b"/>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02754204"/>
        <c:crosses val="autoZero"/>
        <c:auto val="1"/>
        <c:lblAlgn val="ctr"/>
        <c:lblOffset val="100"/>
        <c:noMultiLvlLbl val="0"/>
      </c:catAx>
      <c:valAx>
        <c:axId val="902754204"/>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70093924"/>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a00eb7aa-f148-482c-a77b-3d3cc1d0e72c}"/>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2023年</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双师型教师</c:v>
                </c:pt>
                <c:pt idx="1">
                  <c:v>高级专业技术职务专任教师</c:v>
                </c:pt>
              </c:strCache>
            </c:strRef>
          </c:cat>
          <c:val>
            <c:numRef>
              <c:f>Sheet1!$B$2:$B$3</c:f>
              <c:numCache>
                <c:formatCode>General</c:formatCode>
                <c:ptCount val="2"/>
                <c:pt idx="0">
                  <c:v>513</c:v>
                </c:pt>
                <c:pt idx="1">
                  <c:v>515</c:v>
                </c:pt>
              </c:numCache>
            </c:numRef>
          </c:val>
        </c:ser>
        <c:ser>
          <c:idx val="1"/>
          <c:order val="1"/>
          <c:tx>
            <c:strRef>
              <c:f>Sheet1!$C$1</c:f>
              <c:strCache>
                <c:ptCount val="1"/>
                <c:pt idx="0">
                  <c:v>2024年</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双师型教师</c:v>
                </c:pt>
                <c:pt idx="1">
                  <c:v>高级专业技术职务专任教师</c:v>
                </c:pt>
              </c:strCache>
            </c:strRef>
          </c:cat>
          <c:val>
            <c:numRef>
              <c:f>Sheet1!$C$2:$C$3</c:f>
              <c:numCache>
                <c:formatCode>General</c:formatCode>
                <c:ptCount val="2"/>
                <c:pt idx="0">
                  <c:v>461</c:v>
                </c:pt>
                <c:pt idx="1">
                  <c:v>505</c:v>
                </c:pt>
              </c:numCache>
            </c:numRef>
          </c:val>
        </c:ser>
        <c:dLbls>
          <c:showLegendKey val="0"/>
          <c:showVal val="1"/>
          <c:showCatName val="0"/>
          <c:showSerName val="0"/>
          <c:showPercent val="0"/>
          <c:showBubbleSize val="0"/>
        </c:dLbls>
        <c:gapWidth val="219"/>
        <c:overlap val="-27"/>
        <c:axId val="356226040"/>
        <c:axId val="807513242"/>
      </c:barChart>
      <c:catAx>
        <c:axId val="35622604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07513242"/>
        <c:crosses val="autoZero"/>
        <c:auto val="1"/>
        <c:lblAlgn val="ctr"/>
        <c:lblOffset val="100"/>
        <c:noMultiLvlLbl val="0"/>
      </c:catAx>
      <c:valAx>
        <c:axId val="80751324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56226040"/>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883a6751-8907-4cab-9249-2d24d8148da9}"/>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思政课专任教师数</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2023年</c:v>
                </c:pt>
                <c:pt idx="1">
                  <c:v>2024年</c:v>
                </c:pt>
              </c:strCache>
            </c:strRef>
          </c:cat>
          <c:val>
            <c:numRef>
              <c:f>Sheet1!$B$2:$B$3</c:f>
              <c:numCache>
                <c:formatCode>General</c:formatCode>
                <c:ptCount val="2"/>
                <c:pt idx="0">
                  <c:v>84</c:v>
                </c:pt>
                <c:pt idx="1">
                  <c:v>86</c:v>
                </c:pt>
              </c:numCache>
            </c:numRef>
          </c:val>
        </c:ser>
        <c:ser>
          <c:idx val="1"/>
          <c:order val="1"/>
          <c:tx>
            <c:strRef>
              <c:f>Sheet1!$C$1</c:f>
              <c:strCache>
                <c:ptCount val="1"/>
                <c:pt idx="0">
                  <c:v>德育管理人员数</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2023年</c:v>
                </c:pt>
                <c:pt idx="1">
                  <c:v>2024年</c:v>
                </c:pt>
              </c:strCache>
            </c:strRef>
          </c:cat>
          <c:val>
            <c:numRef>
              <c:f>Sheet1!$C$2:$C$3</c:f>
              <c:numCache>
                <c:formatCode>General</c:formatCode>
                <c:ptCount val="2"/>
                <c:pt idx="0">
                  <c:v>309</c:v>
                </c:pt>
                <c:pt idx="1">
                  <c:v>327</c:v>
                </c:pt>
              </c:numCache>
            </c:numRef>
          </c:val>
        </c:ser>
        <c:dLbls>
          <c:showLegendKey val="0"/>
          <c:showVal val="1"/>
          <c:showCatName val="0"/>
          <c:showSerName val="0"/>
          <c:showPercent val="0"/>
          <c:showBubbleSize val="0"/>
        </c:dLbls>
        <c:gapWidth val="219"/>
        <c:overlap val="-27"/>
        <c:axId val="697027625"/>
        <c:axId val="913012509"/>
      </c:barChart>
      <c:catAx>
        <c:axId val="697027625"/>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13012509"/>
        <c:crosses val="autoZero"/>
        <c:auto val="1"/>
        <c:lblAlgn val="ctr"/>
        <c:lblOffset val="100"/>
        <c:noMultiLvlLbl val="0"/>
      </c:catAx>
      <c:valAx>
        <c:axId val="91301250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97027625"/>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61f2ce51-e827-44c0-8ff3-53652ddc76af}"/>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
        <c:rich>
          <a:bodyPr/>
          <a:lstStyle/>
          <a:p>
            <a:pPr>
              <a:defRPr/>
            </a:pPr>
          </a:p>
        </c:rich>
      </c:tx>
    </c:title>
    <c:autoTitleDeleted val="0"/>
    <c:plotArea>
      <c:layout/>
      <c:barChart>
        <c:barDir val="col"/>
        <c:grouping val="clustered"/>
        <c:varyColors val="0"/>
        <c:ser>
          <c:idx val="0"/>
          <c:order val="0"/>
          <c:tx>
            <c:strRef>
              <c:f>Sheet1!$B$1</c:f>
              <c:strCache>
                <c:ptCount val="1"/>
                <c:pt idx="0">
                  <c:v>2023年</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Sheet1!$A$2:$A$3</c:f>
              <c:strCache>
                <c:ptCount val="2"/>
                <c:pt idx="0">
                  <c:v>学生文化基础课合格率（%）</c:v>
                </c:pt>
                <c:pt idx="1">
                  <c:v>学生体质测评合格率（%）</c:v>
                </c:pt>
              </c:strCache>
            </c:strRef>
          </c:cat>
          <c:val>
            <c:numRef>
              <c:f>Sheet1!$B$2:$B$3</c:f>
              <c:numCache>
                <c:formatCode>General</c:formatCode>
                <c:ptCount val="2"/>
                <c:pt idx="0">
                  <c:v>92.53</c:v>
                </c:pt>
                <c:pt idx="1">
                  <c:v>89.35</c:v>
                </c:pt>
              </c:numCache>
            </c:numRef>
          </c:val>
        </c:ser>
        <c:ser>
          <c:idx val="1"/>
          <c:order val="1"/>
          <c:tx>
            <c:strRef>
              <c:f>Sheet1!$C$1</c:f>
              <c:strCache>
                <c:ptCount val="1"/>
                <c:pt idx="0">
                  <c:v>2024年</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Sheet1!$A$2:$A$3</c:f>
              <c:strCache>
                <c:ptCount val="2"/>
                <c:pt idx="0">
                  <c:v>学生文化基础课合格率（%）</c:v>
                </c:pt>
                <c:pt idx="1">
                  <c:v>学生体质测评合格率（%）</c:v>
                </c:pt>
              </c:strCache>
            </c:strRef>
          </c:cat>
          <c:val>
            <c:numRef>
              <c:f>Sheet1!$C$2:$C$3</c:f>
              <c:numCache>
                <c:formatCode>General</c:formatCode>
                <c:ptCount val="2"/>
                <c:pt idx="0">
                  <c:v>95.55</c:v>
                </c:pt>
                <c:pt idx="1">
                  <c:v>86.91</c:v>
                </c:pt>
              </c:numCache>
            </c:numRef>
          </c:val>
        </c:ser>
        <c:dLbls>
          <c:showLegendKey val="0"/>
          <c:showVal val="1"/>
          <c:showCatName val="0"/>
          <c:showSerName val="0"/>
          <c:showPercent val="0"/>
          <c:showBubbleSize val="0"/>
        </c:dLbls>
        <c:gapWidth val="219"/>
        <c:overlap val="-27"/>
        <c:axId val="27280589"/>
        <c:axId val="91896598"/>
      </c:barChart>
      <c:catAx>
        <c:axId val="27280589"/>
        <c:scaling>
          <c:orientation val="minMax"/>
        </c:scaling>
        <c:delete val="0"/>
        <c:axPos val="b"/>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1896598"/>
        <c:crosses val="autoZero"/>
        <c:auto val="1"/>
        <c:lblAlgn val="ctr"/>
        <c:lblOffset val="100"/>
        <c:noMultiLvlLbl val="0"/>
      </c:catAx>
      <c:valAx>
        <c:axId val="91896598"/>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7280589"/>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2090acd1-394f-42a1-9bed-33070aace431}"/>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'[新建 XLS 工作表.xls]Sheet1'!$A$29</c:f>
              <c:strCache>
                <c:ptCount val="1"/>
                <c:pt idx="0">
                  <c:v/>
                </c:pt>
              </c:strCache>
            </c:strRef>
          </c:tx>
          <c:spPr>
            <a:solidFill>
              <a:schemeClr val="accent1"/>
            </a:solidFill>
            <a:ln>
              <a:noFill/>
            </a:ln>
            <a:effectLst/>
          </c:spPr>
          <c:invertIfNegative val="0"/>
          <c:dLbls>
            <c:delete val="1"/>
          </c:dLbls>
          <c:cat>
            <c:strRef>
              <c:f>'[新建 XLS 工作表.xls]Sheet1'!$B$28:$L$28</c:f>
              <c:strCache>
                <c:ptCount val="11"/>
                <c:pt idx="0">
                  <c:v>汽车修理</c:v>
                </c:pt>
                <c:pt idx="1">
                  <c:v>电气安装与维护</c:v>
                </c:pt>
                <c:pt idx="2">
                  <c:v>数控技术</c:v>
                </c:pt>
                <c:pt idx="3">
                  <c:v>焊接技术</c:v>
                </c:pt>
                <c:pt idx="4">
                  <c:v>计算机平面设计</c:v>
                </c:pt>
                <c:pt idx="5">
                  <c:v>CAD</c:v>
                </c:pt>
                <c:pt idx="6">
                  <c:v>畜禽生产技术</c:v>
                </c:pt>
                <c:pt idx="7">
                  <c:v>幼儿保育</c:v>
                </c:pt>
                <c:pt idx="8">
                  <c:v>电子商务</c:v>
                </c:pt>
                <c:pt idx="9">
                  <c:v>网络搭建与应用</c:v>
                </c:pt>
                <c:pt idx="10">
                  <c:v>护理</c:v>
                </c:pt>
              </c:strCache>
            </c:strRef>
          </c:cat>
          <c:val>
            <c:numRef>
              <c:f>'[新建 XLS 工作表.xls]Sheet1'!$B$29:$L$29</c:f>
              <c:numCache>
                <c:formatCode>General</c:formatCode>
                <c:ptCount val="11"/>
              </c:numCache>
            </c:numRef>
          </c:val>
        </c:ser>
        <c:ser>
          <c:idx val="1"/>
          <c:order val="1"/>
          <c:tx>
            <c:strRef>
              <c:f>'[新建 XLS 工作表.xls]Sheet1'!$A$30</c:f>
              <c:strCache>
                <c:ptCount val="1"/>
                <c:pt idx="0">
                  <c:v/>
                </c:pt>
              </c:strCache>
            </c:strRef>
          </c:tx>
          <c:spPr>
            <a:solidFill>
              <a:schemeClr val="accent3"/>
            </a:solidFill>
            <a:ln>
              <a:noFill/>
            </a:ln>
            <a:effectLst/>
          </c:spPr>
          <c:invertIfNegative val="0"/>
          <c:dLbls>
            <c:delete val="1"/>
          </c:dLbls>
          <c:cat>
            <c:strRef>
              <c:f>'[新建 XLS 工作表.xls]Sheet1'!$B$28:$L$28</c:f>
              <c:strCache>
                <c:ptCount val="11"/>
                <c:pt idx="0">
                  <c:v>汽车修理</c:v>
                </c:pt>
                <c:pt idx="1">
                  <c:v>电气安装与维护</c:v>
                </c:pt>
                <c:pt idx="2">
                  <c:v>数控技术</c:v>
                </c:pt>
                <c:pt idx="3">
                  <c:v>焊接技术</c:v>
                </c:pt>
                <c:pt idx="4">
                  <c:v>计算机平面设计</c:v>
                </c:pt>
                <c:pt idx="5">
                  <c:v>CAD</c:v>
                </c:pt>
                <c:pt idx="6">
                  <c:v>畜禽生产技术</c:v>
                </c:pt>
                <c:pt idx="7">
                  <c:v>幼儿保育</c:v>
                </c:pt>
                <c:pt idx="8">
                  <c:v>电子商务</c:v>
                </c:pt>
                <c:pt idx="9">
                  <c:v>网络搭建与应用</c:v>
                </c:pt>
                <c:pt idx="10">
                  <c:v>护理</c:v>
                </c:pt>
              </c:strCache>
            </c:strRef>
          </c:cat>
          <c:val>
            <c:numRef>
              <c:f>'[新建 XLS 工作表.xls]Sheet1'!$B$30:$L$30</c:f>
              <c:numCache>
                <c:formatCode>General</c:formatCode>
                <c:ptCount val="11"/>
              </c:numCache>
            </c:numRef>
          </c:val>
        </c:ser>
        <c:ser>
          <c:idx val="2"/>
          <c:order val="2"/>
          <c:tx>
            <c:strRef>
              <c:f>'[新建 XLS 工作表.xls]Sheet1'!$A$31</c:f>
              <c:strCache>
                <c:ptCount val="1"/>
                <c:pt idx="0">
                  <c:v>参赛人数</c:v>
                </c:pt>
              </c:strCache>
            </c:strRef>
          </c:tx>
          <c:spPr>
            <a:solidFill>
              <a:schemeClr val="accent5"/>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'[新建 XLS 工作表.xls]Sheet1'!$B$28:$L$28</c:f>
              <c:strCache>
                <c:ptCount val="11"/>
                <c:pt idx="0">
                  <c:v>汽车修理</c:v>
                </c:pt>
                <c:pt idx="1">
                  <c:v>电气安装与维护</c:v>
                </c:pt>
                <c:pt idx="2">
                  <c:v>数控技术</c:v>
                </c:pt>
                <c:pt idx="3">
                  <c:v>焊接技术</c:v>
                </c:pt>
                <c:pt idx="4">
                  <c:v>计算机平面设计</c:v>
                </c:pt>
                <c:pt idx="5">
                  <c:v>CAD</c:v>
                </c:pt>
                <c:pt idx="6">
                  <c:v>畜禽生产技术</c:v>
                </c:pt>
                <c:pt idx="7">
                  <c:v>幼儿保育</c:v>
                </c:pt>
                <c:pt idx="8">
                  <c:v>电子商务</c:v>
                </c:pt>
                <c:pt idx="9">
                  <c:v>网络搭建与应用</c:v>
                </c:pt>
                <c:pt idx="10">
                  <c:v>护理</c:v>
                </c:pt>
              </c:strCache>
            </c:strRef>
          </c:cat>
          <c:val>
            <c:numRef>
              <c:f>'[新建 XLS 工作表.xls]Sheet1'!$B$31:$L$31</c:f>
              <c:numCache>
                <c:formatCode>General</c:formatCode>
                <c:ptCount val="11"/>
                <c:pt idx="0">
                  <c:v>24</c:v>
                </c:pt>
                <c:pt idx="1">
                  <c:v>19</c:v>
                </c:pt>
                <c:pt idx="2">
                  <c:v>25</c:v>
                </c:pt>
                <c:pt idx="3">
                  <c:v>18</c:v>
                </c:pt>
                <c:pt idx="4">
                  <c:v>28</c:v>
                </c:pt>
                <c:pt idx="5">
                  <c:v>16</c:v>
                </c:pt>
                <c:pt idx="6">
                  <c:v>32</c:v>
                </c:pt>
                <c:pt idx="7">
                  <c:v>22</c:v>
                </c:pt>
                <c:pt idx="8">
                  <c:v>72</c:v>
                </c:pt>
                <c:pt idx="9">
                  <c:v>11</c:v>
                </c:pt>
                <c:pt idx="10">
                  <c:v>23</c:v>
                </c:pt>
              </c:numCache>
            </c:numRef>
          </c:val>
        </c:ser>
        <c:dLbls>
          <c:showLegendKey val="0"/>
          <c:showVal val="1"/>
          <c:showCatName val="0"/>
          <c:showSerName val="0"/>
          <c:showPercent val="0"/>
          <c:showBubbleSize val="0"/>
        </c:dLbls>
        <c:gapWidth val="219"/>
        <c:overlap val="-27"/>
        <c:axId val="178836311"/>
        <c:axId val="745698320"/>
      </c:barChart>
      <c:catAx>
        <c:axId val="178836311"/>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45698320"/>
        <c:crosses val="autoZero"/>
        <c:auto val="1"/>
        <c:lblAlgn val="ctr"/>
        <c:lblOffset val="100"/>
        <c:noMultiLvlLbl val="0"/>
      </c:catAx>
      <c:valAx>
        <c:axId val="745698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78836311"/>
        <c:crosses val="autoZero"/>
        <c:crossBetween val="between"/>
      </c:valAx>
      <c:spPr>
        <a:noFill/>
        <a:ln>
          <a:noFill/>
        </a:ln>
        <a:effectLst/>
      </c:spPr>
    </c:plotArea>
    <c:plotVisOnly val="1"/>
    <c:dispBlanksAs val="gap"/>
    <c:showDLblsOverMax val="0"/>
    <c:extLst>
      <c:ext uri="{0b15fc19-7d7d-44ad-8c2d-2c3a37ce22c3}">
        <chartProps xmlns="https://web.wps.cn/et/2018/main" chartId="{04c25403-1792-4b02-8cfc-49fd55285cd7}"/>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0"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p>
      </c:txPr>
    </c:title>
    <c:autoTitleDeleted val="0"/>
    <c:plotArea>
      <c:layout>
        <c:manualLayout>
          <c:layoutTarget val="inner"/>
          <c:xMode val="edge"/>
          <c:yMode val="edge"/>
          <c:x val="0.0455575432319618"/>
          <c:y val="0.137757667169432"/>
          <c:w val="0.893321407274896"/>
          <c:h val="0.687380593262946"/>
        </c:manualLayout>
      </c:layout>
      <c:barChart>
        <c:barDir val="col"/>
        <c:grouping val="clustered"/>
        <c:varyColors val="0"/>
        <c:ser>
          <c:idx val="0"/>
          <c:order val="0"/>
          <c:tx>
            <c:strRef>
              <c:f>'[新建 XLS 工作表.xls]Sheet1'!$A$2</c:f>
              <c:strCache>
                <c:ptCount val="1"/>
                <c:pt idx="0">
                  <c:v>获批项目</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'[新建 XLS 工作表.xls]Sheet1'!$B$1:$D$1</c:f>
              <c:strCache>
                <c:ptCount val="3"/>
                <c:pt idx="0">
                  <c:v>2022年</c:v>
                </c:pt>
                <c:pt idx="1">
                  <c:v>2023年</c:v>
                </c:pt>
                <c:pt idx="2">
                  <c:v>2024年</c:v>
                </c:pt>
              </c:strCache>
            </c:strRef>
          </c:cat>
          <c:val>
            <c:numRef>
              <c:f>'[新建 XLS 工作表.xls]Sheet1'!$B$2:$D$2</c:f>
              <c:numCache>
                <c:formatCode>General</c:formatCode>
                <c:ptCount val="3"/>
                <c:pt idx="0">
                  <c:v>42</c:v>
                </c:pt>
                <c:pt idx="1">
                  <c:v>35</c:v>
                </c:pt>
                <c:pt idx="2">
                  <c:v>31</c:v>
                </c:pt>
              </c:numCache>
            </c:numRef>
          </c:val>
        </c:ser>
        <c:dLbls>
          <c:showLegendKey val="0"/>
          <c:showVal val="1"/>
          <c:showCatName val="0"/>
          <c:showSerName val="0"/>
          <c:showPercent val="0"/>
          <c:showBubbleSize val="0"/>
        </c:dLbls>
        <c:gapWidth val="219"/>
        <c:overlap val="-27"/>
        <c:axId val="93670118"/>
        <c:axId val="81127111"/>
      </c:barChart>
      <c:catAx>
        <c:axId val="9367011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1127111"/>
        <c:crosses val="autoZero"/>
        <c:auto val="1"/>
        <c:lblAlgn val="ctr"/>
        <c:lblOffset val="100"/>
        <c:noMultiLvlLbl val="0"/>
      </c:catAx>
      <c:valAx>
        <c:axId val="811271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3670118"/>
        <c:crosses val="autoZero"/>
        <c:crossBetween val="between"/>
      </c:valAx>
      <c:spPr>
        <a:noFill/>
        <a:ln>
          <a:noFill/>
        </a:ln>
        <a:effectLst/>
      </c:spPr>
    </c:plotArea>
    <c:plotVisOnly val="1"/>
    <c:dispBlanksAs val="gap"/>
    <c:showDLblsOverMax val="0"/>
    <c:extLst>
      <c:ext uri="{0b15fc19-7d7d-44ad-8c2d-2c3a37ce22c3}">
        <chartProps xmlns="https://web.wps.cn/et/2018/main" chartId="{c31e1aa5-9d96-4fa2-8236-78259d477a54}"/>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培训人群</c:v>
                </c:pt>
              </c:strCache>
            </c:strRef>
          </c:tx>
          <c:spPr/>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农村劳动者</c:v>
                </c:pt>
                <c:pt idx="1">
                  <c:v>退役军人</c:v>
                </c:pt>
                <c:pt idx="2">
                  <c:v>产业工人</c:v>
                </c:pt>
                <c:pt idx="3">
                  <c:v>新生代农民工</c:v>
                </c:pt>
                <c:pt idx="4">
                  <c:v>其他</c:v>
                </c:pt>
              </c:strCache>
            </c:strRef>
          </c:cat>
          <c:val>
            <c:numRef>
              <c:f>Sheet1!$B$2:$B$6</c:f>
              <c:numCache>
                <c:formatCode>General</c:formatCode>
                <c:ptCount val="5"/>
                <c:pt idx="0">
                  <c:v>2848</c:v>
                </c:pt>
                <c:pt idx="1">
                  <c:v>585</c:v>
                </c:pt>
                <c:pt idx="2">
                  <c:v>2900</c:v>
                </c:pt>
                <c:pt idx="3">
                  <c:v>0</c:v>
                </c:pt>
                <c:pt idx="4">
                  <c:v>5386</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07809f85-48a2-4ceb-9a16-656549a12026}"/>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系列 1</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农牧</c:v>
                </c:pt>
                <c:pt idx="1">
                  <c:v>维修制造</c:v>
                </c:pt>
                <c:pt idx="2">
                  <c:v>电子商务</c:v>
                </c:pt>
                <c:pt idx="3">
                  <c:v>养老托育家政</c:v>
                </c:pt>
                <c:pt idx="4">
                  <c:v>其他</c:v>
                </c:pt>
              </c:strCache>
            </c:strRef>
          </c:cat>
          <c:val>
            <c:numRef>
              <c:f>Sheet1!$B$2:$B$6</c:f>
              <c:numCache>
                <c:formatCode>General</c:formatCode>
                <c:ptCount val="5"/>
                <c:pt idx="0">
                  <c:v>2158</c:v>
                </c:pt>
                <c:pt idx="1">
                  <c:v>2036</c:v>
                </c:pt>
                <c:pt idx="2">
                  <c:v>96</c:v>
                </c:pt>
                <c:pt idx="3">
                  <c:v>487</c:v>
                </c:pt>
                <c:pt idx="4">
                  <c:v>6942</c:v>
                </c:pt>
              </c:numCache>
            </c:numRef>
          </c:val>
        </c:ser>
        <c:dLbls>
          <c:showLegendKey val="0"/>
          <c:showVal val="1"/>
          <c:showCatName val="0"/>
          <c:showSerName val="0"/>
          <c:showPercent val="0"/>
          <c:showBubbleSize val="0"/>
        </c:dLbls>
        <c:gapWidth val="219"/>
        <c:overlap val="-27"/>
        <c:axId val="419093636"/>
        <c:axId val="324946473"/>
      </c:barChart>
      <c:catAx>
        <c:axId val="41909363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24946473"/>
        <c:crosses val="autoZero"/>
        <c:auto val="1"/>
        <c:lblAlgn val="ctr"/>
        <c:lblOffset val="100"/>
        <c:noMultiLvlLbl val="0"/>
      </c:catAx>
      <c:valAx>
        <c:axId val="32494647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19093636"/>
        <c:crosses val="autoZero"/>
        <c:crossBetween val="between"/>
      </c:valAx>
      <c:spPr>
        <a:noFill/>
        <a:ln>
          <a:noFill/>
        </a:ln>
        <a:effectLst/>
      </c:spPr>
    </c:plotArea>
    <c:plotVisOnly val="1"/>
    <c:dispBlanksAs val="gap"/>
    <c:showDLblsOverMax val="0"/>
    <c:extLst>
      <c:ext uri="{0b15fc19-7d7d-44ad-8c2d-2c3a37ce22c3}">
        <chartProps xmlns="https://web.wps.cn/et/2018/main" chartId="{166fe158-8257-4ae0-b9b0-41cb4196a8a2}"/>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77</Pages>
  <Words>4281</Words>
  <Characters>4737</Characters>
  <Lines>0</Lines>
  <Paragraphs>0</Paragraphs>
  <TotalTime>0</TotalTime>
  <ScaleCrop>false</ScaleCrop>
  <LinksUpToDate>false</LinksUpToDate>
  <CharactersWithSpaces>4975</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2014-11-07T12:08:00Z</dcterms:created>
  <dc:creator>Administrator</dc:creator>
  <cp:lastModifiedBy>上弦月</cp:lastModifiedBy>
  <cp:lastPrinted>2025-02-17T07:40:00Z</cp:lastPrinted>
  <dcterms:modified xsi:type="dcterms:W3CDTF">2025-05-22T05:46:40Z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627F6729FAC04342AC8C05AD62283BBB_13</vt:lpwstr>
  </property>
  <property fmtid="{D5CDD505-2E9C-101B-9397-08002B2CF9AE}" pid="4" name="KSOTemplateDocerSaveRecord">
    <vt:lpwstr>eyJoZGlkIjoiYTRmNjYxNjZlODUyMmVmZWEyMmM5MzcxMjhlMjA1NTIiLCJ1c2VySWQiOiIzMjczNzA4MTQifQ==</vt:lpwstr>
  </property>
</Properties>
</file>