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900" w:lineRule="atLeast"/>
        <w:jc w:val="center"/>
        <w:rPr>
          <w:rFonts w:cs="宋体" w:asciiTheme="minorEastAsia" w:hAnsiTheme="minorEastAsia"/>
          <w:b/>
          <w:color w:val="333333"/>
          <w:kern w:val="0"/>
          <w:sz w:val="44"/>
          <w:szCs w:val="44"/>
        </w:rPr>
      </w:pPr>
      <w:r>
        <w:rPr>
          <w:rFonts w:hint="eastAsia" w:cs="宋体" w:asciiTheme="minorEastAsia" w:hAnsiTheme="minorEastAsia"/>
          <w:b/>
          <w:color w:val="333333"/>
          <w:kern w:val="0"/>
          <w:sz w:val="44"/>
          <w:szCs w:val="44"/>
        </w:rPr>
        <w:t>朝阳</w:t>
      </w:r>
      <w:r>
        <w:rPr>
          <w:rFonts w:cs="宋体" w:asciiTheme="minorEastAsia" w:hAnsiTheme="minorEastAsia"/>
          <w:b/>
          <w:color w:val="333333"/>
          <w:kern w:val="0"/>
          <w:sz w:val="44"/>
          <w:szCs w:val="44"/>
        </w:rPr>
        <w:t>市福利彩票公益金使用管理办法</w:t>
      </w:r>
    </w:p>
    <w:p>
      <w:pPr>
        <w:widowControl/>
        <w:spacing w:line="480" w:lineRule="auto"/>
        <w:ind w:firstLine="480"/>
        <w:jc w:val="center"/>
        <w:rPr>
          <w:rFonts w:ascii="宋体" w:hAnsi="宋体" w:eastAsia="宋体" w:cs="宋体"/>
          <w:color w:val="333333"/>
          <w:kern w:val="0"/>
          <w:sz w:val="24"/>
          <w:szCs w:val="24"/>
        </w:rPr>
      </w:pPr>
    </w:p>
    <w:p>
      <w:pPr>
        <w:pStyle w:val="8"/>
        <w:widowControl/>
        <w:numPr>
          <w:ilvl w:val="0"/>
          <w:numId w:val="1"/>
        </w:numPr>
        <w:spacing w:line="600" w:lineRule="exact"/>
        <w:ind w:firstLineChars="0"/>
        <w:jc w:val="center"/>
        <w:rPr>
          <w:rFonts w:ascii="仿宋" w:hAnsi="仿宋" w:eastAsia="仿宋" w:cs="宋体"/>
          <w:b/>
          <w:color w:val="333333"/>
          <w:kern w:val="0"/>
          <w:sz w:val="32"/>
          <w:szCs w:val="32"/>
        </w:rPr>
      </w:pPr>
      <w:r>
        <w:rPr>
          <w:rFonts w:ascii="仿宋" w:hAnsi="仿宋" w:eastAsia="仿宋" w:cs="宋体"/>
          <w:b/>
          <w:color w:val="333333"/>
          <w:kern w:val="0"/>
          <w:sz w:val="32"/>
          <w:szCs w:val="32"/>
        </w:rPr>
        <w:t>总 则</w:t>
      </w:r>
    </w:p>
    <w:p>
      <w:pPr>
        <w:widowControl/>
        <w:spacing w:line="600" w:lineRule="exact"/>
        <w:ind w:firstLine="709"/>
        <w:jc w:val="left"/>
        <w:rPr>
          <w:rFonts w:ascii="仿宋" w:hAnsi="仿宋" w:eastAsia="仿宋" w:cs="宋体"/>
          <w:color w:val="333333"/>
          <w:kern w:val="0"/>
          <w:sz w:val="32"/>
          <w:szCs w:val="32"/>
        </w:rPr>
      </w:pPr>
      <w:r>
        <w:rPr>
          <w:rFonts w:ascii="仿宋" w:hAnsi="仿宋" w:eastAsia="仿宋" w:cs="宋体"/>
          <w:color w:val="333333"/>
          <w:kern w:val="0"/>
          <w:sz w:val="32"/>
          <w:szCs w:val="32"/>
        </w:rPr>
        <w:t>第一条 为加强</w:t>
      </w:r>
      <w:r>
        <w:rPr>
          <w:rFonts w:hint="eastAsia" w:ascii="仿宋" w:hAnsi="仿宋" w:eastAsia="仿宋" w:cs="宋体"/>
          <w:color w:val="333333"/>
          <w:kern w:val="0"/>
          <w:sz w:val="32"/>
          <w:szCs w:val="32"/>
        </w:rPr>
        <w:t>朝阳</w:t>
      </w:r>
      <w:r>
        <w:rPr>
          <w:rFonts w:ascii="仿宋" w:hAnsi="仿宋" w:eastAsia="仿宋" w:cs="宋体"/>
          <w:color w:val="333333"/>
          <w:kern w:val="0"/>
          <w:sz w:val="32"/>
          <w:szCs w:val="32"/>
        </w:rPr>
        <w:t>市福利彩票公益金使用管理，明确管理责任，规范管理程序，提高资金使用效率，根据</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彩票管理条例》（国务院令第554号）、《彩票管理条例实施细则》（财政部 民政部 国家体育总局令第67号）</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《财政部关于印发〈彩票公益金管理办法〉的通知》</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财综〔2012〕15号）</w:t>
      </w:r>
      <w:r>
        <w:rPr>
          <w:rFonts w:hint="eastAsia" w:ascii="仿宋" w:hAnsi="仿宋" w:eastAsia="仿宋" w:cs="宋体"/>
          <w:color w:val="333333"/>
          <w:kern w:val="0"/>
          <w:sz w:val="32"/>
          <w:szCs w:val="32"/>
        </w:rPr>
        <w:t>、《民政部彩票公益金使用管理办法》（民办发[2019]34号）和《民政部办公厅关于进一步加强彩票公益金使用管理工作的通知》（民办函[2019]79号）</w:t>
      </w:r>
      <w:r>
        <w:rPr>
          <w:rFonts w:ascii="仿宋" w:hAnsi="仿宋" w:eastAsia="仿宋" w:cs="宋体"/>
          <w:color w:val="333333"/>
          <w:kern w:val="0"/>
          <w:sz w:val="32"/>
          <w:szCs w:val="32"/>
        </w:rPr>
        <w:t>等法律法规和财政管理的有关规定，制定本办法。</w:t>
      </w:r>
    </w:p>
    <w:p>
      <w:pPr>
        <w:widowControl/>
        <w:spacing w:line="600" w:lineRule="exact"/>
        <w:ind w:firstLine="709"/>
        <w:jc w:val="left"/>
        <w:rPr>
          <w:rFonts w:ascii="仿宋" w:hAnsi="仿宋" w:eastAsia="仿宋" w:cs="宋体"/>
          <w:color w:val="333333"/>
          <w:kern w:val="0"/>
          <w:sz w:val="32"/>
          <w:szCs w:val="32"/>
        </w:rPr>
      </w:pPr>
      <w:r>
        <w:rPr>
          <w:rFonts w:ascii="仿宋" w:hAnsi="仿宋" w:eastAsia="仿宋" w:cs="宋体"/>
          <w:color w:val="333333"/>
          <w:kern w:val="0"/>
          <w:sz w:val="32"/>
          <w:szCs w:val="32"/>
        </w:rPr>
        <w:t>第二条 本办法所称</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彩票公益金”是指根据国家彩票公益金分配政策，从福利彩票公益金中按规定比例提取留成我市的</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安排用于社会福利和相关公益事业发展的专项资金。</w:t>
      </w:r>
    </w:p>
    <w:p>
      <w:pPr>
        <w:widowControl/>
        <w:spacing w:line="600" w:lineRule="exact"/>
        <w:ind w:firstLine="709"/>
        <w:jc w:val="left"/>
        <w:rPr>
          <w:rFonts w:ascii="仿宋" w:hAnsi="仿宋" w:eastAsia="仿宋" w:cs="宋体"/>
          <w:color w:val="333333"/>
          <w:kern w:val="0"/>
          <w:sz w:val="32"/>
          <w:szCs w:val="32"/>
        </w:rPr>
      </w:pPr>
      <w:r>
        <w:rPr>
          <w:rFonts w:ascii="仿宋" w:hAnsi="仿宋" w:eastAsia="仿宋" w:cs="宋体"/>
          <w:color w:val="333333"/>
          <w:kern w:val="0"/>
          <w:sz w:val="32"/>
          <w:szCs w:val="32"/>
        </w:rPr>
        <w:t>第三条 彩票公益金的使用管理体现“公平、公正、公开”的原则，统筹兼顾、突出重点、专款专用、注重绩效</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按照“谁使用、谁管理、谁负责”的要求实行归口管理。</w:t>
      </w:r>
    </w:p>
    <w:p>
      <w:pPr>
        <w:widowControl/>
        <w:spacing w:line="600" w:lineRule="exact"/>
        <w:ind w:firstLine="709"/>
        <w:jc w:val="left"/>
        <w:rPr>
          <w:rFonts w:ascii="仿宋" w:hAnsi="仿宋" w:eastAsia="仿宋" w:cs="宋体"/>
          <w:color w:val="333333"/>
          <w:kern w:val="0"/>
          <w:sz w:val="32"/>
          <w:szCs w:val="32"/>
        </w:rPr>
      </w:pPr>
      <w:r>
        <w:rPr>
          <w:rFonts w:ascii="仿宋" w:hAnsi="仿宋" w:eastAsia="仿宋" w:cs="宋体"/>
          <w:color w:val="333333"/>
          <w:kern w:val="0"/>
          <w:sz w:val="32"/>
          <w:szCs w:val="32"/>
        </w:rPr>
        <w:t>第四条 市本级彩票公益金使用安排由市民政局各业务科室及项目实施单位提出申请，市民政局</w:t>
      </w:r>
      <w:r>
        <w:rPr>
          <w:rFonts w:hint="eastAsia" w:ascii="仿宋" w:hAnsi="仿宋" w:eastAsia="仿宋" w:cs="宋体"/>
          <w:color w:val="333333"/>
          <w:kern w:val="0"/>
          <w:sz w:val="32"/>
          <w:szCs w:val="32"/>
        </w:rPr>
        <w:t>财务部门</w:t>
      </w:r>
      <w:r>
        <w:rPr>
          <w:rFonts w:ascii="仿宋" w:hAnsi="仿宋" w:eastAsia="仿宋" w:cs="宋体"/>
          <w:color w:val="333333"/>
          <w:kern w:val="0"/>
          <w:sz w:val="32"/>
          <w:szCs w:val="32"/>
        </w:rPr>
        <w:t>汇总归纳，报市民政局党组集体研究同意，商市财政局安排使用。</w:t>
      </w:r>
    </w:p>
    <w:p>
      <w:pPr>
        <w:pStyle w:val="8"/>
        <w:widowControl/>
        <w:numPr>
          <w:ilvl w:val="0"/>
          <w:numId w:val="1"/>
        </w:numPr>
        <w:spacing w:line="600" w:lineRule="exact"/>
        <w:ind w:firstLineChars="0"/>
        <w:jc w:val="center"/>
        <w:rPr>
          <w:rFonts w:ascii="仿宋" w:hAnsi="仿宋" w:eastAsia="仿宋" w:cs="宋体"/>
          <w:b/>
          <w:color w:val="333333"/>
          <w:kern w:val="0"/>
          <w:sz w:val="32"/>
          <w:szCs w:val="32"/>
        </w:rPr>
      </w:pPr>
      <w:r>
        <w:rPr>
          <w:rFonts w:ascii="仿宋" w:hAnsi="仿宋" w:eastAsia="仿宋" w:cs="宋体"/>
          <w:b/>
          <w:color w:val="333333"/>
          <w:kern w:val="0"/>
          <w:sz w:val="32"/>
          <w:szCs w:val="32"/>
        </w:rPr>
        <w:t>使用范围和原则</w:t>
      </w:r>
    </w:p>
    <w:p>
      <w:pPr>
        <w:widowControl/>
        <w:spacing w:line="600" w:lineRule="exact"/>
        <w:ind w:firstLine="709"/>
        <w:jc w:val="left"/>
        <w:rPr>
          <w:rFonts w:ascii="仿宋" w:hAnsi="仿宋" w:eastAsia="仿宋" w:cs="宋体"/>
          <w:color w:val="333333"/>
          <w:kern w:val="0"/>
          <w:sz w:val="32"/>
          <w:szCs w:val="32"/>
        </w:rPr>
      </w:pPr>
      <w:r>
        <w:rPr>
          <w:rFonts w:ascii="仿宋" w:hAnsi="仿宋" w:eastAsia="仿宋" w:cs="宋体"/>
          <w:color w:val="333333"/>
          <w:kern w:val="0"/>
          <w:sz w:val="32"/>
          <w:szCs w:val="32"/>
        </w:rPr>
        <w:t>第五条 彩票公益金的使用应体现“扶老、助残、救孤、济困”的发行宗旨，主要用于资助：</w:t>
      </w:r>
    </w:p>
    <w:p>
      <w:pPr>
        <w:widowControl/>
        <w:spacing w:line="600" w:lineRule="exact"/>
        <w:ind w:firstLine="480"/>
        <w:jc w:val="left"/>
        <w:rPr>
          <w:rFonts w:ascii="仿宋" w:hAnsi="仿宋" w:eastAsia="仿宋" w:cs="宋体"/>
          <w:color w:val="333333"/>
          <w:kern w:val="0"/>
          <w:sz w:val="32"/>
          <w:szCs w:val="32"/>
        </w:rPr>
      </w:pPr>
      <w:r>
        <w:rPr>
          <w:rFonts w:ascii="仿宋" w:hAnsi="仿宋" w:eastAsia="仿宋" w:cs="宋体"/>
          <w:color w:val="333333"/>
          <w:kern w:val="0"/>
          <w:sz w:val="32"/>
          <w:szCs w:val="32"/>
        </w:rPr>
        <w:t>（一）社会福利基本设施建设项目。主要资助社区公共服务、公益慈善事业的发展和社会福利、公益慈善机构公共设施的新建、改扩建和维护</w:t>
      </w:r>
      <w:r>
        <w:rPr>
          <w:rFonts w:hint="eastAsia" w:ascii="仿宋" w:hAnsi="仿宋" w:eastAsia="仿宋" w:cs="宋体"/>
          <w:color w:val="333333"/>
          <w:kern w:val="0"/>
          <w:sz w:val="32"/>
          <w:szCs w:val="32"/>
        </w:rPr>
        <w:t>。</w:t>
      </w:r>
    </w:p>
    <w:p>
      <w:pPr>
        <w:widowControl/>
        <w:spacing w:line="600" w:lineRule="exact"/>
        <w:ind w:firstLine="480"/>
        <w:jc w:val="left"/>
        <w:rPr>
          <w:rFonts w:ascii="仿宋" w:hAnsi="仿宋" w:eastAsia="仿宋" w:cs="宋体"/>
          <w:color w:val="333333"/>
          <w:kern w:val="0"/>
          <w:sz w:val="32"/>
          <w:szCs w:val="32"/>
        </w:rPr>
      </w:pPr>
      <w:r>
        <w:rPr>
          <w:rFonts w:ascii="仿宋" w:hAnsi="仿宋" w:eastAsia="仿宋" w:cs="宋体"/>
          <w:color w:val="333333"/>
          <w:kern w:val="0"/>
          <w:sz w:val="32"/>
          <w:szCs w:val="32"/>
        </w:rPr>
        <w:t>（二）社会福利服务项目。主要资助为老年人、残疾人、优抚对象、社会救济对象等困难群体服务的社会福利和社会救助事业</w:t>
      </w:r>
      <w:r>
        <w:rPr>
          <w:rFonts w:hint="eastAsia" w:ascii="仿宋" w:hAnsi="仿宋" w:eastAsia="仿宋" w:cs="宋体"/>
          <w:color w:val="333333"/>
          <w:kern w:val="0"/>
          <w:sz w:val="32"/>
          <w:szCs w:val="32"/>
        </w:rPr>
        <w:t>。</w:t>
      </w:r>
    </w:p>
    <w:p>
      <w:pPr>
        <w:widowControl/>
        <w:spacing w:line="600" w:lineRule="exact"/>
        <w:ind w:firstLine="480"/>
        <w:jc w:val="left"/>
        <w:rPr>
          <w:rFonts w:ascii="仿宋" w:hAnsi="仿宋" w:eastAsia="仿宋" w:cs="宋体"/>
          <w:color w:val="333333"/>
          <w:kern w:val="0"/>
          <w:sz w:val="32"/>
          <w:szCs w:val="32"/>
        </w:rPr>
      </w:pPr>
      <w:r>
        <w:rPr>
          <w:rFonts w:ascii="仿宋" w:hAnsi="仿宋" w:eastAsia="仿宋" w:cs="宋体"/>
          <w:color w:val="333333"/>
          <w:kern w:val="0"/>
          <w:sz w:val="32"/>
          <w:szCs w:val="32"/>
        </w:rPr>
        <w:t>（三）能力建设项目。主要用于资助符合宗旨的培训、科技和标准化建设、信息化建设、课题研究等能力建设项目，以及符合公益性质的社会福利与事务的能力建设项目</w:t>
      </w:r>
      <w:r>
        <w:rPr>
          <w:rFonts w:hint="eastAsia" w:ascii="仿宋" w:hAnsi="仿宋" w:eastAsia="仿宋" w:cs="宋体"/>
          <w:color w:val="333333"/>
          <w:kern w:val="0"/>
          <w:sz w:val="32"/>
          <w:szCs w:val="32"/>
        </w:rPr>
        <w:t>。</w:t>
      </w:r>
    </w:p>
    <w:p>
      <w:pPr>
        <w:widowControl/>
        <w:spacing w:line="600" w:lineRule="exact"/>
        <w:ind w:firstLine="480"/>
        <w:jc w:val="left"/>
        <w:rPr>
          <w:rFonts w:ascii="仿宋" w:hAnsi="仿宋" w:eastAsia="仿宋" w:cs="宋体"/>
          <w:color w:val="333333"/>
          <w:kern w:val="0"/>
          <w:sz w:val="32"/>
          <w:szCs w:val="32"/>
        </w:rPr>
      </w:pPr>
      <w:r>
        <w:rPr>
          <w:rFonts w:ascii="仿宋" w:hAnsi="仿宋" w:eastAsia="仿宋" w:cs="宋体"/>
          <w:color w:val="333333"/>
          <w:kern w:val="0"/>
          <w:sz w:val="32"/>
          <w:szCs w:val="32"/>
        </w:rPr>
        <w:t>（四）符合宗旨的其他社会公益项目。主要资助社会公众关注、有利于社会主义精神文明建设、能体现扶弱济困宗旨的其他社会公益事业项目。</w:t>
      </w:r>
    </w:p>
    <w:p>
      <w:pPr>
        <w:widowControl/>
        <w:spacing w:line="600" w:lineRule="exact"/>
        <w:ind w:firstLine="709"/>
        <w:jc w:val="left"/>
        <w:rPr>
          <w:rFonts w:ascii="仿宋" w:hAnsi="仿宋" w:eastAsia="仿宋" w:cs="宋体"/>
          <w:color w:val="333333"/>
          <w:kern w:val="0"/>
          <w:sz w:val="32"/>
          <w:szCs w:val="32"/>
        </w:rPr>
      </w:pPr>
      <w:r>
        <w:rPr>
          <w:rFonts w:ascii="仿宋" w:hAnsi="仿宋" w:eastAsia="仿宋" w:cs="宋体"/>
          <w:color w:val="333333"/>
          <w:kern w:val="0"/>
          <w:sz w:val="32"/>
          <w:szCs w:val="32"/>
        </w:rPr>
        <w:t>第</w:t>
      </w:r>
      <w:r>
        <w:rPr>
          <w:rFonts w:hint="eastAsia" w:ascii="仿宋" w:hAnsi="仿宋" w:eastAsia="仿宋" w:cs="宋体"/>
          <w:color w:val="333333"/>
          <w:kern w:val="0"/>
          <w:sz w:val="32"/>
          <w:szCs w:val="32"/>
        </w:rPr>
        <w:t>六</w:t>
      </w:r>
      <w:r>
        <w:rPr>
          <w:rFonts w:ascii="仿宋" w:hAnsi="仿宋" w:eastAsia="仿宋" w:cs="宋体"/>
          <w:color w:val="333333"/>
          <w:kern w:val="0"/>
          <w:sz w:val="32"/>
          <w:szCs w:val="32"/>
        </w:rPr>
        <w:t>条 彩票公益金不得用于以下支出：</w:t>
      </w:r>
    </w:p>
    <w:p>
      <w:pPr>
        <w:widowControl/>
        <w:spacing w:line="600" w:lineRule="exact"/>
        <w:ind w:firstLine="480"/>
        <w:jc w:val="left"/>
        <w:rPr>
          <w:rFonts w:ascii="仿宋" w:hAnsi="仿宋" w:eastAsia="仿宋" w:cs="宋体"/>
          <w:color w:val="333333"/>
          <w:kern w:val="0"/>
          <w:sz w:val="32"/>
          <w:szCs w:val="32"/>
        </w:rPr>
      </w:pPr>
      <w:r>
        <w:rPr>
          <w:rFonts w:ascii="仿宋" w:hAnsi="仿宋" w:eastAsia="仿宋" w:cs="宋体"/>
          <w:color w:val="333333"/>
          <w:kern w:val="0"/>
          <w:sz w:val="32"/>
          <w:szCs w:val="32"/>
        </w:rPr>
        <w:t>（一）平衡财政预算。</w:t>
      </w:r>
    </w:p>
    <w:p>
      <w:pPr>
        <w:widowControl/>
        <w:spacing w:line="600" w:lineRule="exact"/>
        <w:ind w:firstLine="480"/>
        <w:jc w:val="left"/>
        <w:rPr>
          <w:rFonts w:ascii="仿宋" w:hAnsi="仿宋" w:eastAsia="仿宋" w:cs="宋体"/>
          <w:color w:val="333333"/>
          <w:kern w:val="0"/>
          <w:sz w:val="32"/>
          <w:szCs w:val="32"/>
        </w:rPr>
      </w:pPr>
      <w:r>
        <w:rPr>
          <w:rFonts w:ascii="仿宋" w:hAnsi="仿宋" w:eastAsia="仿宋" w:cs="宋体"/>
          <w:color w:val="333333"/>
          <w:kern w:val="0"/>
          <w:sz w:val="32"/>
          <w:szCs w:val="32"/>
        </w:rPr>
        <w:t>（二）补充行政事业单位经费。</w:t>
      </w:r>
    </w:p>
    <w:p>
      <w:pPr>
        <w:widowControl/>
        <w:spacing w:line="600" w:lineRule="exact"/>
        <w:ind w:firstLine="480"/>
        <w:jc w:val="left"/>
        <w:rPr>
          <w:rFonts w:ascii="仿宋" w:hAnsi="仿宋" w:eastAsia="仿宋" w:cs="宋体"/>
          <w:color w:val="333333"/>
          <w:kern w:val="0"/>
          <w:sz w:val="32"/>
          <w:szCs w:val="32"/>
        </w:rPr>
      </w:pPr>
      <w:r>
        <w:rPr>
          <w:rFonts w:ascii="仿宋" w:hAnsi="仿宋" w:eastAsia="仿宋" w:cs="宋体"/>
          <w:color w:val="333333"/>
          <w:kern w:val="0"/>
          <w:sz w:val="32"/>
          <w:szCs w:val="32"/>
        </w:rPr>
        <w:t>（三）对外投资、股票和期货交易等营利性活动。</w:t>
      </w:r>
    </w:p>
    <w:p>
      <w:pPr>
        <w:widowControl/>
        <w:spacing w:line="600" w:lineRule="exact"/>
        <w:ind w:firstLine="480"/>
        <w:jc w:val="left"/>
        <w:rPr>
          <w:rFonts w:ascii="仿宋" w:hAnsi="仿宋" w:eastAsia="仿宋" w:cs="宋体"/>
          <w:color w:val="333333"/>
          <w:kern w:val="0"/>
          <w:sz w:val="32"/>
          <w:szCs w:val="32"/>
        </w:rPr>
      </w:pPr>
      <w:r>
        <w:rPr>
          <w:rFonts w:ascii="仿宋" w:hAnsi="仿宋" w:eastAsia="仿宋" w:cs="宋体"/>
          <w:color w:val="333333"/>
          <w:kern w:val="0"/>
          <w:sz w:val="32"/>
          <w:szCs w:val="32"/>
        </w:rPr>
        <w:t>（四）对外借款，以及为经济合同提供担保。</w:t>
      </w:r>
    </w:p>
    <w:p>
      <w:pPr>
        <w:widowControl/>
        <w:spacing w:line="600" w:lineRule="exact"/>
        <w:ind w:firstLine="480"/>
        <w:jc w:val="left"/>
        <w:rPr>
          <w:rFonts w:ascii="仿宋" w:hAnsi="仿宋" w:eastAsia="仿宋" w:cs="宋体"/>
          <w:color w:val="333333"/>
          <w:kern w:val="0"/>
          <w:sz w:val="32"/>
          <w:szCs w:val="32"/>
        </w:rPr>
      </w:pPr>
      <w:r>
        <w:rPr>
          <w:rFonts w:ascii="仿宋" w:hAnsi="仿宋" w:eastAsia="仿宋" w:cs="宋体"/>
          <w:color w:val="333333"/>
          <w:kern w:val="0"/>
          <w:sz w:val="32"/>
          <w:szCs w:val="32"/>
        </w:rPr>
        <w:t xml:space="preserve">（五）用于国家规定的社会福利、社会公益事业之外的用途。 </w:t>
      </w:r>
    </w:p>
    <w:p>
      <w:pPr>
        <w:widowControl/>
        <w:spacing w:line="600" w:lineRule="exact"/>
        <w:ind w:firstLine="480"/>
        <w:jc w:val="center"/>
        <w:rPr>
          <w:rFonts w:ascii="仿宋" w:hAnsi="仿宋" w:eastAsia="仿宋" w:cs="宋体"/>
          <w:b/>
          <w:color w:val="333333"/>
          <w:kern w:val="0"/>
          <w:sz w:val="32"/>
          <w:szCs w:val="32"/>
        </w:rPr>
      </w:pPr>
      <w:r>
        <w:rPr>
          <w:rFonts w:ascii="仿宋" w:hAnsi="仿宋" w:eastAsia="仿宋" w:cs="宋体"/>
          <w:b/>
          <w:color w:val="333333"/>
          <w:kern w:val="0"/>
          <w:sz w:val="32"/>
          <w:szCs w:val="32"/>
        </w:rPr>
        <w:t>第三章 彩票公益金管理</w:t>
      </w:r>
    </w:p>
    <w:p>
      <w:pPr>
        <w:widowControl/>
        <w:spacing w:line="600" w:lineRule="exact"/>
        <w:ind w:firstLine="709"/>
        <w:jc w:val="left"/>
        <w:rPr>
          <w:rFonts w:ascii="仿宋" w:hAnsi="仿宋" w:eastAsia="仿宋" w:cs="宋体"/>
          <w:color w:val="333333"/>
          <w:kern w:val="0"/>
          <w:sz w:val="32"/>
          <w:szCs w:val="32"/>
        </w:rPr>
      </w:pPr>
      <w:r>
        <w:rPr>
          <w:rFonts w:ascii="仿宋" w:hAnsi="仿宋" w:eastAsia="仿宋" w:cs="宋体"/>
          <w:color w:val="333333"/>
          <w:kern w:val="0"/>
          <w:sz w:val="32"/>
          <w:szCs w:val="32"/>
        </w:rPr>
        <w:t>第</w:t>
      </w:r>
      <w:r>
        <w:rPr>
          <w:rFonts w:hint="eastAsia" w:ascii="仿宋" w:hAnsi="仿宋" w:eastAsia="仿宋" w:cs="宋体"/>
          <w:color w:val="333333"/>
          <w:kern w:val="0"/>
          <w:sz w:val="32"/>
          <w:szCs w:val="32"/>
        </w:rPr>
        <w:t>七</w:t>
      </w:r>
      <w:r>
        <w:rPr>
          <w:rFonts w:ascii="仿宋" w:hAnsi="仿宋" w:eastAsia="仿宋" w:cs="宋体"/>
          <w:color w:val="333333"/>
          <w:kern w:val="0"/>
          <w:sz w:val="32"/>
          <w:szCs w:val="32"/>
        </w:rPr>
        <w:t>条 市民政局</w:t>
      </w:r>
      <w:r>
        <w:rPr>
          <w:rFonts w:hint="eastAsia" w:ascii="仿宋" w:hAnsi="仿宋" w:eastAsia="仿宋" w:cs="宋体"/>
          <w:color w:val="333333"/>
          <w:kern w:val="0"/>
          <w:sz w:val="32"/>
          <w:szCs w:val="32"/>
        </w:rPr>
        <w:t>财务部门</w:t>
      </w:r>
      <w:r>
        <w:rPr>
          <w:rFonts w:ascii="仿宋" w:hAnsi="仿宋" w:eastAsia="仿宋" w:cs="宋体"/>
          <w:color w:val="333333"/>
          <w:kern w:val="0"/>
          <w:sz w:val="32"/>
          <w:szCs w:val="32"/>
        </w:rPr>
        <w:t>是公益金使用管理的具体业务部门。</w:t>
      </w:r>
      <w:r>
        <w:rPr>
          <w:rFonts w:hint="eastAsia" w:ascii="仿宋" w:hAnsi="仿宋" w:eastAsia="仿宋" w:cs="宋体"/>
          <w:color w:val="333333"/>
          <w:kern w:val="0"/>
          <w:sz w:val="32"/>
          <w:szCs w:val="32"/>
        </w:rPr>
        <w:t>财务部门汇同业务科室</w:t>
      </w:r>
      <w:r>
        <w:rPr>
          <w:rFonts w:ascii="仿宋" w:hAnsi="仿宋" w:eastAsia="仿宋" w:cs="宋体"/>
          <w:color w:val="333333"/>
          <w:kern w:val="0"/>
          <w:sz w:val="32"/>
          <w:szCs w:val="32"/>
        </w:rPr>
        <w:t>按照上级民政部门确定的资金使用方向和分配原则，根据全市民政公益事业发展的中长期规划、项目前期条件具备情况、项目单位申请项目情况，结合各业务科室及项目单位提出的申请及全市项目建设的实际情况，采取因素法、项目法等方式分配，主要包括：资金预算总额、人口数量及结构、财政状况、专项项目建设需要、资金使用绩效等，提出资金分配方案，报局党组研究批准后，商财政部门及时下拨。因特殊原因形成的项目结余资金，经财政部门批准后可以结转下一年度继续使用。</w:t>
      </w:r>
    </w:p>
    <w:p>
      <w:pPr>
        <w:widowControl/>
        <w:spacing w:line="600" w:lineRule="exact"/>
        <w:ind w:firstLine="709"/>
        <w:jc w:val="left"/>
        <w:rPr>
          <w:rFonts w:ascii="仿宋" w:hAnsi="仿宋" w:eastAsia="仿宋" w:cs="宋体"/>
          <w:color w:val="333333"/>
          <w:kern w:val="0"/>
          <w:sz w:val="32"/>
          <w:szCs w:val="32"/>
        </w:rPr>
      </w:pPr>
      <w:r>
        <w:rPr>
          <w:rFonts w:ascii="仿宋" w:hAnsi="仿宋" w:eastAsia="仿宋" w:cs="宋体"/>
          <w:color w:val="333333"/>
          <w:kern w:val="0"/>
          <w:sz w:val="32"/>
          <w:szCs w:val="32"/>
        </w:rPr>
        <w:t>市民政局</w:t>
      </w:r>
      <w:r>
        <w:rPr>
          <w:rFonts w:hint="eastAsia" w:ascii="仿宋" w:hAnsi="仿宋" w:eastAsia="仿宋" w:cs="宋体"/>
          <w:color w:val="333333"/>
          <w:kern w:val="0"/>
          <w:sz w:val="32"/>
          <w:szCs w:val="32"/>
        </w:rPr>
        <w:t>财务部门</w:t>
      </w:r>
      <w:r>
        <w:rPr>
          <w:rFonts w:ascii="仿宋" w:hAnsi="仿宋" w:eastAsia="仿宋" w:cs="宋体"/>
          <w:color w:val="333333"/>
          <w:kern w:val="0"/>
          <w:sz w:val="32"/>
          <w:szCs w:val="32"/>
        </w:rPr>
        <w:t>承担公益金的审核、拨付，汇总上一年度公益金使用情况，制定公益金使用相关制度，做好公益金使用管理等职责。各业务科室负责本业务领域项目公益金的管理使用，组织项目具体执行，配合做好项目绩效评价和信息公开。</w:t>
      </w:r>
    </w:p>
    <w:p>
      <w:pPr>
        <w:widowControl/>
        <w:spacing w:line="600" w:lineRule="exact"/>
        <w:ind w:firstLine="480"/>
        <w:jc w:val="left"/>
        <w:rPr>
          <w:rFonts w:ascii="仿宋" w:hAnsi="仿宋" w:eastAsia="仿宋" w:cs="宋体"/>
          <w:color w:val="333333"/>
          <w:kern w:val="0"/>
          <w:sz w:val="32"/>
          <w:szCs w:val="32"/>
        </w:rPr>
      </w:pPr>
      <w:r>
        <w:rPr>
          <w:rFonts w:ascii="仿宋" w:hAnsi="仿宋" w:eastAsia="仿宋" w:cs="宋体"/>
          <w:color w:val="333333"/>
          <w:kern w:val="0"/>
          <w:sz w:val="32"/>
          <w:szCs w:val="32"/>
        </w:rPr>
        <w:t>第</w:t>
      </w:r>
      <w:r>
        <w:rPr>
          <w:rFonts w:hint="eastAsia" w:ascii="仿宋" w:hAnsi="仿宋" w:eastAsia="仿宋" w:cs="宋体"/>
          <w:color w:val="333333"/>
          <w:kern w:val="0"/>
          <w:sz w:val="32"/>
          <w:szCs w:val="32"/>
        </w:rPr>
        <w:t>八</w:t>
      </w:r>
      <w:r>
        <w:rPr>
          <w:rFonts w:ascii="仿宋" w:hAnsi="仿宋" w:eastAsia="仿宋" w:cs="宋体"/>
          <w:color w:val="333333"/>
          <w:kern w:val="0"/>
          <w:sz w:val="32"/>
          <w:szCs w:val="32"/>
        </w:rPr>
        <w:t>条 各</w:t>
      </w:r>
      <w:r>
        <w:rPr>
          <w:rFonts w:hint="eastAsia" w:ascii="仿宋" w:hAnsi="仿宋" w:eastAsia="仿宋" w:cs="宋体"/>
          <w:color w:val="333333"/>
          <w:kern w:val="0"/>
          <w:sz w:val="32"/>
          <w:szCs w:val="32"/>
        </w:rPr>
        <w:t>业务科室</w:t>
      </w:r>
      <w:r>
        <w:rPr>
          <w:rFonts w:ascii="仿宋" w:hAnsi="仿宋" w:eastAsia="仿宋" w:cs="宋体"/>
          <w:color w:val="333333"/>
          <w:kern w:val="0"/>
          <w:sz w:val="32"/>
          <w:szCs w:val="32"/>
        </w:rPr>
        <w:t>要做好项目申报工作，项目</w:t>
      </w:r>
      <w:r>
        <w:rPr>
          <w:rFonts w:hint="eastAsia" w:ascii="仿宋" w:hAnsi="仿宋" w:eastAsia="仿宋" w:cs="宋体"/>
          <w:color w:val="333333"/>
          <w:kern w:val="0"/>
          <w:sz w:val="32"/>
          <w:szCs w:val="32"/>
        </w:rPr>
        <w:t>申报</w:t>
      </w:r>
      <w:r>
        <w:rPr>
          <w:rFonts w:ascii="仿宋" w:hAnsi="仿宋" w:eastAsia="仿宋" w:cs="宋体"/>
          <w:color w:val="333333"/>
          <w:kern w:val="0"/>
          <w:sz w:val="32"/>
          <w:szCs w:val="32"/>
        </w:rPr>
        <w:t>需</w:t>
      </w:r>
      <w:r>
        <w:rPr>
          <w:rFonts w:hint="eastAsia" w:ascii="仿宋" w:hAnsi="仿宋" w:eastAsia="仿宋" w:cs="宋体"/>
          <w:color w:val="333333"/>
          <w:kern w:val="0"/>
          <w:sz w:val="32"/>
          <w:szCs w:val="32"/>
        </w:rPr>
        <w:t>在编制下一年度财政部门预算时</w:t>
      </w:r>
      <w:r>
        <w:rPr>
          <w:rFonts w:ascii="仿宋" w:hAnsi="仿宋" w:eastAsia="仿宋" w:cs="宋体"/>
          <w:color w:val="333333"/>
          <w:kern w:val="0"/>
          <w:sz w:val="32"/>
          <w:szCs w:val="32"/>
        </w:rPr>
        <w:t>提</w:t>
      </w:r>
      <w:r>
        <w:rPr>
          <w:rFonts w:hint="eastAsia" w:ascii="仿宋" w:hAnsi="仿宋" w:eastAsia="仿宋" w:cs="宋体"/>
          <w:color w:val="333333"/>
          <w:kern w:val="0"/>
          <w:sz w:val="32"/>
          <w:szCs w:val="32"/>
        </w:rPr>
        <w:t>出</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并提供简要</w:t>
      </w:r>
      <w:r>
        <w:rPr>
          <w:rFonts w:ascii="仿宋" w:hAnsi="仿宋" w:eastAsia="仿宋" w:cs="宋体"/>
          <w:color w:val="333333"/>
          <w:kern w:val="0"/>
          <w:sz w:val="32"/>
          <w:szCs w:val="32"/>
        </w:rPr>
        <w:t>项目实施方案及项目资金预算等资料。</w:t>
      </w:r>
    </w:p>
    <w:p>
      <w:pPr>
        <w:widowControl/>
        <w:spacing w:line="600" w:lineRule="exact"/>
        <w:ind w:firstLine="567"/>
        <w:jc w:val="left"/>
        <w:rPr>
          <w:rFonts w:ascii="仿宋" w:hAnsi="仿宋" w:eastAsia="仿宋" w:cs="宋体"/>
          <w:color w:val="333333"/>
          <w:kern w:val="0"/>
          <w:sz w:val="32"/>
          <w:szCs w:val="32"/>
        </w:rPr>
      </w:pPr>
      <w:r>
        <w:rPr>
          <w:rFonts w:ascii="仿宋" w:hAnsi="仿宋" w:eastAsia="仿宋" w:cs="宋体"/>
          <w:color w:val="333333"/>
          <w:kern w:val="0"/>
          <w:sz w:val="32"/>
          <w:szCs w:val="32"/>
        </w:rPr>
        <w:t>第</w:t>
      </w:r>
      <w:r>
        <w:rPr>
          <w:rFonts w:hint="eastAsia" w:ascii="仿宋" w:hAnsi="仿宋" w:eastAsia="仿宋" w:cs="宋体"/>
          <w:color w:val="333333"/>
          <w:kern w:val="0"/>
          <w:sz w:val="32"/>
          <w:szCs w:val="32"/>
        </w:rPr>
        <w:t>九</w:t>
      </w:r>
      <w:r>
        <w:rPr>
          <w:rFonts w:ascii="仿宋" w:hAnsi="仿宋" w:eastAsia="仿宋" w:cs="宋体"/>
          <w:color w:val="333333"/>
          <w:kern w:val="0"/>
          <w:sz w:val="32"/>
          <w:szCs w:val="32"/>
        </w:rPr>
        <w:t>条 重大项目的建设，申请单位应报送相应的项目材料，包括：</w:t>
      </w:r>
    </w:p>
    <w:p>
      <w:pPr>
        <w:widowControl/>
        <w:spacing w:line="600" w:lineRule="exact"/>
        <w:ind w:firstLine="480"/>
        <w:jc w:val="left"/>
        <w:rPr>
          <w:rFonts w:ascii="仿宋" w:hAnsi="仿宋" w:eastAsia="仿宋" w:cs="宋体"/>
          <w:color w:val="333333"/>
          <w:kern w:val="0"/>
          <w:sz w:val="32"/>
          <w:szCs w:val="32"/>
        </w:rPr>
      </w:pPr>
      <w:r>
        <w:rPr>
          <w:rFonts w:ascii="仿宋" w:hAnsi="仿宋" w:eastAsia="仿宋" w:cs="宋体"/>
          <w:color w:val="333333"/>
          <w:kern w:val="0"/>
          <w:sz w:val="32"/>
          <w:szCs w:val="32"/>
        </w:rPr>
        <w:t>（一）项目申报书。</w:t>
      </w:r>
    </w:p>
    <w:p>
      <w:pPr>
        <w:widowControl/>
        <w:spacing w:line="600" w:lineRule="exact"/>
        <w:ind w:firstLine="480"/>
        <w:jc w:val="left"/>
        <w:rPr>
          <w:rFonts w:ascii="仿宋" w:hAnsi="仿宋" w:eastAsia="仿宋" w:cs="宋体"/>
          <w:color w:val="333333"/>
          <w:kern w:val="0"/>
          <w:sz w:val="32"/>
          <w:szCs w:val="32"/>
        </w:rPr>
      </w:pPr>
      <w:r>
        <w:rPr>
          <w:rFonts w:ascii="仿宋" w:hAnsi="仿宋" w:eastAsia="仿宋" w:cs="宋体"/>
          <w:color w:val="333333"/>
          <w:kern w:val="0"/>
          <w:sz w:val="32"/>
          <w:szCs w:val="32"/>
        </w:rPr>
        <w:t>（二）项目可行性研究报告。</w:t>
      </w:r>
    </w:p>
    <w:p>
      <w:pPr>
        <w:widowControl/>
        <w:spacing w:line="600" w:lineRule="exact"/>
        <w:ind w:firstLine="480"/>
        <w:jc w:val="left"/>
        <w:rPr>
          <w:rFonts w:ascii="仿宋" w:hAnsi="仿宋" w:eastAsia="仿宋" w:cs="宋体"/>
          <w:color w:val="333333"/>
          <w:kern w:val="0"/>
          <w:sz w:val="32"/>
          <w:szCs w:val="32"/>
        </w:rPr>
      </w:pPr>
      <w:r>
        <w:rPr>
          <w:rFonts w:ascii="仿宋" w:hAnsi="仿宋" w:eastAsia="仿宋" w:cs="宋体"/>
          <w:color w:val="333333"/>
          <w:kern w:val="0"/>
          <w:sz w:val="32"/>
          <w:szCs w:val="32"/>
        </w:rPr>
        <w:t>（三）项目实施方案。</w:t>
      </w:r>
    </w:p>
    <w:p>
      <w:pPr>
        <w:widowControl/>
        <w:spacing w:line="600" w:lineRule="exact"/>
        <w:ind w:firstLine="480"/>
        <w:jc w:val="left"/>
        <w:rPr>
          <w:rFonts w:ascii="仿宋" w:hAnsi="仿宋" w:eastAsia="仿宋" w:cs="宋体"/>
          <w:color w:val="333333"/>
          <w:kern w:val="0"/>
          <w:sz w:val="32"/>
          <w:szCs w:val="32"/>
        </w:rPr>
      </w:pPr>
      <w:r>
        <w:rPr>
          <w:rFonts w:ascii="仿宋" w:hAnsi="仿宋" w:eastAsia="仿宋" w:cs="宋体"/>
          <w:color w:val="333333"/>
          <w:kern w:val="0"/>
          <w:sz w:val="32"/>
          <w:szCs w:val="32"/>
        </w:rPr>
        <w:t>（四）重大项目的有关批复文件及资金预算。</w:t>
      </w:r>
    </w:p>
    <w:p>
      <w:pPr>
        <w:widowControl/>
        <w:spacing w:line="600" w:lineRule="exact"/>
        <w:ind w:firstLine="480"/>
        <w:jc w:val="left"/>
        <w:rPr>
          <w:rFonts w:ascii="仿宋" w:hAnsi="仿宋" w:eastAsia="仿宋" w:cs="宋体"/>
          <w:color w:val="333333"/>
          <w:kern w:val="0"/>
          <w:sz w:val="32"/>
          <w:szCs w:val="32"/>
        </w:rPr>
      </w:pPr>
      <w:r>
        <w:rPr>
          <w:rFonts w:ascii="仿宋" w:hAnsi="仿宋" w:eastAsia="仿宋" w:cs="宋体"/>
          <w:color w:val="333333"/>
          <w:kern w:val="0"/>
          <w:sz w:val="32"/>
          <w:szCs w:val="32"/>
        </w:rPr>
        <w:t>（五）要求报送的其他材料。</w:t>
      </w:r>
    </w:p>
    <w:p>
      <w:pPr>
        <w:widowControl/>
        <w:spacing w:line="600" w:lineRule="exact"/>
        <w:ind w:firstLine="480"/>
        <w:jc w:val="left"/>
        <w:rPr>
          <w:rFonts w:ascii="仿宋" w:hAnsi="仿宋" w:eastAsia="仿宋" w:cs="宋体"/>
          <w:color w:val="333333"/>
          <w:kern w:val="0"/>
          <w:sz w:val="32"/>
          <w:szCs w:val="32"/>
        </w:rPr>
      </w:pPr>
      <w:r>
        <w:rPr>
          <w:rFonts w:ascii="仿宋" w:hAnsi="仿宋" w:eastAsia="仿宋" w:cs="宋体"/>
          <w:color w:val="333333"/>
          <w:kern w:val="0"/>
          <w:sz w:val="32"/>
          <w:szCs w:val="32"/>
        </w:rPr>
        <w:t>重大项目申报单位具有以下职责：</w:t>
      </w:r>
    </w:p>
    <w:p>
      <w:pPr>
        <w:widowControl/>
        <w:spacing w:line="600" w:lineRule="exact"/>
        <w:ind w:firstLine="480"/>
        <w:jc w:val="left"/>
        <w:rPr>
          <w:rFonts w:ascii="仿宋" w:hAnsi="仿宋" w:eastAsia="仿宋" w:cs="宋体"/>
          <w:color w:val="333333"/>
          <w:kern w:val="0"/>
          <w:sz w:val="32"/>
          <w:szCs w:val="32"/>
        </w:rPr>
      </w:pPr>
      <w:r>
        <w:rPr>
          <w:rFonts w:ascii="仿宋" w:hAnsi="仿宋" w:eastAsia="仿宋" w:cs="宋体"/>
          <w:color w:val="333333"/>
          <w:kern w:val="0"/>
          <w:sz w:val="32"/>
          <w:szCs w:val="32"/>
        </w:rPr>
        <w:t>（一）编制项目预算，并对申报材料的真实性和有效性负责；</w:t>
      </w:r>
    </w:p>
    <w:p>
      <w:pPr>
        <w:widowControl/>
        <w:spacing w:line="600" w:lineRule="exact"/>
        <w:ind w:firstLine="480"/>
        <w:jc w:val="left"/>
        <w:rPr>
          <w:rFonts w:ascii="仿宋" w:hAnsi="仿宋" w:eastAsia="仿宋" w:cs="宋体"/>
          <w:color w:val="333333"/>
          <w:kern w:val="0"/>
          <w:sz w:val="32"/>
          <w:szCs w:val="32"/>
        </w:rPr>
      </w:pPr>
      <w:r>
        <w:rPr>
          <w:rFonts w:ascii="仿宋" w:hAnsi="仿宋" w:eastAsia="仿宋" w:cs="宋体"/>
          <w:color w:val="333333"/>
          <w:kern w:val="0"/>
          <w:sz w:val="32"/>
          <w:szCs w:val="32"/>
        </w:rPr>
        <w:t>（二）负责项目实施，并落实项目实施条件和配套资金；</w:t>
      </w:r>
    </w:p>
    <w:p>
      <w:pPr>
        <w:widowControl/>
        <w:spacing w:line="600" w:lineRule="exact"/>
        <w:ind w:firstLine="480"/>
        <w:jc w:val="left"/>
        <w:rPr>
          <w:rFonts w:ascii="仿宋" w:hAnsi="仿宋" w:eastAsia="仿宋" w:cs="宋体"/>
          <w:color w:val="333333"/>
          <w:kern w:val="0"/>
          <w:sz w:val="32"/>
          <w:szCs w:val="32"/>
        </w:rPr>
      </w:pPr>
      <w:r>
        <w:rPr>
          <w:rFonts w:ascii="仿宋" w:hAnsi="仿宋" w:eastAsia="仿宋" w:cs="宋体"/>
          <w:color w:val="333333"/>
          <w:kern w:val="0"/>
          <w:sz w:val="32"/>
          <w:szCs w:val="32"/>
        </w:rPr>
        <w:t>（三）对项目资金进行会计核算和财务管理；</w:t>
      </w:r>
    </w:p>
    <w:p>
      <w:pPr>
        <w:widowControl/>
        <w:spacing w:line="600" w:lineRule="exact"/>
        <w:ind w:firstLine="480"/>
        <w:jc w:val="left"/>
        <w:rPr>
          <w:rFonts w:ascii="仿宋" w:hAnsi="仿宋" w:eastAsia="仿宋" w:cs="宋体"/>
          <w:color w:val="333333"/>
          <w:kern w:val="0"/>
          <w:sz w:val="32"/>
          <w:szCs w:val="32"/>
        </w:rPr>
      </w:pPr>
      <w:r>
        <w:rPr>
          <w:rFonts w:ascii="仿宋" w:hAnsi="仿宋" w:eastAsia="仿宋" w:cs="宋体"/>
          <w:color w:val="333333"/>
          <w:kern w:val="0"/>
          <w:sz w:val="32"/>
          <w:szCs w:val="32"/>
        </w:rPr>
        <w:t>（四）接受有关部门对福彩公益金使用情况的监督检查和绩效评价；</w:t>
      </w:r>
    </w:p>
    <w:p>
      <w:pPr>
        <w:widowControl/>
        <w:spacing w:line="600" w:lineRule="exact"/>
        <w:ind w:firstLine="480"/>
        <w:jc w:val="left"/>
        <w:rPr>
          <w:rFonts w:ascii="仿宋" w:hAnsi="仿宋" w:eastAsia="仿宋" w:cs="宋体"/>
          <w:color w:val="333333"/>
          <w:kern w:val="0"/>
          <w:sz w:val="32"/>
          <w:szCs w:val="32"/>
        </w:rPr>
      </w:pPr>
      <w:r>
        <w:rPr>
          <w:rFonts w:ascii="仿宋" w:hAnsi="仿宋" w:eastAsia="仿宋" w:cs="宋体"/>
          <w:color w:val="333333"/>
          <w:kern w:val="0"/>
          <w:sz w:val="32"/>
          <w:szCs w:val="32"/>
        </w:rPr>
        <w:t>（五）按要求提供资助资金使用情况报告以及有关财务报告。</w:t>
      </w:r>
    </w:p>
    <w:p>
      <w:pPr>
        <w:widowControl/>
        <w:spacing w:line="600" w:lineRule="exact"/>
        <w:ind w:firstLine="709"/>
        <w:jc w:val="left"/>
        <w:rPr>
          <w:rFonts w:ascii="仿宋" w:hAnsi="仿宋" w:eastAsia="仿宋" w:cs="宋体"/>
          <w:color w:val="333333"/>
          <w:kern w:val="0"/>
          <w:sz w:val="32"/>
          <w:szCs w:val="32"/>
        </w:rPr>
      </w:pPr>
      <w:r>
        <w:rPr>
          <w:rFonts w:ascii="仿宋" w:hAnsi="仿宋" w:eastAsia="仿宋" w:cs="宋体"/>
          <w:color w:val="333333"/>
          <w:kern w:val="0"/>
          <w:sz w:val="32"/>
          <w:szCs w:val="32"/>
        </w:rPr>
        <w:t>第十条 福彩公益金资助项目实行“谁申报谁负责”的原则，申请单位应当将福彩公益金用于指定项目，并保证资助期内不得改变机构的性质用途和经营范围。</w:t>
      </w:r>
    </w:p>
    <w:p>
      <w:pPr>
        <w:widowControl/>
        <w:spacing w:line="600" w:lineRule="exact"/>
        <w:ind w:firstLine="709"/>
        <w:jc w:val="left"/>
        <w:rPr>
          <w:rFonts w:ascii="仿宋" w:hAnsi="仿宋" w:eastAsia="仿宋" w:cs="宋体"/>
          <w:color w:val="333333"/>
          <w:kern w:val="0"/>
          <w:sz w:val="32"/>
          <w:szCs w:val="32"/>
        </w:rPr>
      </w:pPr>
      <w:r>
        <w:rPr>
          <w:rFonts w:ascii="仿宋" w:hAnsi="仿宋" w:eastAsia="仿宋" w:cs="宋体"/>
          <w:color w:val="333333"/>
          <w:kern w:val="0"/>
          <w:sz w:val="32"/>
          <w:szCs w:val="32"/>
        </w:rPr>
        <w:t>第十</w:t>
      </w:r>
      <w:r>
        <w:rPr>
          <w:rFonts w:hint="eastAsia" w:ascii="仿宋" w:hAnsi="仿宋" w:eastAsia="仿宋" w:cs="宋体"/>
          <w:color w:val="333333"/>
          <w:kern w:val="0"/>
          <w:sz w:val="32"/>
          <w:szCs w:val="32"/>
        </w:rPr>
        <w:t>一</w:t>
      </w:r>
      <w:r>
        <w:rPr>
          <w:rFonts w:ascii="仿宋" w:hAnsi="仿宋" w:eastAsia="仿宋" w:cs="宋体"/>
          <w:color w:val="333333"/>
          <w:kern w:val="0"/>
          <w:sz w:val="32"/>
          <w:szCs w:val="32"/>
        </w:rPr>
        <w:t>条 彩票公益金资助项目确定并下达后</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项目单位要严格按照按照国家财务规章制度以及公益金管理的有关规定使用资金，不得挤占、挪用和超范围支出。不得擅自调整，不得违规分包和转包。如发生项目变更、终止，需要调整的，应按有关规定和程序上报。项目单位负责人要对所承担项目资金的使用和效益负责，确保项目进度和工程质量。项目单位要建立健全内部控制制度，制定新项目资金使用管理办法。要完善项目资金的内部审计制度，民政会同财政及审计部门要对彩票公益金使用情况进行跟踪问效。</w:t>
      </w:r>
    </w:p>
    <w:p>
      <w:pPr>
        <w:widowControl/>
        <w:spacing w:line="600" w:lineRule="exact"/>
        <w:ind w:firstLine="709"/>
        <w:jc w:val="left"/>
        <w:rPr>
          <w:rFonts w:ascii="仿宋" w:hAnsi="仿宋" w:eastAsia="仿宋" w:cs="宋体"/>
          <w:color w:val="333333"/>
          <w:kern w:val="0"/>
          <w:sz w:val="32"/>
          <w:szCs w:val="32"/>
        </w:rPr>
      </w:pPr>
      <w:r>
        <w:rPr>
          <w:rFonts w:ascii="仿宋" w:hAnsi="仿宋" w:eastAsia="仿宋" w:cs="宋体"/>
          <w:color w:val="333333"/>
          <w:kern w:val="0"/>
          <w:sz w:val="32"/>
          <w:szCs w:val="32"/>
        </w:rPr>
        <w:t>第十</w:t>
      </w:r>
      <w:r>
        <w:rPr>
          <w:rFonts w:hint="eastAsia" w:ascii="仿宋" w:hAnsi="仿宋" w:eastAsia="仿宋" w:cs="宋体"/>
          <w:color w:val="333333"/>
          <w:kern w:val="0"/>
          <w:sz w:val="32"/>
          <w:szCs w:val="32"/>
        </w:rPr>
        <w:t>二</w:t>
      </w:r>
      <w:r>
        <w:rPr>
          <w:rFonts w:ascii="仿宋" w:hAnsi="仿宋" w:eastAsia="仿宋" w:cs="宋体"/>
          <w:color w:val="333333"/>
          <w:kern w:val="0"/>
          <w:sz w:val="32"/>
          <w:szCs w:val="32"/>
        </w:rPr>
        <w:t>条 彩票公益金项目资金支出属于政府采购范围的，按照政府采购有关规定执行。</w:t>
      </w:r>
    </w:p>
    <w:p>
      <w:pPr>
        <w:widowControl/>
        <w:spacing w:line="600" w:lineRule="exact"/>
        <w:ind w:firstLine="709"/>
        <w:jc w:val="left"/>
        <w:rPr>
          <w:rFonts w:ascii="仿宋" w:hAnsi="仿宋" w:eastAsia="仿宋" w:cs="宋体"/>
          <w:color w:val="333333"/>
          <w:kern w:val="0"/>
          <w:sz w:val="32"/>
          <w:szCs w:val="32"/>
        </w:rPr>
      </w:pPr>
      <w:r>
        <w:rPr>
          <w:rFonts w:ascii="仿宋" w:hAnsi="仿宋" w:eastAsia="仿宋" w:cs="宋体"/>
          <w:color w:val="333333"/>
          <w:kern w:val="0"/>
          <w:sz w:val="32"/>
          <w:szCs w:val="32"/>
        </w:rPr>
        <w:t>第十</w:t>
      </w:r>
      <w:r>
        <w:rPr>
          <w:rFonts w:hint="eastAsia" w:ascii="仿宋" w:hAnsi="仿宋" w:eastAsia="仿宋" w:cs="宋体"/>
          <w:color w:val="333333"/>
          <w:kern w:val="0"/>
          <w:sz w:val="32"/>
          <w:szCs w:val="32"/>
        </w:rPr>
        <w:t>三</w:t>
      </w:r>
      <w:r>
        <w:rPr>
          <w:rFonts w:ascii="仿宋" w:hAnsi="仿宋" w:eastAsia="仿宋" w:cs="宋体"/>
          <w:color w:val="333333"/>
          <w:kern w:val="0"/>
          <w:sz w:val="32"/>
          <w:szCs w:val="32"/>
        </w:rPr>
        <w:t>条 彩票公益金项目资金支付按照财政国库管理制度有关规定执行。</w:t>
      </w:r>
    </w:p>
    <w:p>
      <w:pPr>
        <w:pStyle w:val="8"/>
        <w:widowControl/>
        <w:numPr>
          <w:ilvl w:val="0"/>
          <w:numId w:val="2"/>
        </w:numPr>
        <w:spacing w:line="600" w:lineRule="exact"/>
        <w:ind w:firstLineChars="0"/>
        <w:jc w:val="center"/>
        <w:rPr>
          <w:rFonts w:ascii="仿宋" w:hAnsi="仿宋" w:eastAsia="仿宋" w:cs="宋体"/>
          <w:b/>
          <w:color w:val="333333"/>
          <w:kern w:val="0"/>
          <w:sz w:val="32"/>
          <w:szCs w:val="32"/>
        </w:rPr>
      </w:pPr>
      <w:r>
        <w:rPr>
          <w:rFonts w:hint="eastAsia" w:ascii="仿宋" w:hAnsi="仿宋" w:eastAsia="仿宋" w:cs="宋体"/>
          <w:b/>
          <w:color w:val="333333"/>
          <w:kern w:val="0"/>
          <w:sz w:val="32"/>
          <w:szCs w:val="32"/>
        </w:rPr>
        <w:t xml:space="preserve"> </w:t>
      </w:r>
      <w:r>
        <w:rPr>
          <w:rFonts w:ascii="仿宋" w:hAnsi="仿宋" w:eastAsia="仿宋" w:cs="宋体"/>
          <w:b/>
          <w:color w:val="333333"/>
          <w:kern w:val="0"/>
          <w:sz w:val="32"/>
          <w:szCs w:val="32"/>
        </w:rPr>
        <w:t>信息公开</w:t>
      </w:r>
    </w:p>
    <w:p>
      <w:pPr>
        <w:widowControl/>
        <w:spacing w:line="600" w:lineRule="exact"/>
        <w:ind w:firstLine="709"/>
        <w:jc w:val="left"/>
        <w:rPr>
          <w:rFonts w:ascii="仿宋" w:hAnsi="仿宋" w:eastAsia="仿宋" w:cs="宋体"/>
          <w:color w:val="333333"/>
          <w:kern w:val="0"/>
          <w:sz w:val="32"/>
          <w:szCs w:val="32"/>
        </w:rPr>
      </w:pPr>
      <w:r>
        <w:rPr>
          <w:rFonts w:ascii="仿宋" w:hAnsi="仿宋" w:eastAsia="仿宋" w:cs="宋体"/>
          <w:color w:val="333333"/>
          <w:kern w:val="0"/>
          <w:sz w:val="32"/>
          <w:szCs w:val="32"/>
        </w:rPr>
        <w:t>第十</w:t>
      </w:r>
      <w:r>
        <w:rPr>
          <w:rFonts w:hint="eastAsia" w:ascii="仿宋" w:hAnsi="仿宋" w:eastAsia="仿宋" w:cs="宋体"/>
          <w:color w:val="333333"/>
          <w:kern w:val="0"/>
          <w:sz w:val="32"/>
          <w:szCs w:val="32"/>
        </w:rPr>
        <w:t>四</w:t>
      </w:r>
      <w:r>
        <w:rPr>
          <w:rFonts w:ascii="仿宋" w:hAnsi="仿宋" w:eastAsia="仿宋" w:cs="宋体"/>
          <w:color w:val="333333"/>
          <w:kern w:val="0"/>
          <w:sz w:val="32"/>
          <w:szCs w:val="32"/>
        </w:rPr>
        <w:t>条 彩票公益金资助的基本建设设施、设备或者社会公益活动，应当以显著方式标明</w:t>
      </w:r>
      <w:r>
        <w:rPr>
          <w:rFonts w:hint="eastAsia" w:ascii="仿宋" w:hAnsi="仿宋" w:eastAsia="仿宋" w:cs="宋体"/>
          <w:color w:val="333333"/>
          <w:kern w:val="0"/>
          <w:sz w:val="32"/>
          <w:szCs w:val="32"/>
        </w:rPr>
        <w:t>“</w:t>
      </w:r>
      <w:r>
        <w:rPr>
          <w:rFonts w:ascii="仿宋" w:hAnsi="仿宋" w:eastAsia="仿宋" w:cs="宋体"/>
          <w:color w:val="333333"/>
          <w:kern w:val="0"/>
          <w:sz w:val="32"/>
          <w:szCs w:val="32"/>
        </w:rPr>
        <w:t>彩票公益金资助—中国福利彩票”标识。</w:t>
      </w:r>
    </w:p>
    <w:p>
      <w:pPr>
        <w:widowControl/>
        <w:spacing w:line="600" w:lineRule="exact"/>
        <w:ind w:firstLine="709"/>
        <w:jc w:val="left"/>
        <w:rPr>
          <w:rFonts w:ascii="仿宋" w:hAnsi="仿宋" w:eastAsia="仿宋" w:cs="宋体"/>
          <w:color w:val="333333"/>
          <w:kern w:val="0"/>
          <w:sz w:val="32"/>
          <w:szCs w:val="32"/>
        </w:rPr>
      </w:pPr>
      <w:r>
        <w:rPr>
          <w:rFonts w:ascii="仿宋" w:hAnsi="仿宋" w:eastAsia="仿宋" w:cs="宋体"/>
          <w:color w:val="333333"/>
          <w:kern w:val="0"/>
          <w:sz w:val="32"/>
          <w:szCs w:val="32"/>
        </w:rPr>
        <w:t>第十</w:t>
      </w:r>
      <w:r>
        <w:rPr>
          <w:rFonts w:hint="eastAsia" w:ascii="仿宋" w:hAnsi="仿宋" w:eastAsia="仿宋" w:cs="宋体"/>
          <w:color w:val="333333"/>
          <w:kern w:val="0"/>
          <w:sz w:val="32"/>
          <w:szCs w:val="32"/>
        </w:rPr>
        <w:t>五</w:t>
      </w:r>
      <w:r>
        <w:rPr>
          <w:rFonts w:ascii="仿宋" w:hAnsi="仿宋" w:eastAsia="仿宋" w:cs="宋体"/>
          <w:color w:val="333333"/>
          <w:kern w:val="0"/>
          <w:sz w:val="32"/>
          <w:szCs w:val="32"/>
        </w:rPr>
        <w:t>条 完善彩票公益金使用管理信息公开制度，以公开为原则，以不公开为例外，及时公开公益金使用管理过程及结果的信息。项目单位要通过本单位网站、民政局官网或其他媒介，主动向社会公开彩票公益金项目基本情况。</w:t>
      </w:r>
    </w:p>
    <w:p>
      <w:pPr>
        <w:widowControl/>
        <w:spacing w:line="420" w:lineRule="exact"/>
        <w:ind w:firstLine="709"/>
        <w:jc w:val="left"/>
        <w:rPr>
          <w:rFonts w:ascii="仿宋" w:hAnsi="仿宋" w:eastAsia="仿宋" w:cs="宋体"/>
          <w:color w:val="333333"/>
          <w:kern w:val="0"/>
          <w:sz w:val="32"/>
          <w:szCs w:val="32"/>
        </w:rPr>
      </w:pPr>
    </w:p>
    <w:p>
      <w:pPr>
        <w:pStyle w:val="8"/>
        <w:widowControl/>
        <w:numPr>
          <w:ilvl w:val="0"/>
          <w:numId w:val="2"/>
        </w:numPr>
        <w:spacing w:line="600" w:lineRule="exact"/>
        <w:ind w:firstLineChars="0"/>
        <w:jc w:val="center"/>
        <w:rPr>
          <w:rFonts w:ascii="仿宋" w:hAnsi="仿宋" w:eastAsia="仿宋" w:cs="宋体"/>
          <w:b/>
          <w:color w:val="333333"/>
          <w:kern w:val="0"/>
          <w:sz w:val="32"/>
          <w:szCs w:val="32"/>
        </w:rPr>
      </w:pPr>
      <w:r>
        <w:rPr>
          <w:rFonts w:ascii="仿宋" w:hAnsi="仿宋" w:eastAsia="仿宋" w:cs="宋体"/>
          <w:b/>
          <w:color w:val="333333"/>
          <w:kern w:val="0"/>
          <w:sz w:val="32"/>
          <w:szCs w:val="32"/>
        </w:rPr>
        <w:t>绩效评价与督查</w:t>
      </w:r>
    </w:p>
    <w:p>
      <w:pPr>
        <w:widowControl/>
        <w:spacing w:line="600" w:lineRule="exact"/>
        <w:ind w:firstLine="709"/>
        <w:jc w:val="left"/>
        <w:rPr>
          <w:rFonts w:ascii="仿宋" w:hAnsi="仿宋" w:eastAsia="仿宋" w:cs="宋体"/>
          <w:color w:val="333333"/>
          <w:kern w:val="0"/>
          <w:sz w:val="32"/>
          <w:szCs w:val="32"/>
        </w:rPr>
      </w:pPr>
      <w:r>
        <w:rPr>
          <w:rFonts w:ascii="仿宋" w:hAnsi="仿宋" w:eastAsia="仿宋" w:cs="宋体"/>
          <w:color w:val="333333"/>
          <w:kern w:val="0"/>
          <w:sz w:val="32"/>
          <w:szCs w:val="32"/>
        </w:rPr>
        <w:t>第十</w:t>
      </w:r>
      <w:r>
        <w:rPr>
          <w:rFonts w:hint="eastAsia" w:ascii="仿宋" w:hAnsi="仿宋" w:eastAsia="仿宋" w:cs="宋体"/>
          <w:color w:val="333333"/>
          <w:kern w:val="0"/>
          <w:sz w:val="32"/>
          <w:szCs w:val="32"/>
        </w:rPr>
        <w:t>六</w:t>
      </w:r>
      <w:r>
        <w:rPr>
          <w:rFonts w:ascii="仿宋" w:hAnsi="仿宋" w:eastAsia="仿宋" w:cs="宋体"/>
          <w:color w:val="333333"/>
          <w:kern w:val="0"/>
          <w:sz w:val="32"/>
          <w:szCs w:val="32"/>
        </w:rPr>
        <w:t>条</w:t>
      </w:r>
      <w:r>
        <w:rPr>
          <w:rFonts w:hint="eastAsia" w:ascii="仿宋" w:hAnsi="仿宋" w:eastAsia="仿宋" w:cs="宋体"/>
          <w:color w:val="333333"/>
          <w:kern w:val="0"/>
          <w:sz w:val="32"/>
          <w:szCs w:val="32"/>
        </w:rPr>
        <w:t xml:space="preserve"> 民政、财政部门应当按照全面实施预算绩效管理要求,对福彩公益金实施全过程绩效管理,所有项目均应当按规定编制绩效目标,未按要求编制绩效目标的项目不得纳入年度部门预算,按照职责分工做好绩效目标审核、绩效运行监控和绩效评价工作,并强化绩效评价结果应用,定期总结社会公益事业资金管理使用情况和成效,提高资金使用效益。</w:t>
      </w:r>
      <w:r>
        <w:rPr>
          <w:rFonts w:hint="eastAsia" w:ascii="仿宋" w:hAnsi="仿宋" w:eastAsia="仿宋" w:cs="宋体"/>
          <w:color w:val="333333"/>
          <w:kern w:val="0"/>
          <w:sz w:val="32"/>
          <w:szCs w:val="32"/>
        </w:rPr>
        <w:br w:type="textWrapping"/>
      </w: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民政、财政部门应当根据预算绩效管理相关要求,实施对福彩公益金的全过程预算绩效管理。</w:t>
      </w:r>
    </w:p>
    <w:p>
      <w:pPr>
        <w:widowControl/>
        <w:spacing w:line="600" w:lineRule="exact"/>
        <w:ind w:firstLine="709"/>
        <w:jc w:val="left"/>
        <w:rPr>
          <w:rFonts w:ascii="仿宋" w:hAnsi="仿宋" w:eastAsia="仿宋" w:cs="宋体"/>
          <w:color w:val="333333"/>
          <w:kern w:val="0"/>
          <w:sz w:val="32"/>
          <w:szCs w:val="32"/>
        </w:rPr>
      </w:pPr>
      <w:r>
        <w:rPr>
          <w:rFonts w:ascii="仿宋" w:hAnsi="仿宋" w:eastAsia="仿宋" w:cs="宋体"/>
          <w:color w:val="333333"/>
          <w:kern w:val="0"/>
          <w:sz w:val="32"/>
          <w:szCs w:val="32"/>
        </w:rPr>
        <w:t>第十</w:t>
      </w:r>
      <w:r>
        <w:rPr>
          <w:rFonts w:hint="eastAsia" w:ascii="仿宋" w:hAnsi="仿宋" w:eastAsia="仿宋" w:cs="宋体"/>
          <w:color w:val="333333"/>
          <w:kern w:val="0"/>
          <w:sz w:val="32"/>
          <w:szCs w:val="32"/>
        </w:rPr>
        <w:t>七</w:t>
      </w:r>
      <w:r>
        <w:rPr>
          <w:rFonts w:ascii="仿宋" w:hAnsi="仿宋" w:eastAsia="仿宋" w:cs="宋体"/>
          <w:color w:val="333333"/>
          <w:kern w:val="0"/>
          <w:sz w:val="32"/>
          <w:szCs w:val="32"/>
        </w:rPr>
        <w:t>条</w:t>
      </w:r>
      <w:r>
        <w:rPr>
          <w:rFonts w:hint="eastAsia" w:ascii="仿宋" w:hAnsi="仿宋" w:eastAsia="仿宋" w:cs="宋体"/>
          <w:color w:val="333333"/>
          <w:kern w:val="0"/>
          <w:sz w:val="32"/>
          <w:szCs w:val="32"/>
        </w:rPr>
        <w:t xml:space="preserve"> </w:t>
      </w:r>
      <w:r>
        <w:rPr>
          <w:rFonts w:ascii="仿宋" w:hAnsi="仿宋" w:eastAsia="仿宋" w:cs="宋体"/>
          <w:color w:val="333333"/>
          <w:kern w:val="0"/>
          <w:sz w:val="32"/>
          <w:szCs w:val="32"/>
        </w:rPr>
        <w:t>完善彩票公益金使用管理审计制度。财务部门要加大对彩票公益金资助项目的内部审计力度。项目单位要做好项目的内部审计工作。</w:t>
      </w:r>
    </w:p>
    <w:p>
      <w:pPr>
        <w:widowControl/>
        <w:spacing w:line="600" w:lineRule="exact"/>
        <w:ind w:firstLine="709"/>
        <w:jc w:val="left"/>
        <w:rPr>
          <w:rFonts w:ascii="仿宋" w:hAnsi="仿宋" w:eastAsia="仿宋" w:cs="宋体"/>
          <w:color w:val="333333"/>
          <w:kern w:val="0"/>
          <w:sz w:val="32"/>
          <w:szCs w:val="32"/>
        </w:rPr>
      </w:pPr>
      <w:r>
        <w:rPr>
          <w:rFonts w:ascii="仿宋" w:hAnsi="仿宋" w:eastAsia="仿宋" w:cs="宋体"/>
          <w:color w:val="333333"/>
          <w:kern w:val="0"/>
          <w:sz w:val="32"/>
          <w:szCs w:val="32"/>
        </w:rPr>
        <w:t>建立公益金使用督查制度。加强对彩票公益金项目资金管理和项目实施情况的监督检查，确保资金专款专用。</w:t>
      </w:r>
    </w:p>
    <w:p>
      <w:pPr>
        <w:widowControl/>
        <w:spacing w:line="600" w:lineRule="exact"/>
        <w:ind w:firstLine="709"/>
        <w:jc w:val="left"/>
        <w:rPr>
          <w:rFonts w:ascii="仿宋" w:hAnsi="仿宋" w:eastAsia="仿宋" w:cs="宋体"/>
          <w:color w:val="333333"/>
          <w:kern w:val="0"/>
          <w:sz w:val="32"/>
          <w:szCs w:val="32"/>
        </w:rPr>
      </w:pPr>
      <w:r>
        <w:rPr>
          <w:rFonts w:ascii="仿宋" w:hAnsi="仿宋" w:eastAsia="仿宋" w:cs="宋体"/>
          <w:color w:val="333333"/>
          <w:kern w:val="0"/>
          <w:sz w:val="32"/>
          <w:szCs w:val="32"/>
        </w:rPr>
        <w:t>第</w:t>
      </w:r>
      <w:r>
        <w:rPr>
          <w:rFonts w:hint="eastAsia" w:ascii="仿宋" w:hAnsi="仿宋" w:eastAsia="仿宋" w:cs="宋体"/>
          <w:color w:val="333333"/>
          <w:kern w:val="0"/>
          <w:sz w:val="32"/>
          <w:szCs w:val="32"/>
        </w:rPr>
        <w:t>十八</w:t>
      </w:r>
      <w:r>
        <w:rPr>
          <w:rFonts w:ascii="仿宋" w:hAnsi="仿宋" w:eastAsia="仿宋" w:cs="宋体"/>
          <w:color w:val="333333"/>
          <w:kern w:val="0"/>
          <w:sz w:val="32"/>
          <w:szCs w:val="32"/>
        </w:rPr>
        <w:t xml:space="preserve">条 建立健全彩票公益金使用责任追究制度。在彩票公益金使用管理出现滞留、截留、挤占、挪用、虚报、套取补助资金的，缓安排或不安排彩票公益金，情节严重的，削减或取消以后年度彩票公益金的安排，情节特别严重的，涉嫌犯罪的，依法移送司法机关追究刑事责任。 </w:t>
      </w:r>
    </w:p>
    <w:p>
      <w:pPr>
        <w:widowControl/>
        <w:spacing w:line="600" w:lineRule="exact"/>
        <w:ind w:firstLine="640" w:firstLineChars="200"/>
        <w:jc w:val="left"/>
        <w:rPr>
          <w:rFonts w:ascii="仿宋" w:hAnsi="仿宋" w:eastAsia="仿宋" w:cs="宋体"/>
          <w:color w:val="333333"/>
          <w:kern w:val="0"/>
          <w:sz w:val="32"/>
          <w:szCs w:val="32"/>
        </w:rPr>
      </w:pPr>
      <w:r>
        <w:rPr>
          <w:rFonts w:ascii="仿宋" w:hAnsi="仿宋" w:eastAsia="仿宋" w:cs="宋体"/>
          <w:color w:val="333333"/>
          <w:kern w:val="0"/>
          <w:sz w:val="32"/>
          <w:szCs w:val="32"/>
        </w:rPr>
        <w:t>第十</w:t>
      </w:r>
      <w:r>
        <w:rPr>
          <w:rFonts w:hint="eastAsia" w:ascii="仿宋" w:hAnsi="仿宋" w:eastAsia="仿宋" w:cs="宋体"/>
          <w:color w:val="333333"/>
          <w:kern w:val="0"/>
          <w:sz w:val="32"/>
          <w:szCs w:val="32"/>
        </w:rPr>
        <w:t>九</w:t>
      </w:r>
      <w:r>
        <w:rPr>
          <w:rFonts w:ascii="仿宋" w:hAnsi="仿宋" w:eastAsia="仿宋" w:cs="宋体"/>
          <w:color w:val="333333"/>
          <w:kern w:val="0"/>
          <w:sz w:val="32"/>
          <w:szCs w:val="32"/>
        </w:rPr>
        <w:t>条 本办法由市民政局负责解释。</w:t>
      </w:r>
    </w:p>
    <w:p>
      <w:pPr>
        <w:widowControl/>
        <w:spacing w:line="600" w:lineRule="exact"/>
        <w:ind w:firstLine="640" w:firstLineChars="200"/>
        <w:jc w:val="left"/>
        <w:rPr>
          <w:rFonts w:ascii="仿宋" w:hAnsi="仿宋" w:eastAsia="仿宋" w:cs="宋体"/>
          <w:color w:val="333333"/>
          <w:kern w:val="0"/>
          <w:sz w:val="32"/>
          <w:szCs w:val="32"/>
        </w:rPr>
      </w:pPr>
      <w:r>
        <w:rPr>
          <w:rFonts w:ascii="仿宋" w:hAnsi="仿宋" w:eastAsia="仿宋" w:cs="宋体"/>
          <w:color w:val="333333"/>
          <w:kern w:val="0"/>
          <w:sz w:val="32"/>
          <w:szCs w:val="32"/>
        </w:rPr>
        <w:t>第二十条 本</w:t>
      </w:r>
      <w:r>
        <w:rPr>
          <w:rFonts w:hint="eastAsia" w:ascii="仿宋" w:hAnsi="仿宋" w:eastAsia="仿宋" w:cs="宋体"/>
          <w:color w:val="333333"/>
          <w:kern w:val="0"/>
          <w:sz w:val="32"/>
          <w:szCs w:val="32"/>
        </w:rPr>
        <w:t>办法自印发</w:t>
      </w:r>
      <w:r>
        <w:rPr>
          <w:rFonts w:ascii="仿宋" w:hAnsi="仿宋" w:eastAsia="仿宋" w:cs="宋体"/>
          <w:color w:val="333333"/>
          <w:kern w:val="0"/>
          <w:sz w:val="32"/>
          <w:szCs w:val="32"/>
        </w:rPr>
        <w:t>之日起施行。</w:t>
      </w:r>
    </w:p>
    <w:p>
      <w:pPr>
        <w:widowControl/>
        <w:spacing w:line="600" w:lineRule="exact"/>
        <w:ind w:firstLine="640" w:firstLineChars="200"/>
        <w:jc w:val="left"/>
        <w:rPr>
          <w:rFonts w:ascii="仿宋" w:hAnsi="仿宋" w:eastAsia="仿宋" w:cs="宋体"/>
          <w:color w:val="333333"/>
          <w:kern w:val="0"/>
          <w:sz w:val="32"/>
          <w:szCs w:val="32"/>
        </w:rPr>
      </w:pPr>
    </w:p>
    <w:p>
      <w:pPr>
        <w:widowControl/>
        <w:spacing w:line="600" w:lineRule="exact"/>
        <w:ind w:firstLine="640" w:firstLineChars="200"/>
        <w:jc w:val="left"/>
        <w:rPr>
          <w:rFonts w:ascii="仿宋" w:hAnsi="仿宋" w:eastAsia="仿宋" w:cs="宋体"/>
          <w:color w:val="333333"/>
          <w:kern w:val="0"/>
          <w:sz w:val="32"/>
          <w:szCs w:val="32"/>
        </w:rPr>
      </w:pPr>
    </w:p>
    <w:p>
      <w:pPr>
        <w:widowControl/>
        <w:spacing w:line="600" w:lineRule="exact"/>
        <w:ind w:firstLine="5440" w:firstLineChars="1700"/>
        <w:jc w:val="left"/>
        <w:rPr>
          <w:rFonts w:ascii="仿宋" w:hAnsi="仿宋" w:eastAsia="仿宋" w:cs="宋体"/>
          <w:color w:val="333333"/>
          <w:kern w:val="0"/>
          <w:sz w:val="32"/>
          <w:szCs w:val="32"/>
        </w:rPr>
      </w:pPr>
    </w:p>
    <w:p>
      <w:pPr>
        <w:widowControl/>
        <w:spacing w:line="600" w:lineRule="exact"/>
        <w:ind w:firstLine="5440" w:firstLineChars="1700"/>
        <w:jc w:val="left"/>
        <w:rPr>
          <w:rFonts w:ascii="仿宋" w:hAnsi="仿宋" w:eastAsia="仿宋" w:cs="宋体"/>
          <w:color w:val="333333"/>
          <w:kern w:val="0"/>
          <w:sz w:val="32"/>
          <w:szCs w:val="32"/>
        </w:rPr>
      </w:pPr>
    </w:p>
    <w:p>
      <w:pPr>
        <w:widowControl/>
        <w:spacing w:line="600" w:lineRule="exact"/>
        <w:ind w:firstLine="5440" w:firstLineChars="1700"/>
        <w:jc w:val="left"/>
        <w:rPr>
          <w:rFonts w:ascii="仿宋" w:hAnsi="仿宋" w:eastAsia="仿宋" w:cs="宋体"/>
          <w:color w:val="333333"/>
          <w:kern w:val="0"/>
          <w:sz w:val="32"/>
          <w:szCs w:val="32"/>
        </w:rPr>
      </w:pPr>
      <w:bookmarkStart w:id="0" w:name="_GoBack"/>
      <w:bookmarkEnd w:id="0"/>
    </w:p>
    <w:sectPr>
      <w:pgSz w:w="11906" w:h="16838"/>
      <w:pgMar w:top="1440" w:right="1700" w:bottom="1440" w:left="18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367FF"/>
    <w:multiLevelType w:val="multilevel"/>
    <w:tmpl w:val="71E367FF"/>
    <w:lvl w:ilvl="0" w:tentative="0">
      <w:start w:val="1"/>
      <w:numFmt w:val="japaneseCounting"/>
      <w:lvlText w:val="第%1章"/>
      <w:lvlJc w:val="left"/>
      <w:pPr>
        <w:ind w:left="1635" w:hanging="115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776660B3"/>
    <w:multiLevelType w:val="multilevel"/>
    <w:tmpl w:val="776660B3"/>
    <w:lvl w:ilvl="0" w:tentative="0">
      <w:start w:val="4"/>
      <w:numFmt w:val="japaneseCounting"/>
      <w:lvlText w:val="第%1章"/>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IyMmMxMGY4MWFkZWFmNGFiYTU3YTEzYmI4NzYzODUifQ=="/>
  </w:docVars>
  <w:rsids>
    <w:rsidRoot w:val="0093224F"/>
    <w:rsid w:val="000023BD"/>
    <w:rsid w:val="00024FDC"/>
    <w:rsid w:val="0004042E"/>
    <w:rsid w:val="000E4F20"/>
    <w:rsid w:val="000F2593"/>
    <w:rsid w:val="0012024C"/>
    <w:rsid w:val="001574C2"/>
    <w:rsid w:val="001A1CE8"/>
    <w:rsid w:val="001B6258"/>
    <w:rsid w:val="002659DD"/>
    <w:rsid w:val="00300BD3"/>
    <w:rsid w:val="00377877"/>
    <w:rsid w:val="003F45B9"/>
    <w:rsid w:val="0045267B"/>
    <w:rsid w:val="004D1261"/>
    <w:rsid w:val="004D5342"/>
    <w:rsid w:val="004E651E"/>
    <w:rsid w:val="00510B52"/>
    <w:rsid w:val="005B4265"/>
    <w:rsid w:val="0061169A"/>
    <w:rsid w:val="007A0799"/>
    <w:rsid w:val="007F5199"/>
    <w:rsid w:val="0080593C"/>
    <w:rsid w:val="00826756"/>
    <w:rsid w:val="009006CF"/>
    <w:rsid w:val="0093224F"/>
    <w:rsid w:val="00935958"/>
    <w:rsid w:val="00982DD3"/>
    <w:rsid w:val="009A37C6"/>
    <w:rsid w:val="009A643D"/>
    <w:rsid w:val="00A56CD4"/>
    <w:rsid w:val="00A67BD6"/>
    <w:rsid w:val="00A730E3"/>
    <w:rsid w:val="00A755C4"/>
    <w:rsid w:val="00AB3F5D"/>
    <w:rsid w:val="00AC04C4"/>
    <w:rsid w:val="00AE1877"/>
    <w:rsid w:val="00B534A2"/>
    <w:rsid w:val="00BE367B"/>
    <w:rsid w:val="00C24682"/>
    <w:rsid w:val="00C53476"/>
    <w:rsid w:val="00C53CF5"/>
    <w:rsid w:val="00CA5741"/>
    <w:rsid w:val="00D27275"/>
    <w:rsid w:val="00D60DF8"/>
    <w:rsid w:val="00E556F5"/>
    <w:rsid w:val="00EF7241"/>
    <w:rsid w:val="00F018BA"/>
    <w:rsid w:val="00F8620F"/>
    <w:rsid w:val="29A36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2547</Words>
  <Characters>2571</Characters>
  <Lines>18</Lines>
  <Paragraphs>5</Paragraphs>
  <TotalTime>92</TotalTime>
  <ScaleCrop>false</ScaleCrop>
  <LinksUpToDate>false</LinksUpToDate>
  <CharactersWithSpaces>2600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2021-10-14T03:02:00Z</dcterms:created>
  <dc:creator>Administrator</dc:creator>
  <cp:lastModifiedBy>a 楹</cp:lastModifiedBy>
  <cp:lastPrinted>2021-10-14T07:02:00Z</cp:lastPrinted>
  <dcterms:modified xsi:type="dcterms:W3CDTF">2024-07-02T00:58:13Z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39B47380BB2B4D62B90152B38B8547FA_12</vt:lpwstr>
  </property>
</Properties>
</file>