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ind w:firstLine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附件1</w:t>
      </w:r>
    </w:p>
    <w:p>
      <w:pPr>
        <w:pStyle w:val="7"/>
        <w:spacing w:before="156" w:beforeLines="50" w:beforeAutospacing="0" w:after="156" w:afterLines="50"/>
        <w:ind w:firstLine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城区农贸市场改造提升标准</w:t>
      </w:r>
    </w:p>
    <w:p>
      <w:pPr>
        <w:pStyle w:val="7"/>
        <w:spacing w:before="0" w:beforeAutospacing="0" w:after="0"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城区农贸市场是指以社区居民为主要服务对象，以零售为主要销售方式，由市场举办者提供固定商位和相应设施，提供物业服务，实施经营管理，主要经营各类农副产品的场所。</w:t>
      </w:r>
    </w:p>
    <w:p>
      <w:pPr>
        <w:pStyle w:val="7"/>
        <w:spacing w:before="0" w:beforeAutospacing="0" w:after="0" w:line="560" w:lineRule="exact"/>
        <w:ind w:firstLine="640" w:firstLineChars="200"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w:t>一、</w:t>
      </w:r>
      <w:r>
        <w:rPr>
          <w:rFonts w:ascii="黑体" w:hAnsi="黑体" w:eastAsia="黑体" w:cs="Times New Roman"/>
        </w:rPr>
        <w:t>设施改造</w:t>
      </w:r>
    </w:p>
    <w:p>
      <w:pPr>
        <w:pStyle w:val="7"/>
        <w:spacing w:before="0" w:beforeAutospacing="0" w:after="0" w:line="560" w:lineRule="exact"/>
        <w:ind w:left="640" w:firstLine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农贸市场建筑面积不小于1500平方米。</w:t>
      </w:r>
    </w:p>
    <w:p>
      <w:pPr>
        <w:pStyle w:val="7"/>
        <w:spacing w:before="0" w:beforeAutospacing="0" w:after="0"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2.市场应为全封闭室内市场；建筑安全稳固，通风、采光条件良好；场内地面硬化处理，防滑、平整、清洁；市场主入口应设置统一背景的牌匾或门头，上面设置统一的标识和规范的市场名称：</w:t>
      </w:r>
    </w:p>
    <w:p>
      <w:pPr>
        <w:pStyle w:val="7"/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2405" cy="1322705"/>
            <wp:effectExtent l="0" t="0" r="444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农贸市场标识以圆形为基本图形，图形的上部代表英文大写字母GY，寓意“公益”，底部代表大地，绿色标识代表自然、生机、健康。字体采用“方正综艺简体”，凸显整洁、大方。背景颜色：C:82  M:44   Y:80  K:0；字颜色：C:2   M:1  Y:20  K:0。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市场实行分行划市、分区布局，合理划定鲜、活、生、熟、干、湿等功能交易区，主次通道满足经营需要；水产经营区应与其他经营区域隔开，建设和配置排水排污设施设备；摊位柜台和营业专间应统一设计改造，做到合理、实用、整齐、美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市场具备良好的给排水、通风、供电、消防和卫生等设施，合理配置公厕；根据经营商品的种类和数量配置相应的冷藏冷冻设施；市场内应统一计量工具，场内出入口附近应设置顾客使用的公平秤；配备食用农产品快检室及相应设施设备，并保证正常运行。</w:t>
      </w:r>
    </w:p>
    <w:p>
      <w:pPr>
        <w:pStyle w:val="7"/>
        <w:spacing w:before="0" w:beforeAutospacing="0" w:after="0" w:line="560" w:lineRule="exact"/>
        <w:ind w:firstLine="640" w:firstLineChars="200"/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二、功能提升</w:t>
      </w:r>
    </w:p>
    <w:p>
      <w:pPr>
        <w:pStyle w:val="7"/>
        <w:spacing w:before="0" w:beforeAutospacing="0" w:after="0"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</w:rPr>
        <w:t>1.</w:t>
      </w:r>
      <w:r>
        <w:rPr>
          <w:rFonts w:ascii="Times New Roman" w:hAnsi="Times New Roman" w:cs="Times New Roman"/>
        </w:rPr>
        <w:t>市场提供互联网接入服务设施，实现场内WiFi全覆盖；设置电子监控系统；推行微信、支付宝、银联卡等支付方式。</w:t>
      </w:r>
    </w:p>
    <w:p>
      <w:pPr>
        <w:pStyle w:val="7"/>
        <w:spacing w:before="0" w:beforeAutospacing="0" w:after="0"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利用互联网、APP或小程序，设立网上市场，开展网定店取、生鲜宅配等服务。</w:t>
      </w:r>
    </w:p>
    <w:p>
      <w:pPr>
        <w:pStyle w:val="7"/>
        <w:spacing w:before="0" w:beforeAutospacing="0" w:after="0" w:line="560" w:lineRule="exact"/>
        <w:ind w:firstLine="64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</w:rPr>
        <w:t>3.配置智能电子秤和信息显示、查询、发布等设备设施，完善信息管理系统，实现对交易农产品品种、价格、销售量等信息的采集、分析、处理和发布功能。</w:t>
      </w:r>
    </w:p>
    <w:p>
      <w:pPr>
        <w:pStyle w:val="7"/>
        <w:spacing w:before="0" w:beforeAutospacing="0" w:after="0" w:line="560" w:lineRule="exact"/>
        <w:rPr>
          <w:rFonts w:ascii="Times New Roman" w:hAnsi="Times New Roman" w:cs="Times New Roman"/>
        </w:rPr>
      </w:pPr>
    </w:p>
    <w:p>
      <w:pPr>
        <w:pStyle w:val="7"/>
        <w:spacing w:before="0" w:beforeAutospacing="0" w:after="0" w:line="560" w:lineRule="exact"/>
        <w:rPr>
          <w:rFonts w:ascii="Times New Roman" w:hAnsi="Times New Roman" w:cs="Times New Roman"/>
        </w:rPr>
      </w:pPr>
    </w:p>
    <w:p>
      <w:pPr>
        <w:pStyle w:val="7"/>
        <w:spacing w:before="0" w:beforeAutospacing="0" w:after="0" w:line="560" w:lineRule="exact"/>
        <w:rPr>
          <w:rFonts w:ascii="Times New Roman" w:hAnsi="Times New Roman" w:cs="Times New Roman"/>
        </w:rPr>
      </w:pPr>
    </w:p>
    <w:p>
      <w:pPr>
        <w:pStyle w:val="7"/>
        <w:spacing w:before="0" w:beforeAutospacing="0" w:after="0" w:line="560" w:lineRule="exact"/>
        <w:rPr>
          <w:rFonts w:ascii="Times New Roman" w:hAnsi="Times New Roman" w:cs="Times New Roman"/>
        </w:rPr>
      </w:pPr>
    </w:p>
    <w:p>
      <w:pPr>
        <w:pStyle w:val="7"/>
        <w:spacing w:before="0" w:beforeAutospacing="0" w:after="0" w:line="560" w:lineRule="exact"/>
        <w:rPr>
          <w:rFonts w:ascii="Times New Roman" w:hAnsi="Times New Roman" w:cs="Times New Roman"/>
        </w:rPr>
      </w:pPr>
    </w:p>
    <w:p>
      <w:pPr>
        <w:pStyle w:val="7"/>
        <w:spacing w:before="0" w:beforeAutospacing="0" w:after="0" w:line="560" w:lineRule="exact"/>
        <w:rPr>
          <w:rFonts w:ascii="Times New Roman" w:hAnsi="Times New Roman" w:cs="Times New Roman"/>
        </w:rPr>
      </w:pPr>
    </w:p>
    <w:p>
      <w:pPr>
        <w:pStyle w:val="7"/>
        <w:spacing w:before="0" w:beforeAutospacing="0" w:after="0" w:line="560" w:lineRule="exact"/>
        <w:rPr>
          <w:rFonts w:ascii="Times New Roman" w:hAnsi="Times New Roman" w:cs="Times New Roman"/>
        </w:rPr>
      </w:pPr>
    </w:p>
    <w:p>
      <w:pPr>
        <w:pStyle w:val="7"/>
        <w:spacing w:before="0" w:beforeAutospacing="0" w:after="0"/>
        <w:ind w:firstLine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附件2</w:t>
      </w:r>
    </w:p>
    <w:p>
      <w:pPr>
        <w:pStyle w:val="7"/>
        <w:spacing w:before="156" w:beforeLines="50" w:beforeAutospacing="0" w:after="156" w:afterLines="50" w:line="500" w:lineRule="exact"/>
        <w:ind w:firstLine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乡镇农贸市场改造提升标准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乡镇农贸市场是指以乡镇居民为主要服务对象，具有固定地点、固定集期、以农副产品为主要经营内容的场所。</w:t>
      </w:r>
    </w:p>
    <w:p>
      <w:pPr>
        <w:pStyle w:val="7"/>
        <w:spacing w:before="0" w:beforeAutospacing="0" w:after="0" w:line="54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1.市场占地规模不小于3000平方米，地势平坦，地块整齐。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2.市场主入口应设置统一背景的牌匾或门头，上面设置统一的标识和规范的市场名称：</w:t>
      </w:r>
    </w:p>
    <w:p>
      <w:pPr>
        <w:pStyle w:val="7"/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2405" cy="1322705"/>
            <wp:effectExtent l="0" t="0" r="444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>农贸市场标识以圆形为基本图形，图形的上部代表英文大写字母GY，寓意“公益”，底部代表大地，绿色标识代表自然、生机、健康。字体采用“方正综艺简体”，凸显整洁、大方。背景颜色：C:82   M:44  Y:80  K:0；字颜色：C:2   M:1  Y:20  K:0。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3.市场应建设固定摊位，材质可为砖混、金属、石材等，其尺寸规格应便于商户交易。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</w:rPr>
        <w:t>市场主要通道和交易场地应采用水泥、方砖、沥青、沙石等材料进行硬化或铺垫，便于渗水。</w:t>
      </w:r>
    </w:p>
    <w:p>
      <w:pPr>
        <w:pStyle w:val="7"/>
        <w:spacing w:before="0" w:beforeAutospacing="0" w:after="0" w:line="5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5.交易区域清晰，分行划市，每个区域有明确的指示标识。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6.市场具备基本的雨污水地下排放管道，能够保证场内雨污水及时排放；配置相应面积的公厕，并保持清洁卫生。</w:t>
      </w:r>
    </w:p>
    <w:p>
      <w:pPr>
        <w:pStyle w:val="7"/>
        <w:spacing w:after="0"/>
        <w:ind w:firstLine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</w:rPr>
        <w:t>5</w:t>
      </w:r>
    </w:p>
    <w:p>
      <w:pPr>
        <w:pStyle w:val="7"/>
        <w:ind w:firstLine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项目申报材料清单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（1）项目申报情况表（附件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）单位法人营业执照（证书）副本、税务登记证（复印件加盖公章）；</w:t>
      </w:r>
    </w:p>
    <w:p>
      <w:pPr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财政支持环节实际费用支出明细汇总表及发票、合同（设施建设、设备采购金额大于1万元需提供）复印件。连锁生鲜超市项目明细汇总表、发票、合同按网点进行排序，其余项目按支持环节进行排序，并按设施、设备分类；</w:t>
      </w:r>
    </w:p>
    <w:p>
      <w:pPr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）真实性承诺（附件</w:t>
      </w:r>
      <w:r>
        <w:rPr>
          <w:rFonts w:hint="eastAsia" w:ascii="Times New Roman" w:hAnsi="Times New Roman" w:eastAsia="仿宋_GB2312"/>
          <w:sz w:val="32"/>
          <w:szCs w:val="32"/>
        </w:rPr>
        <w:t>9）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eastAsia="仿宋_GB231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）支持对象、支持方向和内容中规定的相关指标证明材料；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）项目建设用地自有或长期（不少于5年）租赁</w:t>
      </w:r>
      <w:r>
        <w:rPr>
          <w:rFonts w:hint="eastAsia" w:ascii="Times New Roman" w:hAnsi="Times New Roman" w:eastAsia="仿宋_GB2312"/>
          <w:sz w:val="32"/>
          <w:szCs w:val="32"/>
        </w:rPr>
        <w:t>、使用</w:t>
      </w:r>
      <w:r>
        <w:rPr>
          <w:rFonts w:ascii="Times New Roman" w:hAnsi="Times New Roman" w:eastAsia="仿宋_GB2312"/>
          <w:sz w:val="32"/>
          <w:szCs w:val="32"/>
        </w:rPr>
        <w:t>证明；</w:t>
      </w:r>
    </w:p>
    <w:p>
      <w:pPr>
        <w:ind w:firstLine="640" w:firstLineChars="200"/>
      </w:pPr>
      <w:r>
        <w:rPr>
          <w:rFonts w:hint="eastAsia" w:ascii="Times New Roman" w:hAnsi="Times New Roman"/>
          <w:sz w:val="32"/>
          <w:szCs w:val="32"/>
        </w:rPr>
        <w:t>（7）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ascii="Times New Roman" w:hAnsi="Times New Roman" w:eastAsia="仿宋_GB2312"/>
          <w:sz w:val="32"/>
          <w:szCs w:val="32"/>
        </w:rPr>
        <w:t>施工前或</w:t>
      </w:r>
      <w:r>
        <w:rPr>
          <w:rFonts w:hint="eastAsia" w:ascii="Times New Roman" w:hAnsi="Times New Roman" w:eastAsia="仿宋_GB2312"/>
          <w:sz w:val="32"/>
          <w:szCs w:val="32"/>
        </w:rPr>
        <w:t>2021年7月15日前</w:t>
      </w:r>
      <w:r>
        <w:rPr>
          <w:rFonts w:ascii="Times New Roman" w:hAnsi="Times New Roman" w:eastAsia="仿宋_GB2312"/>
          <w:sz w:val="32"/>
          <w:szCs w:val="32"/>
        </w:rPr>
        <w:t>整体及各支持环节</w:t>
      </w:r>
      <w:r>
        <w:rPr>
          <w:rFonts w:hint="eastAsia" w:ascii="Times New Roman" w:hAnsi="Times New Roman" w:eastAsia="仿宋_GB2312"/>
          <w:sz w:val="32"/>
          <w:szCs w:val="32"/>
        </w:rPr>
        <w:t>设施、设备</w:t>
      </w:r>
      <w:r>
        <w:rPr>
          <w:rFonts w:ascii="Times New Roman" w:hAnsi="Times New Roman" w:eastAsia="仿宋_GB2312"/>
          <w:sz w:val="32"/>
          <w:szCs w:val="32"/>
        </w:rPr>
        <w:t>彩色图片（整体及每个环节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ascii="Times New Roman" w:hAnsi="Times New Roman" w:eastAsia="仿宋_GB2312"/>
          <w:sz w:val="32"/>
          <w:szCs w:val="32"/>
        </w:rPr>
        <w:t>不少于5张）；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项目完工后整体及各支持环节设施、设备彩色图片</w:t>
      </w:r>
      <w:r>
        <w:rPr>
          <w:rFonts w:ascii="Times New Roman" w:hAnsi="Times New Roman" w:eastAsia="仿宋_GB2312"/>
          <w:sz w:val="32"/>
          <w:szCs w:val="32"/>
        </w:rPr>
        <w:t>（整体及每个环节</w:t>
      </w:r>
      <w:r>
        <w:rPr>
          <w:rFonts w:hint="eastAsia" w:ascii="Times New Roman" w:hAnsi="Times New Roman" w:eastAsia="仿宋_GB2312"/>
          <w:sz w:val="32"/>
          <w:szCs w:val="32"/>
        </w:rPr>
        <w:t>各</w:t>
      </w:r>
      <w:r>
        <w:rPr>
          <w:rFonts w:ascii="Times New Roman" w:hAnsi="Times New Roman" w:eastAsia="仿宋_GB2312"/>
          <w:sz w:val="32"/>
          <w:szCs w:val="32"/>
        </w:rPr>
        <w:t>不少于5张）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（9）批发市场需提供与当地政府签订的协议，明确按照政府要求发挥公益功能。</w:t>
      </w:r>
    </w:p>
    <w:p>
      <w:pPr>
        <w:ind w:firstLine="640" w:firstLineChars="200"/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）其他需要说明和提供的相关证明材料。</w:t>
      </w:r>
    </w:p>
    <w:p>
      <w:pPr>
        <w:pStyle w:val="7"/>
        <w:ind w:firstLine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附件9</w:t>
      </w:r>
    </w:p>
    <w:p>
      <w:pPr>
        <w:snapToGrid w:val="0"/>
        <w:spacing w:before="62" w:beforeLines="2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>
      <w:pPr>
        <w:snapToGrid w:val="0"/>
        <w:spacing w:before="62" w:beforeLines="20"/>
        <w:jc w:val="center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方正小标宋简体"/>
          <w:bCs/>
          <w:sz w:val="48"/>
          <w:szCs w:val="48"/>
        </w:rPr>
        <w:t>承诺书</w:t>
      </w:r>
    </w:p>
    <w:p>
      <w:pPr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我单位保证提供的农产品供应链体系建设全部申报材料，均真实、完整，如有虚假，愿承担一切责任。</w:t>
      </w:r>
    </w:p>
    <w:p>
      <w:pPr>
        <w:wordWrap w:val="0"/>
        <w:spacing w:line="360" w:lineRule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ordWrap w:val="0"/>
        <w:spacing w:line="360" w:lineRule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法定代表人签字：              </w:t>
      </w:r>
    </w:p>
    <w:p>
      <w:pPr>
        <w:wordWrap w:val="0"/>
        <w:spacing w:line="360" w:lineRule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       </w:t>
      </w:r>
    </w:p>
    <w:p>
      <w:pPr>
        <w:ind w:firstLine="6400" w:firstLineChars="20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0" w:firstLineChars="20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年     月    日 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（加盖公章）</w:t>
      </w:r>
    </w:p>
    <w:p>
      <w:pPr>
        <w:pStyle w:val="7"/>
        <w:rPr>
          <w:rFonts w:ascii="Times New Roman" w:hAnsi="Times New Roman" w:cs="Times New Roma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A7E09"/>
    <w:rsid w:val="10683DCE"/>
    <w:rsid w:val="19475828"/>
    <w:rsid w:val="2AF35DD4"/>
    <w:rsid w:val="51BA7E09"/>
    <w:rsid w:val="5E0C01AF"/>
    <w:rsid w:val="682F1849"/>
    <w:rsid w:val="696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/>
      <w:spacing w:beforeLines="0" w:beforeAutospacing="0" w:afterLines="0" w:afterAutospacing="0" w:line="600" w:lineRule="exact"/>
      <w:ind w:left="0" w:leftChars="0" w:firstLine="0" w:firstLineChars="0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Body Text First Indent 2"/>
    <w:basedOn w:val="6"/>
    <w:unhideWhenUsed/>
    <w:uiPriority w:val="99"/>
    <w:pPr>
      <w:spacing w:before="100" w:beforeAutospacing="1"/>
      <w:ind w:left="0" w:leftChars="0" w:firstLine="420"/>
    </w:pPr>
    <w:rPr>
      <w:rFonts w:ascii="仿宋_GB2312" w:eastAsia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2021-11-11T02:51:00Z</dcterms:created>
  <dc:creator>Administrator</dc:creator>
  <cp:lastModifiedBy>Administrator</cp:lastModifiedBy>
  <dcterms:modified xsi:type="dcterms:W3CDTF">2021-11-11T02:52:12Z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