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F8427">
      <w:pPr>
        <w:widowControl/>
        <w:shd w:val="clear" w:color="auto" w:fill="FFFFFF"/>
        <w:spacing w:before="100" w:beforeAutospacing="1" w:after="100" w:afterAutospacing="1" w:line="825" w:lineRule="atLeast"/>
        <w:jc w:val="center"/>
        <w:outlineLvl w:val="1"/>
        <w:rPr>
          <w:rFonts w:ascii="宋体" w:hAnsi="宋体" w:cs="宋体"/>
          <w:b/>
          <w:bCs/>
          <w:color w:val="000000"/>
          <w:kern w:val="0"/>
          <w:sz w:val="36"/>
          <w:szCs w:val="36"/>
        </w:rPr>
      </w:pPr>
      <w:r>
        <w:rPr>
          <w:rFonts w:hint="eastAsia" w:ascii="宋体" w:hAnsi="宋体" w:cs="宋体"/>
          <w:b/>
          <w:bCs/>
          <w:color w:val="000000"/>
          <w:kern w:val="0"/>
          <w:sz w:val="36"/>
          <w:szCs w:val="36"/>
        </w:rPr>
        <w:t>朝阳市财政事务服务中心部门预算公开(2024年)</w:t>
      </w:r>
    </w:p>
    <w:p w14:paraId="1D5DCAD7">
      <w:pPr>
        <w:widowControl/>
        <w:shd w:val="clear" w:color="auto" w:fill="FFFFFF"/>
        <w:jc w:val="center"/>
        <w:rPr>
          <w:rFonts w:ascii="宋体" w:hAnsi="宋体" w:cs="宋体"/>
          <w:color w:val="333333"/>
          <w:kern w:val="0"/>
          <w:sz w:val="18"/>
          <w:szCs w:val="18"/>
        </w:rPr>
      </w:pPr>
    </w:p>
    <w:p w14:paraId="42BFEA58">
      <w:pPr>
        <w:widowControl/>
        <w:shd w:val="clear" w:color="auto" w:fill="FFFFFF"/>
        <w:jc w:val="center"/>
        <w:rPr>
          <w:rFonts w:ascii="宋体" w:hAnsi="宋体" w:cs="宋体"/>
          <w:vanish/>
          <w:color w:val="333333"/>
          <w:kern w:val="0"/>
          <w:sz w:val="18"/>
          <w:szCs w:val="18"/>
        </w:rPr>
      </w:pPr>
      <w:r>
        <w:rPr>
          <w:rFonts w:hint="eastAsia" w:ascii="宋体" w:hAnsi="宋体" w:cs="宋体"/>
          <w:vanish/>
          <w:color w:val="333333"/>
          <w:kern w:val="0"/>
          <w:sz w:val="18"/>
          <w:szCs w:val="18"/>
        </w:rPr>
        <w:t>朝阳市公安局部门预算公开(2017年)</w:t>
      </w:r>
    </w:p>
    <w:p w14:paraId="70B16894">
      <w:pPr>
        <w:widowControl/>
        <w:shd w:val="clear" w:color="auto" w:fill="FFFFFF"/>
        <w:spacing w:line="480" w:lineRule="atLeast"/>
        <w:jc w:val="center"/>
        <w:rPr>
          <w:rFonts w:ascii="Times New Roman" w:hAnsi="Times New Roman"/>
          <w:color w:val="333333"/>
          <w:kern w:val="0"/>
          <w:szCs w:val="21"/>
        </w:rPr>
      </w:pPr>
      <w:r>
        <w:rPr>
          <w:rFonts w:hint="eastAsia" w:ascii="宋体" w:hAnsi="宋体"/>
          <w:b/>
          <w:bCs/>
          <w:color w:val="333333"/>
          <w:kern w:val="0"/>
          <w:sz w:val="44"/>
          <w:szCs w:val="44"/>
        </w:rPr>
        <w:t>目    录</w:t>
      </w:r>
    </w:p>
    <w:p w14:paraId="2D071B8E">
      <w:pPr>
        <w:widowControl/>
        <w:shd w:val="clear" w:color="auto" w:fill="FFFFFF"/>
        <w:spacing w:line="480" w:lineRule="atLeast"/>
        <w:jc w:val="center"/>
        <w:rPr>
          <w:rFonts w:ascii="Times New Roman" w:hAnsi="Times New Roman"/>
          <w:color w:val="333333"/>
          <w:kern w:val="0"/>
          <w:szCs w:val="21"/>
        </w:rPr>
      </w:pPr>
      <w:r>
        <w:rPr>
          <w:rFonts w:hint="eastAsia" w:ascii="宋体" w:hAnsi="宋体"/>
          <w:b/>
          <w:bCs/>
          <w:color w:val="333333"/>
          <w:kern w:val="0"/>
          <w:sz w:val="36"/>
          <w:szCs w:val="36"/>
        </w:rPr>
        <w:t> </w:t>
      </w:r>
    </w:p>
    <w:p w14:paraId="40AB6577">
      <w:pPr>
        <w:widowControl/>
        <w:shd w:val="clear" w:color="auto" w:fill="FFFFFF"/>
        <w:spacing w:line="480" w:lineRule="atLeast"/>
        <w:rPr>
          <w:rFonts w:ascii="Times New Roman" w:hAnsi="Times New Roman"/>
          <w:color w:val="333333"/>
          <w:kern w:val="0"/>
          <w:szCs w:val="21"/>
        </w:rPr>
      </w:pPr>
      <w:r>
        <w:rPr>
          <w:rFonts w:hint="eastAsia" w:ascii="宋体" w:hAnsi="宋体"/>
          <w:b/>
          <w:bCs/>
          <w:color w:val="333333"/>
          <w:kern w:val="0"/>
          <w:sz w:val="32"/>
          <w:szCs w:val="32"/>
        </w:rPr>
        <w:t>第一部分   朝阳市财政</w:t>
      </w:r>
      <w:bookmarkStart w:id="0" w:name="OLE_LINK2"/>
      <w:bookmarkStart w:id="1" w:name="OLE_LINK1"/>
      <w:r>
        <w:rPr>
          <w:rFonts w:hint="eastAsia" w:ascii="宋体" w:hAnsi="宋体"/>
          <w:b/>
          <w:bCs/>
          <w:color w:val="333333"/>
          <w:kern w:val="0"/>
          <w:sz w:val="32"/>
          <w:szCs w:val="32"/>
        </w:rPr>
        <w:t>事务服务中心</w:t>
      </w:r>
      <w:bookmarkEnd w:id="0"/>
      <w:bookmarkEnd w:id="1"/>
      <w:r>
        <w:rPr>
          <w:rFonts w:hint="eastAsia" w:ascii="宋体" w:hAnsi="宋体"/>
          <w:b/>
          <w:bCs/>
          <w:color w:val="333333"/>
          <w:kern w:val="0"/>
          <w:sz w:val="32"/>
          <w:szCs w:val="32"/>
        </w:rPr>
        <w:t>概况</w:t>
      </w:r>
    </w:p>
    <w:p w14:paraId="1CBEB479">
      <w:pPr>
        <w:widowControl/>
        <w:shd w:val="clear" w:color="auto" w:fill="FFFFFF"/>
        <w:spacing w:line="480" w:lineRule="atLeast"/>
        <w:ind w:left="720" w:hanging="720"/>
        <w:rPr>
          <w:rFonts w:ascii="仿宋_GB2312" w:hAnsi="Times New Roman" w:eastAsia="仿宋_GB2312"/>
          <w:color w:val="333333"/>
          <w:kern w:val="0"/>
          <w:szCs w:val="21"/>
        </w:rPr>
      </w:pPr>
      <w:r>
        <w:rPr>
          <w:rFonts w:hint="eastAsia" w:ascii="仿宋_GB2312" w:hAnsi="宋体" w:eastAsia="仿宋_GB2312"/>
          <w:color w:val="333333"/>
          <w:kern w:val="0"/>
          <w:sz w:val="32"/>
          <w:szCs w:val="32"/>
        </w:rPr>
        <w:t>一、</w:t>
      </w:r>
      <w:r>
        <w:rPr>
          <w:rFonts w:hint="eastAsia" w:ascii="Times New Roman" w:hAnsi="Times New Roman" w:eastAsia="仿宋_GB2312"/>
          <w:color w:val="333333"/>
          <w:kern w:val="0"/>
          <w:sz w:val="14"/>
          <w:szCs w:val="14"/>
        </w:rPr>
        <w:t> </w:t>
      </w:r>
      <w:r>
        <w:rPr>
          <w:rFonts w:hint="eastAsia" w:ascii="仿宋_GB2312" w:hAnsi="Times New Roman" w:eastAsia="仿宋_GB2312"/>
          <w:color w:val="333333"/>
          <w:kern w:val="0"/>
          <w:sz w:val="14"/>
          <w:szCs w:val="14"/>
        </w:rPr>
        <w:t xml:space="preserve"> </w:t>
      </w:r>
      <w:r>
        <w:rPr>
          <w:rFonts w:hint="eastAsia" w:ascii="仿宋_GB2312" w:hAnsi="宋体" w:eastAsia="仿宋_GB2312"/>
          <w:color w:val="333333"/>
          <w:kern w:val="0"/>
          <w:sz w:val="32"/>
          <w:szCs w:val="32"/>
        </w:rPr>
        <w:t>主要职责</w:t>
      </w:r>
    </w:p>
    <w:p w14:paraId="41870B7B">
      <w:pPr>
        <w:widowControl/>
        <w:shd w:val="clear" w:color="auto" w:fill="FFFFFF"/>
        <w:spacing w:line="480" w:lineRule="atLeast"/>
        <w:ind w:left="720" w:hanging="720"/>
        <w:rPr>
          <w:rFonts w:ascii="仿宋_GB2312" w:hAnsi="Times New Roman" w:eastAsia="仿宋_GB2312"/>
          <w:color w:val="333333"/>
          <w:kern w:val="0"/>
          <w:szCs w:val="21"/>
        </w:rPr>
      </w:pPr>
      <w:r>
        <w:rPr>
          <w:rFonts w:hint="eastAsia" w:ascii="仿宋_GB2312" w:hAnsi="宋体" w:eastAsia="仿宋_GB2312"/>
          <w:color w:val="333333"/>
          <w:kern w:val="0"/>
          <w:sz w:val="32"/>
          <w:szCs w:val="32"/>
        </w:rPr>
        <w:t>二、</w:t>
      </w:r>
      <w:r>
        <w:rPr>
          <w:rFonts w:hint="eastAsia" w:ascii="Times New Roman" w:hAnsi="Times New Roman" w:eastAsia="仿宋_GB2312"/>
          <w:color w:val="333333"/>
          <w:kern w:val="0"/>
          <w:sz w:val="14"/>
          <w:szCs w:val="14"/>
        </w:rPr>
        <w:t> </w:t>
      </w:r>
      <w:r>
        <w:rPr>
          <w:rFonts w:hint="eastAsia" w:ascii="仿宋_GB2312" w:hAnsi="Times New Roman" w:eastAsia="仿宋_GB2312"/>
          <w:color w:val="333333"/>
          <w:kern w:val="0"/>
          <w:sz w:val="14"/>
          <w:szCs w:val="14"/>
        </w:rPr>
        <w:t xml:space="preserve"> </w:t>
      </w:r>
      <w:r>
        <w:rPr>
          <w:rFonts w:hint="eastAsia" w:ascii="仿宋_GB2312" w:hAnsi="宋体" w:eastAsia="仿宋_GB2312"/>
          <w:color w:val="333333"/>
          <w:kern w:val="0"/>
          <w:sz w:val="32"/>
          <w:szCs w:val="32"/>
        </w:rPr>
        <w:t>部门预算单位构成</w:t>
      </w:r>
    </w:p>
    <w:p w14:paraId="7E2EDD87">
      <w:pPr>
        <w:widowControl/>
        <w:shd w:val="clear" w:color="auto" w:fill="FFFFFF"/>
        <w:spacing w:line="480" w:lineRule="atLeast"/>
        <w:ind w:left="2088" w:hanging="2088" w:hangingChars="650"/>
        <w:rPr>
          <w:rFonts w:ascii="Times New Roman" w:hAnsi="Times New Roman"/>
          <w:color w:val="333333"/>
          <w:kern w:val="0"/>
          <w:szCs w:val="21"/>
        </w:rPr>
      </w:pPr>
      <w:r>
        <w:rPr>
          <w:rFonts w:hint="eastAsia" w:ascii="宋体" w:hAnsi="宋体"/>
          <w:b/>
          <w:bCs/>
          <w:color w:val="333333"/>
          <w:kern w:val="0"/>
          <w:sz w:val="32"/>
          <w:szCs w:val="32"/>
        </w:rPr>
        <w:t>第二部分   朝阳市财政事务服务中心 2024年部门预算批复表</w:t>
      </w:r>
    </w:p>
    <w:p w14:paraId="77C71CCE">
      <w:pPr>
        <w:widowControl/>
        <w:shd w:val="clear" w:color="auto" w:fill="FFFFFF"/>
        <w:spacing w:line="480" w:lineRule="atLeast"/>
        <w:jc w:val="left"/>
        <w:rPr>
          <w:rFonts w:ascii="仿宋_GB2312" w:hAnsi="Times New Roman" w:eastAsia="仿宋_GB2312"/>
          <w:color w:val="333333"/>
          <w:kern w:val="0"/>
          <w:szCs w:val="21"/>
        </w:rPr>
      </w:pPr>
      <w:r>
        <w:rPr>
          <w:rFonts w:hint="eastAsia" w:ascii="仿宋_GB2312" w:hAnsi="宋体" w:eastAsia="仿宋_GB2312"/>
          <w:color w:val="333333"/>
          <w:kern w:val="0"/>
          <w:sz w:val="32"/>
          <w:szCs w:val="32"/>
        </w:rPr>
        <w:t>一、收支预算总表</w:t>
      </w:r>
    </w:p>
    <w:p w14:paraId="41307C85">
      <w:pPr>
        <w:widowControl/>
        <w:shd w:val="clear" w:color="auto" w:fill="FFFFFF"/>
        <w:spacing w:line="480" w:lineRule="atLeast"/>
        <w:jc w:val="left"/>
        <w:rPr>
          <w:rFonts w:ascii="仿宋_GB2312" w:hAnsi="宋体" w:eastAsia="仿宋_GB2312"/>
          <w:color w:val="333333"/>
          <w:kern w:val="0"/>
          <w:sz w:val="32"/>
          <w:szCs w:val="32"/>
        </w:rPr>
      </w:pPr>
      <w:r>
        <w:rPr>
          <w:rFonts w:hint="eastAsia" w:ascii="仿宋_GB2312" w:hAnsi="宋体" w:eastAsia="仿宋_GB2312"/>
          <w:color w:val="333333"/>
          <w:kern w:val="0"/>
          <w:sz w:val="32"/>
          <w:szCs w:val="32"/>
        </w:rPr>
        <w:t>二、收入预算总表</w:t>
      </w:r>
    </w:p>
    <w:p w14:paraId="11AAD12D">
      <w:pPr>
        <w:widowControl/>
        <w:shd w:val="clear" w:color="auto" w:fill="FFFFFF"/>
        <w:spacing w:line="480" w:lineRule="atLeast"/>
        <w:jc w:val="left"/>
        <w:rPr>
          <w:rFonts w:ascii="仿宋_GB2312" w:hAnsi="Times New Roman" w:eastAsia="仿宋_GB2312"/>
          <w:color w:val="333333"/>
          <w:kern w:val="0"/>
          <w:szCs w:val="21"/>
        </w:rPr>
      </w:pPr>
      <w:r>
        <w:rPr>
          <w:rFonts w:hint="eastAsia" w:ascii="仿宋_GB2312" w:hAnsi="宋体" w:eastAsia="仿宋_GB2312"/>
          <w:color w:val="333333"/>
          <w:kern w:val="0"/>
          <w:sz w:val="32"/>
          <w:szCs w:val="32"/>
        </w:rPr>
        <w:t>三、支出预算总表</w:t>
      </w:r>
    </w:p>
    <w:p w14:paraId="66982440">
      <w:pPr>
        <w:widowControl/>
        <w:shd w:val="clear" w:color="auto" w:fill="FFFFFF"/>
        <w:spacing w:line="480" w:lineRule="atLeast"/>
        <w:jc w:val="left"/>
        <w:rPr>
          <w:rFonts w:ascii="仿宋_GB2312" w:hAnsi="宋体" w:eastAsia="仿宋_GB2312"/>
          <w:color w:val="333333"/>
          <w:kern w:val="0"/>
          <w:sz w:val="32"/>
          <w:szCs w:val="32"/>
        </w:rPr>
      </w:pPr>
      <w:r>
        <w:rPr>
          <w:rFonts w:hint="eastAsia" w:ascii="仿宋_GB2312" w:hAnsi="宋体" w:eastAsia="仿宋_GB2312"/>
          <w:color w:val="333333"/>
          <w:kern w:val="0"/>
          <w:sz w:val="32"/>
          <w:szCs w:val="32"/>
        </w:rPr>
        <w:t>四、财政拨款收支预算总表</w:t>
      </w:r>
    </w:p>
    <w:p w14:paraId="4F0DB164">
      <w:pPr>
        <w:widowControl/>
        <w:shd w:val="clear" w:color="auto" w:fill="FFFFFF"/>
        <w:spacing w:line="480" w:lineRule="atLeast"/>
        <w:jc w:val="left"/>
        <w:rPr>
          <w:rFonts w:ascii="仿宋_GB2312" w:hAnsi="Times New Roman" w:eastAsia="仿宋_GB2312"/>
          <w:color w:val="333333"/>
          <w:kern w:val="0"/>
          <w:szCs w:val="21"/>
        </w:rPr>
      </w:pPr>
      <w:r>
        <w:rPr>
          <w:rFonts w:hint="eastAsia" w:ascii="仿宋_GB2312" w:hAnsi="宋体" w:eastAsia="仿宋_GB2312"/>
          <w:color w:val="333333"/>
          <w:kern w:val="0"/>
          <w:sz w:val="32"/>
          <w:szCs w:val="32"/>
        </w:rPr>
        <w:t>五、一般公共预算支出表</w:t>
      </w:r>
    </w:p>
    <w:p w14:paraId="163BAD65">
      <w:pPr>
        <w:widowControl/>
        <w:shd w:val="clear" w:color="auto" w:fill="FFFFFF"/>
        <w:spacing w:line="480" w:lineRule="atLeast"/>
        <w:jc w:val="left"/>
        <w:rPr>
          <w:rFonts w:ascii="仿宋_GB2312" w:hAnsi="Times New Roman" w:eastAsia="仿宋_GB2312"/>
          <w:color w:val="333333"/>
          <w:kern w:val="0"/>
          <w:szCs w:val="21"/>
        </w:rPr>
      </w:pPr>
      <w:r>
        <w:rPr>
          <w:rFonts w:hint="eastAsia" w:ascii="仿宋_GB2312" w:hAnsi="宋体" w:eastAsia="仿宋_GB2312"/>
          <w:color w:val="333333"/>
          <w:kern w:val="0"/>
          <w:sz w:val="32"/>
          <w:szCs w:val="32"/>
        </w:rPr>
        <w:t>六、一般公共预算基本支出表</w:t>
      </w:r>
    </w:p>
    <w:p w14:paraId="42D4BFD6">
      <w:pPr>
        <w:widowControl/>
        <w:shd w:val="clear" w:color="auto" w:fill="FFFFFF"/>
        <w:spacing w:line="480" w:lineRule="atLeast"/>
        <w:jc w:val="left"/>
        <w:rPr>
          <w:rFonts w:ascii="仿宋_GB2312" w:hAnsi="Times New Roman" w:eastAsia="仿宋_GB2312"/>
          <w:color w:val="333333"/>
          <w:kern w:val="0"/>
          <w:szCs w:val="21"/>
        </w:rPr>
      </w:pPr>
      <w:r>
        <w:rPr>
          <w:rFonts w:hint="eastAsia" w:ascii="仿宋_GB2312" w:hAnsi="宋体" w:eastAsia="仿宋_GB2312"/>
          <w:color w:val="333333"/>
          <w:kern w:val="0"/>
          <w:sz w:val="32"/>
          <w:szCs w:val="32"/>
        </w:rPr>
        <w:t>七、财政拨款预算“三公”经费支出表</w:t>
      </w:r>
    </w:p>
    <w:p w14:paraId="6FB288C4">
      <w:pPr>
        <w:widowControl/>
        <w:shd w:val="clear" w:color="auto" w:fill="FFFFFF"/>
        <w:spacing w:line="480" w:lineRule="atLeast"/>
        <w:jc w:val="left"/>
        <w:rPr>
          <w:rFonts w:ascii="仿宋_GB2312" w:hAnsi="宋体" w:eastAsia="仿宋_GB2312"/>
          <w:color w:val="333333"/>
          <w:kern w:val="0"/>
          <w:sz w:val="32"/>
          <w:szCs w:val="32"/>
        </w:rPr>
      </w:pPr>
      <w:r>
        <w:rPr>
          <w:rFonts w:hint="eastAsia" w:ascii="仿宋_GB2312" w:hAnsi="宋体" w:eastAsia="仿宋_GB2312"/>
          <w:color w:val="333333"/>
          <w:kern w:val="0"/>
          <w:sz w:val="32"/>
          <w:szCs w:val="32"/>
        </w:rPr>
        <w:t>八、政府性基金预算支出表</w:t>
      </w:r>
    </w:p>
    <w:p w14:paraId="10C93147">
      <w:pPr>
        <w:widowControl/>
        <w:shd w:val="clear" w:color="auto" w:fill="FFFFFF"/>
        <w:spacing w:line="480" w:lineRule="atLeast"/>
        <w:jc w:val="left"/>
        <w:rPr>
          <w:rFonts w:ascii="仿宋_GB2312" w:hAnsi="宋体" w:eastAsia="仿宋_GB2312"/>
          <w:color w:val="333333"/>
          <w:kern w:val="0"/>
          <w:sz w:val="32"/>
          <w:szCs w:val="32"/>
        </w:rPr>
      </w:pPr>
      <w:r>
        <w:rPr>
          <w:rFonts w:hint="eastAsia" w:ascii="仿宋_GB2312" w:hAnsi="宋体" w:eastAsia="仿宋_GB2312"/>
          <w:color w:val="333333"/>
          <w:kern w:val="0"/>
          <w:sz w:val="32"/>
          <w:szCs w:val="32"/>
        </w:rPr>
        <w:t>九、项目支出预算表</w:t>
      </w:r>
    </w:p>
    <w:p w14:paraId="7740A4BD">
      <w:pPr>
        <w:widowControl/>
        <w:shd w:val="clear" w:color="auto" w:fill="FFFFFF"/>
        <w:spacing w:line="480" w:lineRule="atLeast"/>
        <w:jc w:val="left"/>
        <w:rPr>
          <w:rFonts w:ascii="仿宋_GB2312" w:hAnsi="宋体" w:eastAsia="仿宋_GB2312"/>
          <w:color w:val="333333"/>
          <w:kern w:val="0"/>
          <w:sz w:val="32"/>
          <w:szCs w:val="32"/>
        </w:rPr>
      </w:pPr>
      <w:r>
        <w:rPr>
          <w:rFonts w:hint="eastAsia" w:ascii="仿宋_GB2312" w:hAnsi="宋体" w:eastAsia="仿宋_GB2312"/>
          <w:color w:val="333333"/>
          <w:kern w:val="0"/>
          <w:sz w:val="32"/>
          <w:szCs w:val="32"/>
        </w:rPr>
        <w:t>十、支出功能分类预算表</w:t>
      </w:r>
    </w:p>
    <w:p w14:paraId="24A759D1">
      <w:pPr>
        <w:jc w:val="left"/>
        <w:rPr>
          <w:rFonts w:ascii="仿宋_GB2312" w:hAnsi="宋体" w:eastAsia="仿宋_GB2312" w:cs="宋体"/>
          <w:bCs/>
          <w:kern w:val="0"/>
          <w:sz w:val="32"/>
          <w:szCs w:val="32"/>
        </w:rPr>
      </w:pPr>
      <w:r>
        <w:rPr>
          <w:rFonts w:hint="eastAsia" w:ascii="仿宋_GB2312" w:hAnsi="宋体" w:eastAsia="仿宋_GB2312"/>
          <w:color w:val="333333"/>
          <w:kern w:val="0"/>
          <w:sz w:val="32"/>
          <w:szCs w:val="32"/>
        </w:rPr>
        <w:t>十一、</w:t>
      </w:r>
      <w:r>
        <w:rPr>
          <w:rFonts w:hint="eastAsia" w:ascii="仿宋_GB2312" w:hAnsi="宋体" w:eastAsia="仿宋_GB2312" w:cs="宋体"/>
          <w:bCs/>
          <w:kern w:val="0"/>
          <w:sz w:val="32"/>
          <w:szCs w:val="32"/>
        </w:rPr>
        <w:t>支出经济分类预算表（政府预算）</w:t>
      </w:r>
    </w:p>
    <w:p w14:paraId="50B9D0AA">
      <w:pPr>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十二、支出经济分类预算表（部门预算）</w:t>
      </w:r>
    </w:p>
    <w:p w14:paraId="59C22789">
      <w:pPr>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十三、债务支出预算表</w:t>
      </w:r>
    </w:p>
    <w:p w14:paraId="793B88B4">
      <w:pPr>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十四、政府采购支出预算表</w:t>
      </w:r>
    </w:p>
    <w:p w14:paraId="09FAA3A0">
      <w:pPr>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十五、政府购买服务支出预算表</w:t>
      </w:r>
    </w:p>
    <w:p w14:paraId="76A8DF20">
      <w:pPr>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十六、部门（单位）整体绩效目标表</w:t>
      </w:r>
    </w:p>
    <w:p w14:paraId="3DC38F05">
      <w:pPr>
        <w:jc w:val="left"/>
        <w:rPr>
          <w:rFonts w:ascii="仿宋_GB2312" w:hAnsi="宋体" w:eastAsia="仿宋_GB2312" w:cs="宋体"/>
          <w:bCs/>
          <w:kern w:val="0"/>
          <w:sz w:val="32"/>
          <w:szCs w:val="32"/>
        </w:rPr>
      </w:pPr>
      <w:r>
        <w:rPr>
          <w:rFonts w:hint="eastAsia" w:ascii="仿宋_GB2312" w:hAnsi="宋体" w:eastAsia="仿宋_GB2312" w:cs="宋体"/>
          <w:bCs/>
          <w:kern w:val="0"/>
          <w:sz w:val="32"/>
          <w:szCs w:val="32"/>
        </w:rPr>
        <w:t>十七、部门预算项目（政策）绩效目标表</w:t>
      </w:r>
    </w:p>
    <w:p w14:paraId="166684DA">
      <w:pPr>
        <w:widowControl/>
        <w:shd w:val="clear" w:color="auto" w:fill="FFFFFF"/>
        <w:spacing w:line="480" w:lineRule="atLeast"/>
        <w:ind w:left="2088" w:hanging="2088" w:hangingChars="650"/>
        <w:rPr>
          <w:rFonts w:ascii="Times New Roman" w:hAnsi="Times New Roman"/>
          <w:color w:val="333333"/>
          <w:kern w:val="0"/>
          <w:szCs w:val="21"/>
        </w:rPr>
      </w:pPr>
      <w:r>
        <w:rPr>
          <w:rFonts w:hint="eastAsia" w:ascii="宋体" w:hAnsi="宋体"/>
          <w:b/>
          <w:bCs/>
          <w:color w:val="333333"/>
          <w:kern w:val="0"/>
          <w:sz w:val="32"/>
          <w:szCs w:val="32"/>
        </w:rPr>
        <w:t>第三部分   朝阳市财政事务服务中心2024年部门预算情况说明</w:t>
      </w:r>
    </w:p>
    <w:p w14:paraId="4E9A8A3F">
      <w:pPr>
        <w:widowControl/>
        <w:shd w:val="clear" w:color="auto" w:fill="FFFFFF"/>
        <w:spacing w:line="480" w:lineRule="atLeast"/>
        <w:rPr>
          <w:rFonts w:ascii="Times New Roman" w:hAnsi="Times New Roman"/>
          <w:color w:val="333333"/>
          <w:kern w:val="0"/>
          <w:szCs w:val="21"/>
        </w:rPr>
      </w:pPr>
      <w:r>
        <w:rPr>
          <w:rFonts w:hint="eastAsia" w:ascii="宋体" w:hAnsi="宋体"/>
          <w:b/>
          <w:bCs/>
          <w:color w:val="333333"/>
          <w:kern w:val="0"/>
          <w:sz w:val="32"/>
          <w:szCs w:val="32"/>
        </w:rPr>
        <w:t>第四部分   名词解释</w:t>
      </w:r>
    </w:p>
    <w:p w14:paraId="09880B99">
      <w:pPr>
        <w:widowControl/>
        <w:shd w:val="clear" w:color="auto" w:fill="FFFFFF"/>
        <w:spacing w:line="480" w:lineRule="atLeast"/>
        <w:jc w:val="center"/>
        <w:rPr>
          <w:rFonts w:ascii="宋体" w:hAnsi="宋体"/>
          <w:b/>
          <w:bCs/>
          <w:color w:val="333333"/>
          <w:kern w:val="0"/>
          <w:sz w:val="36"/>
          <w:szCs w:val="36"/>
        </w:rPr>
      </w:pPr>
    </w:p>
    <w:p w14:paraId="5250AB90">
      <w:pPr>
        <w:widowControl/>
        <w:shd w:val="clear" w:color="auto" w:fill="FFFFFF"/>
        <w:spacing w:line="480" w:lineRule="atLeast"/>
        <w:jc w:val="center"/>
        <w:rPr>
          <w:rFonts w:ascii="宋体" w:hAnsi="宋体"/>
          <w:b/>
          <w:bCs/>
          <w:color w:val="333333"/>
          <w:kern w:val="0"/>
          <w:sz w:val="36"/>
          <w:szCs w:val="36"/>
        </w:rPr>
      </w:pPr>
    </w:p>
    <w:p w14:paraId="68BCC65B">
      <w:pPr>
        <w:widowControl/>
        <w:shd w:val="clear" w:color="auto" w:fill="FFFFFF"/>
        <w:spacing w:line="480" w:lineRule="atLeast"/>
        <w:jc w:val="center"/>
        <w:rPr>
          <w:rFonts w:ascii="宋体" w:hAnsi="宋体"/>
          <w:b/>
          <w:bCs/>
          <w:color w:val="333333"/>
          <w:kern w:val="0"/>
          <w:sz w:val="36"/>
          <w:szCs w:val="36"/>
        </w:rPr>
      </w:pPr>
    </w:p>
    <w:p w14:paraId="4B0171ED">
      <w:pPr>
        <w:widowControl/>
        <w:shd w:val="clear" w:color="auto" w:fill="FFFFFF"/>
        <w:spacing w:line="480" w:lineRule="atLeast"/>
        <w:jc w:val="center"/>
        <w:rPr>
          <w:rFonts w:ascii="宋体" w:hAnsi="宋体"/>
          <w:b/>
          <w:bCs/>
          <w:color w:val="333333"/>
          <w:kern w:val="0"/>
          <w:sz w:val="36"/>
          <w:szCs w:val="36"/>
        </w:rPr>
      </w:pPr>
    </w:p>
    <w:p w14:paraId="74105D11">
      <w:pPr>
        <w:widowControl/>
        <w:shd w:val="clear" w:color="auto" w:fill="FFFFFF"/>
        <w:spacing w:line="480" w:lineRule="atLeast"/>
        <w:jc w:val="center"/>
        <w:rPr>
          <w:rFonts w:ascii="宋体" w:hAnsi="宋体"/>
          <w:b/>
          <w:bCs/>
          <w:color w:val="333333"/>
          <w:kern w:val="0"/>
          <w:sz w:val="36"/>
          <w:szCs w:val="36"/>
        </w:rPr>
      </w:pPr>
    </w:p>
    <w:p w14:paraId="183ADB06">
      <w:pPr>
        <w:widowControl/>
        <w:shd w:val="clear" w:color="auto" w:fill="FFFFFF"/>
        <w:spacing w:line="480" w:lineRule="atLeast"/>
        <w:jc w:val="center"/>
        <w:rPr>
          <w:rFonts w:ascii="宋体" w:hAnsi="宋体"/>
          <w:b/>
          <w:bCs/>
          <w:color w:val="333333"/>
          <w:kern w:val="0"/>
          <w:sz w:val="36"/>
          <w:szCs w:val="36"/>
        </w:rPr>
      </w:pPr>
    </w:p>
    <w:p w14:paraId="3165E65E">
      <w:pPr>
        <w:widowControl/>
        <w:shd w:val="clear" w:color="auto" w:fill="FFFFFF"/>
        <w:spacing w:line="480" w:lineRule="atLeast"/>
        <w:jc w:val="center"/>
        <w:rPr>
          <w:rFonts w:ascii="宋体" w:hAnsi="宋体"/>
          <w:b/>
          <w:bCs/>
          <w:color w:val="333333"/>
          <w:kern w:val="0"/>
          <w:sz w:val="36"/>
          <w:szCs w:val="36"/>
        </w:rPr>
      </w:pPr>
    </w:p>
    <w:p w14:paraId="38C467F8">
      <w:pPr>
        <w:widowControl/>
        <w:shd w:val="clear" w:color="auto" w:fill="FFFFFF"/>
        <w:spacing w:line="480" w:lineRule="atLeast"/>
        <w:jc w:val="center"/>
        <w:rPr>
          <w:rFonts w:ascii="宋体" w:hAnsi="宋体"/>
          <w:b/>
          <w:bCs/>
          <w:color w:val="333333"/>
          <w:kern w:val="0"/>
          <w:sz w:val="36"/>
          <w:szCs w:val="36"/>
        </w:rPr>
      </w:pPr>
    </w:p>
    <w:p w14:paraId="51DEB9DF">
      <w:pPr>
        <w:widowControl/>
        <w:shd w:val="clear" w:color="auto" w:fill="FFFFFF"/>
        <w:spacing w:line="480" w:lineRule="atLeast"/>
        <w:jc w:val="center"/>
        <w:rPr>
          <w:rFonts w:ascii="宋体" w:hAnsi="宋体"/>
          <w:b/>
          <w:bCs/>
          <w:color w:val="333333"/>
          <w:kern w:val="0"/>
          <w:sz w:val="36"/>
          <w:szCs w:val="36"/>
        </w:rPr>
      </w:pPr>
    </w:p>
    <w:p w14:paraId="14BB760A">
      <w:pPr>
        <w:widowControl/>
        <w:shd w:val="clear" w:color="auto" w:fill="FFFFFF"/>
        <w:spacing w:line="480" w:lineRule="atLeast"/>
        <w:jc w:val="center"/>
        <w:rPr>
          <w:rFonts w:ascii="宋体" w:hAnsi="宋体"/>
          <w:b/>
          <w:bCs/>
          <w:color w:val="333333"/>
          <w:kern w:val="0"/>
          <w:sz w:val="36"/>
          <w:szCs w:val="36"/>
        </w:rPr>
      </w:pPr>
    </w:p>
    <w:p w14:paraId="779DFE13">
      <w:pPr>
        <w:widowControl/>
        <w:shd w:val="clear" w:color="auto" w:fill="FFFFFF"/>
        <w:spacing w:line="480" w:lineRule="atLeast"/>
        <w:jc w:val="center"/>
        <w:rPr>
          <w:rFonts w:ascii="宋体" w:hAnsi="宋体"/>
          <w:b/>
          <w:bCs/>
          <w:color w:val="333333"/>
          <w:kern w:val="0"/>
          <w:sz w:val="36"/>
          <w:szCs w:val="36"/>
        </w:rPr>
      </w:pPr>
    </w:p>
    <w:p w14:paraId="47B356DE">
      <w:pPr>
        <w:widowControl/>
        <w:shd w:val="clear" w:color="auto" w:fill="FFFFFF"/>
        <w:spacing w:line="480" w:lineRule="atLeast"/>
        <w:jc w:val="center"/>
        <w:rPr>
          <w:rFonts w:ascii="宋体" w:hAnsi="宋体"/>
          <w:b/>
          <w:bCs/>
          <w:color w:val="333333"/>
          <w:kern w:val="0"/>
          <w:sz w:val="36"/>
          <w:szCs w:val="36"/>
        </w:rPr>
      </w:pPr>
    </w:p>
    <w:p w14:paraId="36A7B951">
      <w:pPr>
        <w:widowControl/>
        <w:shd w:val="clear" w:color="auto" w:fill="FFFFFF"/>
        <w:spacing w:line="480" w:lineRule="atLeast"/>
        <w:jc w:val="center"/>
        <w:rPr>
          <w:rFonts w:ascii="宋体" w:hAnsi="宋体"/>
          <w:b/>
          <w:bCs/>
          <w:color w:val="333333"/>
          <w:kern w:val="0"/>
          <w:sz w:val="36"/>
          <w:szCs w:val="36"/>
        </w:rPr>
      </w:pPr>
    </w:p>
    <w:p w14:paraId="2E634B54">
      <w:pPr>
        <w:widowControl/>
        <w:shd w:val="clear" w:color="auto" w:fill="FFFFFF"/>
        <w:spacing w:line="480" w:lineRule="atLeast"/>
        <w:jc w:val="center"/>
        <w:rPr>
          <w:rFonts w:ascii="宋体" w:hAnsi="宋体"/>
          <w:b/>
          <w:bCs/>
          <w:color w:val="333333"/>
          <w:kern w:val="0"/>
          <w:sz w:val="36"/>
          <w:szCs w:val="36"/>
        </w:rPr>
      </w:pPr>
    </w:p>
    <w:p w14:paraId="42A4AB51">
      <w:pPr>
        <w:widowControl/>
        <w:shd w:val="clear" w:color="auto" w:fill="FFFFFF"/>
        <w:spacing w:line="480" w:lineRule="atLeast"/>
        <w:jc w:val="center"/>
        <w:rPr>
          <w:rFonts w:ascii="宋体" w:hAnsi="宋体"/>
          <w:b/>
          <w:bCs/>
          <w:color w:val="333333"/>
          <w:kern w:val="0"/>
          <w:sz w:val="36"/>
          <w:szCs w:val="36"/>
        </w:rPr>
      </w:pPr>
    </w:p>
    <w:p w14:paraId="055B1763">
      <w:pPr>
        <w:widowControl/>
        <w:shd w:val="clear" w:color="auto" w:fill="FFFFFF"/>
        <w:spacing w:line="480" w:lineRule="atLeast"/>
        <w:jc w:val="center"/>
        <w:rPr>
          <w:rFonts w:ascii="宋体" w:hAnsi="宋体"/>
          <w:b/>
          <w:bCs/>
          <w:color w:val="333333"/>
          <w:kern w:val="0"/>
          <w:sz w:val="36"/>
          <w:szCs w:val="36"/>
        </w:rPr>
      </w:pPr>
    </w:p>
    <w:p w14:paraId="1EECA61F">
      <w:pPr>
        <w:widowControl/>
        <w:shd w:val="clear" w:color="auto" w:fill="FFFFFF"/>
        <w:spacing w:line="480" w:lineRule="atLeast"/>
        <w:jc w:val="center"/>
        <w:rPr>
          <w:rFonts w:ascii="宋体" w:hAnsi="宋体"/>
          <w:b/>
          <w:bCs/>
          <w:color w:val="333333"/>
          <w:kern w:val="0"/>
          <w:sz w:val="36"/>
          <w:szCs w:val="36"/>
        </w:rPr>
      </w:pPr>
    </w:p>
    <w:p w14:paraId="356F2D73">
      <w:pPr>
        <w:widowControl/>
        <w:shd w:val="clear" w:color="auto" w:fill="FFFFFF"/>
        <w:spacing w:line="480" w:lineRule="atLeast"/>
        <w:jc w:val="center"/>
        <w:rPr>
          <w:rFonts w:ascii="Times New Roman" w:hAnsi="Times New Roman"/>
          <w:color w:val="333333"/>
          <w:kern w:val="0"/>
          <w:szCs w:val="21"/>
        </w:rPr>
      </w:pPr>
      <w:r>
        <w:rPr>
          <w:rFonts w:hint="eastAsia" w:ascii="宋体" w:hAnsi="宋体"/>
          <w:b/>
          <w:bCs/>
          <w:color w:val="333333"/>
          <w:kern w:val="0"/>
          <w:sz w:val="36"/>
          <w:szCs w:val="36"/>
        </w:rPr>
        <w:t>第一部分  朝阳市财政事务服务中心概况</w:t>
      </w:r>
    </w:p>
    <w:p w14:paraId="2CD744E7">
      <w:pPr>
        <w:widowControl/>
        <w:shd w:val="clear" w:color="auto" w:fill="FFFFFF"/>
        <w:spacing w:line="480" w:lineRule="atLeast"/>
        <w:ind w:firstLine="627"/>
        <w:rPr>
          <w:rFonts w:ascii="Times New Roman" w:hAnsi="Times New Roman"/>
          <w:color w:val="333333"/>
          <w:kern w:val="0"/>
          <w:szCs w:val="21"/>
        </w:rPr>
      </w:pPr>
      <w:r>
        <w:rPr>
          <w:rFonts w:eastAsia="仿宋" w:cs="Calibri"/>
          <w:color w:val="333333"/>
          <w:kern w:val="0"/>
          <w:sz w:val="32"/>
          <w:szCs w:val="32"/>
        </w:rPr>
        <w:t> </w:t>
      </w:r>
    </w:p>
    <w:p w14:paraId="64C4C787">
      <w:pPr>
        <w:widowControl/>
        <w:shd w:val="clear" w:color="auto" w:fill="FFFFFF"/>
        <w:spacing w:line="480" w:lineRule="atLeast"/>
        <w:ind w:firstLine="627"/>
        <w:rPr>
          <w:rFonts w:hint="eastAsia" w:ascii="黑体" w:hAnsi="黑体" w:eastAsia="黑体"/>
          <w:color w:val="333333"/>
          <w:kern w:val="0"/>
          <w:sz w:val="32"/>
          <w:szCs w:val="32"/>
        </w:rPr>
      </w:pPr>
      <w:r>
        <w:rPr>
          <w:rFonts w:hint="eastAsia" w:ascii="黑体" w:hAnsi="黑体" w:eastAsia="黑体"/>
          <w:color w:val="333333"/>
          <w:kern w:val="0"/>
          <w:sz w:val="32"/>
          <w:szCs w:val="32"/>
        </w:rPr>
        <w:t>一、主要职责</w:t>
      </w:r>
    </w:p>
    <w:p w14:paraId="54A5D7FB">
      <w:pPr>
        <w:widowControl/>
        <w:shd w:val="clear" w:color="auto" w:fill="FFFFFF"/>
        <w:spacing w:line="480" w:lineRule="atLeast"/>
        <w:ind w:firstLine="627"/>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 xml:space="preserve"> (一)贯彻执行国家有关财政工作的方针、政策和法律法规，为全市财政工作提供服务保障。</w:t>
      </w:r>
    </w:p>
    <w:p w14:paraId="460BC036">
      <w:pPr>
        <w:widowControl/>
        <w:shd w:val="clear" w:color="auto" w:fill="FFFFFF"/>
        <w:spacing w:line="480" w:lineRule="atLeast"/>
        <w:ind w:firstLine="627"/>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(二)负责全市政府性债务管理的事务性工作;负责中小企业信用担保资金追偿的事务性工作。</w:t>
      </w:r>
    </w:p>
    <w:p w14:paraId="4FA39510">
      <w:pPr>
        <w:widowControl/>
        <w:shd w:val="clear" w:color="auto" w:fill="FFFFFF"/>
        <w:spacing w:line="480" w:lineRule="atLeast"/>
        <w:ind w:firstLine="627"/>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(三)负责财政资金的审核、支付、会计核算等方面的事务性工作;负责市本级非税收入收缴管理、征收管理等方面的事务性工作;负责财政性票据管理的事务性工作。</w:t>
      </w:r>
    </w:p>
    <w:p w14:paraId="43304989">
      <w:pPr>
        <w:widowControl/>
        <w:shd w:val="clear" w:color="auto" w:fill="FFFFFF"/>
        <w:spacing w:line="480" w:lineRule="atLeast"/>
        <w:ind w:firstLine="627"/>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(四)负责县乡财政管理和县乡财政体制改革等方面的事务性工作;负责编制和组织实施全市县乡财源建设规划，制定县级基本财力保障机制奖补政策并组织落实等方面的事务性工作。</w:t>
      </w:r>
    </w:p>
    <w:p w14:paraId="19932C9B">
      <w:pPr>
        <w:widowControl/>
        <w:shd w:val="clear" w:color="auto" w:fill="FFFFFF"/>
        <w:spacing w:line="480" w:lineRule="atLeast"/>
        <w:ind w:firstLine="627"/>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(五)负责市直单位的部门预算编审的事务性工作;负责社会保险基金预决算、支付初审及收支监管等方面的事务性工作。</w:t>
      </w:r>
    </w:p>
    <w:p w14:paraId="33D35DFA">
      <w:pPr>
        <w:widowControl/>
        <w:shd w:val="clear" w:color="auto" w:fill="FFFFFF"/>
        <w:spacing w:line="480" w:lineRule="atLeast"/>
        <w:ind w:firstLine="627"/>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(六)负责全市财政投资审核管理规范性制度建设的事务性工作;负责使用财政资金的一般基本建设工程项目、重大工程项目和改造维修工程项目的概、预、结(决)算审核的事务性工作。</w:t>
      </w:r>
    </w:p>
    <w:p w14:paraId="1D404F41">
      <w:pPr>
        <w:widowControl/>
        <w:shd w:val="clear" w:color="auto" w:fill="FFFFFF"/>
        <w:spacing w:line="480" w:lineRule="atLeast"/>
        <w:ind w:firstLine="627"/>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(七)负责全市推广运用政府和社会资本合作模式(PPP)财政的事务性工作。</w:t>
      </w:r>
    </w:p>
    <w:p w14:paraId="55AEED07">
      <w:pPr>
        <w:widowControl/>
        <w:shd w:val="clear" w:color="auto" w:fill="FFFFFF"/>
        <w:spacing w:line="480" w:lineRule="atLeast"/>
        <w:ind w:firstLine="627"/>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(八)负责全市财政系统教育培训等事务性工作。</w:t>
      </w:r>
    </w:p>
    <w:p w14:paraId="6D35F29C">
      <w:pPr>
        <w:widowControl/>
        <w:shd w:val="clear" w:color="auto" w:fill="FFFFFF"/>
        <w:spacing w:line="480" w:lineRule="atLeast"/>
        <w:ind w:firstLine="627"/>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(九)参与全市财政监督检查的事务性工作;负责市本级财政系统网络建设管理、维修等工作。</w:t>
      </w:r>
    </w:p>
    <w:p w14:paraId="4A095332">
      <w:pPr>
        <w:widowControl/>
        <w:shd w:val="clear" w:color="auto" w:fill="FFFFFF"/>
        <w:spacing w:line="480" w:lineRule="atLeast"/>
        <w:ind w:firstLine="627"/>
        <w:rPr>
          <w:rFonts w:ascii="Times New Roman" w:hAnsi="Times New Roman"/>
          <w:color w:val="333333"/>
          <w:kern w:val="0"/>
          <w:szCs w:val="21"/>
        </w:rPr>
      </w:pPr>
      <w:r>
        <w:rPr>
          <w:rFonts w:hint="eastAsia" w:ascii="仿宋_GB2312" w:hAnsi="Times New Roman" w:eastAsia="仿宋_GB2312"/>
          <w:color w:val="333333"/>
          <w:kern w:val="0"/>
          <w:sz w:val="32"/>
          <w:szCs w:val="32"/>
        </w:rPr>
        <w:t>(十)承担市财政局交办的其他工作。</w:t>
      </w:r>
    </w:p>
    <w:p w14:paraId="06C3E28A">
      <w:pPr>
        <w:widowControl/>
        <w:shd w:val="clear" w:color="auto" w:fill="FFFFFF"/>
        <w:spacing w:line="480" w:lineRule="atLeast"/>
        <w:ind w:firstLine="627"/>
        <w:rPr>
          <w:rFonts w:ascii="Times New Roman" w:hAnsi="Times New Roman"/>
          <w:color w:val="333333"/>
          <w:kern w:val="0"/>
          <w:szCs w:val="21"/>
        </w:rPr>
      </w:pPr>
      <w:r>
        <w:rPr>
          <w:rFonts w:hint="eastAsia" w:ascii="黑体" w:hAnsi="黑体" w:eastAsia="黑体"/>
          <w:color w:val="333333"/>
          <w:kern w:val="0"/>
          <w:sz w:val="32"/>
          <w:szCs w:val="32"/>
        </w:rPr>
        <w:t>二、部门预算单位构成</w:t>
      </w:r>
    </w:p>
    <w:p w14:paraId="5FF65E44">
      <w:pPr>
        <w:widowControl/>
        <w:shd w:val="clear" w:color="auto" w:fill="FFFFFF"/>
        <w:spacing w:line="480" w:lineRule="atLeast"/>
        <w:ind w:firstLine="627"/>
        <w:rPr>
          <w:rFonts w:ascii="仿宋_GB2312" w:eastAsia="仿宋_GB2312"/>
          <w:sz w:val="32"/>
          <w:szCs w:val="32"/>
        </w:rPr>
      </w:pPr>
      <w:r>
        <w:rPr>
          <w:rFonts w:hint="eastAsia" w:ascii="仿宋_GB2312" w:hAnsi="宋体" w:eastAsia="仿宋_GB2312"/>
          <w:color w:val="333333"/>
          <w:kern w:val="0"/>
          <w:sz w:val="32"/>
          <w:szCs w:val="32"/>
        </w:rPr>
        <w:t>纳入</w:t>
      </w:r>
      <w:r>
        <w:rPr>
          <w:rFonts w:hint="eastAsia" w:ascii="仿宋_GB2312" w:eastAsia="仿宋_GB2312"/>
          <w:sz w:val="32"/>
          <w:szCs w:val="32"/>
        </w:rPr>
        <w:t>朝阳市财政事务服务中心</w:t>
      </w:r>
      <w:r>
        <w:rPr>
          <w:rFonts w:hint="eastAsia" w:ascii="仿宋_GB2312" w:hAnsi="宋体" w:eastAsia="仿宋_GB2312"/>
          <w:color w:val="333333"/>
          <w:kern w:val="0"/>
          <w:sz w:val="32"/>
          <w:szCs w:val="32"/>
        </w:rPr>
        <w:t>2024年部门预算编制范围的预算单位包括：</w:t>
      </w:r>
      <w:bookmarkStart w:id="2" w:name="OLE_LINK4"/>
      <w:bookmarkStart w:id="3" w:name="OLE_LINK3"/>
      <w:r>
        <w:rPr>
          <w:rFonts w:hint="eastAsia" w:ascii="仿宋_GB2312" w:eastAsia="仿宋_GB2312"/>
          <w:sz w:val="32"/>
          <w:szCs w:val="32"/>
        </w:rPr>
        <w:t>朝阳市财政事务服务中心</w:t>
      </w:r>
      <w:bookmarkEnd w:id="2"/>
      <w:bookmarkEnd w:id="3"/>
      <w:r>
        <w:rPr>
          <w:rFonts w:hint="eastAsia" w:ascii="仿宋_GB2312" w:eastAsia="仿宋_GB2312"/>
          <w:sz w:val="32"/>
          <w:szCs w:val="32"/>
        </w:rPr>
        <w:t>。</w:t>
      </w:r>
    </w:p>
    <w:p w14:paraId="1C0EF44E">
      <w:pPr>
        <w:widowControl/>
        <w:shd w:val="clear" w:color="auto" w:fill="FFFFFF"/>
        <w:spacing w:line="480" w:lineRule="atLeast"/>
        <w:ind w:firstLine="627"/>
        <w:rPr>
          <w:rFonts w:eastAsia="仿宋" w:cs="Calibri"/>
          <w:color w:val="333333"/>
          <w:kern w:val="0"/>
          <w:sz w:val="32"/>
          <w:szCs w:val="32"/>
        </w:rPr>
      </w:pPr>
    </w:p>
    <w:p w14:paraId="49C85C92">
      <w:pPr>
        <w:widowControl/>
        <w:shd w:val="clear" w:color="auto" w:fill="FFFFFF"/>
        <w:spacing w:line="480" w:lineRule="atLeast"/>
        <w:ind w:firstLine="627"/>
        <w:rPr>
          <w:rFonts w:eastAsia="仿宋" w:cs="Calibri"/>
          <w:color w:val="333333"/>
          <w:kern w:val="0"/>
          <w:sz w:val="32"/>
          <w:szCs w:val="32"/>
        </w:rPr>
      </w:pPr>
    </w:p>
    <w:p w14:paraId="0C68D485">
      <w:pPr>
        <w:widowControl/>
        <w:shd w:val="clear" w:color="auto" w:fill="FFFFFF"/>
        <w:spacing w:line="480" w:lineRule="atLeast"/>
        <w:ind w:firstLine="627"/>
        <w:rPr>
          <w:rFonts w:eastAsia="仿宋" w:cs="Calibri"/>
          <w:color w:val="333333"/>
          <w:kern w:val="0"/>
          <w:sz w:val="32"/>
          <w:szCs w:val="32"/>
        </w:rPr>
      </w:pPr>
    </w:p>
    <w:p w14:paraId="27D3F9EE">
      <w:pPr>
        <w:widowControl/>
        <w:shd w:val="clear" w:color="auto" w:fill="FFFFFF"/>
        <w:spacing w:line="480" w:lineRule="atLeast"/>
        <w:ind w:firstLine="627"/>
        <w:rPr>
          <w:rFonts w:eastAsia="仿宋" w:cs="Calibri"/>
          <w:color w:val="333333"/>
          <w:kern w:val="0"/>
          <w:sz w:val="32"/>
          <w:szCs w:val="32"/>
        </w:rPr>
      </w:pPr>
    </w:p>
    <w:p w14:paraId="656CC86F">
      <w:pPr>
        <w:widowControl/>
        <w:shd w:val="clear" w:color="auto" w:fill="FFFFFF"/>
        <w:spacing w:line="480" w:lineRule="atLeast"/>
        <w:ind w:firstLine="627"/>
        <w:rPr>
          <w:rFonts w:eastAsia="仿宋" w:cs="Calibri"/>
          <w:color w:val="333333"/>
          <w:kern w:val="0"/>
          <w:sz w:val="32"/>
          <w:szCs w:val="32"/>
        </w:rPr>
      </w:pPr>
    </w:p>
    <w:p w14:paraId="221F20AD">
      <w:pPr>
        <w:widowControl/>
        <w:shd w:val="clear" w:color="auto" w:fill="FFFFFF"/>
        <w:spacing w:line="480" w:lineRule="atLeast"/>
        <w:ind w:firstLine="627"/>
        <w:rPr>
          <w:rFonts w:eastAsia="仿宋" w:cs="Calibri"/>
          <w:color w:val="333333"/>
          <w:kern w:val="0"/>
          <w:sz w:val="32"/>
          <w:szCs w:val="32"/>
        </w:rPr>
      </w:pPr>
    </w:p>
    <w:p w14:paraId="48E1B6B9">
      <w:pPr>
        <w:widowControl/>
        <w:shd w:val="clear" w:color="auto" w:fill="FFFFFF"/>
        <w:spacing w:line="480" w:lineRule="atLeast"/>
        <w:ind w:firstLine="627"/>
        <w:rPr>
          <w:rFonts w:eastAsia="仿宋" w:cs="Calibri"/>
          <w:color w:val="333333"/>
          <w:kern w:val="0"/>
          <w:sz w:val="32"/>
          <w:szCs w:val="32"/>
        </w:rPr>
      </w:pPr>
    </w:p>
    <w:p w14:paraId="4FF1B4A9">
      <w:pPr>
        <w:widowControl/>
        <w:shd w:val="clear" w:color="auto" w:fill="FFFFFF"/>
        <w:spacing w:line="480" w:lineRule="atLeast"/>
        <w:ind w:firstLine="627"/>
        <w:rPr>
          <w:rFonts w:eastAsia="仿宋" w:cs="Calibri"/>
          <w:color w:val="333333"/>
          <w:kern w:val="0"/>
          <w:sz w:val="32"/>
          <w:szCs w:val="32"/>
        </w:rPr>
      </w:pPr>
    </w:p>
    <w:p w14:paraId="3C6CEE4B">
      <w:pPr>
        <w:widowControl/>
        <w:shd w:val="clear" w:color="auto" w:fill="FFFFFF"/>
        <w:spacing w:line="480" w:lineRule="atLeast"/>
        <w:ind w:firstLine="627"/>
        <w:rPr>
          <w:rFonts w:eastAsia="仿宋" w:cs="Calibri"/>
          <w:color w:val="333333"/>
          <w:kern w:val="0"/>
          <w:sz w:val="32"/>
          <w:szCs w:val="32"/>
        </w:rPr>
      </w:pPr>
    </w:p>
    <w:p w14:paraId="00FAFB5F">
      <w:pPr>
        <w:widowControl/>
        <w:shd w:val="clear" w:color="auto" w:fill="FFFFFF"/>
        <w:spacing w:line="480" w:lineRule="atLeast"/>
        <w:ind w:firstLine="627"/>
        <w:rPr>
          <w:rFonts w:eastAsia="仿宋" w:cs="Calibri"/>
          <w:color w:val="333333"/>
          <w:kern w:val="0"/>
          <w:sz w:val="32"/>
          <w:szCs w:val="32"/>
        </w:rPr>
      </w:pPr>
    </w:p>
    <w:p w14:paraId="55D2A3F9">
      <w:pPr>
        <w:widowControl/>
        <w:shd w:val="clear" w:color="auto" w:fill="FFFFFF"/>
        <w:spacing w:line="480" w:lineRule="atLeast"/>
        <w:ind w:firstLine="627"/>
        <w:rPr>
          <w:rFonts w:eastAsia="仿宋" w:cs="Calibri"/>
          <w:color w:val="333333"/>
          <w:kern w:val="0"/>
          <w:sz w:val="32"/>
          <w:szCs w:val="32"/>
        </w:rPr>
      </w:pPr>
    </w:p>
    <w:p w14:paraId="2E45C4A6">
      <w:pPr>
        <w:widowControl/>
        <w:shd w:val="clear" w:color="auto" w:fill="FFFFFF"/>
        <w:spacing w:line="480" w:lineRule="atLeast"/>
        <w:ind w:firstLine="627"/>
        <w:rPr>
          <w:rFonts w:eastAsia="仿宋" w:cs="Calibri"/>
          <w:color w:val="333333"/>
          <w:kern w:val="0"/>
          <w:sz w:val="32"/>
          <w:szCs w:val="32"/>
        </w:rPr>
      </w:pPr>
    </w:p>
    <w:p w14:paraId="509962F8">
      <w:pPr>
        <w:widowControl/>
        <w:shd w:val="clear" w:color="auto" w:fill="FFFFFF"/>
        <w:spacing w:line="480" w:lineRule="atLeast"/>
        <w:ind w:firstLine="627"/>
        <w:rPr>
          <w:rFonts w:eastAsia="仿宋" w:cs="Calibri"/>
          <w:color w:val="333333"/>
          <w:kern w:val="0"/>
          <w:sz w:val="32"/>
          <w:szCs w:val="32"/>
        </w:rPr>
      </w:pPr>
    </w:p>
    <w:p w14:paraId="413D4280">
      <w:pPr>
        <w:widowControl/>
        <w:shd w:val="clear" w:color="auto" w:fill="FFFFFF"/>
        <w:spacing w:line="480" w:lineRule="atLeast"/>
        <w:ind w:firstLine="627"/>
        <w:rPr>
          <w:rFonts w:eastAsia="仿宋" w:cs="Calibri"/>
          <w:color w:val="333333"/>
          <w:kern w:val="0"/>
          <w:sz w:val="32"/>
          <w:szCs w:val="32"/>
        </w:rPr>
      </w:pPr>
    </w:p>
    <w:p w14:paraId="44E4B977">
      <w:pPr>
        <w:widowControl/>
        <w:shd w:val="clear" w:color="auto" w:fill="FFFFFF"/>
        <w:spacing w:line="480" w:lineRule="atLeast"/>
        <w:ind w:firstLine="627"/>
        <w:rPr>
          <w:rFonts w:eastAsia="仿宋" w:cs="Calibri"/>
          <w:color w:val="333333"/>
          <w:kern w:val="0"/>
          <w:sz w:val="32"/>
          <w:szCs w:val="32"/>
        </w:rPr>
      </w:pPr>
    </w:p>
    <w:p w14:paraId="51585404">
      <w:pPr>
        <w:widowControl/>
        <w:shd w:val="clear" w:color="auto" w:fill="FFFFFF"/>
        <w:spacing w:line="480" w:lineRule="atLeast"/>
        <w:ind w:firstLine="627"/>
        <w:rPr>
          <w:rFonts w:eastAsia="仿宋" w:cs="Calibri"/>
          <w:color w:val="333333"/>
          <w:kern w:val="0"/>
          <w:sz w:val="32"/>
          <w:szCs w:val="32"/>
        </w:rPr>
      </w:pPr>
    </w:p>
    <w:p w14:paraId="4E030951">
      <w:pPr>
        <w:widowControl/>
        <w:shd w:val="clear" w:color="auto" w:fill="FFFFFF"/>
        <w:spacing w:line="480" w:lineRule="atLeast"/>
        <w:ind w:firstLine="627"/>
        <w:rPr>
          <w:rFonts w:eastAsia="仿宋" w:cs="Calibri"/>
          <w:color w:val="333333"/>
          <w:kern w:val="0"/>
          <w:sz w:val="32"/>
          <w:szCs w:val="32"/>
        </w:rPr>
      </w:pPr>
    </w:p>
    <w:p w14:paraId="21ACE87A">
      <w:pPr>
        <w:widowControl/>
        <w:shd w:val="clear" w:color="auto" w:fill="FFFFFF"/>
        <w:spacing w:line="480" w:lineRule="atLeast"/>
        <w:ind w:firstLine="627"/>
        <w:rPr>
          <w:rFonts w:eastAsia="仿宋" w:cs="Calibri"/>
          <w:color w:val="333333"/>
          <w:kern w:val="0"/>
          <w:sz w:val="32"/>
          <w:szCs w:val="32"/>
        </w:rPr>
      </w:pPr>
    </w:p>
    <w:p w14:paraId="0B506403">
      <w:pPr>
        <w:widowControl/>
        <w:shd w:val="clear" w:color="auto" w:fill="FFFFFF"/>
        <w:spacing w:line="480" w:lineRule="atLeast"/>
        <w:ind w:firstLine="627"/>
        <w:rPr>
          <w:rFonts w:eastAsia="仿宋" w:cs="Calibri"/>
          <w:color w:val="333333"/>
          <w:kern w:val="0"/>
          <w:sz w:val="32"/>
          <w:szCs w:val="32"/>
        </w:rPr>
      </w:pPr>
    </w:p>
    <w:p w14:paraId="30AB652C">
      <w:pPr>
        <w:widowControl/>
        <w:shd w:val="clear" w:color="auto" w:fill="FFFFFF"/>
        <w:spacing w:line="480" w:lineRule="atLeast"/>
        <w:ind w:firstLine="627"/>
        <w:rPr>
          <w:rFonts w:eastAsia="仿宋" w:cs="Calibri"/>
          <w:color w:val="333333"/>
          <w:kern w:val="0"/>
          <w:sz w:val="32"/>
          <w:szCs w:val="32"/>
        </w:rPr>
      </w:pPr>
    </w:p>
    <w:p w14:paraId="17EAAE9E">
      <w:pPr>
        <w:widowControl/>
        <w:shd w:val="clear" w:color="auto" w:fill="FFFFFF"/>
        <w:spacing w:line="480" w:lineRule="atLeast"/>
        <w:ind w:firstLine="627"/>
        <w:rPr>
          <w:rFonts w:eastAsia="仿宋" w:cs="Calibri"/>
          <w:color w:val="333333"/>
          <w:kern w:val="0"/>
          <w:sz w:val="32"/>
          <w:szCs w:val="32"/>
        </w:rPr>
      </w:pPr>
    </w:p>
    <w:p w14:paraId="5193EEEB">
      <w:pPr>
        <w:widowControl/>
        <w:shd w:val="clear" w:color="auto" w:fill="FFFFFF"/>
        <w:spacing w:line="480" w:lineRule="atLeast"/>
        <w:ind w:firstLine="627"/>
        <w:rPr>
          <w:rFonts w:eastAsia="仿宋" w:cs="Calibri"/>
          <w:color w:val="333333"/>
          <w:kern w:val="0"/>
          <w:sz w:val="32"/>
          <w:szCs w:val="32"/>
        </w:rPr>
      </w:pPr>
    </w:p>
    <w:p w14:paraId="6493AB5F">
      <w:pPr>
        <w:widowControl/>
        <w:shd w:val="clear" w:color="auto" w:fill="FFFFFF"/>
        <w:spacing w:line="480" w:lineRule="atLeast"/>
        <w:ind w:firstLine="627"/>
        <w:rPr>
          <w:rFonts w:eastAsia="仿宋" w:cs="Calibri"/>
          <w:color w:val="333333"/>
          <w:kern w:val="0"/>
          <w:sz w:val="32"/>
          <w:szCs w:val="32"/>
        </w:rPr>
      </w:pPr>
    </w:p>
    <w:p w14:paraId="1032F0DC">
      <w:pPr>
        <w:widowControl/>
        <w:shd w:val="clear" w:color="auto" w:fill="FFFFFF"/>
        <w:spacing w:line="480" w:lineRule="atLeast"/>
        <w:jc w:val="center"/>
        <w:rPr>
          <w:rFonts w:ascii="Times New Roman" w:hAnsi="Times New Roman"/>
          <w:color w:val="333333"/>
          <w:kern w:val="0"/>
          <w:szCs w:val="21"/>
        </w:rPr>
      </w:pPr>
      <w:r>
        <w:rPr>
          <w:rFonts w:hint="eastAsia" w:ascii="宋体" w:hAnsi="宋体"/>
          <w:b/>
          <w:bCs/>
          <w:color w:val="333333"/>
          <w:kern w:val="0"/>
          <w:sz w:val="36"/>
          <w:szCs w:val="36"/>
        </w:rPr>
        <w:t>第二部分</w:t>
      </w:r>
      <w:r>
        <w:rPr>
          <w:rFonts w:ascii="Times New Roman" w:hAnsi="Times New Roman"/>
          <w:b/>
          <w:bCs/>
          <w:color w:val="333333"/>
          <w:kern w:val="0"/>
          <w:sz w:val="36"/>
          <w:szCs w:val="36"/>
        </w:rPr>
        <w:t xml:space="preserve"> </w:t>
      </w:r>
      <w:r>
        <w:rPr>
          <w:rFonts w:hint="eastAsia" w:ascii="宋体" w:hAnsi="宋体"/>
          <w:b/>
          <w:bCs/>
          <w:color w:val="333333"/>
          <w:kern w:val="0"/>
          <w:sz w:val="36"/>
          <w:szCs w:val="36"/>
        </w:rPr>
        <w:t>朝阳市财政事务服务中心部门预算批复表</w:t>
      </w:r>
    </w:p>
    <w:p w14:paraId="708DA0A1">
      <w:pPr>
        <w:widowControl/>
        <w:shd w:val="clear" w:color="auto" w:fill="FFFFFF"/>
        <w:spacing w:line="480" w:lineRule="atLeast"/>
        <w:ind w:firstLine="640" w:firstLineChars="200"/>
        <w:jc w:val="center"/>
        <w:rPr>
          <w:rFonts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（详见附件）</w:t>
      </w:r>
    </w:p>
    <w:p w14:paraId="670E8ACA">
      <w:pPr>
        <w:widowControl/>
        <w:shd w:val="clear" w:color="auto" w:fill="FFFFFF"/>
        <w:spacing w:line="480" w:lineRule="atLeast"/>
        <w:rPr>
          <w:rFonts w:ascii="Times New Roman" w:hAnsi="Times New Roman"/>
          <w:color w:val="333333"/>
          <w:kern w:val="0"/>
          <w:szCs w:val="21"/>
        </w:rPr>
      </w:pPr>
      <w:r>
        <w:rPr>
          <w:rFonts w:hint="eastAsia" w:ascii="宋体" w:hAnsi="宋体"/>
          <w:color w:val="333333"/>
          <w:kern w:val="0"/>
          <w:sz w:val="32"/>
          <w:szCs w:val="32"/>
        </w:rPr>
        <w:t> </w:t>
      </w:r>
    </w:p>
    <w:p w14:paraId="6AC62181">
      <w:pPr>
        <w:widowControl/>
        <w:shd w:val="clear" w:color="auto" w:fill="FFFFFF"/>
        <w:spacing w:line="480" w:lineRule="atLeast"/>
        <w:ind w:firstLine="885"/>
        <w:jc w:val="center"/>
        <w:rPr>
          <w:rFonts w:ascii="宋体" w:hAnsi="宋体"/>
          <w:b/>
          <w:bCs/>
          <w:color w:val="333333"/>
          <w:spacing w:val="-20"/>
          <w:kern w:val="0"/>
          <w:sz w:val="36"/>
          <w:szCs w:val="36"/>
        </w:rPr>
        <w:sectPr>
          <w:pgSz w:w="11906" w:h="16838"/>
          <w:pgMar w:top="1440" w:right="1800" w:bottom="1440" w:left="1800" w:header="851" w:footer="992" w:gutter="0"/>
          <w:cols w:space="425" w:num="1"/>
          <w:docGrid w:type="lines" w:linePitch="312" w:charSpace="0"/>
        </w:sectPr>
      </w:pPr>
      <w:r>
        <w:rPr>
          <w:rFonts w:hint="eastAsia" w:ascii="宋体" w:hAnsi="宋体"/>
          <w:b/>
          <w:bCs/>
          <w:color w:val="333333"/>
          <w:spacing w:val="-20"/>
          <w:kern w:val="0"/>
          <w:sz w:val="36"/>
          <w:szCs w:val="36"/>
        </w:rPr>
        <w:t xml:space="preserve">       </w:t>
      </w:r>
    </w:p>
    <w:p w14:paraId="38CFE3F3">
      <w:pPr>
        <w:widowControl/>
        <w:shd w:val="clear" w:color="auto" w:fill="FFFFFF"/>
        <w:spacing w:line="480" w:lineRule="atLeast"/>
        <w:ind w:firstLine="885"/>
        <w:jc w:val="center"/>
        <w:rPr>
          <w:rFonts w:hint="eastAsia" w:ascii="宋体" w:hAnsi="宋体"/>
          <w:b/>
          <w:bCs/>
          <w:color w:val="333333"/>
          <w:spacing w:val="-20"/>
          <w:kern w:val="0"/>
          <w:sz w:val="36"/>
          <w:szCs w:val="36"/>
        </w:rPr>
      </w:pPr>
      <w:r>
        <w:rPr>
          <w:rFonts w:hint="eastAsia" w:ascii="宋体" w:hAnsi="宋体"/>
          <w:b/>
          <w:bCs/>
          <w:color w:val="333333"/>
          <w:spacing w:val="-20"/>
          <w:kern w:val="0"/>
          <w:sz w:val="36"/>
          <w:szCs w:val="36"/>
        </w:rPr>
        <w:t>第三部分</w:t>
      </w:r>
      <w:r>
        <w:rPr>
          <w:rFonts w:ascii="Times New Roman" w:hAnsi="Times New Roman"/>
          <w:b/>
          <w:bCs/>
          <w:color w:val="333333"/>
          <w:spacing w:val="-20"/>
          <w:kern w:val="0"/>
          <w:sz w:val="36"/>
          <w:szCs w:val="36"/>
        </w:rPr>
        <w:t xml:space="preserve">  </w:t>
      </w:r>
      <w:r>
        <w:rPr>
          <w:rFonts w:hint="eastAsia" w:ascii="宋体" w:hAnsi="宋体"/>
          <w:b/>
          <w:bCs/>
          <w:color w:val="333333"/>
          <w:spacing w:val="-20"/>
          <w:kern w:val="0"/>
          <w:sz w:val="36"/>
          <w:szCs w:val="36"/>
        </w:rPr>
        <w:t>朝阳市财政事务服务中心</w:t>
      </w:r>
    </w:p>
    <w:p w14:paraId="0567D957">
      <w:pPr>
        <w:widowControl/>
        <w:shd w:val="clear" w:color="auto" w:fill="FFFFFF"/>
        <w:spacing w:line="480" w:lineRule="atLeast"/>
        <w:ind w:firstLine="885"/>
        <w:jc w:val="center"/>
        <w:rPr>
          <w:rFonts w:ascii="Times New Roman" w:hAnsi="Times New Roman"/>
          <w:color w:val="333333"/>
          <w:spacing w:val="-20"/>
          <w:kern w:val="0"/>
          <w:szCs w:val="21"/>
        </w:rPr>
      </w:pPr>
      <w:r>
        <w:rPr>
          <w:rFonts w:ascii="Times New Roman" w:hAnsi="Times New Roman"/>
          <w:b/>
          <w:bCs/>
          <w:color w:val="333333"/>
          <w:spacing w:val="-20"/>
          <w:kern w:val="0"/>
          <w:sz w:val="36"/>
          <w:szCs w:val="36"/>
        </w:rPr>
        <w:t>20</w:t>
      </w:r>
      <w:r>
        <w:rPr>
          <w:rFonts w:hint="eastAsia" w:ascii="Times New Roman" w:hAnsi="Times New Roman"/>
          <w:b/>
          <w:bCs/>
          <w:color w:val="333333"/>
          <w:spacing w:val="-20"/>
          <w:kern w:val="0"/>
          <w:sz w:val="36"/>
          <w:szCs w:val="36"/>
        </w:rPr>
        <w:t>24</w:t>
      </w:r>
      <w:r>
        <w:rPr>
          <w:rFonts w:hint="eastAsia" w:ascii="宋体" w:hAnsi="宋体"/>
          <w:b/>
          <w:bCs/>
          <w:color w:val="333333"/>
          <w:spacing w:val="-20"/>
          <w:kern w:val="0"/>
          <w:sz w:val="36"/>
          <w:szCs w:val="36"/>
        </w:rPr>
        <w:t>年部门预算情况说明</w:t>
      </w:r>
    </w:p>
    <w:p w14:paraId="56AA60F5">
      <w:pPr>
        <w:widowControl/>
        <w:shd w:val="clear" w:color="auto" w:fill="FFFFFF"/>
        <w:spacing w:line="480" w:lineRule="atLeast"/>
        <w:ind w:firstLine="790"/>
        <w:rPr>
          <w:rFonts w:ascii="宋体" w:hAnsi="宋体"/>
          <w:b/>
          <w:bCs/>
          <w:color w:val="333333"/>
          <w:kern w:val="0"/>
          <w:sz w:val="32"/>
          <w:szCs w:val="32"/>
        </w:rPr>
      </w:pPr>
    </w:p>
    <w:p w14:paraId="126A898E">
      <w:pPr>
        <w:widowControl/>
        <w:shd w:val="clear" w:color="auto" w:fill="FFFFFF"/>
        <w:spacing w:line="480" w:lineRule="atLeast"/>
        <w:ind w:firstLine="790"/>
        <w:rPr>
          <w:rFonts w:ascii="Times New Roman" w:hAnsi="Times New Roman"/>
          <w:color w:val="333333"/>
          <w:kern w:val="0"/>
          <w:szCs w:val="21"/>
        </w:rPr>
      </w:pPr>
      <w:r>
        <w:rPr>
          <w:rFonts w:hint="eastAsia" w:ascii="宋体" w:hAnsi="宋体"/>
          <w:b/>
          <w:bCs/>
          <w:color w:val="333333"/>
          <w:kern w:val="0"/>
          <w:sz w:val="32"/>
          <w:szCs w:val="32"/>
        </w:rPr>
        <w:t>一、关于朝阳市财政事务服务中心</w:t>
      </w:r>
      <w:r>
        <w:rPr>
          <w:rFonts w:ascii="Times New Roman" w:hAnsi="Times New Roman"/>
          <w:b/>
          <w:bCs/>
          <w:color w:val="333333"/>
          <w:kern w:val="0"/>
          <w:sz w:val="32"/>
          <w:szCs w:val="32"/>
        </w:rPr>
        <w:t>20</w:t>
      </w:r>
      <w:r>
        <w:rPr>
          <w:rFonts w:hint="eastAsia" w:ascii="Times New Roman" w:hAnsi="Times New Roman"/>
          <w:b/>
          <w:bCs/>
          <w:color w:val="333333"/>
          <w:kern w:val="0"/>
          <w:sz w:val="32"/>
          <w:szCs w:val="32"/>
        </w:rPr>
        <w:t>24</w:t>
      </w:r>
      <w:r>
        <w:rPr>
          <w:rFonts w:hint="eastAsia" w:ascii="宋体" w:hAnsi="宋体"/>
          <w:b/>
          <w:bCs/>
          <w:color w:val="333333"/>
          <w:kern w:val="0"/>
          <w:sz w:val="32"/>
          <w:szCs w:val="32"/>
        </w:rPr>
        <w:t>年收支预算的总体说明</w:t>
      </w:r>
    </w:p>
    <w:p w14:paraId="4A015F45">
      <w:pPr>
        <w:widowControl/>
        <w:shd w:val="clear" w:color="auto" w:fill="FFFFFF"/>
        <w:spacing w:line="480" w:lineRule="atLeast"/>
        <w:ind w:firstLine="640"/>
        <w:rPr>
          <w:rFonts w:ascii="仿宋_GB2312" w:hAnsi="Times New Roman" w:eastAsia="仿宋_GB2312"/>
          <w:color w:val="333333"/>
          <w:kern w:val="0"/>
          <w:szCs w:val="21"/>
        </w:rPr>
      </w:pPr>
      <w:r>
        <w:rPr>
          <w:rFonts w:hint="eastAsia" w:ascii="仿宋_GB2312" w:hAnsi="宋体" w:eastAsia="仿宋_GB2312"/>
          <w:color w:val="333333"/>
          <w:kern w:val="0"/>
          <w:sz w:val="32"/>
          <w:szCs w:val="32"/>
        </w:rPr>
        <w:t>按照综合预算的原则，朝阳市财政事务中心所有收入和支出均纳入部门预算管理。朝阳市财政事务中心 2024年预算收入包括：财政拨款1860.02万元，较上年增加1860.02万元，原因是事业单位改革后原17家事业单位合并至此单位。朝阳市财政事务中心2024年预算支出包括：一般公共服务支出1314.68万元、社会保障和就业支出302.4万元，卫生健康支出116.19万元，住房保障支出126.75万元，本年支出合计1860.02万元，较上年增加1860.02万元。</w:t>
      </w:r>
    </w:p>
    <w:p w14:paraId="68FDD36C">
      <w:pPr>
        <w:widowControl/>
        <w:shd w:val="clear" w:color="auto" w:fill="FFFFFF"/>
        <w:spacing w:line="480" w:lineRule="atLeast"/>
        <w:ind w:firstLine="630"/>
        <w:rPr>
          <w:rFonts w:ascii="Times New Roman" w:hAnsi="Times New Roman"/>
          <w:color w:val="333333"/>
          <w:kern w:val="0"/>
          <w:szCs w:val="21"/>
        </w:rPr>
      </w:pPr>
      <w:r>
        <w:rPr>
          <w:rFonts w:hint="eastAsia" w:ascii="宋体" w:hAnsi="宋体"/>
          <w:b/>
          <w:bCs/>
          <w:color w:val="333333"/>
          <w:kern w:val="0"/>
          <w:sz w:val="32"/>
          <w:szCs w:val="32"/>
        </w:rPr>
        <w:t>二、关于</w:t>
      </w:r>
      <w:r>
        <w:rPr>
          <w:rFonts w:ascii="Times New Roman" w:hAnsi="Times New Roman"/>
          <w:b/>
          <w:bCs/>
          <w:color w:val="333333"/>
          <w:kern w:val="0"/>
          <w:sz w:val="32"/>
          <w:szCs w:val="32"/>
        </w:rPr>
        <w:t>20</w:t>
      </w:r>
      <w:r>
        <w:rPr>
          <w:rFonts w:hint="eastAsia" w:ascii="Times New Roman" w:hAnsi="Times New Roman"/>
          <w:b/>
          <w:bCs/>
          <w:color w:val="333333"/>
          <w:kern w:val="0"/>
          <w:sz w:val="32"/>
          <w:szCs w:val="32"/>
        </w:rPr>
        <w:t>24</w:t>
      </w:r>
      <w:r>
        <w:rPr>
          <w:rFonts w:hint="eastAsia" w:ascii="宋体" w:hAnsi="宋体"/>
          <w:b/>
          <w:bCs/>
          <w:color w:val="333333"/>
          <w:kern w:val="0"/>
          <w:sz w:val="32"/>
          <w:szCs w:val="32"/>
        </w:rPr>
        <w:t>年预算机关运行经费安排情况说明</w:t>
      </w:r>
    </w:p>
    <w:p w14:paraId="747E71A9">
      <w:pPr>
        <w:widowControl/>
        <w:shd w:val="clear" w:color="auto" w:fill="FFFFFF"/>
        <w:spacing w:line="480" w:lineRule="atLeast"/>
        <w:ind w:firstLine="640"/>
        <w:rPr>
          <w:rFonts w:ascii="仿宋_GB2312" w:hAnsi="宋体" w:eastAsia="仿宋_GB2312"/>
          <w:kern w:val="0"/>
          <w:sz w:val="32"/>
          <w:szCs w:val="32"/>
        </w:rPr>
      </w:pPr>
      <w:r>
        <w:rPr>
          <w:rFonts w:hint="eastAsia" w:ascii="仿宋_GB2312" w:hAnsi="宋体" w:eastAsia="仿宋_GB2312"/>
          <w:color w:val="333333"/>
          <w:kern w:val="0"/>
          <w:sz w:val="32"/>
          <w:szCs w:val="32"/>
        </w:rPr>
        <w:t>朝阳市财政事务中心是非参公管理的事业单位，不在机关运行经费统计范围之内</w:t>
      </w:r>
      <w:r>
        <w:rPr>
          <w:rFonts w:hint="eastAsia" w:ascii="仿宋_GB2312" w:hAnsi="宋体" w:eastAsia="仿宋_GB2312"/>
          <w:kern w:val="0"/>
          <w:sz w:val="32"/>
          <w:szCs w:val="32"/>
        </w:rPr>
        <w:t>。</w:t>
      </w:r>
    </w:p>
    <w:p w14:paraId="2D6409C2">
      <w:pPr>
        <w:widowControl/>
        <w:shd w:val="clear" w:color="auto" w:fill="FFFFFF"/>
        <w:spacing w:line="480" w:lineRule="atLeast"/>
        <w:ind w:firstLine="630"/>
        <w:rPr>
          <w:rFonts w:ascii="Times New Roman" w:hAnsi="Times New Roman"/>
          <w:color w:val="333333"/>
          <w:kern w:val="0"/>
          <w:szCs w:val="21"/>
        </w:rPr>
      </w:pPr>
      <w:r>
        <w:rPr>
          <w:rFonts w:hint="eastAsia" w:ascii="宋体" w:hAnsi="宋体"/>
          <w:b/>
          <w:bCs/>
          <w:color w:val="333333"/>
          <w:kern w:val="0"/>
          <w:sz w:val="32"/>
          <w:szCs w:val="32"/>
        </w:rPr>
        <w:t>三、关于</w:t>
      </w:r>
      <w:r>
        <w:rPr>
          <w:rFonts w:ascii="Times New Roman" w:hAnsi="Times New Roman"/>
          <w:b/>
          <w:bCs/>
          <w:color w:val="333333"/>
          <w:kern w:val="0"/>
          <w:sz w:val="32"/>
          <w:szCs w:val="32"/>
        </w:rPr>
        <w:t>20</w:t>
      </w:r>
      <w:r>
        <w:rPr>
          <w:rFonts w:hint="eastAsia" w:ascii="Times New Roman" w:hAnsi="Times New Roman"/>
          <w:b/>
          <w:bCs/>
          <w:color w:val="333333"/>
          <w:kern w:val="0"/>
          <w:sz w:val="32"/>
          <w:szCs w:val="32"/>
        </w:rPr>
        <w:t>24</w:t>
      </w:r>
      <w:r>
        <w:rPr>
          <w:rFonts w:hint="eastAsia" w:ascii="宋体" w:hAnsi="宋体"/>
          <w:b/>
          <w:bCs/>
          <w:color w:val="333333"/>
          <w:kern w:val="0"/>
          <w:sz w:val="32"/>
          <w:szCs w:val="32"/>
        </w:rPr>
        <w:t>年政府采购项目安排情况说明</w:t>
      </w:r>
    </w:p>
    <w:p w14:paraId="36A023D7">
      <w:pPr>
        <w:ind w:firstLine="640" w:firstLineChars="200"/>
        <w:rPr>
          <w:rFonts w:ascii="仿宋_GB2312" w:eastAsia="仿宋_GB2312"/>
          <w:sz w:val="32"/>
          <w:szCs w:val="32"/>
        </w:rPr>
      </w:pPr>
      <w:r>
        <w:rPr>
          <w:rFonts w:hint="eastAsia" w:ascii="仿宋_GB2312" w:hAnsi="宋体" w:eastAsia="仿宋_GB2312"/>
          <w:color w:val="333333"/>
          <w:kern w:val="0"/>
          <w:sz w:val="32"/>
          <w:szCs w:val="32"/>
        </w:rPr>
        <w:t>本单位2024年预算无政府采购项目</w:t>
      </w:r>
      <w:r>
        <w:rPr>
          <w:rFonts w:hint="eastAsia" w:ascii="仿宋_GB2312" w:eastAsia="仿宋_GB2312"/>
          <w:sz w:val="32"/>
          <w:szCs w:val="32"/>
        </w:rPr>
        <w:t>。</w:t>
      </w:r>
    </w:p>
    <w:p w14:paraId="60AD0C96">
      <w:pPr>
        <w:widowControl/>
        <w:shd w:val="clear" w:color="auto" w:fill="FFFFFF"/>
        <w:spacing w:line="480" w:lineRule="atLeast"/>
        <w:ind w:firstLine="630" w:firstLineChars="196"/>
        <w:rPr>
          <w:rFonts w:ascii="Times New Roman" w:hAnsi="Times New Roman"/>
          <w:color w:val="333333"/>
          <w:kern w:val="0"/>
          <w:szCs w:val="21"/>
        </w:rPr>
      </w:pPr>
      <w:r>
        <w:rPr>
          <w:rFonts w:hint="eastAsia" w:ascii="宋体" w:hAnsi="宋体"/>
          <w:b/>
          <w:bCs/>
          <w:color w:val="333333"/>
          <w:kern w:val="0"/>
          <w:sz w:val="32"/>
          <w:szCs w:val="32"/>
        </w:rPr>
        <w:t>四、关于朝阳市财政事务中心2024年“三公”经费预算情况说明</w:t>
      </w:r>
    </w:p>
    <w:p w14:paraId="5D6CD696">
      <w:pPr>
        <w:widowControl/>
        <w:shd w:val="clear" w:color="auto" w:fill="FFFFFF"/>
        <w:spacing w:line="480" w:lineRule="atLeast"/>
        <w:ind w:firstLine="640"/>
        <w:rPr>
          <w:rFonts w:ascii="仿宋_GB2312" w:hAnsi="宋体" w:eastAsia="仿宋_GB2312"/>
          <w:color w:val="333333"/>
          <w:kern w:val="0"/>
          <w:sz w:val="32"/>
          <w:szCs w:val="32"/>
        </w:rPr>
      </w:pPr>
      <w:r>
        <w:rPr>
          <w:rFonts w:hint="eastAsia" w:ascii="仿宋_GB2312" w:hAnsi="宋体" w:eastAsia="仿宋_GB2312"/>
          <w:color w:val="333333"/>
          <w:kern w:val="0"/>
          <w:sz w:val="32"/>
          <w:szCs w:val="32"/>
        </w:rPr>
        <w:t>按照中央及省委、省政府关于厉行节约、改进工作作风、密切联系群众</w:t>
      </w:r>
      <w:r>
        <w:rPr>
          <w:rFonts w:hint="eastAsia" w:ascii="仿宋_GB2312" w:hAnsi="宋体" w:eastAsia="仿宋_GB2312"/>
          <w:color w:val="333333"/>
          <w:kern w:val="0"/>
          <w:sz w:val="32"/>
          <w:szCs w:val="32"/>
          <w:lang w:eastAsia="zh-CN"/>
        </w:rPr>
        <w:t>中央</w:t>
      </w:r>
      <w:r>
        <w:rPr>
          <w:rFonts w:hint="eastAsia" w:ascii="仿宋_GB2312" w:hAnsi="宋体" w:eastAsia="仿宋_GB2312"/>
          <w:color w:val="333333"/>
          <w:kern w:val="0"/>
          <w:sz w:val="32"/>
          <w:szCs w:val="32"/>
        </w:rPr>
        <w:t>八项规定等有关要求，严格控制“三公</w:t>
      </w:r>
      <w:bookmarkStart w:id="4" w:name="_GoBack"/>
      <w:bookmarkEnd w:id="4"/>
      <w:r>
        <w:rPr>
          <w:rFonts w:hint="eastAsia" w:ascii="仿宋_GB2312" w:hAnsi="宋体" w:eastAsia="仿宋_GB2312"/>
          <w:color w:val="333333"/>
          <w:kern w:val="0"/>
          <w:sz w:val="32"/>
          <w:szCs w:val="32"/>
        </w:rPr>
        <w:t>”经费支出。2024年朝阳市财政事务中心 “三公”经费预算数3.28万元，其中：公务用车购置及运行维护费3.28万元，公务接待费0万元。市财政局2024年预算数比2023年预算数增加3.28万元，主要原因是事业单位改革后，原17家事业单位合并至此单位。</w:t>
      </w:r>
    </w:p>
    <w:p w14:paraId="148F9261">
      <w:pPr>
        <w:widowControl/>
        <w:shd w:val="clear" w:color="auto" w:fill="FFFFFF"/>
        <w:spacing w:line="480" w:lineRule="atLeast"/>
        <w:ind w:left="720"/>
        <w:rPr>
          <w:rFonts w:ascii="宋体" w:hAnsi="宋体"/>
          <w:b/>
          <w:bCs/>
          <w:color w:val="333333"/>
          <w:kern w:val="0"/>
          <w:sz w:val="32"/>
          <w:szCs w:val="32"/>
        </w:rPr>
      </w:pPr>
      <w:r>
        <w:rPr>
          <w:rFonts w:hint="eastAsia" w:ascii="宋体" w:hAnsi="宋体"/>
          <w:b/>
          <w:bCs/>
          <w:color w:val="333333"/>
          <w:kern w:val="0"/>
          <w:sz w:val="32"/>
          <w:szCs w:val="32"/>
        </w:rPr>
        <w:t>五、朝阳市财政事务中心国有资产占用情况</w:t>
      </w:r>
    </w:p>
    <w:p w14:paraId="081DAD1B">
      <w:pPr>
        <w:widowControl/>
        <w:shd w:val="clear" w:color="auto" w:fill="FFFFFF"/>
        <w:spacing w:line="480" w:lineRule="atLeast"/>
        <w:ind w:firstLine="640"/>
        <w:rPr>
          <w:rFonts w:ascii="仿宋_GB2312" w:hAnsi="宋体" w:eastAsia="仿宋_GB2312"/>
          <w:color w:val="333333"/>
          <w:kern w:val="0"/>
          <w:sz w:val="32"/>
          <w:szCs w:val="32"/>
        </w:rPr>
      </w:pPr>
      <w:r>
        <w:rPr>
          <w:rFonts w:hint="eastAsia" w:ascii="仿宋_GB2312" w:hAnsi="宋体" w:eastAsia="仿宋_GB2312"/>
          <w:color w:val="333333"/>
          <w:kern w:val="0"/>
          <w:sz w:val="32"/>
          <w:szCs w:val="32"/>
        </w:rPr>
        <w:t>截止2023年12月31日，朝阳市财政事务中心共有车辆2台，单位价值50万以上通用设备0台（套），单位价值100万以上专用设备0台（套）。本年拟新购置车辆0台，购置单位价值50万以上通用设备0台（套），单位价值100万以上专用设备0台（套）。</w:t>
      </w:r>
    </w:p>
    <w:p w14:paraId="2E78A6AD">
      <w:pPr>
        <w:widowControl/>
        <w:shd w:val="clear" w:color="auto" w:fill="FFFFFF"/>
        <w:spacing w:line="480" w:lineRule="atLeast"/>
        <w:ind w:left="720"/>
        <w:rPr>
          <w:rFonts w:ascii="宋体" w:hAnsi="宋体"/>
          <w:b/>
          <w:bCs/>
          <w:color w:val="333333"/>
          <w:kern w:val="0"/>
          <w:sz w:val="32"/>
          <w:szCs w:val="32"/>
        </w:rPr>
      </w:pPr>
      <w:r>
        <w:rPr>
          <w:rFonts w:hint="eastAsia" w:ascii="宋体" w:hAnsi="宋体"/>
          <w:b/>
          <w:bCs/>
          <w:color w:val="333333"/>
          <w:kern w:val="0"/>
          <w:sz w:val="32"/>
          <w:szCs w:val="32"/>
        </w:rPr>
        <w:t>六、项目预算绩效目标情况</w:t>
      </w:r>
    </w:p>
    <w:p w14:paraId="499019AD">
      <w:pPr>
        <w:widowControl/>
        <w:shd w:val="clear" w:color="auto" w:fill="FFFFFF"/>
        <w:spacing w:line="480" w:lineRule="atLeast"/>
        <w:ind w:firstLine="640"/>
        <w:rPr>
          <w:rFonts w:ascii="仿宋_GB2312" w:hAnsi="Times New Roman" w:eastAsia="仿宋_GB2312"/>
          <w:color w:val="333333"/>
          <w:kern w:val="0"/>
          <w:szCs w:val="21"/>
        </w:rPr>
      </w:pPr>
      <w:r>
        <w:rPr>
          <w:rFonts w:hint="eastAsia" w:ascii="仿宋_GB2312" w:hAnsi="宋体" w:eastAsia="仿宋_GB2312"/>
          <w:color w:val="333333"/>
          <w:kern w:val="0"/>
          <w:sz w:val="32"/>
          <w:szCs w:val="32"/>
        </w:rPr>
        <w:t>根据预算绩效管理要求，2024年朝阳市财政事务中心应编制绩效目标项目2个，实际编制绩效目标项目2个，涉及资金61万元，编制绩效目标项目覆盖率为100%。</w:t>
      </w:r>
    </w:p>
    <w:p w14:paraId="634E8822">
      <w:pPr>
        <w:widowControl/>
        <w:shd w:val="clear" w:color="auto" w:fill="FFFFFF"/>
        <w:spacing w:line="480" w:lineRule="atLeast"/>
        <w:rPr>
          <w:rFonts w:ascii="仿宋_GB2312" w:hAnsi="Times New Roman" w:eastAsia="仿宋_GB2312"/>
          <w:color w:val="333333"/>
          <w:kern w:val="0"/>
          <w:szCs w:val="21"/>
        </w:rPr>
      </w:pPr>
      <w:r>
        <w:rPr>
          <w:rFonts w:hint="eastAsia" w:ascii="Times New Roman" w:hAnsi="Times New Roman" w:eastAsia="仿宋_GB2312"/>
          <w:color w:val="333333"/>
          <w:kern w:val="0"/>
          <w:sz w:val="32"/>
          <w:szCs w:val="32"/>
        </w:rPr>
        <w:t> </w:t>
      </w:r>
    </w:p>
    <w:p w14:paraId="5FDDE248">
      <w:pPr>
        <w:widowControl/>
        <w:shd w:val="clear" w:color="auto" w:fill="FFFFFF"/>
        <w:spacing w:line="480" w:lineRule="atLeast"/>
        <w:ind w:firstLine="723"/>
        <w:jc w:val="center"/>
        <w:rPr>
          <w:rFonts w:ascii="宋体" w:hAnsi="宋体"/>
          <w:b/>
          <w:bCs/>
          <w:color w:val="333333"/>
          <w:kern w:val="0"/>
          <w:sz w:val="36"/>
          <w:szCs w:val="36"/>
        </w:rPr>
      </w:pPr>
    </w:p>
    <w:p w14:paraId="7959EE72">
      <w:pPr>
        <w:widowControl/>
        <w:shd w:val="clear" w:color="auto" w:fill="FFFFFF"/>
        <w:spacing w:line="480" w:lineRule="atLeast"/>
        <w:ind w:firstLine="723"/>
        <w:jc w:val="center"/>
        <w:rPr>
          <w:rFonts w:ascii="宋体" w:hAnsi="宋体"/>
          <w:b/>
          <w:bCs/>
          <w:color w:val="333333"/>
          <w:kern w:val="0"/>
          <w:sz w:val="36"/>
          <w:szCs w:val="36"/>
        </w:rPr>
      </w:pPr>
    </w:p>
    <w:p w14:paraId="408E8EB7">
      <w:pPr>
        <w:widowControl/>
        <w:shd w:val="clear" w:color="auto" w:fill="FFFFFF"/>
        <w:spacing w:line="480" w:lineRule="atLeast"/>
        <w:ind w:firstLine="723"/>
        <w:jc w:val="center"/>
        <w:rPr>
          <w:rFonts w:ascii="宋体" w:hAnsi="宋体"/>
          <w:b/>
          <w:bCs/>
          <w:color w:val="333333"/>
          <w:kern w:val="0"/>
          <w:sz w:val="36"/>
          <w:szCs w:val="36"/>
        </w:rPr>
      </w:pPr>
    </w:p>
    <w:p w14:paraId="3622B175">
      <w:pPr>
        <w:widowControl/>
        <w:shd w:val="clear" w:color="auto" w:fill="FFFFFF"/>
        <w:spacing w:line="480" w:lineRule="atLeast"/>
        <w:ind w:firstLine="723"/>
        <w:jc w:val="center"/>
        <w:rPr>
          <w:rFonts w:hint="eastAsia" w:ascii="宋体" w:hAnsi="宋体"/>
          <w:b/>
          <w:bCs/>
          <w:color w:val="333333"/>
          <w:kern w:val="0"/>
          <w:sz w:val="36"/>
          <w:szCs w:val="36"/>
        </w:rPr>
      </w:pPr>
    </w:p>
    <w:p w14:paraId="6FF79110">
      <w:pPr>
        <w:widowControl/>
        <w:shd w:val="clear" w:color="auto" w:fill="FFFFFF"/>
        <w:spacing w:line="480" w:lineRule="atLeast"/>
        <w:ind w:firstLine="723"/>
        <w:jc w:val="center"/>
        <w:rPr>
          <w:rFonts w:ascii="宋体" w:hAnsi="宋体"/>
          <w:b/>
          <w:bCs/>
          <w:color w:val="333333"/>
          <w:kern w:val="0"/>
          <w:sz w:val="36"/>
          <w:szCs w:val="36"/>
        </w:rPr>
      </w:pPr>
    </w:p>
    <w:p w14:paraId="626F2AB7">
      <w:pPr>
        <w:widowControl/>
        <w:shd w:val="clear" w:color="auto" w:fill="FFFFFF"/>
        <w:spacing w:line="480" w:lineRule="atLeast"/>
        <w:ind w:firstLine="723"/>
        <w:jc w:val="center"/>
        <w:rPr>
          <w:rFonts w:ascii="宋体" w:hAnsi="宋体"/>
          <w:b/>
          <w:bCs/>
          <w:color w:val="333333"/>
          <w:kern w:val="0"/>
          <w:sz w:val="36"/>
          <w:szCs w:val="36"/>
        </w:rPr>
      </w:pPr>
    </w:p>
    <w:p w14:paraId="32ACEC45">
      <w:pPr>
        <w:widowControl/>
        <w:shd w:val="clear" w:color="auto" w:fill="FFFFFF"/>
        <w:spacing w:line="480" w:lineRule="atLeast"/>
        <w:jc w:val="center"/>
        <w:rPr>
          <w:rFonts w:ascii="Times New Roman" w:hAnsi="Times New Roman"/>
          <w:color w:val="333333"/>
          <w:kern w:val="0"/>
          <w:szCs w:val="21"/>
        </w:rPr>
      </w:pPr>
      <w:r>
        <w:rPr>
          <w:rFonts w:hint="eastAsia" w:ascii="宋体" w:hAnsi="宋体"/>
          <w:b/>
          <w:bCs/>
          <w:color w:val="333333"/>
          <w:kern w:val="0"/>
          <w:sz w:val="36"/>
          <w:szCs w:val="36"/>
        </w:rPr>
        <w:t>第四部分</w:t>
      </w:r>
      <w:r>
        <w:rPr>
          <w:rFonts w:ascii="Times New Roman" w:hAnsi="Times New Roman"/>
          <w:b/>
          <w:bCs/>
          <w:color w:val="333333"/>
          <w:kern w:val="0"/>
          <w:sz w:val="36"/>
          <w:szCs w:val="36"/>
        </w:rPr>
        <w:t xml:space="preserve">  </w:t>
      </w:r>
      <w:r>
        <w:rPr>
          <w:rFonts w:hint="eastAsia" w:ascii="宋体" w:hAnsi="宋体"/>
          <w:b/>
          <w:bCs/>
          <w:color w:val="333333"/>
          <w:kern w:val="0"/>
          <w:sz w:val="36"/>
          <w:szCs w:val="36"/>
        </w:rPr>
        <w:t>名词解释</w:t>
      </w:r>
    </w:p>
    <w:p w14:paraId="0B438AA8">
      <w:pPr>
        <w:widowControl/>
        <w:shd w:val="clear" w:color="auto" w:fill="FFFFFF"/>
        <w:spacing w:line="480" w:lineRule="atLeast"/>
        <w:ind w:firstLine="630" w:firstLineChars="196"/>
        <w:rPr>
          <w:rFonts w:ascii="仿宋_GB2312" w:hAnsi="Times New Roman" w:eastAsia="仿宋_GB2312"/>
          <w:color w:val="333333"/>
          <w:kern w:val="0"/>
          <w:szCs w:val="21"/>
        </w:rPr>
      </w:pPr>
      <w:r>
        <w:rPr>
          <w:rFonts w:hint="eastAsia" w:ascii="仿宋_GB2312" w:hAnsi="Times New Roman" w:eastAsia="仿宋_GB2312"/>
          <w:b/>
          <w:bCs/>
          <w:color w:val="333333"/>
          <w:kern w:val="0"/>
          <w:sz w:val="32"/>
          <w:szCs w:val="32"/>
        </w:rPr>
        <w:t>1</w:t>
      </w:r>
      <w:r>
        <w:rPr>
          <w:rFonts w:hint="eastAsia" w:ascii="仿宋_GB2312" w:hAnsi="宋体" w:eastAsia="仿宋_GB2312"/>
          <w:b/>
          <w:bCs/>
          <w:color w:val="333333"/>
          <w:kern w:val="0"/>
          <w:sz w:val="32"/>
          <w:szCs w:val="32"/>
        </w:rPr>
        <w:t>、财政拨款收入：</w:t>
      </w:r>
      <w:r>
        <w:rPr>
          <w:rFonts w:hint="eastAsia" w:ascii="仿宋_GB2312" w:hAnsi="宋体" w:eastAsia="仿宋_GB2312"/>
          <w:color w:val="333333"/>
          <w:kern w:val="0"/>
          <w:sz w:val="32"/>
          <w:szCs w:val="32"/>
        </w:rPr>
        <w:t>指市级财政当年拨付的资金。</w:t>
      </w:r>
    </w:p>
    <w:p w14:paraId="7C5A0F07">
      <w:pPr>
        <w:widowControl/>
        <w:shd w:val="clear" w:color="auto" w:fill="FFFFFF"/>
        <w:spacing w:line="480" w:lineRule="atLeast"/>
        <w:ind w:firstLine="630" w:firstLineChars="196"/>
        <w:rPr>
          <w:rFonts w:ascii="仿宋_GB2312" w:hAnsi="Times New Roman" w:eastAsia="仿宋_GB2312"/>
          <w:color w:val="333333"/>
          <w:kern w:val="0"/>
          <w:szCs w:val="21"/>
        </w:rPr>
      </w:pPr>
      <w:r>
        <w:rPr>
          <w:rFonts w:hint="eastAsia" w:ascii="仿宋_GB2312" w:hAnsi="Times New Roman" w:eastAsia="仿宋_GB2312"/>
          <w:b/>
          <w:bCs/>
          <w:color w:val="333333"/>
          <w:kern w:val="0"/>
          <w:sz w:val="32"/>
          <w:szCs w:val="32"/>
        </w:rPr>
        <w:t>2</w:t>
      </w:r>
      <w:r>
        <w:rPr>
          <w:rFonts w:hint="eastAsia" w:ascii="仿宋_GB2312" w:hAnsi="宋体" w:eastAsia="仿宋_GB2312"/>
          <w:b/>
          <w:bCs/>
          <w:color w:val="333333"/>
          <w:kern w:val="0"/>
          <w:sz w:val="32"/>
          <w:szCs w:val="32"/>
        </w:rPr>
        <w:t>、基本支出：</w:t>
      </w:r>
      <w:r>
        <w:rPr>
          <w:rFonts w:hint="eastAsia" w:ascii="仿宋_GB2312" w:hAnsi="宋体" w:eastAsia="仿宋_GB2312"/>
          <w:color w:val="333333"/>
          <w:kern w:val="0"/>
          <w:sz w:val="32"/>
          <w:szCs w:val="32"/>
        </w:rPr>
        <w:t>指保障机构正常运转、完成日常工作任务而发生的人员支出和公用支出。</w:t>
      </w:r>
    </w:p>
    <w:p w14:paraId="04080CCC">
      <w:pPr>
        <w:widowControl/>
        <w:shd w:val="clear" w:color="auto" w:fill="FFFFFF"/>
        <w:spacing w:line="480" w:lineRule="atLeast"/>
        <w:ind w:firstLine="630" w:firstLineChars="196"/>
        <w:rPr>
          <w:rFonts w:ascii="仿宋_GB2312" w:hAnsi="宋体" w:eastAsia="仿宋_GB2312"/>
          <w:color w:val="333333"/>
          <w:kern w:val="0"/>
          <w:sz w:val="32"/>
          <w:szCs w:val="32"/>
        </w:rPr>
      </w:pPr>
      <w:r>
        <w:rPr>
          <w:rFonts w:hint="eastAsia" w:ascii="仿宋_GB2312" w:hAnsi="Times New Roman" w:eastAsia="仿宋_GB2312"/>
          <w:b/>
          <w:bCs/>
          <w:color w:val="333333"/>
          <w:kern w:val="0"/>
          <w:sz w:val="32"/>
          <w:szCs w:val="32"/>
        </w:rPr>
        <w:t>3</w:t>
      </w:r>
      <w:r>
        <w:rPr>
          <w:rFonts w:hint="eastAsia" w:ascii="仿宋_GB2312" w:hAnsi="宋体" w:eastAsia="仿宋_GB2312"/>
          <w:b/>
          <w:bCs/>
          <w:color w:val="333333"/>
          <w:kern w:val="0"/>
          <w:sz w:val="32"/>
          <w:szCs w:val="32"/>
        </w:rPr>
        <w:t>、项目支出：</w:t>
      </w:r>
      <w:r>
        <w:rPr>
          <w:rFonts w:hint="eastAsia" w:ascii="仿宋_GB2312" w:hAnsi="宋体" w:eastAsia="仿宋_GB2312"/>
          <w:color w:val="333333"/>
          <w:kern w:val="0"/>
          <w:sz w:val="32"/>
          <w:szCs w:val="32"/>
        </w:rPr>
        <w:t>指在基本支出之外为完成特定行政任务和事业发展目标所发生的支出。</w:t>
      </w:r>
    </w:p>
    <w:p w14:paraId="5676ADA5">
      <w:pPr>
        <w:widowControl/>
        <w:shd w:val="clear" w:color="auto" w:fill="FFFFFF"/>
        <w:spacing w:line="480" w:lineRule="atLeast"/>
        <w:ind w:firstLine="630" w:firstLineChars="196"/>
        <w:rPr>
          <w:rFonts w:ascii="仿宋_GB2312" w:hAnsi="Times New Roman" w:eastAsia="仿宋_GB2312"/>
          <w:color w:val="333333"/>
          <w:kern w:val="0"/>
          <w:szCs w:val="21"/>
        </w:rPr>
      </w:pPr>
      <w:r>
        <w:rPr>
          <w:rFonts w:hint="eastAsia" w:ascii="仿宋_GB2312" w:hAnsi="Times New Roman" w:eastAsia="仿宋_GB2312"/>
          <w:b/>
          <w:bCs/>
          <w:color w:val="333333"/>
          <w:kern w:val="0"/>
          <w:sz w:val="32"/>
          <w:szCs w:val="32"/>
        </w:rPr>
        <w:t>4</w:t>
      </w:r>
      <w:r>
        <w:rPr>
          <w:rFonts w:hint="eastAsia" w:ascii="仿宋_GB2312" w:hAnsi="宋体" w:eastAsia="仿宋_GB2312"/>
          <w:b/>
          <w:bCs/>
          <w:color w:val="333333"/>
          <w:kern w:val="0"/>
          <w:sz w:val="32"/>
          <w:szCs w:val="32"/>
        </w:rPr>
        <w:t>、“三公”经费：</w:t>
      </w:r>
      <w:r>
        <w:rPr>
          <w:rFonts w:hint="eastAsia" w:ascii="仿宋_GB2312" w:hAnsi="宋体" w:eastAsia="仿宋_GB2312"/>
          <w:color w:val="333333"/>
          <w:kern w:val="0"/>
          <w:sz w:val="32"/>
          <w:szCs w:val="32"/>
        </w:rPr>
        <w:t>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D2F8EBA">
      <w:pPr>
        <w:ind w:firstLine="643" w:firstLineChars="200"/>
        <w:jc w:val="left"/>
        <w:rPr>
          <w:rFonts w:ascii="仿宋_GB2312" w:eastAsia="仿宋_GB2312"/>
          <w:b/>
          <w:sz w:val="32"/>
          <w:szCs w:val="32"/>
        </w:rPr>
      </w:pPr>
      <w:r>
        <w:rPr>
          <w:rFonts w:hint="eastAsia" w:ascii="仿宋_GB2312" w:eastAsia="仿宋_GB2312"/>
          <w:b/>
          <w:sz w:val="32"/>
          <w:szCs w:val="32"/>
        </w:rPr>
        <w:t>5.一般公共服务支出（类）财政事务（款）行政运行（项）：</w:t>
      </w:r>
      <w:r>
        <w:rPr>
          <w:rFonts w:hint="eastAsia" w:ascii="仿宋_GB2312" w:eastAsia="仿宋_GB2312"/>
          <w:sz w:val="32"/>
          <w:szCs w:val="32"/>
        </w:rPr>
        <w:t>反映行政单位（包括实行公务员管理的事业单位）的基本支出。</w:t>
      </w:r>
    </w:p>
    <w:p w14:paraId="222353F1">
      <w:pPr>
        <w:ind w:firstLine="643" w:firstLineChars="200"/>
        <w:jc w:val="left"/>
        <w:rPr>
          <w:rFonts w:ascii="仿宋_GB2312" w:eastAsia="仿宋_GB2312"/>
          <w:sz w:val="32"/>
          <w:szCs w:val="32"/>
        </w:rPr>
      </w:pPr>
      <w:r>
        <w:rPr>
          <w:rFonts w:hint="eastAsia" w:ascii="仿宋_GB2312" w:eastAsia="仿宋_GB2312"/>
          <w:b/>
          <w:sz w:val="32"/>
          <w:szCs w:val="32"/>
        </w:rPr>
        <w:t>6.一般公共服务支出（类）财政事务（款）一般行政管理事务（项）：</w:t>
      </w:r>
      <w:r>
        <w:rPr>
          <w:rFonts w:hint="eastAsia" w:ascii="仿宋_GB2312" w:eastAsia="仿宋_GB2312"/>
          <w:sz w:val="32"/>
          <w:szCs w:val="32"/>
        </w:rPr>
        <w:t>反映行政单位（包括实行公务员管理的事业单位）未单独设置项级科目的其他项目支出。</w:t>
      </w:r>
    </w:p>
    <w:p w14:paraId="1B262CA9">
      <w:pPr>
        <w:ind w:firstLine="643" w:firstLineChars="200"/>
        <w:jc w:val="left"/>
        <w:rPr>
          <w:rFonts w:ascii="仿宋_GB2312" w:eastAsia="仿宋_GB2312"/>
          <w:sz w:val="32"/>
          <w:szCs w:val="32"/>
        </w:rPr>
      </w:pPr>
      <w:r>
        <w:rPr>
          <w:rFonts w:hint="eastAsia" w:ascii="仿宋_GB2312" w:eastAsia="仿宋_GB2312"/>
          <w:b/>
          <w:sz w:val="32"/>
          <w:szCs w:val="32"/>
        </w:rPr>
        <w:t>7.一般公共服务支出（类）财政事务（款）事业运行（项）：</w:t>
      </w:r>
      <w:r>
        <w:rPr>
          <w:rFonts w:hint="eastAsia" w:ascii="仿宋_GB2312" w:eastAsia="仿宋_GB2312"/>
          <w:sz w:val="32"/>
          <w:szCs w:val="32"/>
        </w:rPr>
        <w:t>反映事业单位的基本支出，不包括行政单位（包括实行公务员管理的事业单位）后勤服务中心、医务室等附属事业单位。</w:t>
      </w:r>
    </w:p>
    <w:p w14:paraId="72D541E7">
      <w:pPr>
        <w:ind w:firstLine="643" w:firstLineChars="200"/>
        <w:jc w:val="left"/>
        <w:rPr>
          <w:rFonts w:ascii="仿宋_GB2312" w:eastAsia="仿宋_GB2312"/>
          <w:sz w:val="32"/>
          <w:szCs w:val="32"/>
        </w:rPr>
      </w:pPr>
      <w:r>
        <w:rPr>
          <w:rFonts w:hint="eastAsia" w:ascii="仿宋_GB2312" w:eastAsia="仿宋_GB2312"/>
          <w:b/>
          <w:sz w:val="32"/>
          <w:szCs w:val="32"/>
        </w:rPr>
        <w:t>8.一般公共服务支出（类）财政事务（款）其他财政事务支出（项）：</w:t>
      </w:r>
      <w:r>
        <w:rPr>
          <w:rFonts w:hint="eastAsia" w:ascii="仿宋_GB2312" w:eastAsia="仿宋_GB2312"/>
          <w:sz w:val="32"/>
          <w:szCs w:val="32"/>
        </w:rPr>
        <w:t>反映上述项目以外其他财政事务方面的支出。</w:t>
      </w:r>
    </w:p>
    <w:p w14:paraId="620DB7AC">
      <w:pPr>
        <w:ind w:firstLine="643" w:firstLineChars="200"/>
        <w:jc w:val="left"/>
        <w:rPr>
          <w:rFonts w:ascii="仿宋_GB2312" w:eastAsia="仿宋_GB2312"/>
          <w:sz w:val="32"/>
          <w:szCs w:val="32"/>
        </w:rPr>
      </w:pPr>
      <w:r>
        <w:rPr>
          <w:rFonts w:hint="eastAsia" w:ascii="仿宋_GB2312" w:eastAsia="仿宋_GB2312"/>
          <w:b/>
          <w:sz w:val="32"/>
          <w:szCs w:val="32"/>
        </w:rPr>
        <w:t>9.社会保障和就业支出（类）行政事业单位离退休（款）行政单位离退休（项）：</w:t>
      </w:r>
      <w:r>
        <w:rPr>
          <w:rFonts w:hint="eastAsia" w:ascii="仿宋_GB2312" w:eastAsia="仿宋_GB2312"/>
          <w:sz w:val="32"/>
          <w:szCs w:val="32"/>
        </w:rPr>
        <w:t>反映实行归口管理的行政单位（包括实行公务员管理的事业单位）开支的离退休经费。</w:t>
      </w:r>
    </w:p>
    <w:p w14:paraId="168271F2">
      <w:pPr>
        <w:ind w:firstLine="643" w:firstLineChars="200"/>
        <w:jc w:val="left"/>
        <w:rPr>
          <w:rFonts w:ascii="仿宋_GB2312" w:eastAsia="仿宋_GB2312"/>
          <w:sz w:val="32"/>
          <w:szCs w:val="32"/>
        </w:rPr>
      </w:pPr>
      <w:r>
        <w:rPr>
          <w:rFonts w:hint="eastAsia" w:ascii="仿宋_GB2312" w:eastAsia="仿宋_GB2312"/>
          <w:b/>
          <w:sz w:val="32"/>
          <w:szCs w:val="32"/>
        </w:rPr>
        <w:t>10.社会保障和就业支出（类）行政事业单位离退休（款）事业单位离退休（项）：</w:t>
      </w:r>
      <w:r>
        <w:rPr>
          <w:rFonts w:hint="eastAsia" w:ascii="仿宋_GB2312" w:eastAsia="仿宋_GB2312"/>
          <w:sz w:val="32"/>
          <w:szCs w:val="32"/>
        </w:rPr>
        <w:t>反映事业单位开支的离退休经费。</w:t>
      </w:r>
    </w:p>
    <w:p w14:paraId="2FF3FD84">
      <w:pPr>
        <w:widowControl/>
        <w:shd w:val="clear" w:color="auto" w:fill="FFFFFF"/>
        <w:spacing w:line="480" w:lineRule="atLeast"/>
        <w:ind w:firstLine="630" w:firstLineChars="196"/>
        <w:rPr>
          <w:rFonts w:ascii="仿宋_GB2312" w:eastAsia="仿宋_GB2312"/>
          <w:b/>
          <w:sz w:val="32"/>
          <w:szCs w:val="32"/>
        </w:rPr>
      </w:pPr>
      <w:r>
        <w:rPr>
          <w:rFonts w:hint="eastAsia" w:ascii="仿宋_GB2312" w:eastAsia="仿宋_GB2312"/>
          <w:b/>
          <w:sz w:val="32"/>
          <w:szCs w:val="32"/>
        </w:rPr>
        <w:t>11.社会保障和就业支出（类）行政事业单位离退休（款）</w:t>
      </w:r>
    </w:p>
    <w:p w14:paraId="07D43B09">
      <w:pPr>
        <w:widowControl/>
        <w:shd w:val="clear" w:color="auto" w:fill="FFFFFF"/>
        <w:spacing w:line="480" w:lineRule="atLeast"/>
        <w:ind w:left="-2" w:leftChars="-1"/>
        <w:rPr>
          <w:rFonts w:ascii="仿宋_GB2312" w:eastAsia="仿宋_GB2312"/>
          <w:sz w:val="32"/>
          <w:szCs w:val="32"/>
        </w:rPr>
      </w:pPr>
      <w:r>
        <w:rPr>
          <w:rFonts w:hint="eastAsia" w:ascii="仿宋_GB2312" w:eastAsia="仿宋_GB2312"/>
          <w:b/>
          <w:sz w:val="32"/>
          <w:szCs w:val="32"/>
        </w:rPr>
        <w:t>机关事业单位基本养老保险缴费支出（项）：</w:t>
      </w:r>
      <w:r>
        <w:rPr>
          <w:rFonts w:hint="eastAsia" w:ascii="仿宋_GB2312" w:eastAsia="仿宋_GB2312"/>
          <w:sz w:val="32"/>
          <w:szCs w:val="32"/>
        </w:rPr>
        <w:t>反映机关事业单位实施养老保险制度由单位缴纳的基本养老保险费支出。</w:t>
      </w:r>
    </w:p>
    <w:p w14:paraId="333948B2">
      <w:pPr>
        <w:widowControl/>
        <w:shd w:val="clear" w:color="auto" w:fill="FFFFFF"/>
        <w:spacing w:line="480" w:lineRule="atLeast"/>
        <w:ind w:firstLine="630" w:firstLineChars="196"/>
        <w:rPr>
          <w:rFonts w:ascii="仿宋_GB2312" w:eastAsia="仿宋_GB2312"/>
          <w:b/>
          <w:sz w:val="32"/>
          <w:szCs w:val="32"/>
        </w:rPr>
      </w:pPr>
      <w:r>
        <w:rPr>
          <w:rFonts w:hint="eastAsia" w:ascii="仿宋_GB2312" w:eastAsia="仿宋_GB2312"/>
          <w:b/>
          <w:sz w:val="32"/>
          <w:szCs w:val="32"/>
        </w:rPr>
        <w:t>12.社会保障和就业支出（类）行政事业单位离退休（款）</w:t>
      </w:r>
    </w:p>
    <w:p w14:paraId="13B89709">
      <w:pPr>
        <w:widowControl/>
        <w:shd w:val="clear" w:color="auto" w:fill="FFFFFF"/>
        <w:spacing w:line="480" w:lineRule="atLeast"/>
        <w:rPr>
          <w:rFonts w:ascii="仿宋_GB2312" w:eastAsia="仿宋_GB2312"/>
          <w:sz w:val="32"/>
          <w:szCs w:val="32"/>
        </w:rPr>
      </w:pPr>
      <w:r>
        <w:rPr>
          <w:rFonts w:hint="eastAsia" w:ascii="仿宋_GB2312" w:eastAsia="仿宋_GB2312"/>
          <w:b/>
          <w:sz w:val="32"/>
          <w:szCs w:val="32"/>
        </w:rPr>
        <w:t>机关事业单位职业年金缴费支出（项）：</w:t>
      </w:r>
      <w:r>
        <w:rPr>
          <w:rFonts w:hint="eastAsia" w:ascii="仿宋_GB2312" w:eastAsia="仿宋_GB2312"/>
          <w:sz w:val="32"/>
          <w:szCs w:val="32"/>
        </w:rPr>
        <w:t>反映机关事业单位实施养老保险制度由单位实际缴纳的职业年金支出。</w:t>
      </w:r>
    </w:p>
    <w:p w14:paraId="030F5890">
      <w:pPr>
        <w:widowControl/>
        <w:shd w:val="clear" w:color="auto" w:fill="FFFFFF"/>
        <w:spacing w:line="480" w:lineRule="atLeast"/>
        <w:ind w:firstLine="411" w:firstLineChars="196"/>
        <w:rPr>
          <w:rFonts w:ascii="仿宋_GB2312" w:eastAsia="仿宋_GB2312"/>
          <w:sz w:val="32"/>
          <w:szCs w:val="32"/>
        </w:rPr>
      </w:pPr>
      <w:r>
        <w:rPr>
          <w:rFonts w:hint="eastAsia" w:ascii="仿宋_GB2312" w:eastAsia="仿宋_GB2312"/>
        </w:rPr>
        <w:t xml:space="preserve">  </w:t>
      </w:r>
      <w:r>
        <w:rPr>
          <w:rFonts w:hint="eastAsia" w:ascii="仿宋_GB2312" w:eastAsia="仿宋_GB2312"/>
          <w:b/>
          <w:sz w:val="32"/>
          <w:szCs w:val="32"/>
        </w:rPr>
        <w:t>13.卫生健康支出（类）行政事业单位医疗（款）行政单位医疗（项）：</w:t>
      </w:r>
      <w:r>
        <w:rPr>
          <w:rFonts w:hint="eastAsia" w:ascii="仿宋_GB2312" w:eastAsia="仿宋_GB2312"/>
          <w:sz w:val="32"/>
          <w:szCs w:val="32"/>
        </w:rPr>
        <w:t>反映财政部门安排的行政单位（包括实行公务员管理的事业单位，下同）基本医疗保险缴费经费，未参加医疗保险的行政单位的公费医疗经费，按国家规定享受离休人员、红军老战士待遇人员的医疗经费。</w:t>
      </w:r>
    </w:p>
    <w:p w14:paraId="5979FF3A">
      <w:pPr>
        <w:widowControl/>
        <w:shd w:val="clear" w:color="auto" w:fill="FFFFFF"/>
        <w:spacing w:line="480" w:lineRule="atLeast"/>
        <w:ind w:firstLine="630" w:firstLineChars="196"/>
        <w:rPr>
          <w:rFonts w:ascii="仿宋_GB2312" w:eastAsia="仿宋_GB2312"/>
          <w:sz w:val="32"/>
          <w:szCs w:val="32"/>
        </w:rPr>
      </w:pPr>
      <w:r>
        <w:rPr>
          <w:rFonts w:hint="eastAsia" w:ascii="仿宋_GB2312" w:eastAsia="仿宋_GB2312"/>
          <w:b/>
          <w:sz w:val="32"/>
          <w:szCs w:val="32"/>
        </w:rPr>
        <w:t>14.卫生健康支出（类）行政事业单位医疗（款）事业单位医疗（项）：</w:t>
      </w:r>
      <w:r>
        <w:rPr>
          <w:rFonts w:hint="eastAsia" w:ascii="仿宋_GB2312" w:eastAsia="仿宋_GB2312"/>
          <w:sz w:val="32"/>
          <w:szCs w:val="32"/>
        </w:rPr>
        <w:t>反映财政部门安排的事业单位基本医疗保险缴费经费，未参加医疗保险的事业单位的公费医疗经费，按国家规定享受离休人员待遇的医疗经费。</w:t>
      </w:r>
    </w:p>
    <w:p w14:paraId="7FB766E2">
      <w:pPr>
        <w:widowControl/>
        <w:shd w:val="clear" w:color="auto" w:fill="FFFFFF"/>
        <w:spacing w:line="480" w:lineRule="atLeast"/>
        <w:ind w:firstLine="627" w:firstLineChars="196"/>
        <w:rPr>
          <w:rFonts w:ascii="仿宋_GB2312" w:eastAsia="仿宋_GB2312"/>
          <w:sz w:val="32"/>
          <w:szCs w:val="32"/>
        </w:rPr>
      </w:pPr>
      <w:r>
        <w:rPr>
          <w:rFonts w:hint="eastAsia" w:ascii="仿宋_GB2312" w:eastAsia="仿宋_GB2312"/>
          <w:sz w:val="32"/>
          <w:szCs w:val="32"/>
        </w:rPr>
        <w:t>15.</w:t>
      </w:r>
      <w:r>
        <w:rPr>
          <w:rFonts w:hint="eastAsia" w:ascii="仿宋_GB2312" w:eastAsia="仿宋_GB2312"/>
          <w:b/>
          <w:sz w:val="32"/>
          <w:szCs w:val="32"/>
        </w:rPr>
        <w:t xml:space="preserve"> 卫生健康支出（类）行政事业单位医疗（款）公务员医疗补助（项）：</w:t>
      </w:r>
      <w:r>
        <w:rPr>
          <w:rFonts w:hint="eastAsia" w:ascii="仿宋_GB2312" w:eastAsia="仿宋_GB2312"/>
          <w:sz w:val="32"/>
          <w:szCs w:val="32"/>
        </w:rPr>
        <w:t>反映财政部门安排的公务员医疗补助经费。</w:t>
      </w:r>
    </w:p>
    <w:p w14:paraId="271FCCED">
      <w:pPr>
        <w:widowControl/>
        <w:shd w:val="clear" w:color="auto" w:fill="FFFFFF"/>
        <w:spacing w:line="480" w:lineRule="atLeast"/>
        <w:ind w:firstLine="630" w:firstLineChars="196"/>
        <w:rPr>
          <w:rFonts w:ascii="仿宋_GB2312" w:eastAsia="仿宋_GB2312"/>
          <w:b/>
          <w:sz w:val="32"/>
          <w:szCs w:val="32"/>
        </w:rPr>
      </w:pPr>
      <w:r>
        <w:rPr>
          <w:rFonts w:hint="eastAsia" w:ascii="仿宋_GB2312" w:eastAsia="仿宋_GB2312"/>
          <w:b/>
          <w:sz w:val="32"/>
          <w:szCs w:val="32"/>
        </w:rPr>
        <w:t>16.住房保障支出（类）住房改革支出（款）住房公积金（项）：</w:t>
      </w:r>
    </w:p>
    <w:p w14:paraId="705B4067">
      <w:pPr>
        <w:widowControl/>
        <w:shd w:val="clear" w:color="auto" w:fill="FFFFFF"/>
        <w:spacing w:line="480" w:lineRule="atLeast"/>
        <w:ind w:firstLine="627" w:firstLineChars="196"/>
        <w:rPr>
          <w:rFonts w:ascii="仿宋_GB2312" w:eastAsia="仿宋_GB2312"/>
          <w:sz w:val="32"/>
          <w:szCs w:val="32"/>
        </w:rPr>
      </w:pPr>
      <w:r>
        <w:rPr>
          <w:rFonts w:hint="eastAsia" w:ascii="仿宋_GB2312" w:eastAsia="仿宋_GB2312"/>
          <w:sz w:val="32"/>
          <w:szCs w:val="32"/>
        </w:rPr>
        <w:t>反映行政事业单位按人力资源和社会保障部、财政部规定的基本工资和津贴补贴以及规定比例为职工缴纳的住房公积金。</w:t>
      </w:r>
    </w:p>
    <w:p w14:paraId="11EC8441">
      <w:pPr>
        <w:widowControl/>
        <w:shd w:val="clear" w:color="auto" w:fill="FFFFFF"/>
        <w:spacing w:line="480" w:lineRule="atLeast"/>
        <w:ind w:firstLine="411" w:firstLineChars="196"/>
        <w:rPr>
          <w:rFonts w:ascii="仿宋_GB2312" w:eastAsia="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13AA3"/>
    <w:rsid w:val="00001CA1"/>
    <w:rsid w:val="000047BE"/>
    <w:rsid w:val="00013AA3"/>
    <w:rsid w:val="00025582"/>
    <w:rsid w:val="00030B68"/>
    <w:rsid w:val="0003106D"/>
    <w:rsid w:val="00044209"/>
    <w:rsid w:val="000446C7"/>
    <w:rsid w:val="00052E99"/>
    <w:rsid w:val="000552EF"/>
    <w:rsid w:val="00055836"/>
    <w:rsid w:val="00057E9C"/>
    <w:rsid w:val="000643A1"/>
    <w:rsid w:val="00071EBC"/>
    <w:rsid w:val="00073B18"/>
    <w:rsid w:val="00074739"/>
    <w:rsid w:val="00087B17"/>
    <w:rsid w:val="00093CA6"/>
    <w:rsid w:val="00094A51"/>
    <w:rsid w:val="000A1348"/>
    <w:rsid w:val="000A334E"/>
    <w:rsid w:val="000A44B3"/>
    <w:rsid w:val="000B045A"/>
    <w:rsid w:val="000B13D4"/>
    <w:rsid w:val="000B2750"/>
    <w:rsid w:val="000C1B12"/>
    <w:rsid w:val="000C542D"/>
    <w:rsid w:val="000C6673"/>
    <w:rsid w:val="000C7E8A"/>
    <w:rsid w:val="000D1586"/>
    <w:rsid w:val="000E7C04"/>
    <w:rsid w:val="000F06E5"/>
    <w:rsid w:val="000F1A51"/>
    <w:rsid w:val="000F21BF"/>
    <w:rsid w:val="000F5E23"/>
    <w:rsid w:val="00101D6B"/>
    <w:rsid w:val="00103DE4"/>
    <w:rsid w:val="00105EBC"/>
    <w:rsid w:val="001105E7"/>
    <w:rsid w:val="001138FB"/>
    <w:rsid w:val="00120864"/>
    <w:rsid w:val="00131C31"/>
    <w:rsid w:val="00134322"/>
    <w:rsid w:val="00142F2A"/>
    <w:rsid w:val="001451EB"/>
    <w:rsid w:val="00153E4E"/>
    <w:rsid w:val="0015581E"/>
    <w:rsid w:val="00157C81"/>
    <w:rsid w:val="00161508"/>
    <w:rsid w:val="001659F1"/>
    <w:rsid w:val="00173832"/>
    <w:rsid w:val="001754E7"/>
    <w:rsid w:val="00177012"/>
    <w:rsid w:val="001805E7"/>
    <w:rsid w:val="00183BC6"/>
    <w:rsid w:val="001A2D22"/>
    <w:rsid w:val="001B3AD7"/>
    <w:rsid w:val="001B3EC8"/>
    <w:rsid w:val="001C26BA"/>
    <w:rsid w:val="001C5893"/>
    <w:rsid w:val="001C7654"/>
    <w:rsid w:val="001D324D"/>
    <w:rsid w:val="001D4150"/>
    <w:rsid w:val="001D5473"/>
    <w:rsid w:val="001D762D"/>
    <w:rsid w:val="001E19ED"/>
    <w:rsid w:val="001E581B"/>
    <w:rsid w:val="001F31B1"/>
    <w:rsid w:val="001F4088"/>
    <w:rsid w:val="001F43FD"/>
    <w:rsid w:val="001F477E"/>
    <w:rsid w:val="001F63A7"/>
    <w:rsid w:val="0020529F"/>
    <w:rsid w:val="00223FF3"/>
    <w:rsid w:val="00224625"/>
    <w:rsid w:val="00227364"/>
    <w:rsid w:val="002329FC"/>
    <w:rsid w:val="002428DC"/>
    <w:rsid w:val="00261763"/>
    <w:rsid w:val="00262B3E"/>
    <w:rsid w:val="00274F73"/>
    <w:rsid w:val="00281168"/>
    <w:rsid w:val="00287EF1"/>
    <w:rsid w:val="00290AE2"/>
    <w:rsid w:val="002964C7"/>
    <w:rsid w:val="002A2F43"/>
    <w:rsid w:val="002B0102"/>
    <w:rsid w:val="002B12B2"/>
    <w:rsid w:val="002B3311"/>
    <w:rsid w:val="002B66CE"/>
    <w:rsid w:val="002C5CF6"/>
    <w:rsid w:val="002C70AE"/>
    <w:rsid w:val="002D7074"/>
    <w:rsid w:val="002E0A58"/>
    <w:rsid w:val="002E3E8F"/>
    <w:rsid w:val="00300879"/>
    <w:rsid w:val="00300F46"/>
    <w:rsid w:val="00303709"/>
    <w:rsid w:val="00304E86"/>
    <w:rsid w:val="0031010F"/>
    <w:rsid w:val="0031286F"/>
    <w:rsid w:val="00314304"/>
    <w:rsid w:val="00315CFF"/>
    <w:rsid w:val="00320DBD"/>
    <w:rsid w:val="00326961"/>
    <w:rsid w:val="00330128"/>
    <w:rsid w:val="00330E54"/>
    <w:rsid w:val="0033769D"/>
    <w:rsid w:val="00341DC9"/>
    <w:rsid w:val="00342450"/>
    <w:rsid w:val="003560CE"/>
    <w:rsid w:val="003578E9"/>
    <w:rsid w:val="00367675"/>
    <w:rsid w:val="0037027C"/>
    <w:rsid w:val="00390233"/>
    <w:rsid w:val="00395365"/>
    <w:rsid w:val="003A403A"/>
    <w:rsid w:val="003B69FE"/>
    <w:rsid w:val="003B7415"/>
    <w:rsid w:val="003C443B"/>
    <w:rsid w:val="003D5395"/>
    <w:rsid w:val="003D5459"/>
    <w:rsid w:val="003F14AA"/>
    <w:rsid w:val="004002AB"/>
    <w:rsid w:val="00404EA9"/>
    <w:rsid w:val="00406592"/>
    <w:rsid w:val="00407749"/>
    <w:rsid w:val="00410A27"/>
    <w:rsid w:val="0041590F"/>
    <w:rsid w:val="004214A9"/>
    <w:rsid w:val="00424654"/>
    <w:rsid w:val="00424D36"/>
    <w:rsid w:val="004317B7"/>
    <w:rsid w:val="00431EDD"/>
    <w:rsid w:val="00433E48"/>
    <w:rsid w:val="0044413C"/>
    <w:rsid w:val="00447874"/>
    <w:rsid w:val="00453B3C"/>
    <w:rsid w:val="00456A39"/>
    <w:rsid w:val="00456B8C"/>
    <w:rsid w:val="00461190"/>
    <w:rsid w:val="00466FA7"/>
    <w:rsid w:val="0047039D"/>
    <w:rsid w:val="0047268F"/>
    <w:rsid w:val="00477484"/>
    <w:rsid w:val="00493ACE"/>
    <w:rsid w:val="004A057C"/>
    <w:rsid w:val="004A30CA"/>
    <w:rsid w:val="004A4738"/>
    <w:rsid w:val="004A6055"/>
    <w:rsid w:val="004C3EBB"/>
    <w:rsid w:val="004D1C23"/>
    <w:rsid w:val="004D7D63"/>
    <w:rsid w:val="004E4EF9"/>
    <w:rsid w:val="004E5AAC"/>
    <w:rsid w:val="005005AB"/>
    <w:rsid w:val="0050584D"/>
    <w:rsid w:val="0051747A"/>
    <w:rsid w:val="005222C2"/>
    <w:rsid w:val="00530443"/>
    <w:rsid w:val="005452C0"/>
    <w:rsid w:val="005523C6"/>
    <w:rsid w:val="00555876"/>
    <w:rsid w:val="00565197"/>
    <w:rsid w:val="00586CEF"/>
    <w:rsid w:val="005A375C"/>
    <w:rsid w:val="005A63C6"/>
    <w:rsid w:val="005A7183"/>
    <w:rsid w:val="005A7ED0"/>
    <w:rsid w:val="005B071D"/>
    <w:rsid w:val="005B4A68"/>
    <w:rsid w:val="005C08E3"/>
    <w:rsid w:val="005C5EFA"/>
    <w:rsid w:val="005C7149"/>
    <w:rsid w:val="005D07C3"/>
    <w:rsid w:val="005D0CB3"/>
    <w:rsid w:val="005D3E71"/>
    <w:rsid w:val="005E3795"/>
    <w:rsid w:val="005F4A4D"/>
    <w:rsid w:val="005F5BD7"/>
    <w:rsid w:val="005F5C02"/>
    <w:rsid w:val="00601E9D"/>
    <w:rsid w:val="00602F53"/>
    <w:rsid w:val="00607572"/>
    <w:rsid w:val="00616A71"/>
    <w:rsid w:val="00625412"/>
    <w:rsid w:val="0063172D"/>
    <w:rsid w:val="00636E24"/>
    <w:rsid w:val="00640CC7"/>
    <w:rsid w:val="00643328"/>
    <w:rsid w:val="00645C96"/>
    <w:rsid w:val="00655D19"/>
    <w:rsid w:val="00657861"/>
    <w:rsid w:val="00661A2D"/>
    <w:rsid w:val="00661A5B"/>
    <w:rsid w:val="00661E46"/>
    <w:rsid w:val="0067036F"/>
    <w:rsid w:val="006714C1"/>
    <w:rsid w:val="00671DFD"/>
    <w:rsid w:val="006841DB"/>
    <w:rsid w:val="00684942"/>
    <w:rsid w:val="00687984"/>
    <w:rsid w:val="00687FFB"/>
    <w:rsid w:val="00695632"/>
    <w:rsid w:val="006A44B6"/>
    <w:rsid w:val="006B17B1"/>
    <w:rsid w:val="006C0838"/>
    <w:rsid w:val="006C52A9"/>
    <w:rsid w:val="006D0D98"/>
    <w:rsid w:val="006E6037"/>
    <w:rsid w:val="006F1458"/>
    <w:rsid w:val="006F7B6B"/>
    <w:rsid w:val="00700ADE"/>
    <w:rsid w:val="00700AE6"/>
    <w:rsid w:val="00703E41"/>
    <w:rsid w:val="0070628C"/>
    <w:rsid w:val="007072ED"/>
    <w:rsid w:val="0071285D"/>
    <w:rsid w:val="0071757B"/>
    <w:rsid w:val="0072226D"/>
    <w:rsid w:val="00723014"/>
    <w:rsid w:val="0072465A"/>
    <w:rsid w:val="007254E1"/>
    <w:rsid w:val="00725F17"/>
    <w:rsid w:val="007325E3"/>
    <w:rsid w:val="0073333D"/>
    <w:rsid w:val="00733D04"/>
    <w:rsid w:val="007347DF"/>
    <w:rsid w:val="00735EAC"/>
    <w:rsid w:val="0074302E"/>
    <w:rsid w:val="00755DAC"/>
    <w:rsid w:val="007568FC"/>
    <w:rsid w:val="007616EA"/>
    <w:rsid w:val="00762060"/>
    <w:rsid w:val="007620F4"/>
    <w:rsid w:val="0076422D"/>
    <w:rsid w:val="00766165"/>
    <w:rsid w:val="00771C07"/>
    <w:rsid w:val="00793E6C"/>
    <w:rsid w:val="007A3D79"/>
    <w:rsid w:val="007B50F8"/>
    <w:rsid w:val="007C25CA"/>
    <w:rsid w:val="007C49D1"/>
    <w:rsid w:val="007D2221"/>
    <w:rsid w:val="007E7E5C"/>
    <w:rsid w:val="007F769A"/>
    <w:rsid w:val="007F77F7"/>
    <w:rsid w:val="00804236"/>
    <w:rsid w:val="00816D63"/>
    <w:rsid w:val="008362E8"/>
    <w:rsid w:val="00837A67"/>
    <w:rsid w:val="00837E99"/>
    <w:rsid w:val="00843D32"/>
    <w:rsid w:val="00844F49"/>
    <w:rsid w:val="00857FFB"/>
    <w:rsid w:val="00865157"/>
    <w:rsid w:val="00867FDF"/>
    <w:rsid w:val="00880CD3"/>
    <w:rsid w:val="00896D6A"/>
    <w:rsid w:val="008C06CF"/>
    <w:rsid w:val="008C1C39"/>
    <w:rsid w:val="008C3739"/>
    <w:rsid w:val="008C7E26"/>
    <w:rsid w:val="008D106A"/>
    <w:rsid w:val="009004CE"/>
    <w:rsid w:val="00906491"/>
    <w:rsid w:val="00922C99"/>
    <w:rsid w:val="0092356C"/>
    <w:rsid w:val="00925E5F"/>
    <w:rsid w:val="00935CA4"/>
    <w:rsid w:val="00942D17"/>
    <w:rsid w:val="0095718F"/>
    <w:rsid w:val="00957E89"/>
    <w:rsid w:val="00965EA5"/>
    <w:rsid w:val="00967767"/>
    <w:rsid w:val="00970FF2"/>
    <w:rsid w:val="00972C2C"/>
    <w:rsid w:val="00980688"/>
    <w:rsid w:val="00991D0A"/>
    <w:rsid w:val="009946DA"/>
    <w:rsid w:val="0099731C"/>
    <w:rsid w:val="009B45EA"/>
    <w:rsid w:val="009B7696"/>
    <w:rsid w:val="009C4164"/>
    <w:rsid w:val="009C64DB"/>
    <w:rsid w:val="009E045B"/>
    <w:rsid w:val="009E1C40"/>
    <w:rsid w:val="009E5F7B"/>
    <w:rsid w:val="009F1A40"/>
    <w:rsid w:val="009F2583"/>
    <w:rsid w:val="009F55D3"/>
    <w:rsid w:val="009F5923"/>
    <w:rsid w:val="00A16374"/>
    <w:rsid w:val="00A27DC0"/>
    <w:rsid w:val="00A36282"/>
    <w:rsid w:val="00A37F89"/>
    <w:rsid w:val="00A41B74"/>
    <w:rsid w:val="00A44EA6"/>
    <w:rsid w:val="00A46F1C"/>
    <w:rsid w:val="00A46F4F"/>
    <w:rsid w:val="00A47477"/>
    <w:rsid w:val="00A60619"/>
    <w:rsid w:val="00A6102F"/>
    <w:rsid w:val="00A6433C"/>
    <w:rsid w:val="00A80E5B"/>
    <w:rsid w:val="00A83B31"/>
    <w:rsid w:val="00A8450F"/>
    <w:rsid w:val="00AA13F0"/>
    <w:rsid w:val="00AB2851"/>
    <w:rsid w:val="00AC2AF7"/>
    <w:rsid w:val="00AC7467"/>
    <w:rsid w:val="00AD1CEA"/>
    <w:rsid w:val="00AE220A"/>
    <w:rsid w:val="00AE59A8"/>
    <w:rsid w:val="00AF0B71"/>
    <w:rsid w:val="00AF2508"/>
    <w:rsid w:val="00AF2A27"/>
    <w:rsid w:val="00AF4E13"/>
    <w:rsid w:val="00B00D35"/>
    <w:rsid w:val="00B0127F"/>
    <w:rsid w:val="00B11785"/>
    <w:rsid w:val="00B1621E"/>
    <w:rsid w:val="00B26A36"/>
    <w:rsid w:val="00B27D3C"/>
    <w:rsid w:val="00B3295E"/>
    <w:rsid w:val="00B47ED1"/>
    <w:rsid w:val="00B54006"/>
    <w:rsid w:val="00B54738"/>
    <w:rsid w:val="00B550B0"/>
    <w:rsid w:val="00B559F3"/>
    <w:rsid w:val="00B63FC6"/>
    <w:rsid w:val="00B747ED"/>
    <w:rsid w:val="00B81776"/>
    <w:rsid w:val="00BA554D"/>
    <w:rsid w:val="00BA730D"/>
    <w:rsid w:val="00BB3A59"/>
    <w:rsid w:val="00BB53F6"/>
    <w:rsid w:val="00BD59BD"/>
    <w:rsid w:val="00BD6E08"/>
    <w:rsid w:val="00BE0667"/>
    <w:rsid w:val="00BE28E8"/>
    <w:rsid w:val="00BE6D22"/>
    <w:rsid w:val="00C01989"/>
    <w:rsid w:val="00C02D6D"/>
    <w:rsid w:val="00C10214"/>
    <w:rsid w:val="00C1595A"/>
    <w:rsid w:val="00C17483"/>
    <w:rsid w:val="00C30C8E"/>
    <w:rsid w:val="00C33658"/>
    <w:rsid w:val="00C352BA"/>
    <w:rsid w:val="00C413C0"/>
    <w:rsid w:val="00C46B2E"/>
    <w:rsid w:val="00C53C6D"/>
    <w:rsid w:val="00C54C45"/>
    <w:rsid w:val="00C5534F"/>
    <w:rsid w:val="00C72D9D"/>
    <w:rsid w:val="00C87695"/>
    <w:rsid w:val="00C92306"/>
    <w:rsid w:val="00C95B83"/>
    <w:rsid w:val="00CA4134"/>
    <w:rsid w:val="00CB2D14"/>
    <w:rsid w:val="00CD28E2"/>
    <w:rsid w:val="00CD380D"/>
    <w:rsid w:val="00CD5122"/>
    <w:rsid w:val="00CD77A7"/>
    <w:rsid w:val="00CE1188"/>
    <w:rsid w:val="00CE1D8C"/>
    <w:rsid w:val="00CE2DB2"/>
    <w:rsid w:val="00CE703B"/>
    <w:rsid w:val="00D05EAF"/>
    <w:rsid w:val="00D2094D"/>
    <w:rsid w:val="00D36006"/>
    <w:rsid w:val="00D4245F"/>
    <w:rsid w:val="00D42AB3"/>
    <w:rsid w:val="00D51BA0"/>
    <w:rsid w:val="00D63AAD"/>
    <w:rsid w:val="00D82AB8"/>
    <w:rsid w:val="00D841E1"/>
    <w:rsid w:val="00D92FA3"/>
    <w:rsid w:val="00D93FF4"/>
    <w:rsid w:val="00D94801"/>
    <w:rsid w:val="00DA2A10"/>
    <w:rsid w:val="00DA7FAF"/>
    <w:rsid w:val="00DB1369"/>
    <w:rsid w:val="00DD513E"/>
    <w:rsid w:val="00DE1FCC"/>
    <w:rsid w:val="00DE5A82"/>
    <w:rsid w:val="00DF196A"/>
    <w:rsid w:val="00DF24A5"/>
    <w:rsid w:val="00DF3C73"/>
    <w:rsid w:val="00E0073F"/>
    <w:rsid w:val="00E04862"/>
    <w:rsid w:val="00E05C3D"/>
    <w:rsid w:val="00E209CB"/>
    <w:rsid w:val="00E34C12"/>
    <w:rsid w:val="00E40631"/>
    <w:rsid w:val="00E45B37"/>
    <w:rsid w:val="00E521D0"/>
    <w:rsid w:val="00E626AF"/>
    <w:rsid w:val="00E62CBF"/>
    <w:rsid w:val="00E64E37"/>
    <w:rsid w:val="00E7583A"/>
    <w:rsid w:val="00E95041"/>
    <w:rsid w:val="00EA1994"/>
    <w:rsid w:val="00EA4C69"/>
    <w:rsid w:val="00EA7952"/>
    <w:rsid w:val="00EB6BCC"/>
    <w:rsid w:val="00EB7A06"/>
    <w:rsid w:val="00EC03FF"/>
    <w:rsid w:val="00ED13F3"/>
    <w:rsid w:val="00F00773"/>
    <w:rsid w:val="00F01018"/>
    <w:rsid w:val="00F01D80"/>
    <w:rsid w:val="00F03E52"/>
    <w:rsid w:val="00F066EC"/>
    <w:rsid w:val="00F07631"/>
    <w:rsid w:val="00F177D8"/>
    <w:rsid w:val="00F30C8C"/>
    <w:rsid w:val="00F57A13"/>
    <w:rsid w:val="00F60C7E"/>
    <w:rsid w:val="00F61FE0"/>
    <w:rsid w:val="00F632C4"/>
    <w:rsid w:val="00F648BC"/>
    <w:rsid w:val="00F7045D"/>
    <w:rsid w:val="00F7135F"/>
    <w:rsid w:val="00F73421"/>
    <w:rsid w:val="00F76669"/>
    <w:rsid w:val="00F94016"/>
    <w:rsid w:val="00F96CA5"/>
    <w:rsid w:val="00FA4EAD"/>
    <w:rsid w:val="00FA4FBA"/>
    <w:rsid w:val="00FA57F9"/>
    <w:rsid w:val="00FB0DE3"/>
    <w:rsid w:val="00FB2F64"/>
    <w:rsid w:val="00FC352E"/>
    <w:rsid w:val="00FC604B"/>
    <w:rsid w:val="00FD24C5"/>
    <w:rsid w:val="00FE2986"/>
    <w:rsid w:val="00FF055A"/>
    <w:rsid w:val="00FF4AA2"/>
    <w:rsid w:val="00FF6F3C"/>
    <w:rsid w:val="3E011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link w:val="9"/>
    <w:qFormat/>
    <w:uiPriority w:val="9"/>
    <w:pPr>
      <w:widowControl/>
      <w:spacing w:before="100" w:beforeAutospacing="1" w:after="100" w:afterAutospacing="1"/>
      <w:jc w:val="left"/>
      <w:outlineLvl w:val="1"/>
    </w:pPr>
    <w:rPr>
      <w:rFonts w:ascii="宋体" w:hAnsi="宋体"/>
      <w:kern w:val="0"/>
      <w:sz w:val="24"/>
      <w:szCs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kern w:val="0"/>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customStyle="1" w:styleId="9">
    <w:name w:val="标题 2 Char"/>
    <w:link w:val="2"/>
    <w:qFormat/>
    <w:uiPriority w:val="9"/>
    <w:rPr>
      <w:rFonts w:ascii="宋体" w:hAnsi="宋体" w:eastAsia="宋体" w:cs="宋体"/>
      <w:kern w:val="0"/>
      <w:sz w:val="24"/>
      <w:szCs w:val="24"/>
    </w:rPr>
  </w:style>
  <w:style w:type="character" w:customStyle="1" w:styleId="10">
    <w:name w:val="hidden-tablet"/>
    <w:basedOn w:val="8"/>
    <w:qFormat/>
    <w:uiPriority w:val="0"/>
  </w:style>
  <w:style w:type="character" w:customStyle="1" w:styleId="11">
    <w:name w:val="ewb-hits"/>
    <w:basedOn w:val="8"/>
    <w:qFormat/>
    <w:uiPriority w:val="0"/>
  </w:style>
  <w:style w:type="character" w:customStyle="1" w:styleId="12">
    <w:name w:val="批注框文本 Char"/>
    <w:link w:val="3"/>
    <w:semiHidden/>
    <w:qFormat/>
    <w:uiPriority w:val="99"/>
    <w:rPr>
      <w:sz w:val="18"/>
      <w:szCs w:val="18"/>
    </w:rPr>
  </w:style>
  <w:style w:type="character" w:customStyle="1" w:styleId="13">
    <w:name w:val="页眉 Char"/>
    <w:link w:val="5"/>
    <w:qFormat/>
    <w:uiPriority w:val="99"/>
    <w:rPr>
      <w:kern w:val="2"/>
      <w:sz w:val="18"/>
      <w:szCs w:val="18"/>
    </w:rPr>
  </w:style>
  <w:style w:type="character" w:customStyle="1" w:styleId="14">
    <w:name w:val="页脚 Char"/>
    <w:link w:val="4"/>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2790</Words>
  <Characters>2932</Characters>
  <Lines>22</Lines>
  <Paragraphs>6</Paragraphs>
  <TotalTime>27</TotalTime>
  <ScaleCrop>false</ScaleCrop>
  <LinksUpToDate>false</LinksUpToDate>
  <CharactersWithSpaces>2977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2025-04-27T01:41:00Z</dcterms:created>
  <dc:creator>qmm</dc:creator>
  <cp:lastModifiedBy>魏尚书</cp:lastModifiedBy>
  <cp:lastPrinted>2020-02-10T07:26:00Z</cp:lastPrinted>
  <dcterms:modified xsi:type="dcterms:W3CDTF">2025-12-08T02:22:54Z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eyJoZGlkIjoiOWIxY2M3NTY1ODA3ZTQwZjExYzk2Y2Q1YmNlYjkzZWQiLCJ1c2VySWQiOiI0NDcxNDAxNTkifQ==</vt:lpwstr>
  </property>
  <property fmtid="{D5CDD505-2E9C-101B-9397-08002B2CF9AE}" pid="3" name="KSOProductBuildVer">
    <vt:lpwstr>2052-12.1.0.23542</vt:lpwstr>
  </property>
  <property fmtid="{D5CDD505-2E9C-101B-9397-08002B2CF9AE}" pid="4" name="ICV">
    <vt:lpwstr>F36579A670E4417B95DD124BF8353110_12</vt:lpwstr>
  </property>
</Properties>
</file>