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9CE5F">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eastAsia="zh-CN"/>
        </w:rPr>
        <w:t>　</w:t>
      </w:r>
      <w:r>
        <w:rPr>
          <w:rFonts w:hint="eastAsia" w:ascii="黑体" w:hAnsi="黑体" w:eastAsia="黑体" w:cs="黑体"/>
          <w:b/>
          <w:bCs/>
          <w:color w:val="auto"/>
          <w:sz w:val="44"/>
          <w:szCs w:val="44"/>
        </w:rPr>
        <w:t>朝阳市电力条例（草案）</w:t>
      </w:r>
    </w:p>
    <w:p w14:paraId="7343C061">
      <w:pPr>
        <w:jc w:val="center"/>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lang w:eastAsia="zh-CN"/>
        </w:rPr>
        <w:t>（</w:t>
      </w:r>
      <w:r>
        <w:rPr>
          <w:rFonts w:hint="eastAsia" w:ascii="黑体" w:hAnsi="黑体" w:eastAsia="黑体" w:cs="黑体"/>
          <w:b/>
          <w:bCs/>
          <w:color w:val="auto"/>
          <w:sz w:val="36"/>
          <w:szCs w:val="36"/>
          <w:lang w:val="en-US" w:eastAsia="zh-CN"/>
        </w:rPr>
        <w:t>讨论稿</w:t>
      </w:r>
      <w:r>
        <w:rPr>
          <w:rFonts w:hint="eastAsia" w:ascii="黑体" w:hAnsi="黑体" w:eastAsia="黑体" w:cs="黑体"/>
          <w:b/>
          <w:bCs/>
          <w:color w:val="auto"/>
          <w:sz w:val="36"/>
          <w:szCs w:val="36"/>
          <w:lang w:eastAsia="zh-CN"/>
        </w:rPr>
        <w:t>）</w:t>
      </w:r>
    </w:p>
    <w:p w14:paraId="2435AB60">
      <w:pPr>
        <w:keepNext w:val="0"/>
        <w:keepLines w:val="0"/>
        <w:pageBreakBefore w:val="0"/>
        <w:widowControl/>
        <w:suppressLineNumbers w:val="0"/>
        <w:shd w:val="clear" w:color="auto" w:fill="FFFFFF"/>
        <w:kinsoku/>
        <w:wordWrap/>
        <w:overflowPunct/>
        <w:topLinePunct w:val="0"/>
        <w:autoSpaceDE/>
        <w:autoSpaceDN/>
        <w:bidi w:val="0"/>
        <w:adjustRightInd/>
        <w:snapToGrid/>
        <w:spacing w:before="17" w:beforeAutospacing="0" w:after="0" w:afterAutospacing="0" w:line="360" w:lineRule="auto"/>
        <w:ind w:right="17" w:firstLine="3520" w:firstLineChars="1100"/>
        <w:jc w:val="both"/>
        <w:textAlignment w:val="auto"/>
        <w:rPr>
          <w:rFonts w:hint="default" w:ascii="Times New Roman" w:hAnsi="Times New Roman" w:eastAsia="楷体" w:cs="Times New Roman"/>
          <w:color w:val="auto"/>
          <w:kern w:val="0"/>
          <w:sz w:val="32"/>
          <w:szCs w:val="32"/>
          <w:highlight w:val="none"/>
          <w:shd w:val="clear" w:color="auto" w:fill="FFFFFF"/>
          <w:lang w:val="en-US" w:eastAsia="zh-CN" w:bidi="ar"/>
        </w:rPr>
      </w:pPr>
      <w:r>
        <w:rPr>
          <w:rFonts w:hint="default" w:ascii="Times New Roman" w:hAnsi="Times New Roman" w:eastAsia="楷体" w:cs="Times New Roman"/>
          <w:color w:val="auto"/>
          <w:kern w:val="0"/>
          <w:sz w:val="32"/>
          <w:szCs w:val="32"/>
          <w:highlight w:val="none"/>
          <w:shd w:val="clear" w:color="auto" w:fill="FFFFFF"/>
          <w:lang w:val="en-US" w:eastAsia="zh-CN" w:bidi="ar"/>
        </w:rPr>
        <w:t>目    录</w:t>
      </w:r>
    </w:p>
    <w:p w14:paraId="0BE4A13A">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楷体" w:hAnsi="楷体" w:eastAsia="楷体" w:cs="楷体"/>
          <w:color w:val="auto"/>
          <w:kern w:val="0"/>
          <w:sz w:val="32"/>
          <w:szCs w:val="32"/>
          <w:highlight w:val="none"/>
          <w:shd w:val="clear" w:color="auto" w:fill="FFFFFF"/>
          <w:lang w:val="en-US" w:eastAsia="zh-CN" w:bidi="ar"/>
        </w:rPr>
      </w:pPr>
      <w:r>
        <w:rPr>
          <w:rFonts w:hint="eastAsia" w:ascii="楷体" w:hAnsi="楷体" w:eastAsia="楷体" w:cs="楷体"/>
          <w:color w:val="auto"/>
          <w:kern w:val="0"/>
          <w:sz w:val="32"/>
          <w:szCs w:val="32"/>
          <w:highlight w:val="none"/>
          <w:shd w:val="clear" w:color="auto" w:fill="FFFFFF"/>
          <w:lang w:val="en-US" w:eastAsia="zh-CN" w:bidi="ar"/>
        </w:rPr>
        <w:t>第一章  总则</w:t>
      </w:r>
    </w:p>
    <w:p w14:paraId="4EDE8CC9">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楷体" w:hAnsi="楷体" w:eastAsia="楷体" w:cs="楷体"/>
          <w:color w:val="auto"/>
          <w:kern w:val="0"/>
          <w:sz w:val="32"/>
          <w:szCs w:val="32"/>
          <w:highlight w:val="none"/>
          <w:shd w:val="clear" w:color="auto" w:fill="FFFFFF"/>
          <w:lang w:val="en-US" w:eastAsia="zh-CN" w:bidi="ar"/>
        </w:rPr>
      </w:pPr>
      <w:r>
        <w:rPr>
          <w:rFonts w:hint="eastAsia" w:ascii="楷体" w:hAnsi="楷体" w:eastAsia="楷体" w:cs="楷体"/>
          <w:color w:val="auto"/>
          <w:kern w:val="0"/>
          <w:sz w:val="32"/>
          <w:szCs w:val="32"/>
          <w:highlight w:val="none"/>
          <w:shd w:val="clear" w:color="auto" w:fill="FFFFFF"/>
          <w:lang w:val="en-US" w:eastAsia="zh-CN" w:bidi="ar"/>
        </w:rPr>
        <w:t>第二章  电力规划与建设</w:t>
      </w:r>
    </w:p>
    <w:p w14:paraId="3721D8C2">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楷体" w:hAnsi="楷体" w:eastAsia="楷体" w:cs="楷体"/>
          <w:color w:val="auto"/>
          <w:kern w:val="0"/>
          <w:sz w:val="32"/>
          <w:szCs w:val="32"/>
          <w:highlight w:val="none"/>
          <w:shd w:val="clear" w:color="auto" w:fill="FFFFFF"/>
          <w:lang w:val="en-US" w:eastAsia="zh-CN" w:bidi="ar"/>
        </w:rPr>
      </w:pPr>
      <w:r>
        <w:rPr>
          <w:rFonts w:hint="eastAsia" w:ascii="楷体" w:hAnsi="楷体" w:eastAsia="楷体" w:cs="楷体"/>
          <w:color w:val="auto"/>
          <w:kern w:val="0"/>
          <w:sz w:val="32"/>
          <w:szCs w:val="32"/>
          <w:highlight w:val="none"/>
          <w:shd w:val="clear" w:color="auto" w:fill="FFFFFF"/>
          <w:lang w:val="en-US" w:eastAsia="zh-CN" w:bidi="ar"/>
        </w:rPr>
        <w:t>第三章  电力生产与运行</w:t>
      </w:r>
    </w:p>
    <w:p w14:paraId="01C092B5">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楷体" w:hAnsi="楷体" w:eastAsia="楷体" w:cs="楷体"/>
          <w:color w:val="auto"/>
          <w:kern w:val="0"/>
          <w:sz w:val="32"/>
          <w:szCs w:val="32"/>
          <w:highlight w:val="none"/>
          <w:shd w:val="clear" w:color="auto" w:fill="FFFFFF"/>
          <w:lang w:val="en-US" w:eastAsia="zh-CN" w:bidi="ar"/>
        </w:rPr>
      </w:pPr>
      <w:r>
        <w:rPr>
          <w:rFonts w:hint="eastAsia" w:ascii="楷体" w:hAnsi="楷体" w:eastAsia="楷体" w:cs="楷体"/>
          <w:color w:val="auto"/>
          <w:kern w:val="0"/>
          <w:sz w:val="32"/>
          <w:szCs w:val="32"/>
          <w:highlight w:val="none"/>
          <w:shd w:val="clear" w:color="auto" w:fill="FFFFFF"/>
          <w:lang w:val="en-US" w:eastAsia="zh-CN" w:bidi="ar"/>
        </w:rPr>
        <w:t>第四章  电力供应与使用</w:t>
      </w:r>
    </w:p>
    <w:p w14:paraId="44945DCE">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楷体" w:hAnsi="楷体" w:eastAsia="楷体" w:cs="楷体"/>
          <w:color w:val="auto"/>
          <w:kern w:val="0"/>
          <w:sz w:val="32"/>
          <w:szCs w:val="32"/>
          <w:highlight w:val="none"/>
          <w:shd w:val="clear" w:color="auto" w:fill="FFFFFF"/>
          <w:lang w:val="en-US" w:eastAsia="zh-CN" w:bidi="ar"/>
        </w:rPr>
      </w:pPr>
      <w:r>
        <w:rPr>
          <w:rFonts w:hint="eastAsia" w:ascii="楷体" w:hAnsi="楷体" w:eastAsia="楷体" w:cs="楷体"/>
          <w:color w:val="auto"/>
          <w:kern w:val="0"/>
          <w:sz w:val="32"/>
          <w:szCs w:val="32"/>
          <w:highlight w:val="none"/>
          <w:shd w:val="clear" w:color="auto" w:fill="FFFFFF"/>
          <w:lang w:val="en-US" w:eastAsia="zh-CN" w:bidi="ar"/>
        </w:rPr>
        <w:t xml:space="preserve">第五章  电力设施保护    </w:t>
      </w:r>
    </w:p>
    <w:p w14:paraId="4BD65D65">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楷体" w:hAnsi="楷体" w:eastAsia="楷体" w:cs="楷体"/>
          <w:color w:val="auto"/>
          <w:kern w:val="0"/>
          <w:sz w:val="32"/>
          <w:szCs w:val="32"/>
          <w:highlight w:val="none"/>
          <w:shd w:val="clear" w:color="auto" w:fill="FFFFFF"/>
          <w:lang w:val="en-US" w:eastAsia="zh-CN" w:bidi="ar"/>
        </w:rPr>
      </w:pPr>
      <w:r>
        <w:rPr>
          <w:rFonts w:hint="eastAsia" w:ascii="楷体" w:hAnsi="楷体" w:eastAsia="楷体" w:cs="楷体"/>
          <w:color w:val="auto"/>
          <w:kern w:val="0"/>
          <w:sz w:val="32"/>
          <w:szCs w:val="32"/>
          <w:highlight w:val="none"/>
          <w:shd w:val="clear" w:color="auto" w:fill="FFFFFF"/>
          <w:lang w:val="en-US" w:eastAsia="zh-CN" w:bidi="ar"/>
        </w:rPr>
        <w:t>第六章  应急处置措施</w:t>
      </w:r>
    </w:p>
    <w:p w14:paraId="5BF9BE17">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楷体" w:hAnsi="楷体" w:eastAsia="楷体" w:cs="楷体"/>
          <w:color w:val="auto"/>
          <w:kern w:val="0"/>
          <w:sz w:val="32"/>
          <w:szCs w:val="32"/>
          <w:highlight w:val="none"/>
          <w:shd w:val="clear" w:color="auto" w:fill="FFFFFF"/>
          <w:lang w:val="en-US" w:eastAsia="zh-CN" w:bidi="ar"/>
        </w:rPr>
      </w:pPr>
      <w:r>
        <w:rPr>
          <w:rFonts w:hint="eastAsia" w:ascii="楷体" w:hAnsi="楷体" w:eastAsia="楷体" w:cs="楷体"/>
          <w:color w:val="auto"/>
          <w:kern w:val="0"/>
          <w:sz w:val="32"/>
          <w:szCs w:val="32"/>
          <w:highlight w:val="none"/>
          <w:shd w:val="clear" w:color="auto" w:fill="FFFFFF"/>
          <w:lang w:val="en-US" w:eastAsia="zh-CN" w:bidi="ar"/>
        </w:rPr>
        <w:t>第七章  法律责任</w:t>
      </w:r>
    </w:p>
    <w:p w14:paraId="25E024A6">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360" w:lineRule="auto"/>
        <w:ind w:left="28" w:right="17" w:firstLine="1280" w:firstLineChars="400"/>
        <w:jc w:val="left"/>
        <w:textAlignment w:val="auto"/>
        <w:rPr>
          <w:rFonts w:hint="eastAsia" w:ascii="黑体" w:hAnsi="黑体" w:eastAsia="黑体" w:cs="黑体"/>
          <w:b/>
          <w:bCs/>
          <w:color w:val="auto"/>
          <w:sz w:val="32"/>
          <w:szCs w:val="32"/>
        </w:rPr>
      </w:pPr>
      <w:r>
        <w:rPr>
          <w:rFonts w:hint="eastAsia" w:ascii="楷体" w:hAnsi="楷体" w:eastAsia="楷体" w:cs="楷体"/>
          <w:color w:val="auto"/>
          <w:kern w:val="0"/>
          <w:sz w:val="32"/>
          <w:szCs w:val="32"/>
          <w:highlight w:val="none"/>
          <w:shd w:val="clear" w:color="auto" w:fill="FFFFFF"/>
          <w:lang w:val="en-US" w:eastAsia="zh-CN" w:bidi="ar"/>
        </w:rPr>
        <w:t>第八章  附则</w:t>
      </w:r>
    </w:p>
    <w:p w14:paraId="2E8B8775">
      <w:pPr>
        <w:jc w:val="center"/>
        <w:rPr>
          <w:rFonts w:hint="eastAsia" w:ascii="黑体" w:hAnsi="黑体" w:eastAsia="黑体" w:cs="黑体"/>
          <w:b/>
          <w:bCs/>
          <w:color w:val="auto"/>
          <w:sz w:val="32"/>
          <w:szCs w:val="32"/>
        </w:rPr>
      </w:pPr>
    </w:p>
    <w:p w14:paraId="483239E3">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第一章 总则</w:t>
      </w:r>
    </w:p>
    <w:p w14:paraId="54BF1C23">
      <w:pPr>
        <w:ind w:firstLine="643" w:firstLineChars="200"/>
        <w:rPr>
          <w:rFonts w:hint="eastAsia" w:eastAsiaTheme="minorEastAsia"/>
          <w:color w:val="auto"/>
          <w:lang w:eastAsia="zh-CN"/>
        </w:rPr>
      </w:pPr>
      <w:r>
        <w:rPr>
          <w:rFonts w:hint="eastAsia" w:ascii="仿宋" w:hAnsi="仿宋" w:eastAsia="仿宋" w:cs="仿宋"/>
          <w:b/>
          <w:bCs/>
          <w:color w:val="auto"/>
          <w:sz w:val="32"/>
          <w:szCs w:val="32"/>
        </w:rPr>
        <w:t>第一条【立法目的和依据】</w:t>
      </w:r>
      <w:r>
        <w:rPr>
          <w:rFonts w:hint="eastAsia" w:ascii="仿宋" w:hAnsi="仿宋" w:eastAsia="仿宋" w:cs="仿宋"/>
          <w:color w:val="auto"/>
          <w:sz w:val="32"/>
          <w:szCs w:val="32"/>
          <w:lang w:eastAsia="zh-CN"/>
        </w:rPr>
        <w:t>为了促进经济社会全面绿色低碳转型，保障电力安全可靠供应，维护社会公共安全及公共利益，保护电力投资者、经营者和使用者的合法权益，</w:t>
      </w:r>
      <w:r>
        <w:rPr>
          <w:rFonts w:hint="eastAsia" w:ascii="仿宋" w:hAnsi="仿宋" w:eastAsia="仿宋" w:cs="仿宋"/>
          <w:color w:val="auto"/>
          <w:sz w:val="32"/>
          <w:szCs w:val="32"/>
          <w:lang w:val="en-US" w:eastAsia="zh-CN"/>
        </w:rPr>
        <w:t>根据</w:t>
      </w:r>
      <w:r>
        <w:rPr>
          <w:rFonts w:hint="eastAsia" w:ascii="仿宋" w:hAnsi="仿宋" w:eastAsia="仿宋" w:cs="仿宋"/>
          <w:color w:val="auto"/>
          <w:sz w:val="32"/>
          <w:szCs w:val="32"/>
          <w:lang w:eastAsia="zh-CN"/>
        </w:rPr>
        <w:t xml:space="preserve">《中华人民共和国电力法》等法律法规，结合本市实际，特制定本条例。 </w:t>
      </w:r>
    </w:p>
    <w:p w14:paraId="10966CF0">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第二条【适用范围】</w:t>
      </w:r>
      <w:r>
        <w:rPr>
          <w:rFonts w:hint="eastAsia" w:ascii="仿宋" w:hAnsi="仿宋" w:eastAsia="仿宋" w:cs="仿宋"/>
          <w:color w:val="auto"/>
          <w:sz w:val="32"/>
          <w:szCs w:val="32"/>
        </w:rPr>
        <w:t>本市行政区域内的电力规划与建设、生产与运行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供应与使用、设施保护、应急处置</w:t>
      </w:r>
      <w:r>
        <w:rPr>
          <w:rFonts w:hint="eastAsia" w:ascii="仿宋" w:hAnsi="仿宋" w:eastAsia="仿宋" w:cs="仿宋"/>
          <w:color w:val="auto"/>
          <w:sz w:val="32"/>
          <w:szCs w:val="32"/>
          <w:lang w:val="en-US" w:eastAsia="zh-CN"/>
        </w:rPr>
        <w:t>措施</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rPr>
        <w:t>及相关监督管理活动，适用本条例。</w:t>
      </w:r>
    </w:p>
    <w:p w14:paraId="4C050C03">
      <w:pPr>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第三条【政府</w:t>
      </w:r>
      <w:r>
        <w:rPr>
          <w:rFonts w:hint="eastAsia" w:ascii="仿宋" w:hAnsi="仿宋" w:eastAsia="仿宋" w:cs="仿宋"/>
          <w:b/>
          <w:bCs/>
          <w:color w:val="auto"/>
          <w:sz w:val="32"/>
          <w:szCs w:val="32"/>
          <w:lang w:val="en-US" w:eastAsia="zh-CN"/>
        </w:rPr>
        <w:t>职责</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市、县（市）区</w:t>
      </w:r>
      <w:r>
        <w:rPr>
          <w:rFonts w:hint="eastAsia" w:ascii="仿宋" w:hAnsi="仿宋" w:eastAsia="仿宋" w:cs="仿宋"/>
          <w:color w:val="auto"/>
          <w:sz w:val="32"/>
          <w:szCs w:val="32"/>
        </w:rPr>
        <w:t>人民政府应当加强对电力事业的的组织、领导和协调，将电力事业纳入国民经济和社会发展规划，优化电源结构和布局，促进新能源集成融合发展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推进新型电力系统建设，协调解决电力事业发展中的重大问题</w:t>
      </w:r>
      <w:r>
        <w:rPr>
          <w:rFonts w:hint="eastAsia" w:ascii="仿宋" w:hAnsi="仿宋" w:eastAsia="仿宋" w:cs="仿宋"/>
          <w:color w:val="auto"/>
          <w:sz w:val="32"/>
          <w:szCs w:val="32"/>
          <w:lang w:eastAsia="zh-CN"/>
        </w:rPr>
        <w:t>，并建立</w:t>
      </w:r>
      <w:r>
        <w:rPr>
          <w:rFonts w:hint="eastAsia" w:ascii="仿宋" w:hAnsi="仿宋" w:eastAsia="仿宋" w:cs="仿宋"/>
          <w:color w:val="auto"/>
          <w:sz w:val="32"/>
          <w:szCs w:val="32"/>
          <w:lang w:val="en-US" w:eastAsia="zh-CN"/>
        </w:rPr>
        <w:t>健全</w:t>
      </w:r>
      <w:r>
        <w:rPr>
          <w:rFonts w:hint="eastAsia" w:ascii="仿宋" w:hAnsi="仿宋" w:eastAsia="仿宋" w:cs="仿宋"/>
          <w:color w:val="auto"/>
          <w:sz w:val="32"/>
          <w:szCs w:val="32"/>
          <w:lang w:eastAsia="zh-CN"/>
        </w:rPr>
        <w:t>电力联合执法机制，加强电力行政执法能力建设。</w:t>
      </w:r>
    </w:p>
    <w:p w14:paraId="37EB0619">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乡镇人民政府和街道办事处，以及开发区管理机构应当协助做好电力建设、安全运行</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rPr>
        <w:t>设施保护</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相关工作。</w:t>
      </w:r>
    </w:p>
    <w:p w14:paraId="7D7F3B4E">
      <w:p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第四条【部门职责】</w:t>
      </w:r>
      <w:r>
        <w:rPr>
          <w:rFonts w:hint="eastAsia" w:ascii="仿宋" w:hAnsi="仿宋" w:eastAsia="仿宋" w:cs="仿宋"/>
          <w:color w:val="auto"/>
          <w:sz w:val="32"/>
          <w:szCs w:val="32"/>
          <w:lang w:eastAsia="zh-CN"/>
        </w:rPr>
        <w:t>市、县（市）区</w:t>
      </w:r>
      <w:r>
        <w:rPr>
          <w:rFonts w:hint="eastAsia" w:ascii="仿宋" w:hAnsi="仿宋" w:eastAsia="仿宋" w:cs="仿宋"/>
          <w:color w:val="auto"/>
          <w:sz w:val="32"/>
          <w:szCs w:val="32"/>
          <w:lang w:val="en-US" w:eastAsia="zh-CN"/>
        </w:rPr>
        <w:t>工业和信息化部门负责</w:t>
      </w:r>
      <w:r>
        <w:rPr>
          <w:rFonts w:hint="eastAsia" w:ascii="仿宋" w:hAnsi="仿宋" w:eastAsia="仿宋" w:cs="仿宋"/>
          <w:color w:val="auto"/>
          <w:sz w:val="32"/>
          <w:szCs w:val="32"/>
          <w:lang w:eastAsia="zh-CN"/>
        </w:rPr>
        <w:t>本行政区域内电力供应与使用、设施保护、</w:t>
      </w:r>
      <w:r>
        <w:rPr>
          <w:rFonts w:hint="eastAsia" w:ascii="仿宋" w:hAnsi="仿宋" w:eastAsia="仿宋" w:cs="仿宋"/>
          <w:color w:val="auto"/>
          <w:sz w:val="32"/>
          <w:szCs w:val="32"/>
          <w:lang w:val="en-US" w:eastAsia="zh-CN"/>
        </w:rPr>
        <w:t>行政执法等监督管理职责；发展改革部门负责电力发展规划、计划和政策、项目布局和建设、固定资产投资等职责，统筹推进能源发展和安全。</w:t>
      </w:r>
    </w:p>
    <w:p w14:paraId="56C0F1C6">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自然资源、生态</w:t>
      </w:r>
      <w:r>
        <w:rPr>
          <w:rFonts w:hint="eastAsia" w:ascii="仿宋" w:hAnsi="仿宋" w:eastAsia="仿宋" w:cs="仿宋"/>
          <w:color w:val="auto"/>
          <w:sz w:val="32"/>
          <w:szCs w:val="32"/>
          <w:lang w:val="en-US" w:eastAsia="zh-CN"/>
        </w:rPr>
        <w:t>环境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lang w:eastAsia="zh-CN"/>
        </w:rPr>
        <w:t>住房和城乡建设、应急管理、公安、林业草原等有关部门应当按照各自职责，</w:t>
      </w:r>
      <w:r>
        <w:rPr>
          <w:rFonts w:hint="eastAsia" w:ascii="仿宋" w:hAnsi="仿宋" w:eastAsia="仿宋" w:cs="仿宋"/>
          <w:color w:val="auto"/>
          <w:sz w:val="32"/>
          <w:szCs w:val="32"/>
          <w:lang w:val="en-US" w:eastAsia="zh-CN"/>
        </w:rPr>
        <w:t>共同</w:t>
      </w:r>
      <w:r>
        <w:rPr>
          <w:rFonts w:hint="eastAsia" w:ascii="仿宋" w:hAnsi="仿宋" w:eastAsia="仿宋" w:cs="仿宋"/>
          <w:color w:val="auto"/>
          <w:sz w:val="32"/>
          <w:szCs w:val="32"/>
          <w:lang w:eastAsia="zh-CN"/>
        </w:rPr>
        <w:t>做好电力相关工作。</w:t>
      </w:r>
    </w:p>
    <w:p w14:paraId="736A1045">
      <w:pPr>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第五条【社会参与】</w:t>
      </w:r>
      <w:r>
        <w:rPr>
          <w:rFonts w:hint="eastAsia" w:ascii="仿宋" w:hAnsi="仿宋" w:eastAsia="仿宋" w:cs="仿宋"/>
          <w:color w:val="auto"/>
          <w:sz w:val="32"/>
          <w:szCs w:val="32"/>
          <w:lang w:eastAsia="zh-CN"/>
        </w:rPr>
        <w:t>鼓励单位和个人参与电力设施保护，支持绿色能源开发与应用，倡导安全、节约、科学用电，形成政府监管、企业负责、公众参与的协同治理格局。</w:t>
      </w:r>
    </w:p>
    <w:p w14:paraId="4D197457">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任何单位及个人均有权制止危害电力设施的行为，并向</w:t>
      </w:r>
      <w:r>
        <w:rPr>
          <w:rFonts w:hint="eastAsia" w:ascii="仿宋" w:hAnsi="仿宋" w:eastAsia="仿宋" w:cs="仿宋"/>
          <w:color w:val="auto"/>
          <w:sz w:val="32"/>
          <w:szCs w:val="32"/>
          <w:lang w:val="en-US" w:eastAsia="zh-CN"/>
        </w:rPr>
        <w:t>工业和信息化部门、公安机关或者电力企业进行举报。</w:t>
      </w:r>
    </w:p>
    <w:p w14:paraId="36AE1B18">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电力管理部门应当建立并完善举报受理与处理机制，对举报情况属实者给予奖励，同时为举报人保密。 </w:t>
      </w:r>
    </w:p>
    <w:p w14:paraId="4A421871">
      <w:pPr>
        <w:ind w:firstLine="643" w:firstLineChars="200"/>
        <w:rPr>
          <w:rFonts w:hint="eastAsia" w:eastAsiaTheme="minorEastAsia"/>
          <w:color w:val="auto"/>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条【宣传教育】</w:t>
      </w:r>
      <w:r>
        <w:rPr>
          <w:rFonts w:hint="eastAsia" w:ascii="仿宋" w:hAnsi="仿宋" w:eastAsia="仿宋" w:cs="仿宋"/>
          <w:color w:val="auto"/>
          <w:sz w:val="32"/>
          <w:szCs w:val="32"/>
          <w:lang w:eastAsia="zh-CN"/>
        </w:rPr>
        <w:t>市、县（市）区人民政府及其相关部门应</w:t>
      </w:r>
      <w:r>
        <w:rPr>
          <w:rFonts w:hint="eastAsia" w:ascii="仿宋" w:hAnsi="仿宋" w:eastAsia="仿宋" w:cs="仿宋"/>
          <w:color w:val="auto"/>
          <w:sz w:val="32"/>
          <w:szCs w:val="32"/>
          <w:lang w:val="en-US" w:eastAsia="zh-CN"/>
        </w:rPr>
        <w:t>当</w:t>
      </w:r>
      <w:r>
        <w:rPr>
          <w:rFonts w:hint="eastAsia" w:ascii="仿宋" w:hAnsi="仿宋" w:eastAsia="仿宋" w:cs="仿宋"/>
          <w:color w:val="auto"/>
          <w:sz w:val="32"/>
          <w:szCs w:val="32"/>
          <w:lang w:eastAsia="zh-CN"/>
        </w:rPr>
        <w:t xml:space="preserve">强化电力法律法规以及安全用电、节约用电、绿色用电方面的教育宣传工作。设置宣传专栏，面向青少年群体组织举办电力安全知识讲座，面向企业员工和农户群体组织开展电力设施保护培训与作业安全指导活动，提高全社会的电力法治意识和能源素养。 </w:t>
      </w:r>
    </w:p>
    <w:p w14:paraId="605AA48B">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eastAsia="zh-CN"/>
        </w:rPr>
        <w:t>科技</w:t>
      </w:r>
      <w:r>
        <w:rPr>
          <w:rFonts w:hint="eastAsia" w:ascii="仿宋" w:hAnsi="仿宋" w:eastAsia="仿宋" w:cs="仿宋"/>
          <w:b/>
          <w:bCs/>
          <w:color w:val="auto"/>
          <w:sz w:val="32"/>
          <w:szCs w:val="32"/>
        </w:rPr>
        <w:t>创新推广】</w:t>
      </w:r>
      <w:r>
        <w:rPr>
          <w:rFonts w:hint="eastAsia" w:ascii="仿宋" w:hAnsi="仿宋" w:eastAsia="仿宋" w:cs="仿宋"/>
          <w:color w:val="auto"/>
          <w:sz w:val="32"/>
          <w:szCs w:val="32"/>
          <w:lang w:eastAsia="zh-CN"/>
        </w:rPr>
        <w:t>市、县（市）区人民政府及其相关部门</w:t>
      </w:r>
      <w:r>
        <w:rPr>
          <w:rFonts w:hint="eastAsia" w:ascii="仿宋" w:hAnsi="仿宋" w:eastAsia="仿宋" w:cs="仿宋"/>
          <w:color w:val="auto"/>
          <w:sz w:val="32"/>
          <w:szCs w:val="32"/>
          <w:lang w:val="en-US" w:eastAsia="zh-CN"/>
        </w:rPr>
        <w:t>应当</w:t>
      </w:r>
      <w:r>
        <w:rPr>
          <w:rFonts w:hint="eastAsia" w:ascii="仿宋" w:hAnsi="仿宋" w:eastAsia="仿宋" w:cs="仿宋"/>
          <w:color w:val="auto"/>
          <w:sz w:val="32"/>
          <w:szCs w:val="32"/>
        </w:rPr>
        <w:t>推动和支持电力科技创新、技术改造和成果转化，推广应用智能微电网（源网荷储一体化）、虚拟电厂、储能、电动汽车充电设施等新技术、新设备、新业态，提高电力系统智能化水平和能源利用效率。</w:t>
      </w:r>
    </w:p>
    <w:p w14:paraId="1907B006">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 xml:space="preserve">第二章 </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电力规划与建设</w:t>
      </w:r>
    </w:p>
    <w:p w14:paraId="77C82175">
      <w:pPr>
        <w:ind w:firstLine="643" w:firstLineChars="200"/>
        <w:rPr>
          <w:rFonts w:hint="eastAsia" w:ascii="仿宋" w:hAnsi="仿宋" w:eastAsia="仿宋" w:cs="仿宋"/>
          <w:b w:val="0"/>
          <w:bCs w:val="0"/>
          <w:color w:val="auto"/>
          <w:sz w:val="32"/>
          <w:szCs w:val="32"/>
          <w:lang w:val="en-US" w:eastAsia="zh-CN"/>
        </w:rPr>
      </w:pPr>
      <w:bookmarkStart w:id="3" w:name="_GoBack"/>
      <w:r>
        <w:rPr>
          <w:rFonts w:hint="eastAsia" w:ascii="仿宋" w:hAnsi="仿宋" w:eastAsia="仿宋" w:cs="仿宋"/>
          <w:b/>
          <w:bCs/>
          <w:color w:val="auto"/>
          <w:sz w:val="32"/>
          <w:szCs w:val="32"/>
          <w:lang w:val="en-US" w:eastAsia="zh-CN"/>
        </w:rPr>
        <w:t>第八条【专项规划编制与衔接】</w:t>
      </w:r>
      <w:r>
        <w:rPr>
          <w:rFonts w:hint="eastAsia" w:ascii="仿宋" w:hAnsi="仿宋" w:eastAsia="仿宋" w:cs="仿宋"/>
          <w:color w:val="auto"/>
          <w:sz w:val="32"/>
          <w:szCs w:val="32"/>
        </w:rPr>
        <w:t>市、县（</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区</w:t>
      </w:r>
      <w:r>
        <w:rPr>
          <w:rFonts w:hint="eastAsia" w:ascii="仿宋" w:hAnsi="仿宋" w:eastAsia="仿宋" w:cs="仿宋"/>
          <w:b w:val="0"/>
          <w:bCs w:val="0"/>
          <w:color w:val="auto"/>
          <w:sz w:val="32"/>
          <w:szCs w:val="32"/>
          <w:lang w:val="en-US" w:eastAsia="zh-CN"/>
        </w:rPr>
        <w:t>发展改革部门应当会同自然资源、生态环境等相关部门，根据省级及以上电力规划组织编制电力专项规划，经本级人民政府批准后组织实施。</w:t>
      </w:r>
    </w:p>
    <w:p w14:paraId="3355D250">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电力专项规划应当纳入统筹新能源项目、绿电直连专用线路建设与零碳园区、重点产业项目用电需求布局。</w:t>
      </w:r>
    </w:p>
    <w:p w14:paraId="6F0055EE">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电力专项规划应当符合国土空间规划，协调衔接天然气、交通、水利、林业、通信、新能源发展等专项规划，相关内容应当纳入本行政区域内国土空间详细规划，实现有机衔接、同步实施。</w:t>
      </w:r>
    </w:p>
    <w:bookmarkEnd w:id="3"/>
    <w:p w14:paraId="3719F6A8">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条【电力设施空间预留与基础设施协同】</w:t>
      </w:r>
      <w:r>
        <w:rPr>
          <w:rFonts w:hint="eastAsia" w:ascii="仿宋" w:hAnsi="仿宋" w:eastAsia="仿宋" w:cs="仿宋"/>
          <w:color w:val="auto"/>
          <w:sz w:val="32"/>
          <w:szCs w:val="32"/>
        </w:rPr>
        <w:t>自然资源部门应当按照</w:t>
      </w:r>
      <w:r>
        <w:rPr>
          <w:rFonts w:hint="eastAsia" w:ascii="仿宋" w:hAnsi="仿宋" w:eastAsia="仿宋" w:cs="仿宋"/>
          <w:color w:val="auto"/>
          <w:sz w:val="32"/>
          <w:szCs w:val="32"/>
          <w:lang w:val="en-US" w:eastAsia="zh-CN"/>
        </w:rPr>
        <w:t>电力专项</w:t>
      </w:r>
      <w:r>
        <w:rPr>
          <w:rFonts w:hint="eastAsia" w:ascii="仿宋" w:hAnsi="仿宋" w:eastAsia="仿宋" w:cs="仿宋"/>
          <w:color w:val="auto"/>
          <w:sz w:val="32"/>
          <w:szCs w:val="32"/>
        </w:rPr>
        <w:t>规划，预留电力设施用地、电力线路走廊</w:t>
      </w:r>
      <w:r>
        <w:rPr>
          <w:rFonts w:hint="eastAsia" w:ascii="仿宋" w:hAnsi="仿宋" w:eastAsia="仿宋" w:cs="仿宋"/>
          <w:color w:val="auto"/>
          <w:sz w:val="32"/>
          <w:szCs w:val="32"/>
          <w:highlight w:val="none"/>
        </w:rPr>
        <w:t>、电力电缆通道</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绿电直连专用线路等</w:t>
      </w:r>
      <w:r>
        <w:rPr>
          <w:rFonts w:hint="eastAsia" w:ascii="仿宋" w:hAnsi="仿宋" w:eastAsia="仿宋" w:cs="仿宋"/>
          <w:color w:val="auto"/>
          <w:sz w:val="32"/>
          <w:szCs w:val="32"/>
        </w:rPr>
        <w:t>空间资源，在国土空间详细规划中明确具体位置和管控要求，予以严格保护。</w:t>
      </w:r>
    </w:p>
    <w:p w14:paraId="195A8B1B">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新建、改建、扩建公路、铁路、城市道路、桥梁、隧道、涵洞、地下管网等基础设施时，应当统筹考虑电力设施空间布局和相关设计规范，同步预留电力设施用地、电力线路走廊、</w:t>
      </w:r>
      <w:r>
        <w:rPr>
          <w:rFonts w:hint="eastAsia" w:ascii="仿宋" w:hAnsi="仿宋" w:eastAsia="仿宋" w:cs="仿宋"/>
          <w:color w:val="auto"/>
          <w:sz w:val="32"/>
          <w:szCs w:val="32"/>
          <w:highlight w:val="none"/>
        </w:rPr>
        <w:t>电力电缆通道</w:t>
      </w:r>
      <w:r>
        <w:rPr>
          <w:rFonts w:hint="eastAsia" w:ascii="仿宋" w:hAnsi="仿宋" w:eastAsia="仿宋" w:cs="仿宋"/>
          <w:color w:val="auto"/>
          <w:sz w:val="32"/>
          <w:szCs w:val="32"/>
          <w:highlight w:val="none"/>
          <w:lang w:eastAsia="zh-CN"/>
        </w:rPr>
        <w:t>以及</w:t>
      </w:r>
      <w:r>
        <w:rPr>
          <w:rFonts w:hint="eastAsia" w:ascii="仿宋" w:hAnsi="仿宋" w:eastAsia="仿宋" w:cs="仿宋"/>
          <w:color w:val="auto"/>
          <w:sz w:val="32"/>
          <w:szCs w:val="32"/>
          <w:highlight w:val="none"/>
        </w:rPr>
        <w:t>绿电直连专用线路</w:t>
      </w:r>
      <w:r>
        <w:rPr>
          <w:rFonts w:hint="eastAsia" w:ascii="仿宋" w:hAnsi="仿宋" w:eastAsia="仿宋" w:cs="仿宋"/>
          <w:color w:val="auto"/>
          <w:sz w:val="32"/>
          <w:szCs w:val="32"/>
        </w:rPr>
        <w:t>。</w:t>
      </w:r>
    </w:p>
    <w:p w14:paraId="55B0AB63">
      <w:pPr>
        <w:ind w:firstLine="643" w:firstLineChars="200"/>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十</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eastAsia="zh-CN"/>
        </w:rPr>
        <w:t>项目</w:t>
      </w:r>
      <w:r>
        <w:rPr>
          <w:rFonts w:hint="eastAsia" w:ascii="仿宋" w:hAnsi="仿宋" w:eastAsia="仿宋" w:cs="仿宋"/>
          <w:b/>
          <w:bCs/>
          <w:color w:val="auto"/>
          <w:sz w:val="32"/>
          <w:szCs w:val="32"/>
        </w:rPr>
        <w:t>审批</w:t>
      </w:r>
      <w:r>
        <w:rPr>
          <w:rFonts w:hint="eastAsia" w:ascii="仿宋" w:hAnsi="仿宋" w:eastAsia="仿宋" w:cs="仿宋"/>
          <w:b/>
          <w:bCs/>
          <w:color w:val="auto"/>
          <w:sz w:val="32"/>
          <w:szCs w:val="32"/>
          <w:lang w:val="en-US" w:eastAsia="zh-CN"/>
        </w:rPr>
        <w:t>优化</w:t>
      </w:r>
      <w:r>
        <w:rPr>
          <w:rFonts w:hint="eastAsia" w:ascii="仿宋" w:hAnsi="仿宋" w:eastAsia="仿宋" w:cs="仿宋"/>
          <w:b/>
          <w:bCs/>
          <w:color w:val="auto"/>
          <w:sz w:val="32"/>
          <w:szCs w:val="32"/>
        </w:rPr>
        <w:t>】</w:t>
      </w:r>
      <w:r>
        <w:rPr>
          <w:rFonts w:hint="eastAsia" w:ascii="仿宋" w:hAnsi="仿宋" w:eastAsia="仿宋" w:cs="仿宋"/>
          <w:b w:val="0"/>
          <w:bCs w:val="0"/>
          <w:color w:val="auto"/>
          <w:sz w:val="32"/>
          <w:szCs w:val="32"/>
        </w:rPr>
        <w:t>市人民政府应当</w:t>
      </w:r>
      <w:r>
        <w:rPr>
          <w:rFonts w:hint="eastAsia" w:ascii="仿宋" w:hAnsi="仿宋" w:eastAsia="仿宋" w:cs="仿宋"/>
          <w:b w:val="0"/>
          <w:bCs w:val="0"/>
          <w:color w:val="auto"/>
          <w:sz w:val="32"/>
          <w:szCs w:val="32"/>
          <w:lang w:val="en-US" w:eastAsia="zh-CN"/>
        </w:rPr>
        <w:t>健全完善</w:t>
      </w:r>
      <w:r>
        <w:rPr>
          <w:rFonts w:hint="eastAsia" w:ascii="仿宋" w:hAnsi="仿宋" w:eastAsia="仿宋" w:cs="仿宋"/>
          <w:b w:val="0"/>
          <w:bCs w:val="0"/>
          <w:color w:val="auto"/>
          <w:sz w:val="32"/>
          <w:szCs w:val="32"/>
        </w:rPr>
        <w:t>全市统一的</w:t>
      </w:r>
      <w:r>
        <w:rPr>
          <w:rFonts w:hint="eastAsia" w:ascii="仿宋" w:hAnsi="仿宋" w:eastAsia="仿宋" w:cs="仿宋"/>
          <w:b w:val="0"/>
          <w:bCs w:val="0"/>
          <w:color w:val="auto"/>
          <w:sz w:val="32"/>
          <w:szCs w:val="32"/>
          <w:lang w:eastAsia="zh-CN"/>
        </w:rPr>
        <w:t>工程</w:t>
      </w:r>
      <w:r>
        <w:rPr>
          <w:rFonts w:hint="eastAsia" w:ascii="仿宋" w:hAnsi="仿宋" w:eastAsia="仿宋" w:cs="仿宋"/>
          <w:b w:val="0"/>
          <w:bCs w:val="0"/>
          <w:color w:val="auto"/>
          <w:sz w:val="32"/>
          <w:szCs w:val="32"/>
        </w:rPr>
        <w:t>建设项目审批管理系统</w:t>
      </w:r>
      <w:r>
        <w:rPr>
          <w:rFonts w:hint="eastAsia" w:ascii="仿宋" w:hAnsi="仿宋" w:eastAsia="仿宋" w:cs="仿宋"/>
          <w:b w:val="0"/>
          <w:bCs w:val="0"/>
          <w:color w:val="auto"/>
          <w:sz w:val="32"/>
          <w:szCs w:val="32"/>
          <w:lang w:eastAsia="zh-CN"/>
        </w:rPr>
        <w:t>。</w:t>
      </w:r>
    </w:p>
    <w:p w14:paraId="0BCA1929">
      <w:pPr>
        <w:ind w:firstLine="640" w:firstLineChars="200"/>
        <w:rPr>
          <w:rFonts w:hint="eastAsia" w:eastAsiaTheme="minorEastAsia"/>
          <w:color w:val="auto"/>
          <w:lang w:eastAsia="zh-CN"/>
        </w:rPr>
      </w:pPr>
      <w:r>
        <w:rPr>
          <w:rFonts w:hint="eastAsia" w:ascii="仿宋" w:hAnsi="仿宋" w:eastAsia="仿宋" w:cs="仿宋"/>
          <w:b w:val="0"/>
          <w:bCs w:val="0"/>
          <w:color w:val="auto"/>
          <w:sz w:val="32"/>
          <w:szCs w:val="32"/>
          <w:lang w:eastAsia="zh-CN"/>
        </w:rPr>
        <w:t>电网</w:t>
      </w:r>
      <w:r>
        <w:rPr>
          <w:rFonts w:hint="eastAsia" w:ascii="仿宋" w:hAnsi="仿宋" w:eastAsia="仿宋" w:cs="仿宋"/>
          <w:b w:val="0"/>
          <w:bCs w:val="0"/>
          <w:color w:val="auto"/>
          <w:sz w:val="32"/>
          <w:szCs w:val="32"/>
          <w:lang w:val="en-US" w:eastAsia="zh-CN"/>
        </w:rPr>
        <w:t>项目或者</w:t>
      </w:r>
      <w:r>
        <w:rPr>
          <w:rFonts w:hint="eastAsia" w:ascii="仿宋" w:hAnsi="仿宋" w:eastAsia="仿宋" w:cs="仿宋"/>
          <w:b w:val="0"/>
          <w:bCs w:val="0"/>
          <w:color w:val="auto"/>
          <w:sz w:val="32"/>
          <w:szCs w:val="32"/>
          <w:lang w:eastAsia="zh-CN"/>
        </w:rPr>
        <w:t>新能源发</w:t>
      </w:r>
      <w:r>
        <w:rPr>
          <w:rFonts w:hint="eastAsia" w:ascii="仿宋" w:hAnsi="仿宋" w:eastAsia="仿宋" w:cs="仿宋"/>
          <w:b w:val="0"/>
          <w:bCs w:val="0"/>
          <w:color w:val="auto"/>
          <w:sz w:val="32"/>
          <w:szCs w:val="32"/>
          <w:lang w:val="en-US" w:eastAsia="zh-CN"/>
        </w:rPr>
        <w:t>电</w:t>
      </w:r>
      <w:r>
        <w:rPr>
          <w:rFonts w:hint="eastAsia" w:ascii="仿宋" w:hAnsi="仿宋" w:eastAsia="仿宋" w:cs="仿宋"/>
          <w:b w:val="0"/>
          <w:bCs w:val="0"/>
          <w:color w:val="auto"/>
          <w:sz w:val="32"/>
          <w:szCs w:val="32"/>
          <w:lang w:eastAsia="zh-CN"/>
        </w:rPr>
        <w:t>项目在办理用地、用林、规划、环评以及相关配套许可等内容采取并联审批制度，</w:t>
      </w:r>
      <w:r>
        <w:rPr>
          <w:rFonts w:hint="eastAsia" w:ascii="仿宋" w:hAnsi="仿宋" w:eastAsia="仿宋" w:cs="仿宋"/>
          <w:color w:val="auto"/>
          <w:sz w:val="32"/>
          <w:szCs w:val="32"/>
          <w:lang w:val="en-US" w:eastAsia="zh-CN"/>
        </w:rPr>
        <w:t>分别由发展改革、自然资源、住房和城乡建设、</w:t>
      </w:r>
      <w:r>
        <w:rPr>
          <w:rFonts w:hint="eastAsia" w:ascii="仿宋" w:hAnsi="仿宋" w:eastAsia="仿宋" w:cs="仿宋"/>
          <w:color w:val="auto"/>
          <w:sz w:val="32"/>
          <w:szCs w:val="32"/>
          <w:lang w:eastAsia="zh-CN"/>
        </w:rPr>
        <w:t>林业草原</w:t>
      </w:r>
      <w:r>
        <w:rPr>
          <w:rFonts w:hint="eastAsia" w:ascii="仿宋" w:hAnsi="仿宋" w:eastAsia="仿宋" w:cs="仿宋"/>
          <w:color w:val="auto"/>
          <w:sz w:val="32"/>
          <w:szCs w:val="32"/>
          <w:lang w:val="en-US" w:eastAsia="zh-CN"/>
        </w:rPr>
        <w:t>部门作为主办部门，统筹协调相关部门联合办理或集中办理，限定各环节的办理时限，提高审批效率。</w:t>
      </w:r>
    </w:p>
    <w:p w14:paraId="25D1D154">
      <w:p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项目用地方式</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电网项目和新能源项目按类型分类确定用地方式，电力设施用地符合《划拨用地目录》的，采用划拨方式获得土地使用权；其他类型用地依法通过出让、租赁等方式获得土地使用权。</w:t>
      </w:r>
    </w:p>
    <w:p w14:paraId="5CC6E37D">
      <w:pPr>
        <w:ind w:firstLine="640" w:firstLineChars="200"/>
        <w:rPr>
          <w:rFonts w:hint="eastAsia" w:eastAsiaTheme="minorEastAsia"/>
          <w:color w:val="auto"/>
          <w:lang w:eastAsia="zh-CN"/>
        </w:rPr>
      </w:pPr>
      <w:r>
        <w:rPr>
          <w:rFonts w:hint="eastAsia" w:ascii="仿宋" w:hAnsi="仿宋" w:eastAsia="仿宋" w:cs="仿宋"/>
          <w:color w:val="auto"/>
          <w:sz w:val="32"/>
          <w:szCs w:val="32"/>
          <w:lang w:eastAsia="zh-CN"/>
        </w:rPr>
        <w:t>架空电力线路走廊（包括杆、塔基础）以及</w:t>
      </w:r>
      <w:r>
        <w:rPr>
          <w:rFonts w:hint="eastAsia" w:ascii="仿宋" w:hAnsi="仿宋" w:eastAsia="仿宋" w:cs="仿宋"/>
          <w:color w:val="auto"/>
          <w:sz w:val="32"/>
          <w:szCs w:val="32"/>
          <w:lang w:val="en-US" w:eastAsia="zh-CN"/>
        </w:rPr>
        <w:t>电力</w:t>
      </w:r>
      <w:r>
        <w:rPr>
          <w:rFonts w:hint="eastAsia" w:ascii="仿宋" w:hAnsi="仿宋" w:eastAsia="仿宋" w:cs="仿宋"/>
          <w:color w:val="auto"/>
          <w:sz w:val="32"/>
          <w:szCs w:val="32"/>
          <w:lang w:eastAsia="zh-CN"/>
        </w:rPr>
        <w:t>电缆通道建设遵循只占用不征收原则，杆、塔基础占用的土地，电网建设单位应当对有关土地权属人给予一次性经济补偿。</w:t>
      </w:r>
    </w:p>
    <w:p w14:paraId="35D2C37D">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xml:space="preserve">具体办法由市人民政府制定并向社会公布。 </w:t>
      </w:r>
    </w:p>
    <w:p w14:paraId="3496E17C">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工程建设</w:t>
      </w:r>
      <w:r>
        <w:rPr>
          <w:rFonts w:hint="eastAsia" w:ascii="仿宋" w:hAnsi="仿宋" w:eastAsia="仿宋" w:cs="仿宋"/>
          <w:b/>
          <w:bCs/>
          <w:color w:val="auto"/>
          <w:sz w:val="32"/>
          <w:szCs w:val="32"/>
        </w:rPr>
        <w:t>保障</w:t>
      </w:r>
      <w:r>
        <w:rPr>
          <w:rFonts w:hint="eastAsia" w:ascii="仿宋" w:hAnsi="仿宋" w:eastAsia="仿宋" w:cs="仿宋"/>
          <w:b/>
          <w:bCs/>
          <w:color w:val="auto"/>
          <w:sz w:val="32"/>
          <w:szCs w:val="32"/>
          <w:lang w:val="en-US" w:eastAsia="zh-CN"/>
        </w:rPr>
        <w:t>与协调机制</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市、县（市）区</w:t>
      </w:r>
      <w:r>
        <w:rPr>
          <w:rFonts w:hint="eastAsia" w:ascii="仿宋" w:hAnsi="仿宋" w:eastAsia="仿宋" w:cs="仿宋"/>
          <w:color w:val="auto"/>
          <w:sz w:val="32"/>
          <w:szCs w:val="32"/>
        </w:rPr>
        <w:t>人民政府应当将电网</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建设施工纳入社会治安防控体系，对恶意阻挡施工、非正当理由索要高额补偿等违法行为，住房和城乡建设</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rPr>
        <w:t>公安等</w:t>
      </w:r>
      <w:r>
        <w:rPr>
          <w:rFonts w:hint="eastAsia" w:ascii="仿宋" w:hAnsi="仿宋" w:eastAsia="仿宋" w:cs="仿宋"/>
          <w:b w:val="0"/>
          <w:bCs w:val="0"/>
          <w:color w:val="auto"/>
          <w:sz w:val="32"/>
          <w:szCs w:val="32"/>
          <w:lang w:val="en-US" w:eastAsia="zh-CN"/>
        </w:rPr>
        <w:t>部门</w:t>
      </w:r>
      <w:r>
        <w:rPr>
          <w:rFonts w:hint="eastAsia" w:ascii="仿宋" w:hAnsi="仿宋" w:eastAsia="仿宋" w:cs="仿宋"/>
          <w:color w:val="auto"/>
          <w:sz w:val="32"/>
          <w:szCs w:val="32"/>
        </w:rPr>
        <w:t>应当依法介入，保障施工顺利进行。</w:t>
      </w:r>
    </w:p>
    <w:p w14:paraId="674DDEA0">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电力</w:t>
      </w:r>
      <w:r>
        <w:rPr>
          <w:rFonts w:hint="eastAsia" w:ascii="仿宋" w:hAnsi="仿宋" w:eastAsia="仿宋" w:cs="仿宋"/>
          <w:color w:val="auto"/>
          <w:sz w:val="32"/>
          <w:szCs w:val="32"/>
        </w:rPr>
        <w:t>线路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电缆通道以及绿电直连专用线路</w:t>
      </w:r>
      <w:r>
        <w:rPr>
          <w:rFonts w:hint="eastAsia" w:ascii="仿宋" w:hAnsi="仿宋" w:eastAsia="仿宋" w:cs="仿宋"/>
          <w:color w:val="auto"/>
          <w:sz w:val="32"/>
          <w:szCs w:val="32"/>
        </w:rPr>
        <w:t>跨(穿)越铁路、公路、桥梁、隧道(水道)、水利工程设施的，依法办理相关手续，除法律、法规规定外，相关单位不得因</w:t>
      </w:r>
      <w:r>
        <w:rPr>
          <w:rFonts w:hint="eastAsia" w:ascii="仿宋" w:hAnsi="仿宋" w:eastAsia="仿宋" w:cs="仿宋"/>
          <w:color w:val="auto"/>
          <w:sz w:val="32"/>
          <w:szCs w:val="32"/>
          <w:lang w:val="en-US" w:eastAsia="zh-CN"/>
        </w:rPr>
        <w:t>电力</w:t>
      </w:r>
      <w:r>
        <w:rPr>
          <w:rFonts w:hint="eastAsia" w:ascii="仿宋" w:hAnsi="仿宋" w:eastAsia="仿宋" w:cs="仿宋"/>
          <w:color w:val="auto"/>
          <w:sz w:val="32"/>
          <w:szCs w:val="32"/>
        </w:rPr>
        <w:t>线路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电缆通道</w:t>
      </w:r>
      <w:r>
        <w:rPr>
          <w:rFonts w:hint="eastAsia" w:ascii="仿宋" w:hAnsi="仿宋" w:eastAsia="仿宋" w:cs="仿宋"/>
          <w:color w:val="auto"/>
          <w:sz w:val="32"/>
          <w:szCs w:val="32"/>
        </w:rPr>
        <w:t>跨(穿)越上述设施收取费用。</w:t>
      </w:r>
    </w:p>
    <w:p w14:paraId="35E14F3F">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电力设施与</w:t>
      </w:r>
      <w:r>
        <w:rPr>
          <w:rFonts w:hint="eastAsia" w:ascii="仿宋" w:hAnsi="仿宋" w:eastAsia="仿宋" w:cs="仿宋"/>
          <w:color w:val="auto"/>
          <w:sz w:val="32"/>
          <w:szCs w:val="32"/>
        </w:rPr>
        <w:t>公用工程、绿化工程和其他工程在新建、改建或者扩建中相互妨碍时，</w:t>
      </w:r>
      <w:r>
        <w:rPr>
          <w:rFonts w:hint="eastAsia" w:ascii="仿宋" w:hAnsi="仿宋" w:eastAsia="仿宋" w:cs="仿宋"/>
          <w:color w:val="auto"/>
          <w:sz w:val="32"/>
          <w:szCs w:val="32"/>
          <w:lang w:eastAsia="zh-CN"/>
        </w:rPr>
        <w:t>建设</w:t>
      </w:r>
      <w:r>
        <w:rPr>
          <w:rFonts w:hint="eastAsia" w:ascii="仿宋" w:hAnsi="仿宋" w:eastAsia="仿宋" w:cs="仿宋"/>
          <w:color w:val="auto"/>
          <w:sz w:val="32"/>
          <w:szCs w:val="32"/>
        </w:rPr>
        <w:t>单位</w:t>
      </w:r>
      <w:r>
        <w:rPr>
          <w:rFonts w:hint="eastAsia" w:ascii="仿宋" w:hAnsi="仿宋" w:eastAsia="仿宋" w:cs="仿宋"/>
          <w:color w:val="auto"/>
          <w:sz w:val="32"/>
          <w:szCs w:val="32"/>
          <w:lang w:eastAsia="zh-CN"/>
        </w:rPr>
        <w:t>之间</w:t>
      </w:r>
      <w:r>
        <w:rPr>
          <w:rFonts w:hint="eastAsia" w:ascii="仿宋" w:hAnsi="仿宋" w:eastAsia="仿宋" w:cs="仿宋"/>
          <w:color w:val="auto"/>
          <w:sz w:val="32"/>
          <w:szCs w:val="32"/>
        </w:rPr>
        <w:t>应当按照建设和投入使用在先的原则协商解决迁移、改造和采取有关措施的成本</w:t>
      </w:r>
      <w:r>
        <w:rPr>
          <w:rFonts w:hint="eastAsia" w:ascii="仿宋" w:hAnsi="仿宋" w:eastAsia="仿宋" w:cs="仿宋"/>
          <w:color w:val="auto"/>
          <w:sz w:val="32"/>
          <w:szCs w:val="32"/>
          <w:lang w:eastAsia="zh-CN"/>
        </w:rPr>
        <w:t>费用；</w:t>
      </w:r>
      <w:r>
        <w:rPr>
          <w:rFonts w:hint="eastAsia" w:ascii="仿宋" w:hAnsi="仿宋" w:eastAsia="仿宋" w:cs="仿宋"/>
          <w:color w:val="auto"/>
          <w:sz w:val="32"/>
          <w:szCs w:val="32"/>
        </w:rPr>
        <w:t>未经协商一致，擅自施工造成损害的，由实施施工行为的单位承担相应</w:t>
      </w:r>
      <w:r>
        <w:rPr>
          <w:rFonts w:hint="eastAsia" w:ascii="仿宋" w:hAnsi="仿宋" w:eastAsia="仿宋" w:cs="仿宋"/>
          <w:color w:val="auto"/>
          <w:sz w:val="32"/>
          <w:szCs w:val="32"/>
          <w:lang w:eastAsia="zh-CN"/>
        </w:rPr>
        <w:t>法律</w:t>
      </w:r>
      <w:r>
        <w:rPr>
          <w:rFonts w:hint="eastAsia" w:ascii="仿宋" w:hAnsi="仿宋" w:eastAsia="仿宋" w:cs="仿宋"/>
          <w:color w:val="auto"/>
          <w:sz w:val="32"/>
          <w:szCs w:val="32"/>
        </w:rPr>
        <w:t>责任。</w:t>
      </w:r>
    </w:p>
    <w:p w14:paraId="4A7BEF62">
      <w:pPr>
        <w:ind w:firstLine="643" w:firstLineChars="200"/>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十三</w:t>
      </w:r>
      <w:r>
        <w:rPr>
          <w:rFonts w:hint="eastAsia" w:ascii="仿宋" w:hAnsi="仿宋" w:eastAsia="仿宋" w:cs="仿宋"/>
          <w:b/>
          <w:bCs/>
          <w:color w:val="auto"/>
          <w:sz w:val="32"/>
          <w:szCs w:val="32"/>
        </w:rPr>
        <w:t>条【新能源集成融合发展与并网保障】</w:t>
      </w:r>
      <w:r>
        <w:rPr>
          <w:rFonts w:hint="eastAsia" w:ascii="仿宋" w:hAnsi="仿宋" w:eastAsia="仿宋" w:cs="仿宋"/>
          <w:b w:val="0"/>
          <w:bCs w:val="0"/>
          <w:color w:val="auto"/>
          <w:sz w:val="32"/>
          <w:szCs w:val="32"/>
        </w:rPr>
        <w:t>市、县（市）区人民政府应当推动构建多元协同的清洁能源供应体系，将集成融合发展作为新能源发展的重要方式</w:t>
      </w:r>
      <w:r>
        <w:rPr>
          <w:rFonts w:hint="eastAsia" w:ascii="仿宋" w:hAnsi="仿宋" w:eastAsia="仿宋" w:cs="仿宋"/>
          <w:b w:val="0"/>
          <w:bCs w:val="0"/>
          <w:color w:val="auto"/>
          <w:sz w:val="32"/>
          <w:szCs w:val="32"/>
          <w:lang w:eastAsia="zh-CN"/>
        </w:rPr>
        <w:t>，支持新能源项目与绿电直连专用线路协同建设。</w:t>
      </w:r>
    </w:p>
    <w:p w14:paraId="4DBCD13D">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电力生产经营单位应当按照电力专项规划，建设新能源外送通道，提高新能源消纳能力，优先收购可再生能源电力，不得擅自提高或者降低并网标准；保障绿电直连项目专用线路与公共电网的安全衔接；对分布式新能源项目实行简化备案、快速并网。</w:t>
      </w:r>
    </w:p>
    <w:p w14:paraId="25324323">
      <w:pPr>
        <w:ind w:firstLine="643" w:firstLineChars="200"/>
        <w:rPr>
          <w:rFonts w:hint="eastAsia" w:eastAsiaTheme="minorEastAsia"/>
          <w:color w:val="auto"/>
          <w:lang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eastAsia="zh-CN"/>
        </w:rPr>
        <w:t>充电基础设施服务能力建设</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市、县（市）区人民政府应当鼓励社会资本参与充电基础设施建设运营，构建统一开放、竞争有序的充电服务市场。充分发挥市场主体的创新作用，打造车、桩、网智慧融合的创新平台。</w:t>
      </w:r>
    </w:p>
    <w:p w14:paraId="789A126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在居住区实施充电基础设施“统建统服”模式，新建住宅小区按标准预留充电设施安装条件；加快大型村镇、乡村旅游重点村镇等区域的充电网络建设；推广充电站与餐饮、娱乐、购物、汽车服务等业态相融合的商业模式，提升充电服务体验。</w:t>
      </w:r>
    </w:p>
    <w:p w14:paraId="208F4293">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第十五条【农村电网改造】</w:t>
      </w:r>
      <w:r>
        <w:rPr>
          <w:rFonts w:hint="eastAsia" w:ascii="仿宋" w:hAnsi="仿宋" w:eastAsia="仿宋" w:cs="仿宋"/>
          <w:b w:val="0"/>
          <w:bCs w:val="0"/>
          <w:color w:val="auto"/>
          <w:sz w:val="32"/>
          <w:szCs w:val="32"/>
          <w:lang w:val="en-US" w:eastAsia="zh-CN"/>
        </w:rPr>
        <w:t>市、县（市）区人民政府应当将农村电网改造升级纳入乡村振兴重点工作，加大财政投入，统筹涉农资金支持，引导社会资本参与，统筹推进农村电网巩固提升工程。</w:t>
      </w:r>
    </w:p>
    <w:p w14:paraId="1F6BD49D">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农村电网改造应当优化电网结构，提升供电可靠性、电能质量和智能化水平，兼顾农业生产、特色种养、农产品加工、乡村产业、乡村旅游、农村公共服务等用电需求，切实改善农村居民生活和农业生产用电条件，推进城乡供电服务均等化。 </w:t>
      </w:r>
    </w:p>
    <w:p w14:paraId="79B90A2D">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第十六条【老旧小区供配电设施改造】</w:t>
      </w:r>
      <w:r>
        <w:rPr>
          <w:rFonts w:hint="eastAsia" w:ascii="仿宋" w:hAnsi="仿宋" w:eastAsia="仿宋" w:cs="仿宋"/>
          <w:b w:val="0"/>
          <w:bCs w:val="0"/>
          <w:color w:val="auto"/>
          <w:sz w:val="32"/>
          <w:szCs w:val="32"/>
          <w:lang w:val="en-US" w:eastAsia="zh-CN"/>
        </w:rPr>
        <w:t>市、县（市）区人民政府应当将老旧小区供配电设施改造纳入城市更新行动和重点民生工程，加大财政投入，引导社会资本参与，建立多元化资金筹措机制。</w:t>
      </w:r>
    </w:p>
    <w:p w14:paraId="3A32B1A3">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老旧小区供配电设施改造应当符合国家和行业建设标准，规范供配电设施产权移交流程，推动改造后的供配电设施由电力生产经营单位统一接收、统一运维、统一管理；改造工程应当同步配套建设智能配电设施，并预留新能源车辆充电基础设施安装条件和接口。</w:t>
      </w:r>
    </w:p>
    <w:p w14:paraId="475F18BC">
      <w:pPr>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电力生产与运行</w:t>
      </w:r>
    </w:p>
    <w:p w14:paraId="39C6ED9F">
      <w:pPr>
        <w:ind w:firstLine="643"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eastAsia="zh-CN"/>
        </w:rPr>
        <w:t>第十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lang w:eastAsia="zh-CN"/>
        </w:rPr>
        <w:t>条【健全安全生产责任体系】</w:t>
      </w:r>
      <w:r>
        <w:rPr>
          <w:rFonts w:hint="eastAsia" w:ascii="仿宋" w:hAnsi="仿宋" w:eastAsia="仿宋" w:cs="仿宋"/>
          <w:b w:val="0"/>
          <w:bCs w:val="0"/>
          <w:color w:val="auto"/>
          <w:sz w:val="32"/>
          <w:szCs w:val="32"/>
          <w:lang w:eastAsia="zh-CN"/>
        </w:rPr>
        <w:t xml:space="preserve"> </w:t>
      </w:r>
      <w:r>
        <w:rPr>
          <w:rFonts w:hint="eastAsia" w:ascii="仿宋" w:hAnsi="仿宋" w:eastAsia="仿宋" w:cs="仿宋"/>
          <w:b w:val="0"/>
          <w:bCs w:val="0"/>
          <w:color w:val="auto"/>
          <w:sz w:val="32"/>
          <w:szCs w:val="32"/>
          <w:lang w:val="en-US" w:eastAsia="zh-CN"/>
        </w:rPr>
        <w:t>电力生产经营单位应当落实安全生产主体责任，履行下列安全生产义务：</w:t>
      </w:r>
    </w:p>
    <w:p w14:paraId="0C97AB63">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（一）建立健全安全风险分级管控和隐患排查治理双重</w:t>
      </w:r>
    </w:p>
    <w:p w14:paraId="7E928AA4">
      <w:p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预防机制，定期开展风险辨识评估和隐患排查治理，及时消除安全隐患；</w:t>
      </w:r>
    </w:p>
    <w:p w14:paraId="014F74F4">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（二）加强重要电力设施安全保卫，完善网络与信息安全防护体系，防范网络攻击、数据泄露及人为破坏；</w:t>
      </w:r>
    </w:p>
    <w:p w14:paraId="6D01410C">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（三）推进电力系统数字化、智能化建设，运用大数据</w:t>
      </w:r>
    </w:p>
    <w:p w14:paraId="50A22ECB">
      <w:p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等技术提升运行监测和故障预警能力，保障电力生产全过程</w:t>
      </w:r>
    </w:p>
    <w:p w14:paraId="747DEC93">
      <w:p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安全可控；</w:t>
      </w:r>
    </w:p>
    <w:p w14:paraId="3DE02050">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（四）法律、法规规定的其他安全生产义务。</w:t>
      </w:r>
    </w:p>
    <w:p w14:paraId="410A689A">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十八</w:t>
      </w:r>
      <w:r>
        <w:rPr>
          <w:rFonts w:hint="eastAsia" w:ascii="仿宋" w:hAnsi="仿宋" w:eastAsia="仿宋" w:cs="仿宋"/>
          <w:b/>
          <w:bCs/>
          <w:color w:val="auto"/>
          <w:sz w:val="32"/>
          <w:szCs w:val="32"/>
        </w:rPr>
        <w:t>条【完善电力安全治理措施】</w:t>
      </w:r>
      <w:r>
        <w:rPr>
          <w:rFonts w:hint="eastAsia" w:ascii="仿宋" w:hAnsi="仿宋" w:eastAsia="仿宋" w:cs="仿宋"/>
          <w:b w:val="0"/>
          <w:bCs w:val="0"/>
          <w:color w:val="auto"/>
          <w:sz w:val="32"/>
          <w:szCs w:val="32"/>
          <w:lang w:val="en-US" w:eastAsia="zh-CN"/>
        </w:rPr>
        <w:t>电网运行实行统一调度、分级负责、协同高效机制，并网运行的电源、储能、微电网等主体应当服从电网调度机构的统一调度，严格执行调度指令，任何单位和个人不得非法干预电网调度。</w:t>
      </w:r>
    </w:p>
    <w:p w14:paraId="24FF8F31">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电力生产经营单位应当遵守国家有关法律、法规、国家强制标准、行业技术标准、电网调度管理规程、电气设备运行规程以及国家能源监管部门要求，共同维护电力系统安全稳定运行。</w:t>
      </w:r>
    </w:p>
    <w:p w14:paraId="4BE878E6">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第十九条【建立双重预防机制】</w:t>
      </w:r>
      <w:r>
        <w:rPr>
          <w:rFonts w:hint="eastAsia" w:ascii="仿宋" w:hAnsi="仿宋" w:eastAsia="仿宋" w:cs="仿宋"/>
          <w:b w:val="0"/>
          <w:bCs w:val="0"/>
          <w:color w:val="auto"/>
          <w:sz w:val="32"/>
          <w:szCs w:val="32"/>
          <w:lang w:val="en-US" w:eastAsia="zh-CN"/>
        </w:rPr>
        <w:t>市、县（市）区工业和信息化部门应当建立健全适用于新型电力系统的安全风险识别、评估、定级、监视和控制全过程管控机制，将分布式新能源、储能、微电网、虚拟电厂等新型并网主体纳入风险管控范畴，明确各方风险管控责任。</w:t>
      </w:r>
    </w:p>
    <w:p w14:paraId="625770D3">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工业和信息化部门应当会同发展改革、应急管理、公安等相关部门，指导电力生产经营单位、重要电力用户强化电力安全隐患排查治理，建立健全覆盖规划设计、建设施工、验收投运、设备运维等各环节的电力重大事故隐患数据库，严格落实重大事故隐患挂牌督办机制，确保重大隐患动态清零。</w:t>
      </w:r>
    </w:p>
    <w:p w14:paraId="1D5392C7">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二十</w:t>
      </w:r>
      <w:r>
        <w:rPr>
          <w:rFonts w:hint="eastAsia" w:ascii="仿宋" w:hAnsi="仿宋" w:eastAsia="仿宋" w:cs="仿宋"/>
          <w:b/>
          <w:bCs/>
          <w:color w:val="auto"/>
          <w:sz w:val="32"/>
          <w:szCs w:val="32"/>
        </w:rPr>
        <w:t>条【源网荷储协同运行】</w:t>
      </w:r>
      <w:r>
        <w:rPr>
          <w:rFonts w:hint="eastAsia" w:ascii="仿宋" w:hAnsi="仿宋" w:eastAsia="仿宋" w:cs="仿宋"/>
          <w:color w:val="auto"/>
          <w:sz w:val="32"/>
          <w:szCs w:val="32"/>
        </w:rPr>
        <w:t>鼓励可再生能源电力生产企业</w:t>
      </w:r>
      <w:r>
        <w:rPr>
          <w:rFonts w:hint="eastAsia" w:ascii="仿宋" w:hAnsi="仿宋" w:eastAsia="仿宋" w:cs="仿宋"/>
          <w:color w:val="auto"/>
          <w:sz w:val="32"/>
          <w:szCs w:val="32"/>
          <w:lang w:val="en-US" w:eastAsia="zh-CN"/>
        </w:rPr>
        <w:t>通过</w:t>
      </w:r>
      <w:r>
        <w:rPr>
          <w:rFonts w:hint="eastAsia" w:ascii="仿宋" w:hAnsi="仿宋" w:eastAsia="仿宋" w:cs="仿宋"/>
          <w:color w:val="auto"/>
          <w:sz w:val="32"/>
          <w:szCs w:val="32"/>
        </w:rPr>
        <w:t>自建、租赁、购买</w:t>
      </w:r>
      <w:r>
        <w:rPr>
          <w:rFonts w:hint="eastAsia" w:ascii="仿宋" w:hAnsi="仿宋" w:eastAsia="仿宋" w:cs="仿宋"/>
          <w:color w:val="auto"/>
          <w:sz w:val="32"/>
          <w:szCs w:val="32"/>
          <w:lang w:val="en-US" w:eastAsia="zh-CN"/>
        </w:rPr>
        <w:t>相结合的方式配置储能设施，新建风电、光伏项目应当按照指标批复要求配置储能，</w:t>
      </w:r>
      <w:r>
        <w:rPr>
          <w:rFonts w:hint="eastAsia" w:ascii="仿宋" w:hAnsi="仿宋" w:eastAsia="仿宋" w:cs="仿宋"/>
          <w:color w:val="auto"/>
          <w:sz w:val="32"/>
          <w:szCs w:val="32"/>
        </w:rPr>
        <w:t>储能项目应当与新能源项目同步规划、同步建设、同步投运。</w:t>
      </w:r>
    </w:p>
    <w:p w14:paraId="40ED2C15">
      <w:pPr>
        <w:ind w:firstLine="640" w:firstLineChars="200"/>
        <w:rPr>
          <w:rFonts w:hint="eastAsia" w:ascii="仿宋" w:hAnsi="仿宋" w:eastAsia="仿宋" w:cs="仿宋"/>
          <w:b w:val="0"/>
          <w:bCs w:val="0"/>
          <w:color w:val="auto"/>
          <w:sz w:val="32"/>
          <w:szCs w:val="32"/>
          <w:lang w:val="en-US" w:eastAsia="zh-CN"/>
        </w:rPr>
      </w:pPr>
      <w:r>
        <w:rPr>
          <w:rFonts w:hint="default" w:ascii="仿宋" w:hAnsi="仿宋" w:eastAsia="仿宋" w:cs="仿宋"/>
          <w:color w:val="auto"/>
          <w:sz w:val="32"/>
          <w:szCs w:val="32"/>
          <w:lang w:val="en-US" w:eastAsia="zh-CN"/>
        </w:rPr>
        <w:t>支持通过多能互补、智能微电网（源网荷储一体化）等技术提升新能源并网灵活性；鼓励虚拟电厂聚合分布式新能源、储能、可调节负荷等资源，参与电力现货、辅助服务市场，获取调峰、调频收益。</w:t>
      </w:r>
    </w:p>
    <w:p w14:paraId="68A96A40">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四</w:t>
      </w:r>
      <w:r>
        <w:rPr>
          <w:rFonts w:hint="eastAsia" w:ascii="黑体" w:hAnsi="黑体" w:eastAsia="黑体" w:cs="黑体"/>
          <w:b/>
          <w:bCs/>
          <w:color w:val="auto"/>
          <w:sz w:val="32"/>
          <w:szCs w:val="32"/>
        </w:rPr>
        <w:t>章 电力供应与使用</w:t>
      </w:r>
    </w:p>
    <w:p w14:paraId="6652FCCA">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二十一</w:t>
      </w:r>
      <w:r>
        <w:rPr>
          <w:rFonts w:hint="eastAsia" w:ascii="仿宋" w:hAnsi="仿宋" w:eastAsia="仿宋" w:cs="仿宋"/>
          <w:b/>
          <w:bCs/>
          <w:color w:val="auto"/>
          <w:sz w:val="32"/>
          <w:szCs w:val="32"/>
        </w:rPr>
        <w:t>条【普遍服务</w:t>
      </w:r>
      <w:r>
        <w:rPr>
          <w:rFonts w:hint="eastAsia" w:ascii="仿宋" w:hAnsi="仿宋" w:eastAsia="仿宋" w:cs="仿宋"/>
          <w:b/>
          <w:bCs/>
          <w:color w:val="auto"/>
          <w:sz w:val="32"/>
          <w:szCs w:val="32"/>
          <w:lang w:val="en-US" w:eastAsia="zh-CN"/>
        </w:rPr>
        <w:t>义务</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 xml:space="preserve"> 电力生产经营单位</w:t>
      </w:r>
      <w:r>
        <w:rPr>
          <w:rFonts w:hint="eastAsia" w:ascii="仿宋" w:hAnsi="仿宋" w:eastAsia="仿宋" w:cs="仿宋"/>
          <w:color w:val="auto"/>
          <w:sz w:val="32"/>
          <w:szCs w:val="32"/>
        </w:rPr>
        <w:t>应当履行普遍服务义务，平等保障各类</w:t>
      </w:r>
      <w:r>
        <w:rPr>
          <w:rFonts w:hint="eastAsia" w:ascii="仿宋" w:hAnsi="仿宋" w:eastAsia="仿宋" w:cs="仿宋"/>
          <w:color w:val="auto"/>
          <w:sz w:val="32"/>
          <w:szCs w:val="32"/>
          <w:lang w:val="en-US" w:eastAsia="zh-CN"/>
        </w:rPr>
        <w:t>电力用户</w:t>
      </w:r>
      <w:r>
        <w:rPr>
          <w:rFonts w:hint="eastAsia" w:ascii="仿宋" w:hAnsi="仿宋" w:eastAsia="仿宋" w:cs="仿宋"/>
          <w:color w:val="auto"/>
          <w:sz w:val="32"/>
          <w:szCs w:val="32"/>
        </w:rPr>
        <w:t>的用电权益，不得无正当理由拒绝供电或</w:t>
      </w:r>
      <w:r>
        <w:rPr>
          <w:rFonts w:hint="eastAsia" w:ascii="仿宋" w:hAnsi="仿宋" w:eastAsia="仿宋" w:cs="仿宋"/>
          <w:color w:val="auto"/>
          <w:sz w:val="32"/>
          <w:szCs w:val="32"/>
          <w:lang w:val="en-US" w:eastAsia="zh-CN"/>
        </w:rPr>
        <w:t>者停止</w:t>
      </w:r>
      <w:r>
        <w:rPr>
          <w:rFonts w:hint="eastAsia" w:ascii="仿宋" w:hAnsi="仿宋" w:eastAsia="仿宋" w:cs="仿宋"/>
          <w:color w:val="auto"/>
          <w:sz w:val="32"/>
          <w:szCs w:val="32"/>
        </w:rPr>
        <w:t>供电；因供电设施检修、依法限电、</w:t>
      </w:r>
      <w:r>
        <w:rPr>
          <w:rFonts w:hint="eastAsia" w:ascii="仿宋" w:hAnsi="仿宋" w:eastAsia="仿宋" w:cs="仿宋"/>
          <w:color w:val="auto"/>
          <w:sz w:val="32"/>
          <w:szCs w:val="32"/>
          <w:lang w:val="en-US" w:eastAsia="zh-CN"/>
        </w:rPr>
        <w:t>电力</w:t>
      </w:r>
      <w:r>
        <w:rPr>
          <w:rFonts w:hint="eastAsia" w:ascii="仿宋" w:hAnsi="仿宋" w:eastAsia="仿宋" w:cs="仿宋"/>
          <w:color w:val="auto"/>
          <w:sz w:val="32"/>
          <w:szCs w:val="32"/>
        </w:rPr>
        <w:t>用户违法用电或</w:t>
      </w:r>
      <w:r>
        <w:rPr>
          <w:rFonts w:hint="eastAsia" w:ascii="仿宋" w:hAnsi="仿宋" w:eastAsia="仿宋" w:cs="仿宋"/>
          <w:color w:val="auto"/>
          <w:sz w:val="32"/>
          <w:szCs w:val="32"/>
          <w:lang w:val="en-US" w:eastAsia="zh-CN"/>
        </w:rPr>
        <w:t>者</w:t>
      </w:r>
      <w:r>
        <w:rPr>
          <w:rFonts w:hint="eastAsia" w:ascii="仿宋" w:hAnsi="仿宋" w:eastAsia="仿宋" w:cs="仿宋"/>
          <w:color w:val="auto"/>
          <w:sz w:val="32"/>
          <w:szCs w:val="32"/>
        </w:rPr>
        <w:t>欠费等法定情形需</w:t>
      </w:r>
      <w:r>
        <w:rPr>
          <w:rFonts w:hint="eastAsia" w:ascii="仿宋" w:hAnsi="仿宋" w:eastAsia="仿宋" w:cs="仿宋"/>
          <w:color w:val="auto"/>
          <w:sz w:val="32"/>
          <w:szCs w:val="32"/>
          <w:lang w:val="en-US" w:eastAsia="zh-CN"/>
        </w:rPr>
        <w:t>停止</w:t>
      </w:r>
      <w:r>
        <w:rPr>
          <w:rFonts w:hint="eastAsia" w:ascii="仿宋" w:hAnsi="仿宋" w:eastAsia="仿宋" w:cs="仿宋"/>
          <w:color w:val="auto"/>
          <w:sz w:val="32"/>
          <w:szCs w:val="32"/>
        </w:rPr>
        <w:t>供电的，应当提前书面通知</w:t>
      </w:r>
      <w:r>
        <w:rPr>
          <w:rFonts w:hint="eastAsia" w:ascii="仿宋" w:hAnsi="仿宋" w:eastAsia="仿宋" w:cs="仿宋"/>
          <w:color w:val="auto"/>
          <w:sz w:val="32"/>
          <w:szCs w:val="32"/>
          <w:lang w:val="en-US" w:eastAsia="zh-CN"/>
        </w:rPr>
        <w:t>电力</w:t>
      </w:r>
      <w:r>
        <w:rPr>
          <w:rFonts w:hint="eastAsia" w:ascii="仿宋" w:hAnsi="仿宋" w:eastAsia="仿宋" w:cs="仿宋"/>
          <w:color w:val="auto"/>
          <w:sz w:val="32"/>
          <w:szCs w:val="32"/>
        </w:rPr>
        <w:t>用户。</w:t>
      </w:r>
    </w:p>
    <w:p w14:paraId="18627176">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受委托转供电单位、物业</w:t>
      </w:r>
      <w:r>
        <w:rPr>
          <w:rFonts w:hint="eastAsia" w:ascii="仿宋" w:hAnsi="仿宋" w:eastAsia="仿宋" w:cs="仿宋"/>
          <w:color w:val="auto"/>
          <w:sz w:val="32"/>
          <w:szCs w:val="32"/>
          <w:lang w:eastAsia="zh-CN"/>
        </w:rPr>
        <w:t>服务企业</w:t>
      </w:r>
      <w:r>
        <w:rPr>
          <w:rFonts w:hint="eastAsia" w:ascii="仿宋" w:hAnsi="仿宋" w:eastAsia="仿宋" w:cs="仿宋"/>
          <w:color w:val="auto"/>
          <w:sz w:val="32"/>
          <w:szCs w:val="32"/>
        </w:rPr>
        <w:t>和其他代收电费单位不得</w:t>
      </w:r>
      <w:r>
        <w:rPr>
          <w:rFonts w:hint="eastAsia" w:ascii="仿宋" w:hAnsi="仿宋" w:eastAsia="仿宋" w:cs="仿宋"/>
          <w:color w:val="auto"/>
          <w:sz w:val="32"/>
          <w:szCs w:val="32"/>
          <w:lang w:eastAsia="zh-CN"/>
        </w:rPr>
        <w:t>对电力用户</w:t>
      </w:r>
      <w:r>
        <w:rPr>
          <w:rFonts w:hint="eastAsia" w:ascii="仿宋" w:hAnsi="仿宋" w:eastAsia="仿宋" w:cs="仿宋"/>
          <w:color w:val="auto"/>
          <w:sz w:val="32"/>
          <w:szCs w:val="32"/>
          <w:lang w:val="en-US" w:eastAsia="zh-CN"/>
        </w:rPr>
        <w:t>停止</w:t>
      </w:r>
      <w:r>
        <w:rPr>
          <w:rFonts w:hint="eastAsia" w:ascii="仿宋" w:hAnsi="仿宋" w:eastAsia="仿宋" w:cs="仿宋"/>
          <w:color w:val="auto"/>
          <w:sz w:val="32"/>
          <w:szCs w:val="32"/>
        </w:rPr>
        <w:t>供电</w:t>
      </w:r>
      <w:r>
        <w:rPr>
          <w:rFonts w:hint="eastAsia" w:ascii="仿宋" w:hAnsi="仿宋" w:eastAsia="仿宋" w:cs="仿宋"/>
          <w:color w:val="auto"/>
          <w:sz w:val="32"/>
          <w:szCs w:val="32"/>
          <w:lang w:eastAsia="zh-CN"/>
        </w:rPr>
        <w:t>，不得在电费中加收其他费用或者在国家规定之外设定其他附加条件。</w:t>
      </w:r>
    </w:p>
    <w:p w14:paraId="6A629D7B">
      <w:p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条【用电检查与隐患整改】</w:t>
      </w:r>
      <w:r>
        <w:rPr>
          <w:rFonts w:hint="eastAsia" w:ascii="仿宋" w:hAnsi="仿宋" w:eastAsia="仿宋" w:cs="仿宋"/>
          <w:color w:val="auto"/>
          <w:sz w:val="32"/>
          <w:szCs w:val="32"/>
          <w:lang w:val="en-US" w:eastAsia="zh-CN"/>
        </w:rPr>
        <w:t xml:space="preserve"> 电力生产经营单位在用电检查中发现安全隐患、违约用电或者窃电行为的，应当填写用电检查结果通知书，明确整改要求，送达电力用户。电力用户拒绝签收的，可以采取邮寄、公告等方式送达。</w:t>
      </w:r>
    </w:p>
    <w:p w14:paraId="4795B28B">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电力用户应当配合电力生产经营单位的用电检查，对发现的安全隐患及时整改。拒不配合检查或者拒不整改的，电力生产经营单位应当报告工业与信息化部门，依法督促整改，确保电网和人身安全。</w:t>
      </w:r>
    </w:p>
    <w:p w14:paraId="455B41D1">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w:t>
      </w:r>
      <w:r>
        <w:rPr>
          <w:rFonts w:hint="eastAsia" w:ascii="仿宋" w:hAnsi="仿宋" w:eastAsia="仿宋" w:cs="仿宋"/>
          <w:color w:val="auto"/>
          <w:sz w:val="32"/>
          <w:szCs w:val="32"/>
        </w:rPr>
        <w:t>重要电力用户每半年检查1次，临时性重要电力用户根据需要适时开展用电检查服务，普通电力用户加强用电安全宣传，根据需要</w:t>
      </w:r>
      <w:r>
        <w:rPr>
          <w:rFonts w:hint="eastAsia" w:ascii="仿宋" w:hAnsi="仿宋" w:eastAsia="仿宋" w:cs="仿宋"/>
          <w:color w:val="auto"/>
          <w:sz w:val="32"/>
          <w:szCs w:val="32"/>
          <w:lang w:val="en-US" w:eastAsia="zh-CN"/>
        </w:rPr>
        <w:t>不定期</w:t>
      </w:r>
      <w:r>
        <w:rPr>
          <w:rFonts w:hint="eastAsia" w:ascii="仿宋" w:hAnsi="仿宋" w:eastAsia="仿宋" w:cs="仿宋"/>
          <w:color w:val="auto"/>
          <w:sz w:val="32"/>
          <w:szCs w:val="32"/>
        </w:rPr>
        <w:t>开展用电检查服务。</w:t>
      </w:r>
    </w:p>
    <w:p w14:paraId="29267E8E">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用电生产经营单位</w:t>
      </w:r>
      <w:r>
        <w:rPr>
          <w:rFonts w:hint="eastAsia" w:ascii="仿宋" w:hAnsi="仿宋" w:eastAsia="仿宋" w:cs="仿宋"/>
          <w:b/>
          <w:bCs/>
          <w:color w:val="auto"/>
          <w:sz w:val="32"/>
          <w:szCs w:val="32"/>
        </w:rPr>
        <w:t>安全用电义务】</w:t>
      </w:r>
      <w:r>
        <w:rPr>
          <w:rFonts w:hint="eastAsia" w:ascii="仿宋" w:hAnsi="仿宋" w:eastAsia="仿宋" w:cs="仿宋"/>
          <w:b w:val="0"/>
          <w:bCs w:val="0"/>
          <w:color w:val="auto"/>
          <w:sz w:val="32"/>
          <w:szCs w:val="32"/>
          <w:lang w:val="en-US" w:eastAsia="zh-CN"/>
        </w:rPr>
        <w:t>用电生产经营单位应当履行下列通用安全用电义务：</w:t>
      </w:r>
    </w:p>
    <w:p w14:paraId="63E8AB8B">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（一）执行国家及电力行业的法律法规、政策、技术规程、技术规范、行业管理标准以及有关安全用电规定；</w:t>
      </w:r>
    </w:p>
    <w:p w14:paraId="53513ECC">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（二）接受有关部门的监督管理，配合电网经营企业依法开展安全用电检查、隐患排查整改等工作；</w:t>
      </w:r>
    </w:p>
    <w:p w14:paraId="1FFE0276">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（三）对电能质量有特殊要求的，应当自行采取相应防护措施解决；</w:t>
      </w:r>
    </w:p>
    <w:p w14:paraId="2B6F2C50">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（四）建立健全安全用电管理制度、操作规范，编制电力安全事故应急预案，制定并落实安全用电应急处置措施，协助做好涉电事故的调查处理工作；</w:t>
      </w:r>
    </w:p>
    <w:p w14:paraId="22D8DDD7">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（五）定期对受电装置、电气设备和保护装置进行检查、检修和试验，及时消除安全隐患，预防电气设备事故和误动作发生；</w:t>
      </w:r>
    </w:p>
    <w:p w14:paraId="07446EDD">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（六）规范设置受电装置标识，在电气设备、作业区域设置明显的安全警示标识；</w:t>
      </w:r>
    </w:p>
    <w:p w14:paraId="4E9BACED">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（七）保障安全用电所需的资金投入，严格落实有关部门和电网经营企业提出的安全用电整改要求，对因安全用电资金投入不足导致的后果承担相应责任；</w:t>
      </w:r>
    </w:p>
    <w:p w14:paraId="0D27B238">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（八）法律、法规规定的其他安全用电义务。</w:t>
      </w:r>
    </w:p>
    <w:p w14:paraId="0A2F0864">
      <w:p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eastAsia="zh-CN"/>
        </w:rPr>
        <w:t>用户</w:t>
      </w:r>
      <w:r>
        <w:rPr>
          <w:rFonts w:hint="eastAsia" w:ascii="仿宋" w:hAnsi="仿宋" w:eastAsia="仿宋" w:cs="仿宋"/>
          <w:b/>
          <w:bCs/>
          <w:color w:val="auto"/>
          <w:sz w:val="32"/>
          <w:szCs w:val="32"/>
        </w:rPr>
        <w:t>交付电费义务和逾期交付</w:t>
      </w:r>
      <w:r>
        <w:rPr>
          <w:rFonts w:hint="eastAsia" w:ascii="仿宋" w:hAnsi="仿宋" w:eastAsia="仿宋" w:cs="仿宋"/>
          <w:b/>
          <w:bCs/>
          <w:color w:val="auto"/>
          <w:sz w:val="32"/>
          <w:szCs w:val="32"/>
          <w:lang w:eastAsia="zh-CN"/>
        </w:rPr>
        <w:t>责任</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电力生产经营单位应当按照国家核准的电价和用电计量装置的记录，向电力用户计收电费，电力用户应当按照国家有关规定和用电合同的约定及时支付电费。</w:t>
      </w:r>
    </w:p>
    <w:p w14:paraId="35BB675F">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val="en-US" w:eastAsia="zh-CN"/>
        </w:rPr>
        <w:t>欠费电力用户经催告超过三十日不支付电费和违约金的，电力生产经营单位可以按照法定程序停止供电，根据情况将交费方式调整为预付费方式，并依法实施失信惩戒。</w:t>
      </w:r>
    </w:p>
    <w:p w14:paraId="182836C3">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条【住宅小区供配电设施建设与交付】</w:t>
      </w:r>
      <w:r>
        <w:rPr>
          <w:rFonts w:hint="eastAsia" w:ascii="仿宋" w:hAnsi="仿宋" w:eastAsia="仿宋" w:cs="仿宋"/>
          <w:b w:val="0"/>
          <w:bCs w:val="0"/>
          <w:color w:val="auto"/>
          <w:sz w:val="32"/>
          <w:szCs w:val="32"/>
          <w:lang w:val="en-US" w:eastAsia="zh-CN"/>
        </w:rPr>
        <w:t xml:space="preserve">住宅小区供配电设施应当与建设项目同步规划、同步建设、同步验收、同步交付使用，建设标准应当符合国家和行业规范。  </w:t>
      </w:r>
    </w:p>
    <w:p w14:paraId="040E4CBD">
      <w:pPr>
        <w:numPr>
          <w:ilvl w:val="0"/>
          <w:numId w:val="0"/>
        </w:num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住宅小区实现正式供电是验收交房的必要条件，未按标准建设供配电设施或未达到供电要求的，住房和城乡建设部门不予办理交付备案，建设单位不得组织竣工验收，不得向业主交房。</w:t>
      </w:r>
    </w:p>
    <w:p w14:paraId="4E359280">
      <w:pPr>
        <w:numPr>
          <w:ilvl w:val="0"/>
          <w:numId w:val="0"/>
        </w:num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电力生产经营单位</w:t>
      </w:r>
      <w:r>
        <w:rPr>
          <w:rFonts w:hint="eastAsia" w:ascii="仿宋" w:hAnsi="仿宋" w:eastAsia="仿宋" w:cs="仿宋"/>
          <w:b w:val="0"/>
          <w:bCs w:val="0"/>
          <w:color w:val="auto"/>
          <w:sz w:val="32"/>
          <w:szCs w:val="32"/>
          <w:lang w:val="en-US" w:eastAsia="zh-CN"/>
        </w:rPr>
        <w:t>应当全过程参与供配电设施验收，隐蔽工程覆盖前，建设单位应当提前五日书面通知</w:t>
      </w:r>
      <w:r>
        <w:rPr>
          <w:rFonts w:hint="eastAsia" w:ascii="仿宋" w:hAnsi="仿宋" w:eastAsia="仿宋" w:cs="仿宋"/>
          <w:color w:val="auto"/>
          <w:sz w:val="32"/>
          <w:szCs w:val="32"/>
          <w:lang w:val="en-US" w:eastAsia="zh-CN"/>
        </w:rPr>
        <w:t>电力生产经营单位</w:t>
      </w:r>
      <w:r>
        <w:rPr>
          <w:rFonts w:hint="eastAsia" w:ascii="仿宋" w:hAnsi="仿宋" w:eastAsia="仿宋" w:cs="仿宋"/>
          <w:b w:val="0"/>
          <w:bCs w:val="0"/>
          <w:color w:val="auto"/>
          <w:sz w:val="32"/>
          <w:szCs w:val="32"/>
          <w:lang w:val="en-US" w:eastAsia="zh-CN"/>
        </w:rPr>
        <w:t>参与专项验收；整体竣工验收阶段，</w:t>
      </w:r>
      <w:r>
        <w:rPr>
          <w:rFonts w:hint="eastAsia" w:ascii="仿宋" w:hAnsi="仿宋" w:eastAsia="仿宋" w:cs="仿宋"/>
          <w:color w:val="auto"/>
          <w:sz w:val="32"/>
          <w:szCs w:val="32"/>
          <w:lang w:val="en-US" w:eastAsia="zh-CN"/>
        </w:rPr>
        <w:t>电力生产经营单位应当</w:t>
      </w:r>
      <w:r>
        <w:rPr>
          <w:rFonts w:hint="eastAsia" w:ascii="仿宋" w:hAnsi="仿宋" w:eastAsia="仿宋" w:cs="仿宋"/>
          <w:b w:val="0"/>
          <w:bCs w:val="0"/>
          <w:color w:val="auto"/>
          <w:sz w:val="32"/>
          <w:szCs w:val="32"/>
          <w:lang w:val="en-US" w:eastAsia="zh-CN"/>
        </w:rPr>
        <w:t>参与核查，确保质量隐患闭环整改。</w:t>
      </w:r>
    </w:p>
    <w:p w14:paraId="4221D78D">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条【充电服务收费】</w:t>
      </w:r>
      <w:r>
        <w:rPr>
          <w:rFonts w:hint="eastAsia" w:ascii="仿宋" w:hAnsi="仿宋" w:eastAsia="仿宋" w:cs="仿宋"/>
          <w:color w:val="auto"/>
          <w:sz w:val="32"/>
          <w:szCs w:val="32"/>
        </w:rPr>
        <w:t>电动汽车、电动自行车充电服务费实行市场调节价，由经营主体按照公平合法、诚实信用、质价相符的原则，结合服务成本、市场供求与竞争状况等因素自主确定。</w:t>
      </w:r>
    </w:p>
    <w:p w14:paraId="584CBE0C">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充电运营企业应当严格执行价费分离、明码标价规定，在充电场所显著位置公示充电电费、服务费标准及计价方式，不得擅自提高收费标准、加收未标明的费用。</w:t>
      </w:r>
    </w:p>
    <w:p w14:paraId="7B34331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鼓励小区产权单位、业主委员会、物业服务企业降低充电设施场地租赁费用和收入分成比例，推动充电服务费合理下调。</w:t>
      </w:r>
    </w:p>
    <w:p w14:paraId="6C7F5A39">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五</w:t>
      </w:r>
      <w:r>
        <w:rPr>
          <w:rFonts w:hint="eastAsia" w:ascii="黑体" w:hAnsi="黑体" w:eastAsia="黑体" w:cs="黑体"/>
          <w:b/>
          <w:bCs/>
          <w:color w:val="auto"/>
          <w:sz w:val="32"/>
          <w:szCs w:val="32"/>
        </w:rPr>
        <w:t>章 电力设施保护</w:t>
      </w:r>
    </w:p>
    <w:p w14:paraId="346E3CC1">
      <w:pPr>
        <w:ind w:firstLine="643" w:firstLineChars="200"/>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val="en-US" w:eastAsia="zh-CN"/>
        </w:rPr>
        <w:t>第二十七条【电力执法联动机制】</w:t>
      </w:r>
      <w:r>
        <w:rPr>
          <w:rFonts w:hint="eastAsia" w:ascii="仿宋" w:hAnsi="仿宋" w:eastAsia="仿宋" w:cs="仿宋"/>
          <w:b w:val="0"/>
          <w:bCs w:val="0"/>
          <w:color w:val="auto"/>
          <w:sz w:val="32"/>
          <w:szCs w:val="32"/>
        </w:rPr>
        <w:t>市、县（市）区</w:t>
      </w:r>
      <w:r>
        <w:rPr>
          <w:rFonts w:hint="eastAsia" w:ascii="仿宋" w:hAnsi="仿宋" w:eastAsia="仿宋" w:cs="仿宋"/>
          <w:b w:val="0"/>
          <w:bCs w:val="0"/>
          <w:color w:val="auto"/>
          <w:sz w:val="32"/>
          <w:szCs w:val="32"/>
          <w:lang w:val="en-US" w:eastAsia="zh-CN"/>
        </w:rPr>
        <w:t>人民政府</w:t>
      </w:r>
      <w:r>
        <w:rPr>
          <w:rFonts w:hint="eastAsia" w:ascii="仿宋" w:hAnsi="仿宋" w:eastAsia="仿宋" w:cs="仿宋"/>
          <w:b w:val="0"/>
          <w:bCs w:val="0"/>
          <w:color w:val="auto"/>
          <w:sz w:val="32"/>
          <w:szCs w:val="32"/>
        </w:rPr>
        <w:t>应当建立健全以</w:t>
      </w:r>
      <w:r>
        <w:rPr>
          <w:rFonts w:hint="eastAsia" w:ascii="仿宋" w:hAnsi="仿宋" w:eastAsia="仿宋" w:cs="仿宋"/>
          <w:b w:val="0"/>
          <w:bCs w:val="0"/>
          <w:color w:val="auto"/>
          <w:sz w:val="32"/>
          <w:szCs w:val="32"/>
          <w:lang w:val="en-US" w:eastAsia="zh-CN"/>
        </w:rPr>
        <w:t>工业和信息化</w:t>
      </w:r>
      <w:r>
        <w:rPr>
          <w:rFonts w:hint="eastAsia" w:ascii="仿宋" w:hAnsi="仿宋" w:eastAsia="仿宋" w:cs="仿宋"/>
          <w:b w:val="0"/>
          <w:bCs w:val="0"/>
          <w:color w:val="auto"/>
          <w:sz w:val="32"/>
          <w:szCs w:val="32"/>
        </w:rPr>
        <w:t>为主、</w:t>
      </w:r>
      <w:r>
        <w:rPr>
          <w:rFonts w:hint="eastAsia" w:ascii="仿宋" w:hAnsi="仿宋" w:eastAsia="仿宋" w:cs="仿宋"/>
          <w:b w:val="0"/>
          <w:bCs w:val="0"/>
          <w:color w:val="auto"/>
          <w:sz w:val="32"/>
          <w:szCs w:val="32"/>
          <w:lang w:val="en-US" w:eastAsia="zh-CN"/>
        </w:rPr>
        <w:t>电力生产经营单位</w:t>
      </w:r>
      <w:r>
        <w:rPr>
          <w:rFonts w:hint="eastAsia" w:ascii="仿宋" w:hAnsi="仿宋" w:eastAsia="仿宋" w:cs="仿宋"/>
          <w:b w:val="0"/>
          <w:bCs w:val="0"/>
          <w:color w:val="auto"/>
          <w:sz w:val="32"/>
          <w:szCs w:val="32"/>
        </w:rPr>
        <w:t>提供</w:t>
      </w:r>
      <w:r>
        <w:rPr>
          <w:rFonts w:hint="eastAsia" w:ascii="仿宋" w:hAnsi="仿宋" w:eastAsia="仿宋" w:cs="仿宋"/>
          <w:b w:val="0"/>
          <w:bCs w:val="0"/>
          <w:color w:val="auto"/>
          <w:sz w:val="32"/>
          <w:szCs w:val="32"/>
          <w:lang w:val="en-US" w:eastAsia="zh-CN"/>
        </w:rPr>
        <w:t>辅助</w:t>
      </w:r>
      <w:r>
        <w:rPr>
          <w:rFonts w:hint="eastAsia" w:ascii="仿宋" w:hAnsi="仿宋" w:eastAsia="仿宋" w:cs="仿宋"/>
          <w:b w:val="0"/>
          <w:bCs w:val="0"/>
          <w:color w:val="auto"/>
          <w:sz w:val="32"/>
          <w:szCs w:val="32"/>
        </w:rPr>
        <w:t>支持的电力行政执法</w:t>
      </w:r>
      <w:r>
        <w:rPr>
          <w:rFonts w:hint="eastAsia" w:ascii="仿宋" w:hAnsi="仿宋" w:eastAsia="仿宋" w:cs="仿宋"/>
          <w:b w:val="0"/>
          <w:bCs w:val="0"/>
          <w:color w:val="auto"/>
          <w:sz w:val="32"/>
          <w:szCs w:val="32"/>
          <w:lang w:val="en-US" w:eastAsia="zh-CN"/>
        </w:rPr>
        <w:t>联动</w:t>
      </w:r>
      <w:r>
        <w:rPr>
          <w:rFonts w:hint="eastAsia" w:ascii="仿宋" w:hAnsi="仿宋" w:eastAsia="仿宋" w:cs="仿宋"/>
          <w:b w:val="0"/>
          <w:bCs w:val="0"/>
          <w:color w:val="auto"/>
          <w:sz w:val="32"/>
          <w:szCs w:val="32"/>
        </w:rPr>
        <w:t>机制，统筹公安、应急管理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消防救援</w:t>
      </w:r>
      <w:r>
        <w:rPr>
          <w:rFonts w:hint="eastAsia" w:ascii="仿宋" w:hAnsi="仿宋" w:eastAsia="仿宋" w:cs="仿宋"/>
          <w:b w:val="0"/>
          <w:bCs w:val="0"/>
          <w:color w:val="auto"/>
          <w:sz w:val="32"/>
          <w:szCs w:val="32"/>
        </w:rPr>
        <w:t>等部门，联合开展电力行政执法工作。</w:t>
      </w:r>
    </w:p>
    <w:p w14:paraId="0BD738D6">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电力生产经营单位可以</w:t>
      </w:r>
      <w:r>
        <w:rPr>
          <w:rFonts w:hint="eastAsia" w:ascii="仿宋" w:hAnsi="仿宋" w:eastAsia="仿宋" w:cs="仿宋"/>
          <w:b w:val="0"/>
          <w:bCs w:val="0"/>
          <w:color w:val="auto"/>
          <w:sz w:val="32"/>
          <w:szCs w:val="32"/>
        </w:rPr>
        <w:t>组建由专业技术人员组成的辅助专门</w:t>
      </w:r>
      <w:r>
        <w:rPr>
          <w:rFonts w:hint="eastAsia" w:ascii="仿宋" w:hAnsi="仿宋" w:eastAsia="仿宋" w:cs="仿宋"/>
          <w:b w:val="0"/>
          <w:bCs w:val="0"/>
          <w:color w:val="auto"/>
          <w:sz w:val="32"/>
          <w:szCs w:val="32"/>
          <w:lang w:val="en-US" w:eastAsia="zh-CN"/>
        </w:rPr>
        <w:t>机构</w:t>
      </w:r>
      <w:r>
        <w:rPr>
          <w:rFonts w:hint="eastAsia" w:ascii="仿宋" w:hAnsi="仿宋" w:eastAsia="仿宋" w:cs="仿宋"/>
          <w:b w:val="0"/>
          <w:bCs w:val="0"/>
          <w:color w:val="auto"/>
          <w:sz w:val="32"/>
          <w:szCs w:val="32"/>
        </w:rPr>
        <w:t>，主动发现并提供有效线索，为执法工作提供电力技术支持、历史执法经验借鉴、现场勘查检测、证据收集等辅助服务，配合查处涉电违法行为、维护供用电秩序和电力设施安全。</w:t>
      </w:r>
    </w:p>
    <w:p w14:paraId="75DF192A">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条【电力设施保护标志与安全警示标志】</w:t>
      </w:r>
      <w:r>
        <w:rPr>
          <w:rFonts w:hint="eastAsia" w:ascii="仿宋" w:hAnsi="仿宋" w:eastAsia="仿宋" w:cs="仿宋"/>
          <w:color w:val="auto"/>
          <w:sz w:val="32"/>
          <w:szCs w:val="32"/>
        </w:rPr>
        <w:t>电力设施产权人应当在下列区域设置明显的电力设施保护标志和安全警示标志： </w:t>
      </w:r>
    </w:p>
    <w:p w14:paraId="6930284B">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（一）林区、人口密集地段、人员活动频繁地区的电力设施保护区边界；</w:t>
      </w:r>
    </w:p>
    <w:p w14:paraId="785C7FDE">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（二）电力线路穿越国道、省道、铁路、航道、桥梁等重要区段；</w:t>
      </w:r>
    </w:p>
    <w:p w14:paraId="64335AFF">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（三）变配电站、开关站、电缆终端站等设施的围墙或者围栏周边；</w:t>
      </w:r>
    </w:p>
    <w:p w14:paraId="0BABEEBA">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（四）地下电缆、水底电缆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绿电直连专用线路铺设区域；</w:t>
      </w:r>
    </w:p>
    <w:p w14:paraId="747408EB">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（五）法律、法规规定的其他应当设置标志的地点。</w:t>
      </w:r>
    </w:p>
    <w:p w14:paraId="5217F30C">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任何单位和个人不得损坏、涂改、遮挡、擅自移动电力设施保护标志和安全警示标志。</w:t>
      </w:r>
    </w:p>
    <w:p w14:paraId="65DD0B1B">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二十九</w:t>
      </w:r>
      <w:r>
        <w:rPr>
          <w:rFonts w:hint="eastAsia" w:ascii="仿宋" w:hAnsi="仿宋" w:eastAsia="仿宋" w:cs="仿宋"/>
          <w:b/>
          <w:bCs/>
          <w:color w:val="auto"/>
          <w:sz w:val="32"/>
          <w:szCs w:val="32"/>
        </w:rPr>
        <w:t>条【电力设施保护区内施工作业管理】</w:t>
      </w:r>
      <w:r>
        <w:rPr>
          <w:rFonts w:hint="eastAsia" w:ascii="仿宋" w:hAnsi="仿宋" w:eastAsia="仿宋" w:cs="仿宋"/>
          <w:color w:val="auto"/>
          <w:sz w:val="32"/>
          <w:szCs w:val="32"/>
        </w:rPr>
        <w:t>在电力设施保护区内进行打桩、钻探、开挖、爆破等施工作业的，施工单位应当提前十个工作日书面征得电力设施产权人同意，落实安全防护措施，报</w:t>
      </w:r>
      <w:r>
        <w:rPr>
          <w:rFonts w:hint="eastAsia" w:ascii="仿宋" w:hAnsi="仿宋" w:eastAsia="仿宋" w:cs="仿宋"/>
          <w:color w:val="auto"/>
          <w:sz w:val="32"/>
          <w:szCs w:val="32"/>
          <w:lang w:val="en-US" w:eastAsia="zh-CN"/>
        </w:rPr>
        <w:t>电力管理</w:t>
      </w:r>
      <w:r>
        <w:rPr>
          <w:rFonts w:hint="eastAsia" w:ascii="仿宋" w:hAnsi="仿宋" w:eastAsia="仿宋" w:cs="仿宋"/>
          <w:color w:val="auto"/>
          <w:sz w:val="32"/>
          <w:szCs w:val="32"/>
        </w:rPr>
        <w:t>部门批准后方可施工。</w:t>
      </w:r>
    </w:p>
    <w:p w14:paraId="272DCBFB">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施工作业可能危及电力设施安全的，电力设施产权人有权现场监督，发现安全隐患有权要求施工单位停止作业、限期整改；施工单位拒不整改的，电力设施产权人可以报请</w:t>
      </w:r>
      <w:r>
        <w:rPr>
          <w:rFonts w:hint="eastAsia" w:ascii="仿宋" w:hAnsi="仿宋" w:eastAsia="仿宋" w:cs="仿宋"/>
          <w:color w:val="auto"/>
          <w:sz w:val="32"/>
          <w:szCs w:val="32"/>
          <w:lang w:val="en-US" w:eastAsia="zh-CN"/>
        </w:rPr>
        <w:t>电力管理</w:t>
      </w:r>
      <w:r>
        <w:rPr>
          <w:rFonts w:hint="eastAsia" w:ascii="仿宋" w:hAnsi="仿宋" w:eastAsia="仿宋" w:cs="仿宋"/>
          <w:color w:val="auto"/>
          <w:sz w:val="32"/>
          <w:szCs w:val="32"/>
        </w:rPr>
        <w:t>部门同意后中止供电。</w:t>
      </w:r>
    </w:p>
    <w:p w14:paraId="0416AB16">
      <w:pPr>
        <w:ind w:firstLine="643" w:firstLineChars="200"/>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三十</w:t>
      </w:r>
      <w:r>
        <w:rPr>
          <w:rFonts w:hint="eastAsia" w:ascii="仿宋" w:hAnsi="仿宋" w:eastAsia="仿宋" w:cs="仿宋"/>
          <w:b/>
          <w:bCs/>
          <w:color w:val="auto"/>
          <w:sz w:val="32"/>
          <w:szCs w:val="32"/>
        </w:rPr>
        <w:t>条【禁止</w:t>
      </w:r>
      <w:r>
        <w:rPr>
          <w:rFonts w:hint="eastAsia" w:ascii="仿宋" w:hAnsi="仿宋" w:eastAsia="仿宋" w:cs="仿宋"/>
          <w:b/>
          <w:bCs/>
          <w:color w:val="auto"/>
          <w:sz w:val="32"/>
          <w:szCs w:val="32"/>
          <w:lang w:eastAsia="zh-CN"/>
        </w:rPr>
        <w:t>危害电力设施的行为</w:t>
      </w:r>
      <w:r>
        <w:rPr>
          <w:rFonts w:hint="eastAsia" w:ascii="仿宋" w:hAnsi="仿宋" w:eastAsia="仿宋" w:cs="仿宋"/>
          <w:b/>
          <w:bCs/>
          <w:color w:val="auto"/>
          <w:sz w:val="32"/>
          <w:szCs w:val="32"/>
        </w:rPr>
        <w:t>】</w:t>
      </w:r>
      <w:r>
        <w:rPr>
          <w:rFonts w:hint="eastAsia" w:ascii="仿宋" w:hAnsi="仿宋" w:eastAsia="仿宋" w:cs="仿宋"/>
          <w:b w:val="0"/>
          <w:bCs w:val="0"/>
          <w:color w:val="auto"/>
          <w:sz w:val="32"/>
          <w:szCs w:val="32"/>
        </w:rPr>
        <w:t>任何单位和个人不得实施下列危害电力设施的行为：</w:t>
      </w:r>
    </w:p>
    <w:p w14:paraId="239A6EEF">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（一）在发电厂、变电站围墙外缘三百米范围内放风筝或者其他空中漂移物；</w:t>
      </w:r>
    </w:p>
    <w:p w14:paraId="4929B067">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（二）在电力设施巡视检修专用通道内堆放杂物、停放车辆，或者在电缆竖井、电缆沟道中堆放易燃易爆物、倾倒垃圾；</w:t>
      </w:r>
    </w:p>
    <w:p w14:paraId="1D372AA8">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（三）围建、侵占线路杆塔、环网柜、配电站（所）等电力设施；</w:t>
      </w:r>
    </w:p>
    <w:p w14:paraId="584C0FA3">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（四）阻塞或者损坏变电站、配电室防汛排涝设施；</w:t>
      </w:r>
    </w:p>
    <w:p w14:paraId="5D30EC04">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（五）损坏、擅自移动用电信息采集与控制装置、在线监测装置；</w:t>
      </w:r>
    </w:p>
    <w:p w14:paraId="478784DD">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（六）在电力设施保护区内燃放烟花爆竹；</w:t>
      </w:r>
    </w:p>
    <w:p w14:paraId="686C146C">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（七）在架空电力线路保护区内垂钓或者组织、经营垂钓活动；</w:t>
      </w:r>
    </w:p>
    <w:p w14:paraId="11445546">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（八）在电力设施周围五百米范围内设置未采取加固措施的废品收购站、塑料大棚、彩钢房以及遮阳网、塑料薄膜等轻质物体；</w:t>
      </w:r>
    </w:p>
    <w:p w14:paraId="7BCD8B4C">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（九）未经航空管理部门许可</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工业和信息化</w:t>
      </w:r>
      <w:r>
        <w:rPr>
          <w:rFonts w:hint="eastAsia" w:ascii="仿宋" w:hAnsi="仿宋" w:eastAsia="仿宋" w:cs="仿宋"/>
          <w:b w:val="0"/>
          <w:bCs w:val="0"/>
          <w:color w:val="auto"/>
          <w:sz w:val="32"/>
          <w:szCs w:val="32"/>
        </w:rPr>
        <w:t>部门</w:t>
      </w:r>
      <w:r>
        <w:rPr>
          <w:rFonts w:hint="eastAsia" w:ascii="仿宋" w:hAnsi="仿宋" w:eastAsia="仿宋" w:cs="仿宋"/>
          <w:b w:val="0"/>
          <w:bCs w:val="0"/>
          <w:color w:val="auto"/>
          <w:sz w:val="32"/>
          <w:szCs w:val="32"/>
          <w:lang w:val="en-US" w:eastAsia="zh-CN"/>
        </w:rPr>
        <w:t>审批</w:t>
      </w:r>
      <w:r>
        <w:rPr>
          <w:rFonts w:hint="eastAsia" w:ascii="仿宋" w:hAnsi="仿宋" w:eastAsia="仿宋" w:cs="仿宋"/>
          <w:b w:val="0"/>
          <w:bCs w:val="0"/>
          <w:color w:val="auto"/>
          <w:sz w:val="32"/>
          <w:szCs w:val="32"/>
        </w:rPr>
        <w:t>，在发电厂、变电站上空和架空电力线路保护区内开展航空器飞行活动；</w:t>
      </w:r>
    </w:p>
    <w:p w14:paraId="4F660122">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（十）法律、法规禁止的其他危害电力设施的行为。</w:t>
      </w:r>
    </w:p>
    <w:p w14:paraId="7C8BB798">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用电设施产生谐波、无功、冲击负荷影响供电质量或者干扰电网安全运行的，产权人或者管理人应当采取有效措施予以消除；超过国家标准危及电网安全的，</w:t>
      </w:r>
      <w:r>
        <w:rPr>
          <w:rFonts w:hint="eastAsia" w:ascii="仿宋" w:hAnsi="仿宋" w:eastAsia="仿宋" w:cs="仿宋"/>
          <w:b w:val="0"/>
          <w:bCs w:val="0"/>
          <w:color w:val="auto"/>
          <w:sz w:val="32"/>
          <w:szCs w:val="32"/>
          <w:lang w:val="en-US" w:eastAsia="zh-CN"/>
        </w:rPr>
        <w:t>电力生产经营单位</w:t>
      </w:r>
      <w:r>
        <w:rPr>
          <w:rFonts w:hint="eastAsia" w:ascii="仿宋" w:hAnsi="仿宋" w:eastAsia="仿宋" w:cs="仿宋"/>
          <w:b w:val="0"/>
          <w:bCs w:val="0"/>
          <w:color w:val="auto"/>
          <w:sz w:val="32"/>
          <w:szCs w:val="32"/>
        </w:rPr>
        <w:t>可以拒绝其接入电网或者</w:t>
      </w:r>
      <w:r>
        <w:rPr>
          <w:rFonts w:hint="eastAsia" w:ascii="仿宋" w:hAnsi="仿宋" w:eastAsia="仿宋" w:cs="仿宋"/>
          <w:b w:val="0"/>
          <w:bCs w:val="0"/>
          <w:color w:val="auto"/>
          <w:sz w:val="32"/>
          <w:szCs w:val="32"/>
          <w:lang w:eastAsia="zh-CN"/>
        </w:rPr>
        <w:t>依法</w:t>
      </w:r>
      <w:r>
        <w:rPr>
          <w:rFonts w:hint="eastAsia" w:ascii="仿宋" w:hAnsi="仿宋" w:eastAsia="仿宋" w:cs="仿宋"/>
          <w:b w:val="0"/>
          <w:bCs w:val="0"/>
          <w:color w:val="auto"/>
          <w:sz w:val="32"/>
          <w:szCs w:val="32"/>
        </w:rPr>
        <w:t>中止供电。</w:t>
      </w:r>
    </w:p>
    <w:p w14:paraId="6D46AA22">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三十一</w:t>
      </w:r>
      <w:r>
        <w:rPr>
          <w:rFonts w:hint="eastAsia" w:ascii="仿宋" w:hAnsi="仿宋" w:eastAsia="仿宋" w:cs="仿宋"/>
          <w:b/>
          <w:bCs/>
          <w:color w:val="auto"/>
          <w:sz w:val="32"/>
          <w:szCs w:val="32"/>
        </w:rPr>
        <w:t>条【电力设施</w:t>
      </w:r>
      <w:r>
        <w:rPr>
          <w:rFonts w:hint="eastAsia" w:ascii="仿宋" w:hAnsi="仿宋" w:eastAsia="仿宋" w:cs="仿宋"/>
          <w:b/>
          <w:bCs/>
          <w:color w:val="auto"/>
          <w:sz w:val="32"/>
          <w:szCs w:val="32"/>
          <w:lang w:eastAsia="zh-CN"/>
        </w:rPr>
        <w:t>保护</w:t>
      </w:r>
      <w:r>
        <w:rPr>
          <w:rFonts w:hint="eastAsia" w:ascii="仿宋" w:hAnsi="仿宋" w:eastAsia="仿宋" w:cs="仿宋"/>
          <w:b/>
          <w:bCs/>
          <w:color w:val="auto"/>
          <w:sz w:val="32"/>
          <w:szCs w:val="32"/>
        </w:rPr>
        <w:t>冲突处理】</w:t>
      </w:r>
      <w:r>
        <w:rPr>
          <w:rFonts w:hint="eastAsia" w:ascii="仿宋" w:hAnsi="仿宋" w:eastAsia="仿宋" w:cs="仿宋"/>
          <w:color w:val="auto"/>
          <w:sz w:val="32"/>
          <w:szCs w:val="32"/>
        </w:rPr>
        <w:t>电力线路保护区内不得种植可能危及电力设施安全的树木等高杆植物。树木与电力设施的安全距离应当符合国家规定标准。</w:t>
      </w:r>
    </w:p>
    <w:p w14:paraId="6A2643FF">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电力设施产权人发现树木危及电力设施安全的，应当通知产权人或者管理人在三日内修剪；逾期未修剪或者拒不修剪的，电力设施产权人可以进行</w:t>
      </w:r>
      <w:r>
        <w:rPr>
          <w:rFonts w:hint="eastAsia" w:ascii="仿宋" w:hAnsi="仿宋" w:eastAsia="仿宋" w:cs="仿宋"/>
          <w:color w:val="auto"/>
          <w:sz w:val="32"/>
          <w:szCs w:val="32"/>
          <w:lang w:val="en-US" w:eastAsia="zh-CN"/>
        </w:rPr>
        <w:t>先行</w:t>
      </w:r>
      <w:r>
        <w:rPr>
          <w:rFonts w:hint="eastAsia" w:ascii="仿宋" w:hAnsi="仿宋" w:eastAsia="仿宋" w:cs="仿宋"/>
          <w:color w:val="auto"/>
          <w:sz w:val="32"/>
          <w:szCs w:val="32"/>
        </w:rPr>
        <w:t>修剪，所需费用由树木产权人或者管理人承担。</w:t>
      </w:r>
    </w:p>
    <w:p w14:paraId="688CCE4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紧急情况下，为保障电力设施安全和供电畅通，电力设施产权人可以先行修剪、砍伐树木，事后应当及时通知产权人或者管理人，并向</w:t>
      </w:r>
      <w:r>
        <w:rPr>
          <w:rFonts w:hint="eastAsia" w:ascii="仿宋" w:hAnsi="仿宋" w:eastAsia="仿宋" w:cs="仿宋"/>
          <w:color w:val="auto"/>
          <w:sz w:val="32"/>
          <w:szCs w:val="32"/>
          <w:lang w:val="en-US" w:eastAsia="zh-CN"/>
        </w:rPr>
        <w:t>相关行政主管部门</w:t>
      </w:r>
      <w:r>
        <w:rPr>
          <w:rFonts w:hint="eastAsia" w:ascii="仿宋" w:hAnsi="仿宋" w:eastAsia="仿宋" w:cs="仿宋"/>
          <w:color w:val="auto"/>
          <w:sz w:val="32"/>
          <w:szCs w:val="32"/>
        </w:rPr>
        <w:t>报告，按照规定补办相关手续。</w:t>
      </w:r>
    </w:p>
    <w:p w14:paraId="7950EC84">
      <w:pPr>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条【电力线路保护区内妨碍物处置】</w:t>
      </w:r>
      <w:r>
        <w:rPr>
          <w:rFonts w:hint="eastAsia" w:ascii="仿宋" w:hAnsi="仿宋" w:eastAsia="仿宋" w:cs="仿宋"/>
          <w:color w:val="auto"/>
          <w:sz w:val="32"/>
          <w:szCs w:val="32"/>
          <w:lang w:eastAsia="zh-CN"/>
        </w:rPr>
        <w:t>在电力线路保护区内堆放物品，或者在电力设施上擅自搭装广告招牌、通信线路、广播线路等物件及其他遮蔽物、障碍物，危及电力设施安全的，电力设施产权人应当向相关产权人、管理人送达书面通知，要求其在三日内自行排除妨碍；相关产权人、管理人逾期未排除或者拒不排除，情况紧迫且不能及时获得相关执法部门保护</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，电力设施产权人可以采取自力救济措施予以清除，并立即向</w:t>
      </w:r>
      <w:r>
        <w:rPr>
          <w:rFonts w:hint="eastAsia" w:ascii="仿宋" w:hAnsi="仿宋" w:eastAsia="仿宋" w:cs="仿宋"/>
          <w:color w:val="auto"/>
          <w:sz w:val="32"/>
          <w:szCs w:val="32"/>
          <w:lang w:val="en-US" w:eastAsia="zh-CN"/>
        </w:rPr>
        <w:t>相关行政主管部门</w:t>
      </w:r>
      <w:r>
        <w:rPr>
          <w:rFonts w:hint="eastAsia" w:ascii="仿宋" w:hAnsi="仿宋" w:eastAsia="仿宋" w:cs="仿宋"/>
          <w:color w:val="auto"/>
          <w:sz w:val="32"/>
          <w:szCs w:val="32"/>
          <w:lang w:eastAsia="zh-CN"/>
        </w:rPr>
        <w:t>报告，提交现场情况说明及证据材料。</w:t>
      </w:r>
    </w:p>
    <w:p w14:paraId="53F74CDA">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因妨碍物规模较大、结构复杂或者存在重大安全风险，无法通过自力救济措施清除的，电力设施产权人应当在发现妨碍后立即向</w:t>
      </w:r>
      <w:r>
        <w:rPr>
          <w:rFonts w:hint="eastAsia" w:ascii="仿宋" w:hAnsi="仿宋" w:eastAsia="仿宋" w:cs="仿宋"/>
          <w:color w:val="auto"/>
          <w:sz w:val="32"/>
          <w:szCs w:val="32"/>
          <w:lang w:val="en-US" w:eastAsia="zh-CN"/>
        </w:rPr>
        <w:t>相关行政主管部门</w:t>
      </w:r>
      <w:r>
        <w:rPr>
          <w:rFonts w:hint="eastAsia" w:ascii="仿宋" w:hAnsi="仿宋" w:eastAsia="仿宋" w:cs="仿宋"/>
          <w:color w:val="auto"/>
          <w:sz w:val="32"/>
          <w:szCs w:val="32"/>
          <w:lang w:eastAsia="zh-CN"/>
        </w:rPr>
        <w:t>报告，由执法部门现场处置，依法组织强制清除。</w:t>
      </w:r>
    </w:p>
    <w:p w14:paraId="3E56A786">
      <w:pPr>
        <w:ind w:firstLine="643" w:firstLineChars="200"/>
        <w:rPr>
          <w:rFonts w:hint="eastAsia" w:eastAsiaTheme="minorEastAsia"/>
          <w:color w:val="auto"/>
          <w:lang w:eastAsia="zh-CN"/>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eastAsia="zh-CN"/>
        </w:rPr>
        <w:t>出售</w:t>
      </w:r>
      <w:r>
        <w:rPr>
          <w:rFonts w:hint="eastAsia" w:ascii="仿宋" w:hAnsi="仿宋" w:eastAsia="仿宋" w:cs="仿宋"/>
          <w:b/>
          <w:bCs/>
          <w:color w:val="auto"/>
          <w:sz w:val="32"/>
          <w:szCs w:val="32"/>
        </w:rPr>
        <w:t>废旧电力设施</w:t>
      </w:r>
      <w:r>
        <w:rPr>
          <w:rFonts w:hint="eastAsia" w:ascii="仿宋" w:hAnsi="仿宋" w:eastAsia="仿宋" w:cs="仿宋"/>
          <w:b/>
          <w:bCs/>
          <w:color w:val="auto"/>
          <w:sz w:val="32"/>
          <w:szCs w:val="32"/>
          <w:lang w:eastAsia="zh-CN"/>
        </w:rPr>
        <w:t>实名制管理</w:t>
      </w:r>
      <w:r>
        <w:rPr>
          <w:rFonts w:hint="eastAsia" w:ascii="仿宋" w:hAnsi="仿宋" w:eastAsia="仿宋" w:cs="仿宋"/>
          <w:b/>
          <w:bCs/>
          <w:color w:val="auto"/>
          <w:sz w:val="32"/>
          <w:szCs w:val="32"/>
        </w:rPr>
        <w:t>】</w:t>
      </w:r>
      <w:r>
        <w:rPr>
          <w:rFonts w:hint="eastAsia" w:ascii="仿宋" w:hAnsi="仿宋" w:eastAsia="仿宋" w:cs="仿宋"/>
          <w:b w:val="0"/>
          <w:bCs w:val="0"/>
          <w:color w:val="auto"/>
          <w:sz w:val="32"/>
          <w:szCs w:val="32"/>
        </w:rPr>
        <w:t>未经批准</w:t>
      </w:r>
      <w:r>
        <w:rPr>
          <w:rFonts w:hint="eastAsia" w:ascii="仿宋" w:hAnsi="仿宋" w:eastAsia="仿宋" w:cs="仿宋"/>
          <w:b w:val="0"/>
          <w:bCs w:val="0"/>
          <w:color w:val="auto"/>
          <w:sz w:val="32"/>
          <w:szCs w:val="32"/>
          <w:lang w:val="en-US" w:eastAsia="zh-CN"/>
        </w:rPr>
        <w:t>和备案</w:t>
      </w:r>
      <w:r>
        <w:rPr>
          <w:rFonts w:hint="eastAsia" w:ascii="仿宋" w:hAnsi="仿宋" w:eastAsia="仿宋" w:cs="仿宋"/>
          <w:b w:val="0"/>
          <w:bCs w:val="0"/>
          <w:color w:val="auto"/>
          <w:sz w:val="32"/>
          <w:szCs w:val="32"/>
        </w:rPr>
        <w:t>，任何单位和个人不得收购电力设施器材。</w:t>
      </w:r>
    </w:p>
    <w:p w14:paraId="5595452B">
      <w:pPr>
        <w:ind w:firstLine="640" w:firstLineChars="200"/>
        <w:rPr>
          <w:rFonts w:hint="eastAsia" w:eastAsiaTheme="minorEastAsia"/>
          <w:color w:val="auto"/>
          <w:lang w:eastAsia="zh-CN"/>
        </w:rPr>
      </w:pPr>
      <w:r>
        <w:rPr>
          <w:rFonts w:hint="eastAsia" w:ascii="仿宋" w:hAnsi="仿宋" w:eastAsia="仿宋" w:cs="仿宋"/>
          <w:color w:val="auto"/>
          <w:sz w:val="32"/>
          <w:szCs w:val="32"/>
          <w:lang w:eastAsia="zh-CN"/>
        </w:rPr>
        <w:t>再生资源回收经营者收购废旧电力设施器材，应查验出售方相关证明材料，建立收购台账，如实</w:t>
      </w:r>
      <w:r>
        <w:rPr>
          <w:rFonts w:hint="eastAsia" w:ascii="仿宋" w:hAnsi="仿宋" w:eastAsia="仿宋" w:cs="仿宋"/>
          <w:color w:val="auto"/>
          <w:sz w:val="32"/>
          <w:szCs w:val="32"/>
          <w:lang w:val="en-US" w:eastAsia="zh-CN"/>
        </w:rPr>
        <w:t xml:space="preserve">登记出售方单位名称、住所或姓名、身份证号、住址，以及废旧电力设施及器材的来源、规格、数量和去向等，登记资料保存二年。 </w:t>
      </w:r>
    </w:p>
    <w:p w14:paraId="6363C5A8">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六</w:t>
      </w:r>
      <w:r>
        <w:rPr>
          <w:rFonts w:hint="eastAsia" w:ascii="黑体" w:hAnsi="黑体" w:eastAsia="黑体" w:cs="黑体"/>
          <w:b/>
          <w:bCs/>
          <w:color w:val="auto"/>
          <w:sz w:val="32"/>
          <w:szCs w:val="32"/>
        </w:rPr>
        <w:t>章 应急处置措施</w:t>
      </w:r>
    </w:p>
    <w:p w14:paraId="26F639C6">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条【事故隐患排查治理制度】</w:t>
      </w:r>
      <w:r>
        <w:rPr>
          <w:rFonts w:hint="eastAsia" w:ascii="仿宋" w:hAnsi="仿宋" w:eastAsia="仿宋" w:cs="仿宋"/>
          <w:b w:val="0"/>
          <w:bCs w:val="0"/>
          <w:color w:val="auto"/>
          <w:sz w:val="32"/>
          <w:szCs w:val="32"/>
          <w:lang w:val="en-US" w:eastAsia="zh-CN"/>
        </w:rPr>
        <w:t>电力生产经营单位和重要电力用户应当建立健全电力设施事故隐患排查治理、建档监控及闭环管理制度，明确责任主体、工作流程和操作规范，落实事故隐患排查治理责任。</w:t>
      </w:r>
    </w:p>
    <w:p w14:paraId="2FB2D642">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在事故隐患治理过程中，应当采取相应的安全防范措施，防止隐患扩大引发电力安全事故</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lang w:val="en-US" w:eastAsia="zh-CN"/>
        </w:rPr>
        <w:t>工业与信息化部门</w:t>
      </w:r>
      <w:r>
        <w:rPr>
          <w:rFonts w:hint="eastAsia" w:ascii="仿宋" w:hAnsi="仿宋" w:eastAsia="仿宋" w:cs="仿宋"/>
          <w:b w:val="0"/>
          <w:bCs w:val="0"/>
          <w:color w:val="auto"/>
          <w:sz w:val="32"/>
          <w:szCs w:val="32"/>
        </w:rPr>
        <w:t>应当加强对事故隐患排查治理工作的监督检查，对未履行排查治理义务、逾期未整改或者整改不到位的，依法予以处理。</w:t>
      </w:r>
    </w:p>
    <w:p w14:paraId="3A26080D">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条【应急预案</w:t>
      </w:r>
      <w:r>
        <w:rPr>
          <w:rFonts w:hint="eastAsia" w:ascii="仿宋" w:hAnsi="仿宋" w:eastAsia="仿宋" w:cs="仿宋"/>
          <w:b/>
          <w:bCs/>
          <w:color w:val="auto"/>
          <w:sz w:val="32"/>
          <w:szCs w:val="32"/>
          <w:lang w:val="en-US" w:eastAsia="zh-CN"/>
        </w:rPr>
        <w:t>与演练</w:t>
      </w:r>
      <w:r>
        <w:rPr>
          <w:rFonts w:hint="eastAsia" w:ascii="仿宋" w:hAnsi="仿宋" w:eastAsia="仿宋" w:cs="仿宋"/>
          <w:b/>
          <w:bCs/>
          <w:color w:val="auto"/>
          <w:sz w:val="32"/>
          <w:szCs w:val="32"/>
        </w:rPr>
        <w:t>】</w:t>
      </w:r>
      <w:r>
        <w:rPr>
          <w:rFonts w:hint="eastAsia" w:ascii="仿宋" w:hAnsi="仿宋" w:eastAsia="仿宋" w:cs="仿宋"/>
          <w:b w:val="0"/>
          <w:bCs w:val="0"/>
          <w:color w:val="auto"/>
          <w:sz w:val="32"/>
          <w:szCs w:val="32"/>
          <w:lang w:val="en-US" w:eastAsia="zh-CN"/>
        </w:rPr>
        <w:t>市、县（市）区</w:t>
      </w:r>
      <w:r>
        <w:rPr>
          <w:rFonts w:hint="eastAsia" w:ascii="仿宋" w:hAnsi="仿宋" w:eastAsia="仿宋" w:cs="仿宋"/>
          <w:color w:val="auto"/>
          <w:sz w:val="32"/>
          <w:szCs w:val="32"/>
          <w:lang w:val="en-US" w:eastAsia="zh-CN"/>
        </w:rPr>
        <w:t>工业与信息化部门</w:t>
      </w:r>
      <w:r>
        <w:rPr>
          <w:rFonts w:hint="eastAsia" w:ascii="仿宋" w:hAnsi="仿宋" w:eastAsia="仿宋" w:cs="仿宋"/>
          <w:b w:val="0"/>
          <w:bCs w:val="0"/>
          <w:color w:val="auto"/>
          <w:sz w:val="32"/>
          <w:szCs w:val="32"/>
          <w:lang w:val="en-US" w:eastAsia="zh-CN"/>
        </w:rPr>
        <w:t>应当指导电力生产经营单位和重要电力用户及其他并入电网运行的主体，按照国家有关规定制定本单位电力安全事故应急预案，明确应急组织体系、处置流程、责任分工及保障措施。</w:t>
      </w:r>
    </w:p>
    <w:p w14:paraId="6DD20592">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工业与信息化部门</w:t>
      </w:r>
      <w:r>
        <w:rPr>
          <w:rFonts w:hint="eastAsia" w:ascii="仿宋" w:hAnsi="仿宋" w:eastAsia="仿宋" w:cs="仿宋"/>
          <w:b w:val="0"/>
          <w:bCs w:val="0"/>
          <w:color w:val="auto"/>
          <w:sz w:val="32"/>
          <w:szCs w:val="32"/>
          <w:lang w:val="en-US" w:eastAsia="zh-CN"/>
        </w:rPr>
        <w:t>当会同应急管理等部门每年至少组织一次跨部门、跨区域电力应急演练，电力生产经营企业每半年应当组织一次本单位专项应急演练，重要电力用户应当结合自身特点开展常态化应急演练，提升协同处置能力。</w:t>
      </w:r>
    </w:p>
    <w:p w14:paraId="2C95B323">
      <w:pPr>
        <w:ind w:firstLine="643" w:firstLineChars="200"/>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条【大面积停电应急处置职责】</w:t>
      </w:r>
      <w:r>
        <w:rPr>
          <w:rFonts w:hint="eastAsia" w:ascii="仿宋" w:hAnsi="仿宋" w:eastAsia="仿宋" w:cs="仿宋"/>
          <w:b w:val="0"/>
          <w:bCs w:val="0"/>
          <w:color w:val="auto"/>
          <w:sz w:val="32"/>
          <w:szCs w:val="32"/>
        </w:rPr>
        <w:t>发生大面积停电事故，县（</w:t>
      </w:r>
      <w:r>
        <w:rPr>
          <w:rFonts w:hint="eastAsia" w:ascii="仿宋" w:hAnsi="仿宋" w:eastAsia="仿宋" w:cs="仿宋"/>
          <w:b w:val="0"/>
          <w:bCs w:val="0"/>
          <w:color w:val="auto"/>
          <w:sz w:val="32"/>
          <w:szCs w:val="32"/>
          <w:lang w:val="en-US" w:eastAsia="zh-CN"/>
        </w:rPr>
        <w:t>市</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区</w:t>
      </w:r>
      <w:r>
        <w:rPr>
          <w:rFonts w:hint="eastAsia" w:ascii="仿宋" w:hAnsi="仿宋" w:eastAsia="仿宋" w:cs="仿宋"/>
          <w:b w:val="0"/>
          <w:bCs w:val="0"/>
          <w:color w:val="auto"/>
          <w:sz w:val="32"/>
          <w:szCs w:val="32"/>
        </w:rPr>
        <w:t>人民政府应及时排除因停电发生的各种险情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事故造成人员伤亡或者需要紧急转移、安置受困人员的，应当及时组织实施救治、转移、安置工作。</w:t>
      </w:r>
    </w:p>
    <w:p w14:paraId="7622FE4C">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通信部门应提供通信联络和传递支撑，交通运输部门应保障运输道路畅通，公安部门应保障电力应急救援车辆优先通行。</w:t>
      </w:r>
    </w:p>
    <w:p w14:paraId="72A03147">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第三十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条【电网风险信息发布与联动管控】</w:t>
      </w:r>
      <w:r>
        <w:rPr>
          <w:rFonts w:hint="eastAsia" w:ascii="仿宋" w:hAnsi="仿宋" w:eastAsia="仿宋" w:cs="仿宋"/>
          <w:color w:val="auto"/>
          <w:sz w:val="32"/>
          <w:szCs w:val="32"/>
          <w:lang w:val="en-US" w:eastAsia="zh-CN"/>
        </w:rPr>
        <w:t>工业与信息化部门</w:t>
      </w:r>
      <w:r>
        <w:rPr>
          <w:rFonts w:hint="eastAsia" w:ascii="仿宋" w:hAnsi="仿宋" w:eastAsia="仿宋" w:cs="仿宋"/>
          <w:b w:val="0"/>
          <w:bCs w:val="0"/>
          <w:color w:val="auto"/>
          <w:sz w:val="32"/>
          <w:szCs w:val="32"/>
          <w:lang w:val="en-US" w:eastAsia="zh-CN"/>
        </w:rPr>
        <w:t>应当根据电力生产经营单位报送的电网风险评估报告，对可能影响电网安全稳定运行或者造成供电影响的电网风险事件，及时通过官方网站、政务新媒体等法定渠道向社会发布风险信息，明确风险等级、影响范围、可能持续时间及安全用电提示。</w:t>
      </w:r>
    </w:p>
    <w:p w14:paraId="5DE0F59C">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工业与信息化部门</w:t>
      </w:r>
      <w:r>
        <w:rPr>
          <w:rFonts w:hint="eastAsia" w:ascii="仿宋" w:hAnsi="仿宋" w:eastAsia="仿宋" w:cs="仿宋"/>
          <w:b w:val="0"/>
          <w:bCs w:val="0"/>
          <w:color w:val="auto"/>
          <w:sz w:val="32"/>
          <w:szCs w:val="32"/>
          <w:lang w:val="en-US" w:eastAsia="zh-CN"/>
        </w:rPr>
        <w:t>应当组织电力生产经营单位、重要电力用户以及公安、应急管理、交通运输、通信等相关部门，建立健全电网风险联动管控机制，制定差异化风险处置方案，协同开展风险防控和应急处置工作。</w:t>
      </w:r>
    </w:p>
    <w:p w14:paraId="74FC724B">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三十八</w:t>
      </w:r>
      <w:r>
        <w:rPr>
          <w:rFonts w:hint="eastAsia" w:ascii="仿宋" w:hAnsi="仿宋" w:eastAsia="仿宋" w:cs="仿宋"/>
          <w:b/>
          <w:bCs/>
          <w:color w:val="auto"/>
          <w:sz w:val="32"/>
          <w:szCs w:val="32"/>
        </w:rPr>
        <w:t>条【电力生产经营单位</w:t>
      </w:r>
      <w:r>
        <w:rPr>
          <w:rFonts w:hint="eastAsia" w:ascii="仿宋" w:hAnsi="仿宋" w:eastAsia="仿宋" w:cs="仿宋"/>
          <w:b/>
          <w:bCs/>
          <w:color w:val="auto"/>
          <w:sz w:val="32"/>
          <w:szCs w:val="32"/>
          <w:lang w:val="en-US" w:eastAsia="zh-CN"/>
        </w:rPr>
        <w:t>与用户</w:t>
      </w:r>
      <w:r>
        <w:rPr>
          <w:rFonts w:hint="eastAsia" w:ascii="仿宋" w:hAnsi="仿宋" w:eastAsia="仿宋" w:cs="仿宋"/>
          <w:b/>
          <w:bCs/>
          <w:color w:val="auto"/>
          <w:sz w:val="32"/>
          <w:szCs w:val="32"/>
        </w:rPr>
        <w:t>应急保障义务】</w:t>
      </w:r>
      <w:r>
        <w:rPr>
          <w:rFonts w:hint="eastAsia" w:ascii="仿宋" w:hAnsi="仿宋" w:eastAsia="仿宋" w:cs="仿宋"/>
          <w:b w:val="0"/>
          <w:bCs w:val="0"/>
          <w:color w:val="auto"/>
          <w:sz w:val="32"/>
          <w:szCs w:val="32"/>
          <w:lang w:val="en-US" w:eastAsia="zh-CN"/>
        </w:rPr>
        <w:t>电力生产经营单位应当按照国家及行业相关标准，配备相应的应急抢修设备、物资及专业技术人员，建立健全24小时应急值班值守制度，明确值班职责与响应流程。接到电力故障报告后，应当在国家及行业规定的时限内赶赴现场，及时开展抢修处置，尽快恢复供电。</w:t>
      </w:r>
    </w:p>
    <w:p w14:paraId="37A9DF2C">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各电压等级专变用户、住宅小区物业服务人以及户外公共场所用电设施管理人应当建立安全用电管理制度和操作规程，配备具有资质的电工，确保具备应急处置能力。</w:t>
      </w:r>
    </w:p>
    <w:p w14:paraId="3D3CBD14">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重要电力用户，应当按照相关技术规范配备自备应急电源及应急设施，定期开展应急电源启动演练、应急设施自查维护，确保突发情况下能够满足基本用电需求，保障核心业务持续运行。</w:t>
      </w:r>
    </w:p>
    <w:p w14:paraId="52D2EF19">
      <w:pPr>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第七章 法律责任</w:t>
      </w:r>
    </w:p>
    <w:p w14:paraId="26017358">
      <w:pPr>
        <w:pStyle w:val="12"/>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line="560" w:lineRule="exact"/>
        <w:ind w:left="0" w:right="0" w:firstLine="643" w:firstLineChars="200"/>
        <w:jc w:val="left"/>
        <w:rPr>
          <w:rStyle w:val="13"/>
          <w:rFonts w:hint="eastAsia" w:ascii="仿宋_GB2312" w:hAnsi="仿宋_GB2312" w:eastAsia="仿宋_GB2312" w:cs="仿宋_GB2312"/>
          <w:b w:val="0"/>
          <w:bCs w:val="0"/>
          <w:color w:val="auto"/>
          <w:sz w:val="32"/>
          <w:szCs w:val="32"/>
          <w:highlight w:val="none"/>
        </w:rPr>
      </w:pPr>
      <w:r>
        <w:rPr>
          <w:rStyle w:val="13"/>
          <w:rFonts w:hint="eastAsia" w:ascii="仿宋_GB2312" w:hAnsi="仿宋_GB2312" w:eastAsia="仿宋_GB2312" w:cs="仿宋_GB2312"/>
          <w:b/>
          <w:bCs/>
          <w:color w:val="auto"/>
          <w:sz w:val="32"/>
          <w:szCs w:val="32"/>
          <w:highlight w:val="none"/>
          <w:lang w:val="en-US" w:eastAsia="zh-CN"/>
        </w:rPr>
        <w:t>第三十九</w:t>
      </w:r>
      <w:r>
        <w:rPr>
          <w:rStyle w:val="13"/>
          <w:rFonts w:hint="eastAsia" w:ascii="仿宋_GB2312" w:hAnsi="仿宋_GB2312" w:eastAsia="仿宋_GB2312" w:cs="仿宋_GB2312"/>
          <w:b/>
          <w:bCs/>
          <w:color w:val="auto"/>
          <w:sz w:val="32"/>
          <w:szCs w:val="32"/>
          <w:highlight w:val="none"/>
        </w:rPr>
        <w:t>条</w:t>
      </w:r>
      <w:bookmarkStart w:id="0" w:name="tiao_38_kuan_1"/>
      <w:bookmarkEnd w:id="0"/>
      <w:r>
        <w:rPr>
          <w:rStyle w:val="13"/>
          <w:rFonts w:hint="eastAsia" w:ascii="仿宋_GB2312" w:hAnsi="仿宋_GB2312" w:eastAsia="仿宋_GB2312" w:cs="仿宋_GB2312"/>
          <w:b/>
          <w:bCs/>
          <w:color w:val="auto"/>
          <w:sz w:val="32"/>
          <w:szCs w:val="32"/>
          <w:highlight w:val="none"/>
        </w:rPr>
        <w:t>【概括性法律责任】</w:t>
      </w:r>
      <w:r>
        <w:rPr>
          <w:rStyle w:val="13"/>
          <w:rFonts w:hint="eastAsia" w:ascii="仿宋_GB2312" w:hAnsi="仿宋_GB2312" w:eastAsia="仿宋_GB2312" w:cs="仿宋_GB2312"/>
          <w:b w:val="0"/>
          <w:bCs w:val="0"/>
          <w:color w:val="auto"/>
          <w:sz w:val="32"/>
          <w:szCs w:val="32"/>
          <w:highlight w:val="none"/>
        </w:rPr>
        <w:t>违反本条例规定的行为，法律、法规已有处罚规定的，依照其规定予以处罚。</w:t>
      </w:r>
      <w:bookmarkStart w:id="1" w:name="tiao_39"/>
      <w:bookmarkEnd w:id="1"/>
    </w:p>
    <w:p w14:paraId="395935DF">
      <w:pPr>
        <w:pStyle w:val="12"/>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line="560" w:lineRule="exact"/>
        <w:ind w:left="0" w:right="0" w:firstLine="643" w:firstLineChars="200"/>
        <w:jc w:val="left"/>
        <w:rPr>
          <w:rStyle w:val="13"/>
          <w:rFonts w:hint="eastAsia" w:ascii="仿宋_GB2312" w:hAnsi="仿宋_GB2312" w:eastAsia="仿宋_GB2312" w:cs="仿宋_GB2312"/>
          <w:b w:val="0"/>
          <w:bCs w:val="0"/>
          <w:color w:val="auto"/>
          <w:sz w:val="32"/>
          <w:szCs w:val="32"/>
          <w:highlight w:val="none"/>
          <w:lang w:val="en-US" w:eastAsia="zh-CN"/>
        </w:rPr>
      </w:pPr>
      <w:r>
        <w:rPr>
          <w:rStyle w:val="13"/>
          <w:rFonts w:hint="eastAsia" w:ascii="仿宋_GB2312" w:hAnsi="仿宋_GB2312" w:eastAsia="仿宋_GB2312" w:cs="仿宋_GB2312"/>
          <w:b/>
          <w:bCs/>
          <w:color w:val="auto"/>
          <w:sz w:val="32"/>
          <w:szCs w:val="32"/>
          <w:highlight w:val="none"/>
          <w:lang w:eastAsia="zh-CN"/>
        </w:rPr>
        <w:t>第</w:t>
      </w:r>
      <w:r>
        <w:rPr>
          <w:rStyle w:val="13"/>
          <w:rFonts w:hint="eastAsia" w:ascii="仿宋_GB2312" w:hAnsi="仿宋_GB2312" w:eastAsia="仿宋_GB2312" w:cs="仿宋_GB2312"/>
          <w:b/>
          <w:bCs/>
          <w:color w:val="auto"/>
          <w:sz w:val="32"/>
          <w:szCs w:val="32"/>
          <w:highlight w:val="none"/>
          <w:lang w:val="en-US" w:eastAsia="zh-CN"/>
        </w:rPr>
        <w:t>四十</w:t>
      </w:r>
      <w:r>
        <w:rPr>
          <w:rStyle w:val="13"/>
          <w:rFonts w:hint="eastAsia" w:ascii="仿宋_GB2312" w:hAnsi="仿宋_GB2312" w:eastAsia="仿宋_GB2312" w:cs="仿宋_GB2312"/>
          <w:b/>
          <w:bCs/>
          <w:color w:val="auto"/>
          <w:sz w:val="32"/>
          <w:szCs w:val="32"/>
          <w:highlight w:val="none"/>
          <w:lang w:eastAsia="zh-CN"/>
        </w:rPr>
        <w:t>条【电力运行事故责任】</w:t>
      </w:r>
      <w:r>
        <w:rPr>
          <w:rStyle w:val="13"/>
          <w:rFonts w:hint="eastAsia" w:ascii="仿宋_GB2312" w:hAnsi="仿宋_GB2312" w:eastAsia="仿宋_GB2312" w:cs="仿宋_GB2312"/>
          <w:b w:val="0"/>
          <w:bCs w:val="0"/>
          <w:color w:val="auto"/>
          <w:sz w:val="32"/>
          <w:szCs w:val="32"/>
          <w:highlight w:val="none"/>
          <w:lang w:val="en-US" w:eastAsia="zh-CN"/>
        </w:rPr>
        <w:t>电力运行事故造成损害的，依据过错归责原则划分责任：</w:t>
      </w:r>
    </w:p>
    <w:p w14:paraId="5B531BEC">
      <w:pPr>
        <w:pStyle w:val="12"/>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line="560" w:lineRule="exact"/>
        <w:ind w:left="0" w:right="0" w:firstLine="640" w:firstLineChars="200"/>
        <w:jc w:val="left"/>
        <w:rPr>
          <w:rStyle w:val="13"/>
          <w:rFonts w:hint="eastAsia" w:ascii="仿宋_GB2312" w:hAnsi="仿宋_GB2312" w:eastAsia="仿宋_GB2312" w:cs="仿宋_GB2312"/>
          <w:b w:val="0"/>
          <w:bCs w:val="0"/>
          <w:color w:val="auto"/>
          <w:sz w:val="32"/>
          <w:szCs w:val="32"/>
          <w:highlight w:val="none"/>
          <w:lang w:val="en-US" w:eastAsia="zh-CN"/>
        </w:rPr>
      </w:pPr>
      <w:r>
        <w:rPr>
          <w:rStyle w:val="13"/>
          <w:rFonts w:hint="eastAsia" w:ascii="仿宋_GB2312" w:hAnsi="仿宋_GB2312" w:eastAsia="仿宋_GB2312" w:cs="仿宋_GB2312"/>
          <w:b w:val="0"/>
          <w:bCs w:val="0"/>
          <w:color w:val="auto"/>
          <w:sz w:val="32"/>
          <w:szCs w:val="32"/>
          <w:highlight w:val="none"/>
          <w:lang w:val="en-US" w:eastAsia="zh-CN"/>
        </w:rPr>
        <w:t>（一）电力生产经营单位因未履行设施检修义务、违反供电标准、违规中止供电等自身责任导致事故，造成电力用户或者第三人人身、财产损害的，依法承担赔偿责任；</w:t>
      </w:r>
    </w:p>
    <w:p w14:paraId="2FC4E2B2">
      <w:pPr>
        <w:pStyle w:val="12"/>
        <w:keepNext w:val="0"/>
        <w:keepLines w:val="0"/>
        <w:pageBreakBefore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line="560" w:lineRule="exact"/>
        <w:ind w:left="0" w:right="0" w:firstLine="640" w:firstLineChars="200"/>
        <w:jc w:val="left"/>
        <w:rPr>
          <w:rStyle w:val="13"/>
          <w:rFonts w:hint="eastAsia" w:ascii="仿宋_GB2312" w:hAnsi="仿宋_GB2312" w:eastAsia="仿宋_GB2312" w:cs="仿宋_GB2312"/>
          <w:b w:val="0"/>
          <w:bCs w:val="0"/>
          <w:color w:val="auto"/>
          <w:sz w:val="32"/>
          <w:szCs w:val="32"/>
          <w:highlight w:val="none"/>
          <w:lang w:val="en-US" w:eastAsia="zh-CN"/>
        </w:rPr>
      </w:pPr>
      <w:r>
        <w:rPr>
          <w:rStyle w:val="13"/>
          <w:rFonts w:hint="eastAsia" w:ascii="仿宋_GB2312" w:hAnsi="仿宋_GB2312" w:eastAsia="仿宋_GB2312" w:cs="仿宋_GB2312"/>
          <w:b w:val="0"/>
          <w:bCs w:val="0"/>
          <w:color w:val="auto"/>
          <w:sz w:val="32"/>
          <w:szCs w:val="32"/>
          <w:highlight w:val="none"/>
          <w:lang w:val="en-US" w:eastAsia="zh-CN"/>
        </w:rPr>
        <w:t>（二）用户因违法用电、未整改安全隐患，或者第三人因破坏电力设施、非法干预电网运行等过错造成电力生产经营单位损失或者其他用户损害的，由过错方依法承担赔偿责任，构成犯罪的依法追究刑事责任。</w:t>
      </w:r>
    </w:p>
    <w:p w14:paraId="7D9CF27C">
      <w:pPr>
        <w:ind w:firstLine="643" w:firstLineChars="200"/>
        <w:rPr>
          <w:rFonts w:hint="eastAsia" w:ascii="仿宋_GB2312" w:hAnsi="仿宋_GB2312" w:eastAsia="仿宋_GB2312" w:cs="仿宋_GB2312"/>
          <w:color w:val="auto"/>
          <w:sz w:val="32"/>
          <w:szCs w:val="32"/>
          <w:highlight w:val="none"/>
          <w:vertAlign w:val="baseline"/>
        </w:rPr>
      </w:pPr>
      <w:r>
        <w:rPr>
          <w:rStyle w:val="13"/>
          <w:rFonts w:hint="eastAsia" w:ascii="仿宋_GB2312" w:hAnsi="仿宋_GB2312" w:eastAsia="仿宋_GB2312" w:cs="仿宋_GB2312"/>
          <w:b/>
          <w:bCs/>
          <w:color w:val="auto"/>
          <w:sz w:val="32"/>
          <w:szCs w:val="32"/>
          <w:highlight w:val="none"/>
        </w:rPr>
        <w:t>第</w:t>
      </w:r>
      <w:r>
        <w:rPr>
          <w:rStyle w:val="13"/>
          <w:rFonts w:hint="eastAsia" w:ascii="仿宋_GB2312" w:hAnsi="仿宋_GB2312" w:eastAsia="仿宋_GB2312" w:cs="仿宋_GB2312"/>
          <w:b/>
          <w:bCs/>
          <w:color w:val="auto"/>
          <w:sz w:val="32"/>
          <w:szCs w:val="32"/>
          <w:highlight w:val="none"/>
          <w:lang w:val="en-US" w:eastAsia="zh-CN"/>
        </w:rPr>
        <w:t>四十一</w:t>
      </w:r>
      <w:r>
        <w:rPr>
          <w:rStyle w:val="13"/>
          <w:rFonts w:hint="eastAsia" w:ascii="仿宋_GB2312" w:hAnsi="仿宋_GB2312" w:eastAsia="仿宋_GB2312" w:cs="仿宋_GB2312"/>
          <w:b/>
          <w:bCs/>
          <w:color w:val="auto"/>
          <w:sz w:val="32"/>
          <w:szCs w:val="32"/>
          <w:highlight w:val="none"/>
        </w:rPr>
        <w:t>条</w:t>
      </w:r>
      <w:bookmarkStart w:id="2" w:name="tiao_41_kuan_1"/>
      <w:bookmarkEnd w:id="2"/>
      <w:r>
        <w:rPr>
          <w:rFonts w:hint="eastAsia" w:ascii="仿宋" w:hAnsi="仿宋" w:eastAsia="仿宋" w:cs="仿宋"/>
          <w:b/>
          <w:bCs/>
          <w:color w:val="auto"/>
          <w:sz w:val="32"/>
          <w:szCs w:val="32"/>
        </w:rPr>
        <w:t>【公职人员违法责任】</w:t>
      </w:r>
      <w:r>
        <w:rPr>
          <w:rFonts w:hint="eastAsia" w:ascii="仿宋_GB2312" w:hAnsi="仿宋_GB2312" w:eastAsia="仿宋_GB2312" w:cs="仿宋_GB2312"/>
          <w:color w:val="auto"/>
          <w:sz w:val="32"/>
          <w:szCs w:val="32"/>
          <w:highlight w:val="none"/>
          <w:vertAlign w:val="baseline"/>
          <w:lang w:val="en-US" w:eastAsia="zh-CN"/>
        </w:rPr>
        <w:t>工业和信息化、发展改革</w:t>
      </w:r>
      <w:r>
        <w:rPr>
          <w:rFonts w:hint="eastAsia" w:ascii="仿宋_GB2312" w:hAnsi="仿宋_GB2312" w:eastAsia="仿宋_GB2312" w:cs="仿宋_GB2312"/>
          <w:color w:val="auto"/>
          <w:sz w:val="32"/>
          <w:szCs w:val="32"/>
          <w:highlight w:val="none"/>
          <w:vertAlign w:val="baseline"/>
        </w:rPr>
        <w:t>部门和其他有关部门及其工作人员违反本条例规定，由其所在单位或者上级主管部门对直接负责的主管人员和其他直接责任人员，依法给予行政处分；构成犯罪的，依法追究刑事责任。</w:t>
      </w:r>
    </w:p>
    <w:p w14:paraId="1310D94F">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八</w:t>
      </w:r>
      <w:r>
        <w:rPr>
          <w:rFonts w:hint="eastAsia" w:ascii="黑体" w:hAnsi="黑体" w:eastAsia="黑体" w:cs="黑体"/>
          <w:b/>
          <w:bCs/>
          <w:color w:val="auto"/>
          <w:sz w:val="32"/>
          <w:szCs w:val="32"/>
        </w:rPr>
        <w:t>章 附则</w:t>
      </w:r>
    </w:p>
    <w:p w14:paraId="7F54F296">
      <w:p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第四十二条【用语释义】</w:t>
      </w:r>
      <w:r>
        <w:rPr>
          <w:rFonts w:hint="eastAsia" w:ascii="仿宋" w:hAnsi="仿宋" w:eastAsia="仿宋" w:cs="仿宋"/>
          <w:b w:val="0"/>
          <w:bCs w:val="0"/>
          <w:color w:val="auto"/>
          <w:sz w:val="32"/>
          <w:szCs w:val="32"/>
          <w:lang w:val="en-US" w:eastAsia="zh-CN"/>
        </w:rPr>
        <w:t>本条例下列用语的含义：</w:t>
      </w:r>
    </w:p>
    <w:p w14:paraId="4565BA81">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（一）电力生产经营单位是指电力建设企业、电力生产企业、电网经营企业、充电运营企业、售电企业。</w:t>
      </w:r>
    </w:p>
    <w:p w14:paraId="76C19DC7">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（二）重要电力用户，是指中断供电将可能造成人身伤亡、较大环境污染、较大政治影响、较大经济损失、社会公共秩序严重混乱的用电单位或者对供电可靠性有特殊要求的用电场所。</w:t>
      </w:r>
    </w:p>
    <w:p w14:paraId="7975988C">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四十三</w:t>
      </w:r>
      <w:r>
        <w:rPr>
          <w:rFonts w:hint="eastAsia" w:ascii="仿宋" w:hAnsi="仿宋" w:eastAsia="仿宋" w:cs="仿宋"/>
          <w:b/>
          <w:bCs/>
          <w:color w:val="auto"/>
          <w:sz w:val="32"/>
          <w:szCs w:val="32"/>
        </w:rPr>
        <w:t>条【施行日期】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本条例自</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YTVkZTk3NzIzMzhiZWIyY2JiMmM2NjJkMGJhYTAifQ=="/>
  </w:docVars>
  <w:rsids>
    <w:rsidRoot w:val="49791BC7"/>
    <w:rsid w:val="00076791"/>
    <w:rsid w:val="00517E11"/>
    <w:rsid w:val="00A82B58"/>
    <w:rsid w:val="01A22C15"/>
    <w:rsid w:val="02604D07"/>
    <w:rsid w:val="02634379"/>
    <w:rsid w:val="046163BD"/>
    <w:rsid w:val="057053EC"/>
    <w:rsid w:val="05D306BE"/>
    <w:rsid w:val="07C236E1"/>
    <w:rsid w:val="07F96AD6"/>
    <w:rsid w:val="08A367EC"/>
    <w:rsid w:val="099077F7"/>
    <w:rsid w:val="0A9C38A4"/>
    <w:rsid w:val="0AB1211B"/>
    <w:rsid w:val="0ADF4C24"/>
    <w:rsid w:val="0B023D19"/>
    <w:rsid w:val="0B0E30C9"/>
    <w:rsid w:val="0C523180"/>
    <w:rsid w:val="0C602EFA"/>
    <w:rsid w:val="0CCB7FF0"/>
    <w:rsid w:val="0DBF09E5"/>
    <w:rsid w:val="0EAE0E4B"/>
    <w:rsid w:val="0EFB336D"/>
    <w:rsid w:val="0F2729AB"/>
    <w:rsid w:val="0F377A25"/>
    <w:rsid w:val="0F6C4B4E"/>
    <w:rsid w:val="0FE64614"/>
    <w:rsid w:val="1025513D"/>
    <w:rsid w:val="10663775"/>
    <w:rsid w:val="10C2280A"/>
    <w:rsid w:val="11D32285"/>
    <w:rsid w:val="12D76DC1"/>
    <w:rsid w:val="13FC71B8"/>
    <w:rsid w:val="14A12517"/>
    <w:rsid w:val="14C30A80"/>
    <w:rsid w:val="14D16673"/>
    <w:rsid w:val="154D12BC"/>
    <w:rsid w:val="15AF54A9"/>
    <w:rsid w:val="16257534"/>
    <w:rsid w:val="1663076D"/>
    <w:rsid w:val="16EB31F5"/>
    <w:rsid w:val="17BF0005"/>
    <w:rsid w:val="18CF7EB0"/>
    <w:rsid w:val="19CB0863"/>
    <w:rsid w:val="1A6C5151"/>
    <w:rsid w:val="1B2D2664"/>
    <w:rsid w:val="1B3C47F0"/>
    <w:rsid w:val="1B6B7925"/>
    <w:rsid w:val="1BB108F6"/>
    <w:rsid w:val="1C4D4D1F"/>
    <w:rsid w:val="1CE32AEA"/>
    <w:rsid w:val="1D305066"/>
    <w:rsid w:val="1D5D13BA"/>
    <w:rsid w:val="1DAB29F9"/>
    <w:rsid w:val="1DED413E"/>
    <w:rsid w:val="1E696B3C"/>
    <w:rsid w:val="1EA251C2"/>
    <w:rsid w:val="1F481CE3"/>
    <w:rsid w:val="1F9C325D"/>
    <w:rsid w:val="1FDE5B58"/>
    <w:rsid w:val="2032494D"/>
    <w:rsid w:val="20F26D97"/>
    <w:rsid w:val="21CC3202"/>
    <w:rsid w:val="21D2510C"/>
    <w:rsid w:val="223B434C"/>
    <w:rsid w:val="22791318"/>
    <w:rsid w:val="22DB168B"/>
    <w:rsid w:val="23085DCA"/>
    <w:rsid w:val="23AF2973"/>
    <w:rsid w:val="24857B78"/>
    <w:rsid w:val="249B37C8"/>
    <w:rsid w:val="25537BFE"/>
    <w:rsid w:val="25602408"/>
    <w:rsid w:val="25C06A03"/>
    <w:rsid w:val="267B493A"/>
    <w:rsid w:val="268564DD"/>
    <w:rsid w:val="26993D60"/>
    <w:rsid w:val="26C1503C"/>
    <w:rsid w:val="26C3712D"/>
    <w:rsid w:val="27492398"/>
    <w:rsid w:val="27604855"/>
    <w:rsid w:val="284937A5"/>
    <w:rsid w:val="289A5E4A"/>
    <w:rsid w:val="29114058"/>
    <w:rsid w:val="29351EDB"/>
    <w:rsid w:val="29E61678"/>
    <w:rsid w:val="2B434271"/>
    <w:rsid w:val="2C3359B0"/>
    <w:rsid w:val="2C91485D"/>
    <w:rsid w:val="2DAD00C8"/>
    <w:rsid w:val="2E3632B1"/>
    <w:rsid w:val="2F9A7BA6"/>
    <w:rsid w:val="2FA572A9"/>
    <w:rsid w:val="3144016F"/>
    <w:rsid w:val="31986027"/>
    <w:rsid w:val="32100953"/>
    <w:rsid w:val="32422082"/>
    <w:rsid w:val="325946B1"/>
    <w:rsid w:val="32990513"/>
    <w:rsid w:val="32CA348C"/>
    <w:rsid w:val="332A457E"/>
    <w:rsid w:val="351F2A36"/>
    <w:rsid w:val="35317B29"/>
    <w:rsid w:val="357B7A37"/>
    <w:rsid w:val="359273CC"/>
    <w:rsid w:val="35BE6918"/>
    <w:rsid w:val="35D01CC8"/>
    <w:rsid w:val="36413AA3"/>
    <w:rsid w:val="36987ADA"/>
    <w:rsid w:val="36F47C06"/>
    <w:rsid w:val="382B04CC"/>
    <w:rsid w:val="385B2D4C"/>
    <w:rsid w:val="387821DF"/>
    <w:rsid w:val="39A20D1C"/>
    <w:rsid w:val="39B244B8"/>
    <w:rsid w:val="3A2A53FC"/>
    <w:rsid w:val="3A6451D6"/>
    <w:rsid w:val="3A8F5333"/>
    <w:rsid w:val="3AF26768"/>
    <w:rsid w:val="3B14690E"/>
    <w:rsid w:val="3B452344"/>
    <w:rsid w:val="3B6A5394"/>
    <w:rsid w:val="3BBC0EF4"/>
    <w:rsid w:val="3D0A7EEF"/>
    <w:rsid w:val="3D5639E3"/>
    <w:rsid w:val="3EF960C5"/>
    <w:rsid w:val="3F0A537A"/>
    <w:rsid w:val="3F3747C4"/>
    <w:rsid w:val="3F7A366F"/>
    <w:rsid w:val="3FE32AAA"/>
    <w:rsid w:val="3FF3686D"/>
    <w:rsid w:val="40497E47"/>
    <w:rsid w:val="4159431E"/>
    <w:rsid w:val="430A3B9B"/>
    <w:rsid w:val="436C240F"/>
    <w:rsid w:val="436E3978"/>
    <w:rsid w:val="454358A1"/>
    <w:rsid w:val="45E63EEE"/>
    <w:rsid w:val="45EA3344"/>
    <w:rsid w:val="467B090B"/>
    <w:rsid w:val="46C37ED1"/>
    <w:rsid w:val="48B36094"/>
    <w:rsid w:val="49791BC7"/>
    <w:rsid w:val="4A315EB1"/>
    <w:rsid w:val="4ADF590D"/>
    <w:rsid w:val="4BB844F8"/>
    <w:rsid w:val="4DD0416C"/>
    <w:rsid w:val="4E4F2B21"/>
    <w:rsid w:val="4F15062C"/>
    <w:rsid w:val="4FCC6DA4"/>
    <w:rsid w:val="4FD317B8"/>
    <w:rsid w:val="50DB6A4A"/>
    <w:rsid w:val="50F00509"/>
    <w:rsid w:val="515C0DAA"/>
    <w:rsid w:val="51B54116"/>
    <w:rsid w:val="52283D58"/>
    <w:rsid w:val="52995311"/>
    <w:rsid w:val="537961D3"/>
    <w:rsid w:val="53E53868"/>
    <w:rsid w:val="54E75E5A"/>
    <w:rsid w:val="55345F16"/>
    <w:rsid w:val="564C7BCE"/>
    <w:rsid w:val="56C1680E"/>
    <w:rsid w:val="56E76299"/>
    <w:rsid w:val="57063117"/>
    <w:rsid w:val="57B30471"/>
    <w:rsid w:val="57D20DB6"/>
    <w:rsid w:val="584D65AC"/>
    <w:rsid w:val="58591F7E"/>
    <w:rsid w:val="58B55EFF"/>
    <w:rsid w:val="5A7A55ED"/>
    <w:rsid w:val="5AB146B9"/>
    <w:rsid w:val="5C07178B"/>
    <w:rsid w:val="5C1F025F"/>
    <w:rsid w:val="5CAF294B"/>
    <w:rsid w:val="5CD60470"/>
    <w:rsid w:val="5DAD533E"/>
    <w:rsid w:val="5DD123F8"/>
    <w:rsid w:val="5E1B768F"/>
    <w:rsid w:val="5E785A05"/>
    <w:rsid w:val="5FCD7FD2"/>
    <w:rsid w:val="606162F9"/>
    <w:rsid w:val="612754C0"/>
    <w:rsid w:val="61D01774"/>
    <w:rsid w:val="621A0401"/>
    <w:rsid w:val="629D0130"/>
    <w:rsid w:val="62D60F4C"/>
    <w:rsid w:val="62E123C8"/>
    <w:rsid w:val="62FA10DE"/>
    <w:rsid w:val="63A77D06"/>
    <w:rsid w:val="64147E72"/>
    <w:rsid w:val="64803892"/>
    <w:rsid w:val="658D47B4"/>
    <w:rsid w:val="665E268D"/>
    <w:rsid w:val="66F978FF"/>
    <w:rsid w:val="672D4610"/>
    <w:rsid w:val="674212A6"/>
    <w:rsid w:val="675E5BDE"/>
    <w:rsid w:val="67770F05"/>
    <w:rsid w:val="68923B67"/>
    <w:rsid w:val="689773CF"/>
    <w:rsid w:val="6A300CD6"/>
    <w:rsid w:val="6A5F5CCB"/>
    <w:rsid w:val="6AA70F74"/>
    <w:rsid w:val="6AFA3983"/>
    <w:rsid w:val="6B053E62"/>
    <w:rsid w:val="6BBE7EB0"/>
    <w:rsid w:val="6BEF61C7"/>
    <w:rsid w:val="6C5E2742"/>
    <w:rsid w:val="6CAB6C58"/>
    <w:rsid w:val="6D60761C"/>
    <w:rsid w:val="6D716441"/>
    <w:rsid w:val="6D793547"/>
    <w:rsid w:val="6E1F5AA7"/>
    <w:rsid w:val="6E6371A6"/>
    <w:rsid w:val="6E8133E4"/>
    <w:rsid w:val="6F2E6A91"/>
    <w:rsid w:val="6F406DA2"/>
    <w:rsid w:val="6F7E3097"/>
    <w:rsid w:val="6F8B7C47"/>
    <w:rsid w:val="6F984159"/>
    <w:rsid w:val="70185377"/>
    <w:rsid w:val="70E138DD"/>
    <w:rsid w:val="71196F7D"/>
    <w:rsid w:val="71A072F4"/>
    <w:rsid w:val="72091BDE"/>
    <w:rsid w:val="722F0678"/>
    <w:rsid w:val="7301170C"/>
    <w:rsid w:val="734D44BC"/>
    <w:rsid w:val="73CF3EC1"/>
    <w:rsid w:val="73D74465"/>
    <w:rsid w:val="74EB38E9"/>
    <w:rsid w:val="752175BA"/>
    <w:rsid w:val="77601C64"/>
    <w:rsid w:val="77687F46"/>
    <w:rsid w:val="78D855C6"/>
    <w:rsid w:val="792C0280"/>
    <w:rsid w:val="79657A49"/>
    <w:rsid w:val="799075A5"/>
    <w:rsid w:val="79F938C0"/>
    <w:rsid w:val="7A81048F"/>
    <w:rsid w:val="7B7B66DC"/>
    <w:rsid w:val="7C0E5FA2"/>
    <w:rsid w:val="7C6D1644"/>
    <w:rsid w:val="7C951B78"/>
    <w:rsid w:val="7CFB2948"/>
    <w:rsid w:val="7DCF0ECE"/>
    <w:rsid w:val="7E8C3035"/>
    <w:rsid w:val="7ECF2689"/>
    <w:rsid w:val="7FA80E35"/>
    <w:rsid w:val="FEF4F9CB"/>
    <w:rsid w:val="FFDDD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HTML Address"/>
    <w:basedOn w:val="1"/>
    <w:unhideWhenUsed/>
    <w:qFormat/>
    <w:uiPriority w:val="99"/>
    <w:rPr>
      <w:i/>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fulltext-wrap_fulltext_TiaoYinV2"/>
    <w:basedOn w:val="1"/>
    <w:qFormat/>
    <w:uiPriority w:val="0"/>
    <w:pPr>
      <w:spacing w:line="600" w:lineRule="atLeast"/>
    </w:pPr>
    <w:rPr>
      <w:b/>
      <w:bCs/>
      <w:color w:val="218FC4"/>
      <w:sz w:val="21"/>
      <w:szCs w:val="21"/>
    </w:rPr>
  </w:style>
  <w:style w:type="paragraph" w:customStyle="1" w:styleId="12">
    <w:name w:val="div"/>
    <w:basedOn w:val="1"/>
    <w:qFormat/>
    <w:uiPriority w:val="0"/>
    <w:pPr>
      <w:pBdr>
        <w:top w:val="none" w:color="auto" w:sz="0" w:space="0"/>
        <w:left w:val="none" w:color="auto" w:sz="0" w:space="0"/>
        <w:bottom w:val="none" w:color="auto" w:sz="0" w:space="0"/>
        <w:right w:val="none" w:color="auto" w:sz="0" w:space="0"/>
      </w:pBdr>
    </w:pPr>
    <w:rPr>
      <w:sz w:val="24"/>
      <w:szCs w:val="24"/>
      <w:vertAlign w:val="baseline"/>
    </w:rPr>
  </w:style>
  <w:style w:type="character" w:customStyle="1" w:styleId="13">
    <w:name w:val="fulltext-wrap_navtiao"/>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5574</Words>
  <Characters>5574</Characters>
  <Lines>0</Lines>
  <Paragraphs>0</Paragraphs>
  <TotalTime>16</TotalTime>
  <ScaleCrop>false</ScaleCrop>
  <LinksUpToDate>false</LinksUpToDate>
  <CharactersWithSpaces>5617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2025-11-06T19:53:00Z</dcterms:created>
  <dc:creator>中勤律师</dc:creator>
  <cp:lastModifiedBy>陈律师</cp:lastModifiedBy>
  <dcterms:modified xsi:type="dcterms:W3CDTF">2026-04-28T05:06:00Z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3582F90E2DBE490D81A019B8F79C5026_13</vt:lpwstr>
  </property>
  <property fmtid="{D5CDD505-2E9C-101B-9397-08002B2CF9AE}" pid="4" name="KSOTemplateDocerSaveRecord">
    <vt:lpwstr>eyJoZGlkIjoiOWJmNDM5OGMwNTgyYWNjMjhjNjg1ZmZkMDU3YTk5OGEiLCJ1c2VySWQiOiIyNjI0Nzc3NjUifQ==</vt:lpwstr>
  </property>
</Properties>
</file>