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29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辽宁省中医医院远程医疗协作建设标准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”</w:t>
      </w:r>
    </w:p>
    <w:p w14:paraId="0A816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地方标准修订项目</w:t>
      </w:r>
    </w:p>
    <w:p w14:paraId="2223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标准编制说明</w:t>
      </w:r>
    </w:p>
    <w:p w14:paraId="54833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一、工作简介</w:t>
      </w:r>
    </w:p>
    <w:p w14:paraId="2A49F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  <w:lang w:eastAsia="zh-CN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（一）任务来源</w:t>
      </w:r>
    </w:p>
    <w:p w14:paraId="779A5C8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“辽宁省中医医院远程医疗协作建设标准</w:t>
      </w:r>
      <w:r>
        <w:rPr>
          <w:rFonts w:hint="eastAsia" w:ascii="仿宋" w:hAnsi="仿宋" w:eastAsia="仿宋" w:cs="仿宋_GB2312"/>
          <w:sz w:val="24"/>
          <w:szCs w:val="24"/>
        </w:rPr>
        <w:t>”项目制定，辽宁省市场监督管理局于</w:t>
      </w:r>
      <w:r>
        <w:rPr>
          <w:rFonts w:ascii="仿宋" w:hAnsi="仿宋" w:eastAsia="仿宋" w:cs="仿宋_GB2312"/>
          <w:sz w:val="24"/>
          <w:szCs w:val="24"/>
          <w:highlight w:val="none"/>
        </w:rPr>
        <w:t>202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月立项，计划编号：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2021259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。本标准由辽宁省卫生健康委员会提出并归</w:t>
      </w:r>
      <w:r>
        <w:rPr>
          <w:rFonts w:hint="eastAsia" w:ascii="仿宋" w:hAnsi="仿宋" w:eastAsia="仿宋" w:cs="仿宋_GB2312"/>
          <w:sz w:val="24"/>
          <w:szCs w:val="24"/>
        </w:rPr>
        <w:t xml:space="preserve">口，由辽宁中医药大学附属医院进行项目制定。 </w:t>
      </w:r>
    </w:p>
    <w:p w14:paraId="5CD2E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本标准负责起草单位：辽宁中医药大学附属医院</w:t>
      </w:r>
    </w:p>
    <w:p w14:paraId="1F277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本部分主要起草人：</w:t>
      </w:r>
      <w:r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  <w:t>杨鸫祥、冷锦红、刘悦、黄春艳</w:t>
      </w:r>
    </w:p>
    <w:p w14:paraId="57CF9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本部分参加起草人：</w:t>
      </w:r>
      <w:r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  <w:t>刘宇航、李思琦、陈阳、孙行、李珂珂</w:t>
      </w:r>
    </w:p>
    <w:p w14:paraId="56761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（二）制定标准的必要性和意义</w:t>
      </w:r>
    </w:p>
    <w:p w14:paraId="3697E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中医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远程医疗平台</w:t>
      </w:r>
      <w:r>
        <w:rPr>
          <w:rFonts w:hint="eastAsia" w:ascii="仿宋" w:hAnsi="仿宋" w:eastAsia="仿宋" w:cs="仿宋_GB2312"/>
          <w:sz w:val="24"/>
          <w:szCs w:val="24"/>
        </w:rPr>
        <w:t>建设在于确保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各医疗机构诊疗远程诊疗行为</w:t>
      </w:r>
      <w:r>
        <w:rPr>
          <w:rFonts w:hint="eastAsia" w:ascii="仿宋" w:hAnsi="仿宋" w:eastAsia="仿宋" w:cs="仿宋_GB2312"/>
          <w:sz w:val="24"/>
          <w:szCs w:val="24"/>
        </w:rPr>
        <w:t>的合法化、规范化，提升医疗服务质量和效率，保障患者信息安全，以及促进医疗资源的合理分配和利用。‌</w:t>
      </w:r>
    </w:p>
    <w:p w14:paraId="6B366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通过建立中医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远程医疗</w:t>
      </w:r>
      <w:r>
        <w:rPr>
          <w:rFonts w:hint="eastAsia" w:ascii="仿宋" w:hAnsi="仿宋" w:eastAsia="仿宋" w:cs="仿宋_GB2312"/>
          <w:sz w:val="24"/>
          <w:szCs w:val="24"/>
        </w:rPr>
        <w:t>平台，能有效解决百姓看病难的问题，发挥老头医院的牵头作用，促进基层医疗机构综合服务能力的提升，实现小病不出县，大病不出市，在基层也能享受到上级中医专家的优质医疗服务。同时，平台打破了时间、空间、地域上的限制。不仅帮患者降低了交通、食宿、陪护等费用，还减少了病情延误，为患者赢得了宝贵的就诊时间。从而从整体上提高全省区域的医疗水平。实现群众满意、医生满意、政府满意的预期目标。</w:t>
      </w:r>
    </w:p>
    <w:p w14:paraId="02F0E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（三）起草单位</w:t>
      </w:r>
    </w:p>
    <w:p w14:paraId="6EEDD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辽宁中医药大学附属医院</w:t>
      </w:r>
    </w:p>
    <w:p w14:paraId="34EE7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（四）协作单位</w:t>
      </w:r>
    </w:p>
    <w:p w14:paraId="631C9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lang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辽宁中医药大学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附属医院</w:t>
      </w:r>
    </w:p>
    <w:p w14:paraId="7D183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金医慧通科技</w:t>
      </w:r>
      <w:r>
        <w:rPr>
          <w:rFonts w:hint="eastAsia" w:ascii="仿宋" w:hAnsi="仿宋" w:eastAsia="仿宋" w:cs="仿宋_GB2312"/>
          <w:sz w:val="24"/>
          <w:szCs w:val="24"/>
        </w:rPr>
        <w:t>有限公司</w:t>
      </w:r>
    </w:p>
    <w:p w14:paraId="2FC7C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（五）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主要</w:t>
      </w: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起草人及其所做的工作</w:t>
      </w:r>
    </w:p>
    <w:p w14:paraId="198E0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本标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准主要起草人为：</w:t>
      </w:r>
      <w:r>
        <w:rPr>
          <w:rFonts w:hint="eastAsia" w:ascii="仿宋" w:hAnsi="仿宋" w:eastAsia="仿宋" w:cs="仿宋_GB2312"/>
          <w:kern w:val="0"/>
          <w:sz w:val="24"/>
          <w:szCs w:val="24"/>
          <w:highlight w:val="none"/>
          <w:lang w:val="en-US" w:eastAsia="zh-CN" w:bidi="ar-SA"/>
        </w:rPr>
        <w:t>杨鸫祥、冷锦红、刘悦、黄春艳</w:t>
      </w:r>
    </w:p>
    <w:p w14:paraId="506D5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小组成员与分工见下表：</w:t>
      </w:r>
    </w:p>
    <w:tbl>
      <w:tblPr>
        <w:tblStyle w:val="5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15"/>
        <w:gridCol w:w="750"/>
        <w:gridCol w:w="1746"/>
        <w:gridCol w:w="1768"/>
        <w:gridCol w:w="2614"/>
      </w:tblGrid>
      <w:tr w14:paraId="5E157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</w:tcPr>
          <w:p w14:paraId="44C89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474" w:type="pct"/>
            <w:noWrap/>
          </w:tcPr>
          <w:p w14:paraId="5E666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436" w:type="pct"/>
            <w:noWrap/>
          </w:tcPr>
          <w:p w14:paraId="1ADC6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1017" w:type="pct"/>
            <w:noWrap/>
          </w:tcPr>
          <w:p w14:paraId="155D14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职称/职务</w:t>
            </w:r>
          </w:p>
        </w:tc>
        <w:tc>
          <w:tcPr>
            <w:tcW w:w="1030" w:type="pct"/>
            <w:noWrap/>
          </w:tcPr>
          <w:p w14:paraId="2EF6D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工 作 单 位</w:t>
            </w:r>
          </w:p>
        </w:tc>
        <w:tc>
          <w:tcPr>
            <w:tcW w:w="1522" w:type="pct"/>
            <w:noWrap/>
          </w:tcPr>
          <w:p w14:paraId="4DE82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任 务 分 工</w:t>
            </w:r>
          </w:p>
        </w:tc>
      </w:tr>
      <w:tr w14:paraId="143EE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79209E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杨鸫祥</w:t>
            </w:r>
          </w:p>
        </w:tc>
        <w:tc>
          <w:tcPr>
            <w:tcW w:w="474" w:type="pct"/>
            <w:noWrap/>
            <w:vAlign w:val="center"/>
          </w:tcPr>
          <w:p w14:paraId="73608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436" w:type="pct"/>
            <w:noWrap/>
            <w:vAlign w:val="center"/>
          </w:tcPr>
          <w:p w14:paraId="58F059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017" w:type="pct"/>
            <w:noWrap/>
            <w:vAlign w:val="center"/>
          </w:tcPr>
          <w:p w14:paraId="17A27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课题组总负责人</w:t>
            </w:r>
          </w:p>
        </w:tc>
        <w:tc>
          <w:tcPr>
            <w:tcW w:w="1030" w:type="pct"/>
            <w:noWrap/>
            <w:vAlign w:val="center"/>
          </w:tcPr>
          <w:p w14:paraId="4F909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辽宁中医药大学</w:t>
            </w:r>
          </w:p>
        </w:tc>
        <w:tc>
          <w:tcPr>
            <w:tcW w:w="1522" w:type="pct"/>
            <w:noWrap/>
            <w:vAlign w:val="center"/>
          </w:tcPr>
          <w:p w14:paraId="78D16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标准建设规范编写总负责</w:t>
            </w:r>
          </w:p>
        </w:tc>
      </w:tr>
      <w:tr w14:paraId="34F5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00606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冷锦红</w:t>
            </w:r>
          </w:p>
        </w:tc>
        <w:tc>
          <w:tcPr>
            <w:tcW w:w="474" w:type="pct"/>
            <w:noWrap/>
            <w:vAlign w:val="center"/>
          </w:tcPr>
          <w:p w14:paraId="0C9DF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436" w:type="pct"/>
            <w:noWrap/>
            <w:vAlign w:val="center"/>
          </w:tcPr>
          <w:p w14:paraId="241C0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017" w:type="pct"/>
            <w:noWrap/>
            <w:vAlign w:val="center"/>
          </w:tcPr>
          <w:p w14:paraId="628EC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  <w:t>课题组研究员</w:t>
            </w:r>
          </w:p>
        </w:tc>
        <w:tc>
          <w:tcPr>
            <w:tcW w:w="1030" w:type="pct"/>
            <w:noWrap/>
            <w:vAlign w:val="center"/>
          </w:tcPr>
          <w:p w14:paraId="345BA0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宁中医药大学</w:t>
            </w:r>
          </w:p>
          <w:p w14:paraId="1A32F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附属医院</w:t>
            </w:r>
          </w:p>
        </w:tc>
        <w:tc>
          <w:tcPr>
            <w:tcW w:w="1522" w:type="pct"/>
            <w:noWrap/>
            <w:vAlign w:val="center"/>
          </w:tcPr>
          <w:p w14:paraId="30F7F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协助编写标准建设规范</w:t>
            </w:r>
          </w:p>
        </w:tc>
      </w:tr>
      <w:tr w14:paraId="374C6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361DB5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刘悦</w:t>
            </w:r>
          </w:p>
        </w:tc>
        <w:tc>
          <w:tcPr>
            <w:tcW w:w="474" w:type="pct"/>
            <w:noWrap/>
            <w:vAlign w:val="center"/>
          </w:tcPr>
          <w:p w14:paraId="2CBE6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436" w:type="pct"/>
            <w:noWrap/>
            <w:vAlign w:val="center"/>
          </w:tcPr>
          <w:p w14:paraId="1E80D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017" w:type="pct"/>
            <w:noWrap/>
            <w:vAlign w:val="center"/>
          </w:tcPr>
          <w:p w14:paraId="4FF0A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课题组研究员</w:t>
            </w:r>
          </w:p>
        </w:tc>
        <w:tc>
          <w:tcPr>
            <w:tcW w:w="1030" w:type="pct"/>
            <w:noWrap/>
            <w:vAlign w:val="center"/>
          </w:tcPr>
          <w:p w14:paraId="5F52F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辽宁中医药大学附属医院</w:t>
            </w:r>
          </w:p>
        </w:tc>
        <w:tc>
          <w:tcPr>
            <w:tcW w:w="1522" w:type="pct"/>
            <w:noWrap/>
            <w:vAlign w:val="center"/>
          </w:tcPr>
          <w:p w14:paraId="0CBFD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协助编写标准建设规范</w:t>
            </w:r>
          </w:p>
        </w:tc>
      </w:tr>
      <w:tr w14:paraId="2ADC5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17" w:type="pct"/>
            <w:noWrap/>
            <w:vAlign w:val="center"/>
          </w:tcPr>
          <w:p w14:paraId="0A2EE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黄春艳</w:t>
            </w:r>
          </w:p>
        </w:tc>
        <w:tc>
          <w:tcPr>
            <w:tcW w:w="474" w:type="pct"/>
            <w:noWrap/>
            <w:vAlign w:val="center"/>
          </w:tcPr>
          <w:p w14:paraId="45210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女</w:t>
            </w:r>
          </w:p>
        </w:tc>
        <w:tc>
          <w:tcPr>
            <w:tcW w:w="436" w:type="pct"/>
            <w:noWrap/>
            <w:vAlign w:val="center"/>
          </w:tcPr>
          <w:p w14:paraId="1F7A4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017" w:type="pct"/>
            <w:noWrap/>
            <w:vAlign w:val="center"/>
          </w:tcPr>
          <w:p w14:paraId="3067F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highlight w:val="none"/>
              </w:rPr>
              <w:t>课题组研究员</w:t>
            </w:r>
          </w:p>
        </w:tc>
        <w:tc>
          <w:tcPr>
            <w:tcW w:w="1030" w:type="pct"/>
            <w:noWrap/>
            <w:vAlign w:val="center"/>
          </w:tcPr>
          <w:p w14:paraId="113EE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eastAsia="zh-CN"/>
              </w:rPr>
              <w:t>辽</w:t>
            </w:r>
            <w:r>
              <w:rPr>
                <w:rFonts w:hint="eastAsia" w:ascii="仿宋" w:hAnsi="仿宋" w:eastAsia="仿宋" w:cs="仿宋_GB2312"/>
                <w:sz w:val="21"/>
                <w:szCs w:val="21"/>
              </w:rPr>
              <w:t>宁中医药大学</w:t>
            </w:r>
          </w:p>
          <w:p w14:paraId="20A52A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附属医院</w:t>
            </w:r>
          </w:p>
        </w:tc>
        <w:tc>
          <w:tcPr>
            <w:tcW w:w="1522" w:type="pct"/>
            <w:noWrap/>
            <w:vAlign w:val="center"/>
          </w:tcPr>
          <w:p w14:paraId="7B4BE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_GB2312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</w:rPr>
              <w:t>协助编写标准建设规范</w:t>
            </w:r>
          </w:p>
        </w:tc>
      </w:tr>
    </w:tbl>
    <w:p w14:paraId="7D78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</w:p>
    <w:p w14:paraId="0D0EC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（六）主要工作过程</w:t>
      </w:r>
    </w:p>
    <w:p w14:paraId="12CC6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1.</w:t>
      </w:r>
      <w:r>
        <w:rPr>
          <w:rFonts w:ascii="仿宋" w:hAnsi="仿宋" w:eastAsia="仿宋" w:cs="仿宋_GB2312"/>
          <w:sz w:val="24"/>
          <w:szCs w:val="24"/>
        </w:rPr>
        <w:t>202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2</w:t>
      </w:r>
      <w:r>
        <w:rPr>
          <w:rFonts w:ascii="仿宋" w:hAnsi="仿宋" w:eastAsia="仿宋" w:cs="仿宋_GB2312"/>
          <w:sz w:val="24"/>
          <w:szCs w:val="24"/>
        </w:rPr>
        <w:t>年</w:t>
      </w:r>
      <w:r>
        <w:rPr>
          <w:rFonts w:hint="eastAsia" w:ascii="仿宋" w:hAnsi="仿宋" w:eastAsia="仿宋" w:cs="仿宋_GB2312"/>
          <w:sz w:val="24"/>
          <w:szCs w:val="24"/>
        </w:rPr>
        <w:t>9月至</w:t>
      </w:r>
      <w:r>
        <w:rPr>
          <w:rFonts w:ascii="仿宋" w:hAnsi="仿宋" w:eastAsia="仿宋" w:cs="仿宋_GB2312"/>
          <w:sz w:val="24"/>
          <w:szCs w:val="24"/>
        </w:rPr>
        <w:t>202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_GB2312"/>
          <w:sz w:val="24"/>
          <w:szCs w:val="24"/>
        </w:rPr>
        <w:t>年5月</w:t>
      </w:r>
      <w:r>
        <w:rPr>
          <w:rFonts w:ascii="仿宋" w:hAnsi="仿宋" w:eastAsia="仿宋" w:cs="仿宋_GB2312"/>
          <w:sz w:val="24"/>
          <w:szCs w:val="24"/>
        </w:rPr>
        <w:t>，</w:t>
      </w:r>
      <w:bookmarkStart w:id="0" w:name="_Hlk146294734"/>
      <w:bookmarkStart w:id="1" w:name="_Hlk146293009"/>
      <w:r>
        <w:rPr>
          <w:rFonts w:ascii="仿宋" w:hAnsi="仿宋" w:eastAsia="仿宋" w:cs="仿宋_GB2312"/>
          <w:sz w:val="24"/>
          <w:szCs w:val="24"/>
        </w:rPr>
        <w:t>由</w:t>
      </w:r>
      <w:r>
        <w:rPr>
          <w:rFonts w:hint="eastAsia" w:ascii="仿宋" w:hAnsi="仿宋" w:eastAsia="仿宋" w:cs="仿宋_GB2312"/>
          <w:sz w:val="24"/>
          <w:szCs w:val="24"/>
        </w:rPr>
        <w:t>辽宁中医药大学附属医院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事业发展部</w:t>
      </w:r>
      <w:r>
        <w:rPr>
          <w:rFonts w:ascii="仿宋" w:hAnsi="仿宋" w:eastAsia="仿宋" w:cs="仿宋_GB2312"/>
          <w:sz w:val="24"/>
          <w:szCs w:val="24"/>
        </w:rPr>
        <w:t>牵头，</w:t>
      </w:r>
      <w:r>
        <w:rPr>
          <w:rFonts w:hint="eastAsia" w:ascii="仿宋" w:hAnsi="仿宋" w:eastAsia="仿宋" w:cs="仿宋_GB2312"/>
          <w:sz w:val="24"/>
          <w:szCs w:val="24"/>
        </w:rPr>
        <w:t>成立标准研究小组</w:t>
      </w:r>
      <w:bookmarkEnd w:id="0"/>
      <w:r>
        <w:rPr>
          <w:rFonts w:hint="eastAsia" w:ascii="仿宋" w:hAnsi="仿宋" w:eastAsia="仿宋" w:cs="仿宋_GB2312"/>
          <w:sz w:val="24"/>
          <w:szCs w:val="24"/>
        </w:rPr>
        <w:t>，</w:t>
      </w:r>
      <w:bookmarkEnd w:id="1"/>
      <w:bookmarkStart w:id="2" w:name="_Hlk146293658"/>
      <w:r>
        <w:rPr>
          <w:rFonts w:hint="eastAsia" w:ascii="仿宋" w:hAnsi="仿宋" w:eastAsia="仿宋" w:cs="仿宋_GB2312"/>
          <w:sz w:val="24"/>
          <w:szCs w:val="24"/>
        </w:rPr>
        <w:t>前期</w:t>
      </w:r>
      <w:r>
        <w:rPr>
          <w:rFonts w:ascii="仿宋" w:hAnsi="仿宋" w:eastAsia="仿宋" w:cs="仿宋_GB2312"/>
          <w:sz w:val="24"/>
          <w:szCs w:val="24"/>
        </w:rPr>
        <w:t>通过</w:t>
      </w:r>
      <w:r>
        <w:rPr>
          <w:rFonts w:hint="eastAsia" w:ascii="仿宋" w:hAnsi="仿宋" w:eastAsia="仿宋" w:cs="仿宋_GB2312"/>
          <w:sz w:val="24"/>
          <w:szCs w:val="24"/>
        </w:rPr>
        <w:t>在知网、万方、维普等数据库以“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远程医疗</w:t>
      </w:r>
      <w:r>
        <w:rPr>
          <w:rFonts w:hint="eastAsia" w:ascii="仿宋" w:hAnsi="仿宋" w:eastAsia="仿宋" w:cs="仿宋_GB2312"/>
          <w:sz w:val="24"/>
          <w:szCs w:val="24"/>
        </w:rPr>
        <w:t>”、“中医临床”、“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协作</w:t>
      </w:r>
      <w:r>
        <w:rPr>
          <w:rFonts w:hint="eastAsia" w:ascii="仿宋" w:hAnsi="仿宋" w:eastAsia="仿宋" w:cs="仿宋_GB2312"/>
          <w:sz w:val="24"/>
          <w:szCs w:val="24"/>
        </w:rPr>
        <w:t>建设”等检索词查阅相关文献，收集整理相关</w:t>
      </w:r>
      <w:r>
        <w:rPr>
          <w:rFonts w:ascii="仿宋" w:hAnsi="仿宋" w:eastAsia="仿宋" w:cs="仿宋_GB2312"/>
          <w:sz w:val="24"/>
          <w:szCs w:val="24"/>
        </w:rPr>
        <w:t>国家标准、行业标准</w:t>
      </w:r>
      <w:r>
        <w:rPr>
          <w:rFonts w:hint="eastAsia" w:ascii="仿宋" w:hAnsi="仿宋" w:eastAsia="仿宋" w:cs="仿宋_GB2312"/>
          <w:sz w:val="24"/>
          <w:szCs w:val="24"/>
        </w:rPr>
        <w:t>。</w:t>
      </w:r>
      <w:bookmarkEnd w:id="2"/>
      <w:r>
        <w:rPr>
          <w:rFonts w:hint="eastAsia" w:ascii="仿宋" w:hAnsi="仿宋" w:eastAsia="仿宋" w:cs="仿宋_GB2312"/>
          <w:sz w:val="24"/>
          <w:szCs w:val="24"/>
        </w:rPr>
        <w:t>由研究小组结合查阅</w:t>
      </w:r>
      <w:bookmarkStart w:id="3" w:name="_Hlk146390641"/>
      <w:r>
        <w:rPr>
          <w:rFonts w:hint="eastAsia" w:ascii="仿宋" w:hAnsi="仿宋" w:eastAsia="仿宋" w:cs="仿宋_GB2312"/>
          <w:sz w:val="24"/>
          <w:szCs w:val="24"/>
        </w:rPr>
        <w:t>收集的相关资料</w:t>
      </w:r>
      <w:bookmarkEnd w:id="3"/>
      <w:r>
        <w:rPr>
          <w:rFonts w:hint="eastAsia" w:ascii="仿宋" w:hAnsi="仿宋" w:eastAsia="仿宋" w:cs="仿宋_GB2312"/>
          <w:sz w:val="24"/>
          <w:szCs w:val="24"/>
        </w:rPr>
        <w:t>，</w:t>
      </w:r>
      <w:bookmarkStart w:id="4" w:name="_Hlk146294331"/>
      <w:r>
        <w:rPr>
          <w:rFonts w:hint="eastAsia" w:ascii="仿宋" w:hAnsi="仿宋" w:eastAsia="仿宋" w:cs="仿宋_GB2312"/>
          <w:sz w:val="24"/>
          <w:szCs w:val="24"/>
        </w:rPr>
        <w:t>初步构建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互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辽宁省中医医院远程医疗协作建设</w:t>
      </w:r>
      <w:r>
        <w:rPr>
          <w:rFonts w:hint="eastAsia" w:ascii="仿宋" w:hAnsi="仿宋" w:eastAsia="仿宋" w:cs="仿宋_GB2312"/>
          <w:sz w:val="24"/>
          <w:szCs w:val="24"/>
        </w:rPr>
        <w:t>各维度及其建设指标。</w:t>
      </w:r>
      <w:bookmarkEnd w:id="4"/>
    </w:p>
    <w:p w14:paraId="5861D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二、</w:t>
      </w:r>
      <w:r>
        <w:rPr>
          <w:rFonts w:hint="eastAsia" w:ascii="仿宋" w:hAnsi="仿宋" w:eastAsia="仿宋" w:cs="仿宋_GB2312"/>
          <w:b/>
          <w:bCs/>
          <w:sz w:val="24"/>
          <w:szCs w:val="24"/>
        </w:rPr>
        <w:t>标准编制原则和确定地方标准主要内容的论据</w:t>
      </w:r>
    </w:p>
    <w:p w14:paraId="3D63B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（一）标准编制原则</w:t>
      </w:r>
    </w:p>
    <w:p w14:paraId="6D5D5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本文件</w:t>
      </w:r>
      <w:r>
        <w:rPr>
          <w:rFonts w:hint="eastAsia" w:ascii="仿宋" w:hAnsi="仿宋" w:eastAsia="仿宋" w:cs="仿宋_GB2312"/>
          <w:sz w:val="24"/>
          <w:szCs w:val="24"/>
        </w:rPr>
        <w:t>严格</w:t>
      </w:r>
      <w:r>
        <w:rPr>
          <w:rFonts w:ascii="仿宋" w:hAnsi="仿宋" w:eastAsia="仿宋" w:cs="仿宋_GB2312"/>
          <w:sz w:val="24"/>
          <w:szCs w:val="24"/>
        </w:rPr>
        <w:t>按照 GB/T 1.1-2020《标准化工作导则 第 1 部分： 标准的结构和编写规则》的要求和规定编写标准内容。主要针对</w:t>
      </w:r>
      <w:r>
        <w:rPr>
          <w:rFonts w:hint="eastAsia" w:ascii="仿宋" w:hAnsi="仿宋" w:eastAsia="仿宋" w:cs="仿宋_GB2312"/>
          <w:sz w:val="24"/>
          <w:szCs w:val="24"/>
        </w:rPr>
        <w:t>中医互联网医院标准化明确了建设需要满足的基本要求、功能模块、业务目标，介绍了中医远程医疗平台标准化体系建设总体架构。</w:t>
      </w:r>
    </w:p>
    <w:p w14:paraId="20090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ascii="仿宋" w:hAnsi="仿宋" w:eastAsia="仿宋" w:cs="仿宋_GB2312"/>
          <w:sz w:val="24"/>
          <w:szCs w:val="24"/>
          <w:highlight w:val="none"/>
        </w:rPr>
        <w:t>（二）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确定地方标准主要内容的论据</w:t>
      </w:r>
    </w:p>
    <w:p w14:paraId="610D9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1.主要内容</w:t>
      </w:r>
    </w:p>
    <w:p w14:paraId="6A636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本文件一共有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章，分别为范围、规范性引用文件、术语和定义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总体架构、基本要求、服务流程、功能模块、业务目标、管理规范、中医医学术语标准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。</w:t>
      </w:r>
    </w:p>
    <w:p w14:paraId="20944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2.主要内容论据</w:t>
      </w:r>
    </w:p>
    <w:p w14:paraId="7304F699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2.1范围</w:t>
      </w:r>
    </w:p>
    <w:p w14:paraId="0211219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本标准适用于</w:t>
      </w:r>
      <w:r>
        <w:rPr>
          <w:rFonts w:ascii="仿宋" w:hAnsi="仿宋" w:eastAsia="仿宋" w:cs="仿宋_GB2312"/>
          <w:sz w:val="24"/>
          <w:szCs w:val="24"/>
          <w:highlight w:val="none"/>
        </w:rPr>
        <w:t>各级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中医及中西医结合</w:t>
      </w:r>
      <w:r>
        <w:rPr>
          <w:rFonts w:ascii="仿宋" w:hAnsi="仿宋" w:eastAsia="仿宋" w:cs="仿宋_GB2312"/>
          <w:sz w:val="24"/>
          <w:szCs w:val="24"/>
          <w:highlight w:val="none"/>
        </w:rPr>
        <w:t>医疗机构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、</w:t>
      </w:r>
      <w:r>
        <w:rPr>
          <w:rFonts w:ascii="仿宋" w:hAnsi="仿宋" w:eastAsia="仿宋" w:cs="仿宋_GB2312"/>
          <w:sz w:val="24"/>
          <w:szCs w:val="24"/>
          <w:highlight w:val="none"/>
        </w:rPr>
        <w:t>各级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中医</w:t>
      </w:r>
      <w:r>
        <w:rPr>
          <w:rFonts w:ascii="仿宋" w:hAnsi="仿宋" w:eastAsia="仿宋" w:cs="仿宋_GB2312"/>
          <w:sz w:val="24"/>
          <w:szCs w:val="24"/>
          <w:highlight w:val="none"/>
        </w:rPr>
        <w:t>医疗管理机构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、</w:t>
      </w:r>
      <w:r>
        <w:rPr>
          <w:rFonts w:ascii="仿宋" w:hAnsi="仿宋" w:eastAsia="仿宋" w:cs="仿宋_GB2312"/>
          <w:sz w:val="24"/>
          <w:szCs w:val="24"/>
          <w:highlight w:val="none"/>
        </w:rPr>
        <w:t>医疗信息化建设服务商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。</w:t>
      </w:r>
    </w:p>
    <w:p w14:paraId="5929800B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规范性引用文件</w:t>
      </w:r>
    </w:p>
    <w:p w14:paraId="5022A882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本文件所引用规范性引用文件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eastAsia="zh-CN"/>
        </w:rPr>
        <w:t>。</w:t>
      </w:r>
    </w:p>
    <w:p w14:paraId="11AFE1AF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sz w:val="24"/>
          <w:szCs w:val="24"/>
          <w:highlight w:val="none"/>
        </w:rPr>
        <w:t>术语和定义</w:t>
      </w:r>
    </w:p>
    <w:p w14:paraId="4ACE5C31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本标准定义的术语包括：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远程医疗平台、远程会诊、双向转诊、患者档案、诊疗中心。</w:t>
      </w:r>
    </w:p>
    <w:p w14:paraId="2F41FEAE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_GB2312"/>
          <w:bCs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_GB2312"/>
          <w:bCs/>
          <w:sz w:val="24"/>
          <w:szCs w:val="24"/>
          <w:highlight w:val="none"/>
          <w:lang w:val="en-US" w:eastAsia="zh-CN"/>
        </w:rPr>
        <w:t>.4总体架构</w:t>
      </w:r>
    </w:p>
    <w:p w14:paraId="535F13BD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介绍了中医远程医疗体系建设总体架构。</w:t>
      </w:r>
    </w:p>
    <w:p w14:paraId="0190B804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_GB2312"/>
          <w:bCs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_GB2312"/>
          <w:bCs/>
          <w:sz w:val="24"/>
          <w:szCs w:val="24"/>
          <w:highlight w:val="none"/>
          <w:lang w:val="en-US" w:eastAsia="zh-CN"/>
        </w:rPr>
        <w:t>.5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基本要求</w:t>
      </w:r>
    </w:p>
    <w:p w14:paraId="21138A9F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ascii="仿宋" w:hAnsi="仿宋" w:eastAsia="仿宋" w:cs="仿宋_GB2312"/>
          <w:sz w:val="24"/>
          <w:szCs w:val="24"/>
          <w:highlight w:val="none"/>
        </w:rPr>
        <w:t>规定了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医疗机构准入条件、医生基本条件、设备设置基本条件。</w:t>
      </w:r>
    </w:p>
    <w:p w14:paraId="65BE141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2.6服务流程</w:t>
      </w:r>
    </w:p>
    <w:p w14:paraId="12EB1D3E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规定了中医远程医疗平台涉及的服务流程，包括签订合作协议、知情同意、远程会诊、远程诊断、妥善保存资料。</w:t>
      </w:r>
    </w:p>
    <w:p w14:paraId="62A46E8C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7功能模块</w:t>
      </w:r>
    </w:p>
    <w:p w14:paraId="4945465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规定了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中医远程医疗平台涉及的功能模块，包括患者档案、双向转诊、远程会诊、远程教学、品牌推广、信息维护。</w:t>
      </w:r>
    </w:p>
    <w:p w14:paraId="39A777F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outlineLvl w:val="3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8业务目标</w:t>
      </w:r>
    </w:p>
    <w:p w14:paraId="4338E95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描绘了中医远程医疗平台的业务目标，包括构建中医体系、引领新趋势、提升新效能、激活新动力、文化传播。</w:t>
      </w:r>
    </w:p>
    <w:p w14:paraId="30E13294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2.9管理规范</w:t>
      </w:r>
    </w:p>
    <w:p w14:paraId="3C89CD0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规定了中医远程医疗平台相关的管理规范，包括机构管理、人员管理、质量管理。</w:t>
      </w:r>
    </w:p>
    <w:p w14:paraId="56ECA1E6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2.10中医医学术语标准</w:t>
      </w:r>
    </w:p>
    <w:p w14:paraId="5C8A89F3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default" w:ascii="仿宋" w:hAnsi="仿宋" w:eastAsia="仿宋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highlight w:val="none"/>
          <w:lang w:val="en-US" w:eastAsia="zh-CN"/>
        </w:rPr>
        <w:t>包括基础数据源变量如患者基本信息、就诊信息、医嘱信息等业务域中标识符号代码最新标准。</w:t>
      </w:r>
    </w:p>
    <w:p w14:paraId="16E26F5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三、主要试验（或验证）的分析、综述报告，技术经济论证， 预期经济社会生态效益分析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。</w:t>
      </w:r>
    </w:p>
    <w:p w14:paraId="48ECFA76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color w:val="auto"/>
          <w:sz w:val="24"/>
          <w:szCs w:val="24"/>
        </w:rPr>
      </w:pP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</w:rPr>
        <w:t>根据辽宁省中医医疗特点，制定辽宁省中医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lang w:val="en-US" w:eastAsia="zh-CN"/>
        </w:rPr>
        <w:t>远程医疗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</w:rPr>
        <w:t>标准化体系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</w:rPr>
        <w:t>建设规范，通过中医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lang w:val="en-US" w:eastAsia="zh-CN"/>
        </w:rPr>
        <w:t>远程医疗平台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</w:rPr>
        <w:t>对区域医疗机构、医老机构、商业保险机构及相关单位等进行有效连接，实现区域中医医疗资源的重新配置，提升区域中医医疗市场的占有率。特别是通过远程会诊、远程教学等模式，能有效加强中医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lang w:val="en-US" w:eastAsia="zh-CN"/>
        </w:rPr>
        <w:t>远程医疗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</w:rPr>
        <w:t>成员单位之间的紧密协作，提高中医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lang w:val="en-US" w:eastAsia="zh-CN"/>
        </w:rPr>
        <w:t>远程医疗平台各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</w:rPr>
        <w:t>单位之间的紧密性，稳定病源，提高医疗市场份额。有利于缓解中医医生</w:t>
      </w:r>
      <w:r>
        <w:rPr>
          <w:rFonts w:hint="eastAsia" w:ascii="仿宋" w:hAnsi="仿宋" w:eastAsia="仿宋" w:cs="仿宋_GB2312"/>
          <w:color w:val="auto"/>
          <w:sz w:val="24"/>
          <w:szCs w:val="24"/>
        </w:rPr>
        <w:t>专家资源下沉服务不足的问题。中医专家通过平台进行远程会诊，也可使医疗资源得到充分利用，帮助基层医生确诊疑难杂症，接受远程医学教育培训，提供医疗技术方面的支持。既节省了专家下基层的时间，又提高了区域内中医医院专家服务基层的效率。有利于探索中医智慧大数据平台建设的新模式。以中医医院既有的联络为纽带，以自身的相互需求及认同为基础，打造以龙头中医医院为核心的平台，对平台内各级中医医疗机构实施资源纵向整合，以提高医疗卫生服务的协调性为核心，以实现分级诊疗为根本，形成医疗卫生服务各环节有序连接，将平台内的医疗中医资源协同有效调动，合作转化为真正意义上的分级诊疗、双向转诊、人才培养培训流动机制、供需资源的共用共享。</w:t>
      </w:r>
    </w:p>
    <w:p w14:paraId="5ECDA667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color w:val="auto"/>
          <w:sz w:val="24"/>
          <w:szCs w:val="24"/>
        </w:rPr>
      </w:pPr>
      <w:r>
        <w:rPr>
          <w:rFonts w:hint="eastAsia" w:ascii="仿宋" w:hAnsi="仿宋" w:eastAsia="仿宋" w:cs="仿宋_GB2312"/>
          <w:color w:val="auto"/>
          <w:sz w:val="24"/>
          <w:szCs w:val="24"/>
        </w:rPr>
        <w:t>辽宁省中医</w:t>
      </w:r>
      <w:r>
        <w:rPr>
          <w:rFonts w:hint="eastAsia" w:ascii="仿宋" w:hAnsi="仿宋" w:eastAsia="仿宋" w:cs="仿宋_GB2312"/>
          <w:color w:val="auto"/>
          <w:sz w:val="24"/>
          <w:szCs w:val="24"/>
          <w:lang w:val="en-US" w:eastAsia="zh-CN"/>
        </w:rPr>
        <w:t>远程医疗</w:t>
      </w:r>
      <w:r>
        <w:rPr>
          <w:rFonts w:ascii="仿宋" w:hAnsi="仿宋" w:eastAsia="仿宋" w:cs="仿宋_GB2312"/>
          <w:color w:val="auto"/>
          <w:sz w:val="24"/>
          <w:szCs w:val="24"/>
        </w:rPr>
        <w:t>标准化体系</w:t>
      </w:r>
      <w:r>
        <w:rPr>
          <w:rFonts w:hint="eastAsia" w:ascii="仿宋" w:hAnsi="仿宋" w:eastAsia="仿宋" w:cs="仿宋_GB2312"/>
          <w:color w:val="auto"/>
          <w:sz w:val="24"/>
          <w:szCs w:val="24"/>
        </w:rPr>
        <w:t>建设</w:t>
      </w:r>
      <w:r>
        <w:rPr>
          <w:rFonts w:ascii="仿宋" w:hAnsi="仿宋" w:eastAsia="仿宋" w:cs="仿宋_GB2312"/>
          <w:color w:val="auto"/>
          <w:sz w:val="24"/>
          <w:szCs w:val="24"/>
        </w:rPr>
        <w:t>以</w:t>
      </w:r>
      <w:r>
        <w:rPr>
          <w:rFonts w:hint="eastAsia" w:ascii="仿宋" w:hAnsi="仿宋" w:eastAsia="仿宋" w:cs="仿宋_GB2312"/>
          <w:color w:val="auto"/>
          <w:sz w:val="24"/>
          <w:szCs w:val="24"/>
        </w:rPr>
        <w:t>中医医疗</w:t>
      </w:r>
      <w:r>
        <w:rPr>
          <w:rFonts w:ascii="仿宋" w:hAnsi="仿宋" w:eastAsia="仿宋" w:cs="仿宋_GB2312"/>
          <w:color w:val="auto"/>
          <w:sz w:val="24"/>
          <w:szCs w:val="24"/>
        </w:rPr>
        <w:t>信息化为基础，健康服务政策为支撑，带动</w:t>
      </w:r>
      <w:r>
        <w:rPr>
          <w:rFonts w:hint="eastAsia" w:ascii="仿宋" w:hAnsi="仿宋" w:eastAsia="仿宋" w:cs="仿宋_GB2312"/>
          <w:color w:val="auto"/>
          <w:sz w:val="24"/>
          <w:szCs w:val="24"/>
        </w:rPr>
        <w:t>省内中医药</w:t>
      </w:r>
      <w:r>
        <w:rPr>
          <w:rFonts w:ascii="仿宋" w:hAnsi="仿宋" w:eastAsia="仿宋" w:cs="仿宋_GB2312"/>
          <w:color w:val="auto"/>
          <w:sz w:val="24"/>
          <w:szCs w:val="24"/>
        </w:rPr>
        <w:t>健康产业发展新形态</w:t>
      </w:r>
      <w:r>
        <w:rPr>
          <w:rFonts w:hint="eastAsia" w:ascii="仿宋" w:hAnsi="仿宋" w:eastAsia="仿宋" w:cs="仿宋_GB2312"/>
          <w:color w:val="auto"/>
          <w:sz w:val="24"/>
          <w:szCs w:val="24"/>
        </w:rPr>
        <w:t>，具有显著的社会效益和经济效益。</w:t>
      </w:r>
    </w:p>
    <w:p w14:paraId="1DAD0F20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</w:rPr>
        <w:t>四</w:t>
      </w:r>
      <w:r>
        <w:rPr>
          <w:rFonts w:ascii="仿宋" w:hAnsi="仿宋" w:eastAsia="仿宋" w:cs="仿宋_GB2312"/>
          <w:b/>
          <w:bCs/>
          <w:sz w:val="24"/>
          <w:szCs w:val="24"/>
        </w:rPr>
        <w:t>、与现行有关法律、法规和国家标准、行业标准、地方标准的关系</w:t>
      </w:r>
    </w:p>
    <w:p w14:paraId="230FBA28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（一）</w:t>
      </w:r>
      <w:r>
        <w:rPr>
          <w:rFonts w:hint="eastAsia" w:ascii="仿宋" w:hAnsi="仿宋" w:eastAsia="仿宋" w:cs="仿宋_GB2312"/>
          <w:sz w:val="24"/>
          <w:szCs w:val="24"/>
        </w:rPr>
        <w:t>本标准规范</w:t>
      </w:r>
      <w:r>
        <w:rPr>
          <w:rFonts w:ascii="仿宋" w:hAnsi="仿宋" w:eastAsia="仿宋" w:cs="仿宋_GB2312"/>
          <w:sz w:val="24"/>
          <w:szCs w:val="24"/>
        </w:rPr>
        <w:t>按照 GB/T 1.1-2020《标准化工作导则 第 1 部分： 标准的结构和编写规则》的要求和规定编写标准内容。</w:t>
      </w:r>
    </w:p>
    <w:p w14:paraId="671B393F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（二）本文件与</w:t>
      </w:r>
      <w:r>
        <w:rPr>
          <w:rFonts w:hint="eastAsia" w:ascii="仿宋" w:hAnsi="仿宋" w:eastAsia="仿宋" w:cs="仿宋_GB2312"/>
          <w:sz w:val="24"/>
          <w:szCs w:val="24"/>
        </w:rPr>
        <w:t>《“健康中国2030”规划纲要》（2016年中共中央、国务院印发）、《关于促进和规范健康医疗大数据应用发展的指导意见》（2016年国务院办公厅印发）、《关于印发促进大数据发展行动纲要的通知》（2015年国务院印发）、《辽宁省新一代人工智能发展规划》（</w:t>
      </w:r>
      <w:r>
        <w:rPr>
          <w:rFonts w:ascii="仿宋" w:hAnsi="仿宋" w:eastAsia="仿宋" w:cs="仿宋_GB2312"/>
          <w:sz w:val="24"/>
          <w:szCs w:val="24"/>
        </w:rPr>
        <w:t>辽政发〔2017〕57号</w:t>
      </w:r>
      <w:r>
        <w:rPr>
          <w:rFonts w:hint="eastAsia" w:ascii="仿宋" w:hAnsi="仿宋" w:eastAsia="仿宋" w:cs="仿宋_GB2312"/>
          <w:sz w:val="24"/>
          <w:szCs w:val="24"/>
        </w:rPr>
        <w:t>）</w:t>
      </w:r>
      <w:r>
        <w:rPr>
          <w:rFonts w:ascii="仿宋" w:hAnsi="仿宋" w:eastAsia="仿宋" w:cs="仿宋_GB2312"/>
          <w:sz w:val="24"/>
          <w:szCs w:val="24"/>
        </w:rPr>
        <w:t xml:space="preserve"> 等</w:t>
      </w:r>
      <w:r>
        <w:rPr>
          <w:rFonts w:hint="eastAsia" w:ascii="仿宋" w:hAnsi="仿宋" w:eastAsia="仿宋" w:cs="仿宋_GB2312"/>
          <w:sz w:val="24"/>
          <w:szCs w:val="24"/>
        </w:rPr>
        <w:t>相关的行业法律法规、发展规划纲要有较好的配套性。</w:t>
      </w:r>
      <w:r>
        <w:rPr>
          <w:rFonts w:ascii="仿宋" w:hAnsi="仿宋" w:eastAsia="仿宋" w:cs="仿宋_GB2312"/>
          <w:sz w:val="24"/>
          <w:szCs w:val="24"/>
        </w:rPr>
        <w:t xml:space="preserve"> </w:t>
      </w:r>
    </w:p>
    <w:p w14:paraId="35E93A7A">
      <w:pPr>
        <w:keepNext w:val="0"/>
        <w:keepLines w:val="0"/>
        <w:pageBreakBefore w:val="0"/>
        <w:widowControl w:val="0"/>
        <w:tabs>
          <w:tab w:val="left" w:pos="397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</w:pPr>
      <w:bookmarkStart w:id="5" w:name="_GoBack"/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五</w:t>
      </w: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、征求意见和分歧处理情况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。</w:t>
      </w:r>
    </w:p>
    <w:bookmarkEnd w:id="5"/>
    <w:p w14:paraId="5E0EC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>六、推动标准实施的措施建议</w:t>
      </w:r>
    </w:p>
    <w:p w14:paraId="53C8C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（一）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实施建议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 xml:space="preserve"> </w:t>
      </w:r>
    </w:p>
    <w:p w14:paraId="0CFF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辽宁省中医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远程医疗标准化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体系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建设规范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》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以辽宁中医药大学附属医院信息化建设为模版，各级中医及中西医结合医院可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根据当地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医院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实际情况，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充分参考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辽宁省中医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远程医疗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标准化体系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建设规范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》，以保证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远程医疗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标准化体系建设顺利进行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，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促进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各中医医疗机构远程医疗行为产业的发展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 xml:space="preserve">建议作为推荐性标准实施。 </w:t>
      </w:r>
    </w:p>
    <w:p w14:paraId="2CC73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 xml:space="preserve">（二）管理措施 </w:t>
      </w:r>
    </w:p>
    <w:p w14:paraId="16DE8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远程医疗平台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完成统一的标准和体系建立，把全省的中医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远程诊疗行为通过该平台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，以及其他健康生态的形态进行有效资源连接，进行统一的标准化处理，让精准，丰富的医疗数据在聚合、分析后，能够驱动临床医学、精准医学等实践应用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如何保障科学、合理、安全的使用，需要医疗机构以及其数据管理部门制定相应的管理流程、管理制度，以便</w:t>
      </w: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更好在</w:t>
      </w:r>
      <w:r>
        <w:rPr>
          <w:rFonts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推广实践中落实。</w:t>
      </w:r>
    </w:p>
    <w:p w14:paraId="122FA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_GB2312"/>
          <w:color w:val="auto"/>
          <w:sz w:val="24"/>
          <w:szCs w:val="24"/>
          <w:highlight w:val="none"/>
          <w:shd w:val="clear" w:color="auto" w:fill="auto"/>
        </w:rPr>
        <w:t>设立专门的远程医疗管理部门，统筹协调各方资源。制定严格的准入制度，对参与协作的单位和人员进行资质审核，确保其具备相应的技术和专业能力。建立完善的质量控制体系，定期对远程医疗服务进行评估和改进，确保医疗质量和安全。加强人员培训，提高医务人员的远程医疗技术水平和服务意识。制定应急预案，应对可能出现的技术故障和医疗纠纷。强化信息安全管理，采取加密、备份等措施，保护患者隐私和医疗数据安全。建立沟通协调机制，及时解决协作过程中出现的问题。同时，积极争取政策支持和资金投入，为远程医疗协作建设提供保障。</w:t>
      </w:r>
    </w:p>
    <w:p w14:paraId="0D71E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 xml:space="preserve">七、拟作为强制性地方标准的须写明明确的法律法规依据 </w:t>
      </w:r>
    </w:p>
    <w:p w14:paraId="478BF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 xml:space="preserve">无。 </w:t>
      </w:r>
    </w:p>
    <w:p w14:paraId="430EB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_GB2312"/>
          <w:b/>
          <w:bCs/>
          <w:sz w:val="24"/>
          <w:szCs w:val="24"/>
        </w:rPr>
      </w:pPr>
      <w:r>
        <w:rPr>
          <w:rFonts w:ascii="仿宋" w:hAnsi="仿宋" w:eastAsia="仿宋" w:cs="仿宋_GB2312"/>
          <w:b/>
          <w:bCs/>
          <w:sz w:val="24"/>
          <w:szCs w:val="24"/>
        </w:rPr>
        <w:t xml:space="preserve">八、其他应说明的事项 </w:t>
      </w:r>
    </w:p>
    <w:p w14:paraId="31716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r>
        <w:rPr>
          <w:rFonts w:ascii="仿宋" w:hAnsi="仿宋" w:eastAsia="仿宋" w:cs="仿宋_GB2312"/>
          <w:sz w:val="24"/>
          <w:szCs w:val="24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xNzAxNDVjOGI0M2UwNzRkMWRiYjU2MjI1NjBmYmQifQ=="/>
  </w:docVars>
  <w:rsids>
    <w:rsidRoot w:val="00A2071F"/>
    <w:rsid w:val="00011E7B"/>
    <w:rsid w:val="00016BF3"/>
    <w:rsid w:val="00085E81"/>
    <w:rsid w:val="00086045"/>
    <w:rsid w:val="000965D5"/>
    <w:rsid w:val="00096893"/>
    <w:rsid w:val="000A19CE"/>
    <w:rsid w:val="000C5CCA"/>
    <w:rsid w:val="000D61AB"/>
    <w:rsid w:val="000E4519"/>
    <w:rsid w:val="000F4128"/>
    <w:rsid w:val="000F444D"/>
    <w:rsid w:val="001010C3"/>
    <w:rsid w:val="00104B34"/>
    <w:rsid w:val="001053FC"/>
    <w:rsid w:val="001113E1"/>
    <w:rsid w:val="001119A1"/>
    <w:rsid w:val="001315EE"/>
    <w:rsid w:val="00133AE5"/>
    <w:rsid w:val="00134FFD"/>
    <w:rsid w:val="001634E5"/>
    <w:rsid w:val="00177EFA"/>
    <w:rsid w:val="001812FE"/>
    <w:rsid w:val="001909EF"/>
    <w:rsid w:val="001A43E2"/>
    <w:rsid w:val="001D4D98"/>
    <w:rsid w:val="001D7C72"/>
    <w:rsid w:val="001E42BA"/>
    <w:rsid w:val="001F0FDF"/>
    <w:rsid w:val="001F181B"/>
    <w:rsid w:val="001F4D9B"/>
    <w:rsid w:val="001F5037"/>
    <w:rsid w:val="001F7EA7"/>
    <w:rsid w:val="00212A80"/>
    <w:rsid w:val="002142FD"/>
    <w:rsid w:val="00221641"/>
    <w:rsid w:val="002427AF"/>
    <w:rsid w:val="0024657F"/>
    <w:rsid w:val="00247A93"/>
    <w:rsid w:val="002532DB"/>
    <w:rsid w:val="002604D5"/>
    <w:rsid w:val="00271D40"/>
    <w:rsid w:val="00276CD7"/>
    <w:rsid w:val="002810C5"/>
    <w:rsid w:val="002B1E43"/>
    <w:rsid w:val="002B7A1C"/>
    <w:rsid w:val="002C1FD6"/>
    <w:rsid w:val="002C36B7"/>
    <w:rsid w:val="002D4845"/>
    <w:rsid w:val="002E1E21"/>
    <w:rsid w:val="003035EB"/>
    <w:rsid w:val="003216F4"/>
    <w:rsid w:val="00321AD5"/>
    <w:rsid w:val="00340682"/>
    <w:rsid w:val="00346F1C"/>
    <w:rsid w:val="00363376"/>
    <w:rsid w:val="00374F87"/>
    <w:rsid w:val="00383BB0"/>
    <w:rsid w:val="00391375"/>
    <w:rsid w:val="003A3DFB"/>
    <w:rsid w:val="003A5A4F"/>
    <w:rsid w:val="003B63DB"/>
    <w:rsid w:val="003D35A0"/>
    <w:rsid w:val="003E2834"/>
    <w:rsid w:val="0040065E"/>
    <w:rsid w:val="00401F4B"/>
    <w:rsid w:val="004031E7"/>
    <w:rsid w:val="00412C79"/>
    <w:rsid w:val="0042035A"/>
    <w:rsid w:val="0042394C"/>
    <w:rsid w:val="00436A45"/>
    <w:rsid w:val="00437529"/>
    <w:rsid w:val="0044663F"/>
    <w:rsid w:val="00453B89"/>
    <w:rsid w:val="00460DB8"/>
    <w:rsid w:val="0046791E"/>
    <w:rsid w:val="00470B4B"/>
    <w:rsid w:val="00477CD6"/>
    <w:rsid w:val="004B1578"/>
    <w:rsid w:val="004C0DB6"/>
    <w:rsid w:val="004C3BBB"/>
    <w:rsid w:val="004D6CC7"/>
    <w:rsid w:val="004E2438"/>
    <w:rsid w:val="004E567D"/>
    <w:rsid w:val="004F3AAD"/>
    <w:rsid w:val="004F6140"/>
    <w:rsid w:val="00500443"/>
    <w:rsid w:val="0050669F"/>
    <w:rsid w:val="005108A3"/>
    <w:rsid w:val="0051524A"/>
    <w:rsid w:val="005420BE"/>
    <w:rsid w:val="005571E4"/>
    <w:rsid w:val="0056235C"/>
    <w:rsid w:val="00587A2A"/>
    <w:rsid w:val="00595F5B"/>
    <w:rsid w:val="005A45E5"/>
    <w:rsid w:val="005A596E"/>
    <w:rsid w:val="005B45C8"/>
    <w:rsid w:val="005C281F"/>
    <w:rsid w:val="005C2DA3"/>
    <w:rsid w:val="005C38C4"/>
    <w:rsid w:val="005C4D6D"/>
    <w:rsid w:val="005D4338"/>
    <w:rsid w:val="005D4482"/>
    <w:rsid w:val="006024CA"/>
    <w:rsid w:val="0060279B"/>
    <w:rsid w:val="0061638A"/>
    <w:rsid w:val="00621C0F"/>
    <w:rsid w:val="00630FBF"/>
    <w:rsid w:val="00665651"/>
    <w:rsid w:val="006B179E"/>
    <w:rsid w:val="006D06F4"/>
    <w:rsid w:val="006E0699"/>
    <w:rsid w:val="007270C6"/>
    <w:rsid w:val="00734226"/>
    <w:rsid w:val="0074140E"/>
    <w:rsid w:val="007431F9"/>
    <w:rsid w:val="00756439"/>
    <w:rsid w:val="00761146"/>
    <w:rsid w:val="00761FC2"/>
    <w:rsid w:val="0077014B"/>
    <w:rsid w:val="007845CD"/>
    <w:rsid w:val="00791EFE"/>
    <w:rsid w:val="007A7E61"/>
    <w:rsid w:val="007B713E"/>
    <w:rsid w:val="007C6D94"/>
    <w:rsid w:val="00801731"/>
    <w:rsid w:val="00814BB1"/>
    <w:rsid w:val="00850050"/>
    <w:rsid w:val="00850536"/>
    <w:rsid w:val="00877E72"/>
    <w:rsid w:val="00883E06"/>
    <w:rsid w:val="0088730F"/>
    <w:rsid w:val="008A0CA0"/>
    <w:rsid w:val="008A1CE3"/>
    <w:rsid w:val="008A6E6F"/>
    <w:rsid w:val="008F0B7A"/>
    <w:rsid w:val="00900746"/>
    <w:rsid w:val="009115E8"/>
    <w:rsid w:val="00976E33"/>
    <w:rsid w:val="009A3545"/>
    <w:rsid w:val="009B1720"/>
    <w:rsid w:val="009B23C5"/>
    <w:rsid w:val="009E1A68"/>
    <w:rsid w:val="009E765B"/>
    <w:rsid w:val="009F590C"/>
    <w:rsid w:val="009F66DC"/>
    <w:rsid w:val="00A10307"/>
    <w:rsid w:val="00A11558"/>
    <w:rsid w:val="00A119A3"/>
    <w:rsid w:val="00A1201A"/>
    <w:rsid w:val="00A2071F"/>
    <w:rsid w:val="00A20F1C"/>
    <w:rsid w:val="00A232B3"/>
    <w:rsid w:val="00A258B9"/>
    <w:rsid w:val="00A32F30"/>
    <w:rsid w:val="00A34E9D"/>
    <w:rsid w:val="00A64DDC"/>
    <w:rsid w:val="00A7017B"/>
    <w:rsid w:val="00A96127"/>
    <w:rsid w:val="00AA45F6"/>
    <w:rsid w:val="00AA72CF"/>
    <w:rsid w:val="00AB16C0"/>
    <w:rsid w:val="00AD641B"/>
    <w:rsid w:val="00AE35C0"/>
    <w:rsid w:val="00B02F39"/>
    <w:rsid w:val="00B2160C"/>
    <w:rsid w:val="00B81A64"/>
    <w:rsid w:val="00BB786C"/>
    <w:rsid w:val="00BC7682"/>
    <w:rsid w:val="00BE2A42"/>
    <w:rsid w:val="00C1690C"/>
    <w:rsid w:val="00C2700D"/>
    <w:rsid w:val="00C27F34"/>
    <w:rsid w:val="00C405AE"/>
    <w:rsid w:val="00C42FD9"/>
    <w:rsid w:val="00C558DA"/>
    <w:rsid w:val="00C569EB"/>
    <w:rsid w:val="00C62DCF"/>
    <w:rsid w:val="00C65BBB"/>
    <w:rsid w:val="00C841EC"/>
    <w:rsid w:val="00C86D4F"/>
    <w:rsid w:val="00C91074"/>
    <w:rsid w:val="00CA2148"/>
    <w:rsid w:val="00CC174F"/>
    <w:rsid w:val="00CE163D"/>
    <w:rsid w:val="00D0259F"/>
    <w:rsid w:val="00D13F29"/>
    <w:rsid w:val="00D31536"/>
    <w:rsid w:val="00D37885"/>
    <w:rsid w:val="00D41228"/>
    <w:rsid w:val="00D64156"/>
    <w:rsid w:val="00D6638D"/>
    <w:rsid w:val="00D67CC6"/>
    <w:rsid w:val="00D721DF"/>
    <w:rsid w:val="00D768A9"/>
    <w:rsid w:val="00DA1DC6"/>
    <w:rsid w:val="00DB41F3"/>
    <w:rsid w:val="00DC4F40"/>
    <w:rsid w:val="00DE7461"/>
    <w:rsid w:val="00DF1B29"/>
    <w:rsid w:val="00DF24D6"/>
    <w:rsid w:val="00E05E9A"/>
    <w:rsid w:val="00E0669C"/>
    <w:rsid w:val="00E258A6"/>
    <w:rsid w:val="00E44AD3"/>
    <w:rsid w:val="00E54114"/>
    <w:rsid w:val="00E8605D"/>
    <w:rsid w:val="00E90D64"/>
    <w:rsid w:val="00E96A46"/>
    <w:rsid w:val="00EC6B22"/>
    <w:rsid w:val="00EF175D"/>
    <w:rsid w:val="00EF5DFD"/>
    <w:rsid w:val="00EF7CE0"/>
    <w:rsid w:val="00F108AC"/>
    <w:rsid w:val="00F119C0"/>
    <w:rsid w:val="00F13CEE"/>
    <w:rsid w:val="00F17F4C"/>
    <w:rsid w:val="00F22B76"/>
    <w:rsid w:val="00F45917"/>
    <w:rsid w:val="00F46813"/>
    <w:rsid w:val="00F622DD"/>
    <w:rsid w:val="00F626F0"/>
    <w:rsid w:val="00F63965"/>
    <w:rsid w:val="00F759C7"/>
    <w:rsid w:val="00F84DE5"/>
    <w:rsid w:val="00FA0161"/>
    <w:rsid w:val="00FD291A"/>
    <w:rsid w:val="00FD5B2F"/>
    <w:rsid w:val="00FE3CA6"/>
    <w:rsid w:val="037C196D"/>
    <w:rsid w:val="055F6CDC"/>
    <w:rsid w:val="091B5B83"/>
    <w:rsid w:val="093B0B2D"/>
    <w:rsid w:val="0FAA35FB"/>
    <w:rsid w:val="15D03DB2"/>
    <w:rsid w:val="18C82B09"/>
    <w:rsid w:val="244D0366"/>
    <w:rsid w:val="295126A7"/>
    <w:rsid w:val="2A7F7F7B"/>
    <w:rsid w:val="2EFD135A"/>
    <w:rsid w:val="2F77098D"/>
    <w:rsid w:val="2FE222AB"/>
    <w:rsid w:val="34706113"/>
    <w:rsid w:val="36EE59D9"/>
    <w:rsid w:val="37E868CC"/>
    <w:rsid w:val="384F238B"/>
    <w:rsid w:val="47DC413E"/>
    <w:rsid w:val="496D6C31"/>
    <w:rsid w:val="4BE62CCB"/>
    <w:rsid w:val="4FDA48F5"/>
    <w:rsid w:val="500656EA"/>
    <w:rsid w:val="508D7BB9"/>
    <w:rsid w:val="514F30C0"/>
    <w:rsid w:val="56D55E16"/>
    <w:rsid w:val="58366123"/>
    <w:rsid w:val="5A696FA1"/>
    <w:rsid w:val="5C82259C"/>
    <w:rsid w:val="5E914D18"/>
    <w:rsid w:val="62817E9F"/>
    <w:rsid w:val="64721148"/>
    <w:rsid w:val="6C03272F"/>
    <w:rsid w:val="6DFA6436"/>
    <w:rsid w:val="744D6732"/>
    <w:rsid w:val="77642B72"/>
    <w:rsid w:val="799B4846"/>
    <w:rsid w:val="7B8837B5"/>
    <w:rsid w:val="7E631DD5"/>
    <w:rsid w:val="7EA0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3571</Words>
  <Characters>3681</Characters>
  <Lines>27</Lines>
  <Paragraphs>7</Paragraphs>
  <TotalTime>0</TotalTime>
  <ScaleCrop>false</ScaleCrop>
  <LinksUpToDate>false</LinksUpToDate>
  <CharactersWithSpaces>3715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2023-05-23T12:53:00Z</dcterms:created>
  <dc:creator>Windows 用户</dc:creator>
  <cp:lastModifiedBy>lenovo</cp:lastModifiedBy>
  <dcterms:modified xsi:type="dcterms:W3CDTF">2024-10-12T02:37:31Z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2A7A232D9C724B5191AE1CF9B7CFE3CC_13</vt:lpwstr>
  </property>
</Properties>
</file>