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line="500" w:lineRule="exact"/>
        <w:jc w:val="left"/>
        <w:textAlignment w:val="auto"/>
        <w:rPr>
          <w:rFonts w:hint="eastAsia" w:ascii="黑体" w:hAnsi="黑体" w:eastAsia="黑体" w:cs="黑体"/>
          <w:sz w:val="32"/>
          <w:szCs w:val="32"/>
        </w:rPr>
      </w:pPr>
      <w:bookmarkStart w:id="0" w:name="_GoBack"/>
      <w:bookmarkEnd w:id="0"/>
      <w:r>
        <w:rPr>
          <w:rFonts w:hint="eastAsia" w:ascii="黑体" w:hAnsi="黑体" w:eastAsia="黑体" w:cs="黑体"/>
          <w:sz w:val="32"/>
          <w:szCs w:val="32"/>
        </w:rPr>
        <w:t>附件1</w:t>
      </w:r>
    </w:p>
    <w:p>
      <w:pPr>
        <w:widowControl w:val="0"/>
        <w:wordWrap/>
        <w:adjustRightInd/>
        <w:snapToGrid/>
        <w:spacing w:afterLines="100"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朝阳县集体农用地基准地价成果</w:t>
      </w:r>
    </w:p>
    <w:p>
      <w:pPr>
        <w:widowControl w:val="0"/>
        <w:wordWrap/>
        <w:adjustRightInd/>
        <w:snapToGrid/>
        <w:spacing w:line="520" w:lineRule="exact"/>
        <w:ind w:firstLine="640" w:firstLineChars="200"/>
        <w:jc w:val="both"/>
        <w:textAlignment w:val="auto"/>
        <w:rPr>
          <w:rFonts w:hint="eastAsia" w:ascii="Times New Roman" w:hAnsi="Times New Roman" w:eastAsia="黑体" w:cs="黑体"/>
          <w:sz w:val="32"/>
          <w:szCs w:val="32"/>
          <w:lang w:eastAsia="zh-CN"/>
        </w:rPr>
      </w:pPr>
      <w:r>
        <w:rPr>
          <w:rFonts w:hint="eastAsia" w:ascii="Times New Roman" w:hAnsi="Times New Roman" w:eastAsia="黑体" w:cs="黑体"/>
          <w:sz w:val="32"/>
          <w:szCs w:val="32"/>
          <w:lang w:eastAsia="zh-CN"/>
        </w:rPr>
        <w:t>一、适用范围</w:t>
      </w:r>
    </w:p>
    <w:p>
      <w:pPr>
        <w:widowControl w:val="0"/>
        <w:wordWrap/>
        <w:adjustRightInd/>
        <w:snapToGrid/>
        <w:spacing w:line="520" w:lineRule="exact"/>
        <w:ind w:firstLine="640" w:firstLineChars="200"/>
        <w:jc w:val="both"/>
        <w:textAlignment w:val="auto"/>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sz w:val="32"/>
          <w:szCs w:val="32"/>
          <w:lang w:eastAsia="zh-CN"/>
        </w:rPr>
        <w:t>朝阳县集体农用地基准地价适用于朝阳县行政辖区范围内的集体所有耕地</w:t>
      </w:r>
      <w:r>
        <w:rPr>
          <w:rFonts w:hint="eastAsia" w:ascii="Times New Roman" w:hAnsi="Times New Roman" w:eastAsia="仿宋_GB2312" w:cs="仿宋_GB2312"/>
          <w:sz w:val="32"/>
          <w:szCs w:val="32"/>
          <w:highlight w:val="none"/>
        </w:rPr>
        <w:t>（包括</w:t>
      </w:r>
      <w:r>
        <w:rPr>
          <w:rFonts w:hint="eastAsia" w:ascii="Times New Roman" w:hAnsi="Times New Roman" w:eastAsia="仿宋_GB2312" w:cs="仿宋_GB2312"/>
          <w:sz w:val="32"/>
          <w:szCs w:val="32"/>
          <w:highlight w:val="none"/>
          <w:lang w:val="en-US" w:eastAsia="zh-CN"/>
        </w:rPr>
        <w:t>水浇地、旱地</w:t>
      </w:r>
      <w:r>
        <w:rPr>
          <w:rFonts w:hint="eastAsia" w:ascii="Times New Roman" w:hAnsi="Times New Roman" w:eastAsia="仿宋_GB2312" w:cs="仿宋_GB2312"/>
          <w:sz w:val="32"/>
          <w:szCs w:val="32"/>
          <w:highlight w:val="none"/>
        </w:rPr>
        <w:t>）。</w:t>
      </w:r>
    </w:p>
    <w:p>
      <w:pPr>
        <w:widowControl w:val="0"/>
        <w:wordWrap/>
        <w:adjustRightInd/>
        <w:snapToGrid/>
        <w:spacing w:line="520" w:lineRule="exact"/>
        <w:ind w:firstLine="640" w:firstLineChars="200"/>
        <w:jc w:val="both"/>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二、基准地价内涵</w:t>
      </w:r>
    </w:p>
    <w:p>
      <w:pPr>
        <w:widowControl w:val="0"/>
        <w:wordWrap/>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估价基准日：2021年1月1日。</w:t>
      </w:r>
    </w:p>
    <w:p>
      <w:pPr>
        <w:widowControl w:val="0"/>
        <w:wordWrap/>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土地权利：集体农用地承包经营权价格和经营权价格。</w:t>
      </w:r>
    </w:p>
    <w:p>
      <w:pPr>
        <w:widowControl w:val="0"/>
        <w:wordWrap/>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土地权利年期：设定土地权利年期为30年。</w:t>
      </w:r>
    </w:p>
    <w:p>
      <w:pPr>
        <w:widowControl w:val="0"/>
        <w:wordWrap/>
        <w:adjustRightInd/>
        <w:snapToGrid/>
        <w:spacing w:line="5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用地类型：为集体耕地，细化到二级地类：水浇地、旱地。</w:t>
      </w:r>
    </w:p>
    <w:p>
      <w:pPr>
        <w:widowControl w:val="0"/>
        <w:wordWrap/>
        <w:adjustRightInd/>
        <w:snapToGrid/>
        <w:spacing w:line="360" w:lineRule="auto"/>
        <w:ind w:firstLine="640" w:firstLineChars="200"/>
        <w:jc w:val="both"/>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三、集体农用地基准地价表</w:t>
      </w:r>
    </w:p>
    <w:p>
      <w:pPr>
        <w:widowControl w:val="0"/>
        <w:wordWrap/>
        <w:adjustRightInd/>
        <w:snapToGrid/>
        <w:spacing w:line="600" w:lineRule="exact"/>
        <w:ind w:firstLine="560" w:firstLineChars="200"/>
        <w:jc w:val="center"/>
        <w:textAlignment w:val="auto"/>
        <w:rPr>
          <w:rFonts w:hint="eastAsia" w:ascii="黑体" w:hAnsi="黑体" w:eastAsia="黑体" w:cs="黑体"/>
          <w:b w:val="0"/>
          <w:bCs w:val="0"/>
          <w:sz w:val="28"/>
          <w:szCs w:val="28"/>
          <w:lang w:val="en-US" w:eastAsia="zh-CN"/>
        </w:rPr>
      </w:pPr>
      <w:r>
        <w:rPr>
          <w:rFonts w:hint="eastAsia" w:ascii="黑体" w:hAnsi="黑体" w:eastAsia="黑体" w:cs="黑体"/>
          <w:i w:val="0"/>
          <w:iCs w:val="0"/>
          <w:color w:val="auto"/>
          <w:sz w:val="28"/>
          <w:szCs w:val="28"/>
          <w:lang w:eastAsia="zh-CN"/>
        </w:rPr>
        <w:t>朝阳县集体</w:t>
      </w:r>
      <w:r>
        <w:rPr>
          <w:rFonts w:hint="eastAsia" w:ascii="黑体" w:hAnsi="黑体" w:eastAsia="黑体" w:cs="黑体"/>
          <w:i w:val="0"/>
          <w:iCs w:val="0"/>
          <w:color w:val="auto"/>
          <w:sz w:val="28"/>
          <w:szCs w:val="28"/>
        </w:rPr>
        <w:t>农用地基准地价表</w:t>
      </w:r>
    </w:p>
    <w:tbl>
      <w:tblPr>
        <w:tblW w:w="8401" w:type="dxa"/>
        <w:tblInd w:w="4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0"/>
        <w:gridCol w:w="1307"/>
        <w:gridCol w:w="1384"/>
        <w:gridCol w:w="1500"/>
        <w:gridCol w:w="1560"/>
        <w:gridCol w:w="1650"/>
      </w:tblGrid>
      <w:tr>
        <w:trPr>
          <w:trHeight w:val="561" w:hRule="atLeast"/>
          <w:tblHeader/>
        </w:trPr>
        <w:tc>
          <w:tcPr>
            <w:tcW w:w="10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kern w:val="0"/>
                <w:sz w:val="20"/>
                <w:szCs w:val="20"/>
                <w:u w:val="none"/>
                <w:lang w:val="en-US" w:eastAsia="zh-CN"/>
              </w:rPr>
            </w:pPr>
            <w:r>
              <w:rPr>
                <w:rFonts w:hint="eastAsia" w:ascii="黑体" w:hAnsi="黑体" w:eastAsia="黑体" w:cs="黑体"/>
                <w:i w:val="0"/>
                <w:iCs w:val="0"/>
                <w:color w:val="000000"/>
                <w:kern w:val="0"/>
                <w:sz w:val="20"/>
                <w:szCs w:val="20"/>
                <w:u w:val="none"/>
                <w:lang w:val="en-US" w:eastAsia="zh-CN"/>
              </w:rPr>
              <w:t>土地</w:t>
            </w:r>
          </w:p>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类型</w:t>
            </w:r>
          </w:p>
        </w:tc>
        <w:tc>
          <w:tcPr>
            <w:tcW w:w="130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土地级别</w:t>
            </w:r>
          </w:p>
        </w:tc>
        <w:tc>
          <w:tcPr>
            <w:tcW w:w="288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Style w:val="17"/>
                <w:rFonts w:hint="eastAsia" w:ascii="黑体" w:hAnsi="黑体" w:eastAsia="黑体" w:cs="黑体"/>
                <w:lang w:val="en-US" w:eastAsia="zh-CN"/>
              </w:rPr>
              <w:t>承包经营权</w:t>
            </w:r>
            <w:r>
              <w:rPr>
                <w:rFonts w:hint="eastAsia" w:ascii="黑体" w:hAnsi="黑体" w:eastAsia="黑体" w:cs="黑体"/>
                <w:i w:val="0"/>
                <w:iCs w:val="0"/>
                <w:color w:val="000000"/>
                <w:kern w:val="0"/>
                <w:sz w:val="20"/>
                <w:szCs w:val="20"/>
                <w:u w:val="none"/>
                <w:lang w:val="en-US" w:eastAsia="zh-CN"/>
              </w:rPr>
              <w:t>基准地价</w:t>
            </w:r>
          </w:p>
        </w:tc>
        <w:tc>
          <w:tcPr>
            <w:tcW w:w="321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经营权基准地价</w:t>
            </w:r>
          </w:p>
        </w:tc>
      </w:tr>
      <w:tr>
        <w:trPr>
          <w:trHeight w:val="561" w:hRule="atLeast"/>
          <w:tblHeader/>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eastAsia="黑体" w:cs="黑体"/>
                <w:i w:val="0"/>
                <w:iCs w:val="0"/>
                <w:color w:val="000000"/>
                <w:sz w:val="20"/>
                <w:szCs w:val="20"/>
                <w:u w:val="none"/>
              </w:rPr>
            </w:pPr>
          </w:p>
        </w:tc>
        <w:tc>
          <w:tcPr>
            <w:tcW w:w="130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黑体" w:hAnsi="黑体" w:eastAsia="黑体" w:cs="黑体"/>
                <w:i w:val="0"/>
                <w:iCs w:val="0"/>
                <w:color w:val="000000"/>
                <w:sz w:val="20"/>
                <w:szCs w:val="20"/>
                <w:u w:val="none"/>
              </w:rPr>
            </w:pP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元/平方米</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万元/亩</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元/平方米</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万元/亩</w:t>
            </w:r>
          </w:p>
        </w:tc>
      </w:tr>
      <w:tr>
        <w:trPr>
          <w:trHeight w:val="560" w:hRule="atLeast"/>
        </w:trPr>
        <w:tc>
          <w:tcPr>
            <w:tcW w:w="10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水浇地</w:t>
            </w: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31.95</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2.13</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16.13</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1.08</w:t>
            </w:r>
          </w:p>
        </w:tc>
      </w:tr>
      <w:tr>
        <w:trPr>
          <w:trHeight w:val="560" w:hRule="atLeast"/>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宋体"/>
                <w:i w:val="0"/>
                <w:iCs w:val="0"/>
                <w:color w:val="000000"/>
                <w:sz w:val="20"/>
                <w:szCs w:val="20"/>
                <w:u w:val="none"/>
              </w:rPr>
            </w:pP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2</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27.37</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1.82</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12.46</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0.83</w:t>
            </w:r>
          </w:p>
        </w:tc>
      </w:tr>
      <w:tr>
        <w:trPr>
          <w:trHeight w:val="560" w:hRule="atLeast"/>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宋体"/>
                <w:i w:val="0"/>
                <w:iCs w:val="0"/>
                <w:color w:val="000000"/>
                <w:sz w:val="20"/>
                <w:szCs w:val="20"/>
                <w:u w:val="none"/>
              </w:rPr>
            </w:pP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3</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21.73</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1.45</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11.35</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0.76</w:t>
            </w:r>
          </w:p>
        </w:tc>
      </w:tr>
      <w:tr>
        <w:trPr>
          <w:trHeight w:val="560" w:hRule="atLeast"/>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宋体"/>
                <w:i w:val="0"/>
                <w:iCs w:val="0"/>
                <w:color w:val="000000"/>
                <w:sz w:val="20"/>
                <w:szCs w:val="20"/>
                <w:u w:val="none"/>
              </w:rPr>
            </w:pP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4</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18.91</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1.26</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10.29</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0.69</w:t>
            </w:r>
          </w:p>
        </w:tc>
      </w:tr>
      <w:tr>
        <w:trPr>
          <w:trHeight w:val="560" w:hRule="atLeast"/>
        </w:trPr>
        <w:tc>
          <w:tcPr>
            <w:tcW w:w="100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旱地</w:t>
            </w: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24.96</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1.66</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12.52</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0.83</w:t>
            </w:r>
          </w:p>
        </w:tc>
      </w:tr>
      <w:tr>
        <w:trPr>
          <w:trHeight w:val="560" w:hRule="atLeast"/>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宋体"/>
                <w:i w:val="0"/>
                <w:iCs w:val="0"/>
                <w:color w:val="000000"/>
                <w:sz w:val="20"/>
                <w:szCs w:val="20"/>
                <w:u w:val="none"/>
              </w:rPr>
            </w:pP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2</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17.69</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1.18</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11.37</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0.76</w:t>
            </w:r>
          </w:p>
        </w:tc>
      </w:tr>
      <w:tr>
        <w:trPr>
          <w:trHeight w:val="560" w:hRule="atLeast"/>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宋体"/>
                <w:i w:val="0"/>
                <w:iCs w:val="0"/>
                <w:color w:val="000000"/>
                <w:sz w:val="20"/>
                <w:szCs w:val="20"/>
                <w:u w:val="none"/>
              </w:rPr>
            </w:pP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3</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13.94</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0.93</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10.4</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0.69</w:t>
            </w:r>
          </w:p>
        </w:tc>
      </w:tr>
      <w:tr>
        <w:trPr>
          <w:trHeight w:val="560" w:hRule="atLeast"/>
        </w:trPr>
        <w:tc>
          <w:tcPr>
            <w:tcW w:w="100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s="宋体"/>
                <w:i w:val="0"/>
                <w:iCs w:val="0"/>
                <w:color w:val="000000"/>
                <w:sz w:val="20"/>
                <w:szCs w:val="20"/>
                <w:u w:val="none"/>
              </w:rPr>
            </w:pPr>
          </w:p>
        </w:tc>
        <w:tc>
          <w:tcPr>
            <w:tcW w:w="13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4</w:t>
            </w:r>
            <w:r>
              <w:rPr>
                <w:rStyle w:val="17"/>
                <w:rFonts w:hint="eastAsia" w:ascii="Times New Roman" w:hAnsi="Times New Roman" w:eastAsia="宋体" w:cs="宋体"/>
                <w:lang w:val="en-US" w:eastAsia="zh-CN"/>
              </w:rPr>
              <w:t>级</w:t>
            </w:r>
          </w:p>
        </w:tc>
        <w:tc>
          <w:tcPr>
            <w:tcW w:w="13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10.89</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0.73</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8.24</w:t>
            </w:r>
          </w:p>
        </w:tc>
        <w:tc>
          <w:tcPr>
            <w:tcW w:w="16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cs="宋体"/>
                <w:i w:val="0"/>
                <w:iCs w:val="0"/>
                <w:color w:val="000000"/>
                <w:sz w:val="20"/>
                <w:szCs w:val="20"/>
                <w:u w:val="none"/>
              </w:rPr>
            </w:pPr>
            <w:r>
              <w:rPr>
                <w:rFonts w:hint="eastAsia" w:ascii="Times New Roman" w:hAnsi="Times New Roman" w:eastAsia="宋体" w:cs="宋体"/>
                <w:i w:val="0"/>
                <w:iCs w:val="0"/>
                <w:color w:val="000000"/>
                <w:kern w:val="0"/>
                <w:sz w:val="20"/>
                <w:szCs w:val="20"/>
                <w:u w:val="none"/>
                <w:lang w:val="en-US" w:eastAsia="zh-CN"/>
              </w:rPr>
              <w:t>0.55</w:t>
            </w:r>
          </w:p>
        </w:tc>
      </w:tr>
    </w:tbl>
    <w:p>
      <w:pPr>
        <w:widowControl w:val="0"/>
        <w:wordWrap/>
        <w:adjustRightInd/>
        <w:snapToGrid/>
        <w:spacing w:line="360" w:lineRule="auto"/>
        <w:ind w:firstLine="640" w:firstLineChars="200"/>
        <w:jc w:val="both"/>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四、土地级别划分范围</w:t>
      </w:r>
    </w:p>
    <w:p>
      <w:pPr>
        <w:spacing w:line="360" w:lineRule="auto"/>
        <w:jc w:val="center"/>
        <w:rPr>
          <w:rFonts w:hint="eastAsia" w:ascii="Times New Roman" w:hAnsi="Times New Roman" w:eastAsia="黑体" w:cs="黑体"/>
          <w:b w:val="0"/>
          <w:bCs/>
          <w:sz w:val="28"/>
          <w:szCs w:val="28"/>
          <w:lang w:eastAsia="zh-CN"/>
        </w:rPr>
      </w:pPr>
      <w:r>
        <w:rPr>
          <w:rFonts w:hint="eastAsia" w:ascii="Times New Roman" w:hAnsi="Times New Roman" w:eastAsia="黑体" w:cs="黑体"/>
          <w:b w:val="0"/>
          <w:bCs/>
          <w:sz w:val="28"/>
          <w:szCs w:val="28"/>
          <w:lang w:eastAsia="zh-CN"/>
        </w:rPr>
        <w:t>朝阳县</w:t>
      </w:r>
      <w:r>
        <w:rPr>
          <w:rFonts w:hint="eastAsia" w:ascii="Times New Roman" w:hAnsi="Times New Roman" w:eastAsia="黑体" w:cs="黑体"/>
          <w:b w:val="0"/>
          <w:bCs/>
          <w:sz w:val="28"/>
          <w:szCs w:val="28"/>
        </w:rPr>
        <w:t>农用地级别范围描述</w:t>
      </w:r>
      <w:r>
        <w:rPr>
          <w:rFonts w:hint="eastAsia" w:ascii="Times New Roman" w:hAnsi="Times New Roman" w:eastAsia="黑体" w:cs="黑体"/>
          <w:b w:val="0"/>
          <w:bCs/>
          <w:sz w:val="28"/>
          <w:szCs w:val="28"/>
          <w:lang w:eastAsia="zh-CN"/>
        </w:rPr>
        <w:t>表</w:t>
      </w:r>
    </w:p>
    <w:tbl>
      <w:tblPr>
        <w:tblW w:w="86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3"/>
        <w:gridCol w:w="7824"/>
      </w:tblGrid>
      <w:tr>
        <w:trPr>
          <w:trHeight w:val="363" w:hRule="atLeast"/>
          <w:tblHeader/>
          <w:jc w:val="center"/>
        </w:trPr>
        <w:tc>
          <w:tcPr>
            <w:tcW w:w="833" w:type="dxa"/>
            <w:tcBorders>
              <w:tl2br w:val="nil"/>
              <w:tr2bl w:val="nil"/>
            </w:tcBorders>
            <w:vAlign w:val="center"/>
          </w:tcPr>
          <w:p>
            <w:pPr>
              <w:widowControl/>
              <w:jc w:val="center"/>
              <w:textAlignment w:val="center"/>
              <w:rPr>
                <w:rFonts w:hint="eastAsia" w:ascii="黑体" w:hAnsi="黑体" w:eastAsia="黑体" w:cs="黑体"/>
                <w:i w:val="0"/>
                <w:iCs w:val="0"/>
                <w:color w:val="000000"/>
                <w:kern w:val="0"/>
                <w:sz w:val="20"/>
                <w:szCs w:val="20"/>
                <w:u w:val="none"/>
                <w:lang w:val="en-US" w:eastAsia="zh-CN"/>
              </w:rPr>
            </w:pPr>
            <w:r>
              <w:rPr>
                <w:rFonts w:hint="eastAsia" w:ascii="黑体" w:hAnsi="黑体" w:eastAsia="黑体" w:cs="黑体"/>
                <w:i w:val="0"/>
                <w:iCs w:val="0"/>
                <w:color w:val="000000"/>
                <w:kern w:val="0"/>
                <w:sz w:val="20"/>
                <w:szCs w:val="20"/>
                <w:u w:val="none"/>
                <w:lang w:val="en-US" w:eastAsia="zh-CN"/>
              </w:rPr>
              <w:t>土地</w:t>
            </w:r>
          </w:p>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级别</w:t>
            </w:r>
          </w:p>
        </w:tc>
        <w:tc>
          <w:tcPr>
            <w:tcW w:w="7824" w:type="dxa"/>
            <w:tcBorders>
              <w:tl2br w:val="nil"/>
              <w:tr2bl w:val="nil"/>
            </w:tcBorders>
            <w:vAlign w:val="center"/>
          </w:tcPr>
          <w:p>
            <w:pPr>
              <w:widowControl/>
              <w:jc w:val="center"/>
              <w:textAlignment w:val="center"/>
              <w:rPr>
                <w:rFonts w:hint="eastAsia" w:ascii="黑体" w:hAnsi="黑体" w:eastAsia="黑体" w:cs="黑体"/>
                <w:i w:val="0"/>
                <w:iCs w:val="0"/>
                <w:color w:val="000000"/>
                <w:sz w:val="20"/>
                <w:szCs w:val="20"/>
                <w:u w:val="none"/>
              </w:rPr>
            </w:pPr>
            <w:r>
              <w:rPr>
                <w:rFonts w:hint="eastAsia" w:ascii="黑体" w:hAnsi="黑体" w:eastAsia="黑体" w:cs="黑体"/>
                <w:i w:val="0"/>
                <w:iCs w:val="0"/>
                <w:color w:val="000000"/>
                <w:kern w:val="0"/>
                <w:sz w:val="20"/>
                <w:szCs w:val="20"/>
                <w:u w:val="none"/>
                <w:lang w:val="en-US" w:eastAsia="zh-CN"/>
              </w:rPr>
              <w:t>分布情况</w:t>
            </w:r>
          </w:p>
        </w:tc>
      </w:tr>
      <w:tr>
        <w:trPr>
          <w:trHeight w:val="2519" w:hRule="atLeast"/>
          <w:jc w:val="center"/>
        </w:trPr>
        <w:tc>
          <w:tcPr>
            <w:tcW w:w="833" w:type="dxa"/>
            <w:tcBorders>
              <w:tl2br w:val="nil"/>
              <w:tr2bl w:val="nil"/>
            </w:tcBorders>
            <w:vAlign w:val="center"/>
          </w:tcPr>
          <w:p>
            <w:pPr>
              <w:widowControl/>
              <w:jc w:val="center"/>
              <w:textAlignment w:val="center"/>
              <w:rPr>
                <w:rFonts w:hint="eastAsia" w:ascii="Times New Roman" w:hAnsi="Times New Roman" w:eastAsia="仿宋_GB2312" w:cs="仿宋_GB2312"/>
                <w:i w:val="0"/>
                <w:iCs w:val="0"/>
                <w:color w:val="000000"/>
                <w:sz w:val="20"/>
                <w:szCs w:val="20"/>
                <w:u w:val="none"/>
              </w:rPr>
            </w:pPr>
            <w:r>
              <w:rPr>
                <w:rFonts w:hint="eastAsia" w:ascii="Times New Roman" w:hAnsi="Times New Roman" w:eastAsia="仿宋_GB2312" w:cs="仿宋_GB2312"/>
                <w:i w:val="0"/>
                <w:iCs w:val="0"/>
                <w:color w:val="000000"/>
                <w:kern w:val="0"/>
                <w:sz w:val="20"/>
                <w:szCs w:val="20"/>
                <w:u w:val="none"/>
                <w:lang w:val="en-US" w:eastAsia="zh-CN"/>
              </w:rPr>
              <w:t>1级</w:t>
            </w:r>
          </w:p>
        </w:tc>
        <w:tc>
          <w:tcPr>
            <w:tcW w:w="7824" w:type="dxa"/>
            <w:tcBorders>
              <w:tl2br w:val="nil"/>
              <w:tr2bl w:val="nil"/>
            </w:tcBorders>
            <w:vAlign w:val="center"/>
          </w:tcPr>
          <w:p>
            <w:pPr>
              <w:widowControl/>
              <w:jc w:val="left"/>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rPr>
              <w:t>柳城街道：腰而营子村、袁台子村、拉拉屯村、郭家村、波赤村、东山村、十二台村；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二十家子镇：兴隆岗村、二十家子村、何家窝铺村、文家沟村、下卧村、东南沟村、银窝村、黄土坎子村；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大庙镇：水泉村、卧佛头沟村、贝子胡同村、大庙村；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胜利镇：东山村；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七道岭镇：何家窝铺村；</w:t>
            </w:r>
          </w:p>
        </w:tc>
      </w:tr>
      <w:tr>
        <w:trPr>
          <w:trHeight w:val="1141" w:hRule="atLeast"/>
          <w:jc w:val="center"/>
        </w:trPr>
        <w:tc>
          <w:tcPr>
            <w:tcW w:w="833" w:type="dxa"/>
            <w:tcBorders>
              <w:tl2br w:val="nil"/>
              <w:tr2bl w:val="nil"/>
            </w:tcBorders>
            <w:vAlign w:val="center"/>
          </w:tcPr>
          <w:p>
            <w:pPr>
              <w:widowControl/>
              <w:jc w:val="center"/>
              <w:textAlignment w:val="center"/>
              <w:rPr>
                <w:rFonts w:hint="eastAsia" w:ascii="Times New Roman" w:hAnsi="Times New Roman" w:eastAsia="仿宋_GB2312" w:cs="仿宋_GB2312"/>
                <w:i w:val="0"/>
                <w:iCs w:val="0"/>
                <w:color w:val="000000"/>
                <w:sz w:val="20"/>
                <w:szCs w:val="20"/>
                <w:u w:val="none"/>
              </w:rPr>
            </w:pPr>
            <w:r>
              <w:rPr>
                <w:rFonts w:hint="eastAsia" w:ascii="Times New Roman" w:hAnsi="Times New Roman" w:eastAsia="仿宋_GB2312" w:cs="仿宋_GB2312"/>
                <w:i w:val="0"/>
                <w:iCs w:val="0"/>
                <w:color w:val="000000"/>
                <w:kern w:val="0"/>
                <w:sz w:val="20"/>
                <w:szCs w:val="20"/>
                <w:u w:val="none"/>
                <w:lang w:val="en-US" w:eastAsia="zh-CN"/>
              </w:rPr>
              <w:t>2级</w:t>
            </w:r>
          </w:p>
        </w:tc>
        <w:tc>
          <w:tcPr>
            <w:tcW w:w="7824" w:type="dxa"/>
            <w:tcBorders>
              <w:tl2br w:val="nil"/>
              <w:tr2bl w:val="nil"/>
            </w:tcBorders>
            <w:vAlign w:val="center"/>
          </w:tcPr>
          <w:p>
            <w:pPr>
              <w:widowControl/>
              <w:jc w:val="left"/>
              <w:textAlignment w:val="center"/>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rPr>
              <w:t>六家子镇：东山村；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北沟门子乡：东山村；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柳城街道：下洼子村、小平房村、牟台子村、南林皋村；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波罗赤镇：波罗赤村；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木头城子镇：木头城子村、陈杖子村、十家子村、西营子村；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二十家子镇：铧子沟村、赵营子社区、刘杖子村、三家屯村、肖杖子村、北沟村；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羊山镇：南营子村、五佛洞村、羊山村、大四家子村、塔子沟村、孤家子村、陈美营子村、偏道沟村、倒廷沟村、北营子村；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六家子镇：农场村、老虎沟村、六家子村、八家子村；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瓦房子镇：马台子村；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大庙镇：老西沟村、宁杖子村、范杖子村、鞠杖子村；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古山子镇：二道村、炮手村、红石村、娘娘庙村；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南双庙镇：马德沟村、南双庙村、梨树沟村、瓦房店村、曹家村、南梁村、吊桥子村；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台子镇：三岔口村、东窑村、六家子村；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胜利镇：菜园子村、肖杖子村、三道梁村、大黄杖子村、于杖子村、吴家杖子村、山咀子村、赵家湾村、大嘎海图村；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七道岭镇：双庙村；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东大道乡：郭杖子村；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东大屯乡：高家村、徐家店村、孤山子村、大屯村、稗子沟村、士毅村、庙沟村、玉田屯村、薛家屯村；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松岭门蒙古族乡：松岭门村、梁家屯村；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根德营子乡：曹家杖子村；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西营子乡：西六家子村；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北四家子乡：唐杖子村、北四家子村、文户沟村；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王营子乡：八家子村、北营子村、南营子村；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黑牛营子乡：章吉营子村、黑牛营子村；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国营朝阳县贾家店农场：四分场</w:t>
            </w:r>
          </w:p>
        </w:tc>
      </w:tr>
      <w:tr>
        <w:trPr>
          <w:trHeight w:val="7240" w:hRule="atLeast"/>
          <w:jc w:val="center"/>
        </w:trPr>
        <w:tc>
          <w:tcPr>
            <w:tcW w:w="833" w:type="dxa"/>
            <w:tcBorders>
              <w:tl2br w:val="nil"/>
              <w:tr2bl w:val="nil"/>
            </w:tcBorders>
            <w:vAlign w:val="center"/>
          </w:tcPr>
          <w:p>
            <w:pPr>
              <w:widowControl/>
              <w:jc w:val="center"/>
              <w:textAlignment w:val="center"/>
              <w:rPr>
                <w:rFonts w:hint="eastAsia" w:ascii="Times New Roman" w:hAnsi="Times New Roman" w:eastAsia="仿宋_GB2312" w:cs="仿宋_GB2312"/>
                <w:i w:val="0"/>
                <w:iCs w:val="0"/>
                <w:color w:val="000000"/>
                <w:sz w:val="20"/>
                <w:szCs w:val="20"/>
                <w:u w:val="none"/>
              </w:rPr>
            </w:pPr>
            <w:r>
              <w:rPr>
                <w:rFonts w:hint="eastAsia" w:ascii="Times New Roman" w:hAnsi="Times New Roman" w:eastAsia="仿宋_GB2312" w:cs="仿宋_GB2312"/>
                <w:i w:val="0"/>
                <w:iCs w:val="0"/>
                <w:color w:val="000000"/>
                <w:kern w:val="0"/>
                <w:sz w:val="20"/>
                <w:szCs w:val="20"/>
                <w:u w:val="none"/>
                <w:lang w:val="en-US" w:eastAsia="zh-CN"/>
              </w:rPr>
              <w:t>3级</w:t>
            </w:r>
          </w:p>
        </w:tc>
        <w:tc>
          <w:tcPr>
            <w:tcW w:w="7824" w:type="dxa"/>
            <w:tcBorders>
              <w:tl2br w:val="nil"/>
              <w:tr2bl w:val="nil"/>
            </w:tcBorders>
            <w:vAlign w:val="top"/>
          </w:tcPr>
          <w:p>
            <w:pPr>
              <w:widowControl/>
              <w:jc w:val="left"/>
              <w:textAlignment w:val="top"/>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rPr>
              <w:t>柳城街道：小木头沟村、南大营子村、西大杖子村；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波罗赤镇：白营子村、肖三家村、南洼村、焦营子村、华家店村、康家屯村；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木头城子镇：蒿松沟村、扎兰营子村、姚杖子村、徐家屯村、新村、永来店村、满达营子村；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二十家子镇：南大营子村、四家子村、西地村；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羊山镇：西山村、石匠沟村、四台村、高八尺村、东升村、李杖子村；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六家子镇：下坎子村、官粮窖村、西山村、缸岔村、周杖子村；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瓦房子镇：团山子村、局子沟村、杨树沟村；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大庙镇：邓杖子村、青山村；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古山子镇：马杖子村、高杖子村、铧子炉村、赵家洼子村；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南双庙镇：孙家屯村、下杖子村、东杖子村、梁家店村、东台子村、单家店村、山后村、后杖子村；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台子镇：西李杖子村、牟杖子村、台子村；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清风岭镇：长在营子村、茂臻沟村；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胜利镇：歪脖沟村、西沟村、娄子山村、杨树底下村、西山村、三家村；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七道岭镇：大马场村、庞家窝铺村、七道岭村、马家岭村、黑达沟村、柳胡沟村、黄盖村、黑石营子村、良图沟村、苏家营子村、符家窝铺村；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杨树湾镇：河西村、河东村、平房村；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西五家子乡：半截沟村；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北沟门子乡：黄台子村；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东大道乡：北梁村、东大道村、丛家店村、奈林皋村、北炉村；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乌兰河硕蒙古族乡：七星扎兰营子村、黄道营子村、上河套村、东乌兰河硕村、乌兰河硕、苑杖子；</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东大屯乡：洞子沟村；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松岭门蒙古族乡：大二台村、平房子村、往户屯村；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根德营子乡：根德营子村、平房村、傅家村；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西营子乡：白庙子村、长皋村、仇家店村、姜杖子村；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北四家子乡：南台子村、马腰营子村、西山村、毛秦营子村、和平村、五花吐村；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王营子乡：王营子村、大西沟村、二道沟村；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黑牛营子乡：果蚕村、田杖子村、荒地村、务本营子村、三家子村；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尚志乡：尚志村、米家沟村、大车户村、二车户村；</w:t>
            </w:r>
          </w:p>
        </w:tc>
      </w:tr>
      <w:tr>
        <w:trPr>
          <w:trHeight w:val="9318" w:hRule="atLeast"/>
          <w:jc w:val="center"/>
        </w:trPr>
        <w:tc>
          <w:tcPr>
            <w:tcW w:w="833" w:type="dxa"/>
            <w:tcBorders>
              <w:tl2br w:val="nil"/>
              <w:tr2bl w:val="nil"/>
            </w:tcBorders>
            <w:vAlign w:val="center"/>
          </w:tcPr>
          <w:p>
            <w:pPr>
              <w:widowControl/>
              <w:jc w:val="center"/>
              <w:textAlignment w:val="center"/>
              <w:rPr>
                <w:rFonts w:hint="eastAsia" w:ascii="Times New Roman" w:hAnsi="Times New Roman" w:eastAsia="仿宋_GB2312" w:cs="仿宋_GB2312"/>
                <w:i w:val="0"/>
                <w:iCs w:val="0"/>
                <w:color w:val="000000"/>
                <w:sz w:val="20"/>
                <w:szCs w:val="20"/>
                <w:u w:val="none"/>
              </w:rPr>
            </w:pPr>
            <w:r>
              <w:rPr>
                <w:rFonts w:hint="eastAsia" w:ascii="Times New Roman" w:hAnsi="Times New Roman" w:eastAsia="仿宋_GB2312" w:cs="仿宋_GB2312"/>
                <w:i w:val="0"/>
                <w:iCs w:val="0"/>
                <w:color w:val="000000"/>
                <w:kern w:val="0"/>
                <w:sz w:val="20"/>
                <w:szCs w:val="20"/>
                <w:u w:val="none"/>
                <w:lang w:val="en-US" w:eastAsia="zh-CN"/>
              </w:rPr>
              <w:t>4级</w:t>
            </w:r>
          </w:p>
        </w:tc>
        <w:tc>
          <w:tcPr>
            <w:tcW w:w="7824" w:type="dxa"/>
            <w:tcBorders>
              <w:tl2br w:val="nil"/>
              <w:tr2bl w:val="nil"/>
            </w:tcBorders>
            <w:vAlign w:val="top"/>
          </w:tcPr>
          <w:p>
            <w:pPr>
              <w:widowControl/>
              <w:jc w:val="left"/>
              <w:textAlignment w:val="top"/>
              <w:rPr>
                <w:rFonts w:hint="eastAsia" w:ascii="Times New Roman" w:hAnsi="Times New Roman" w:eastAsia="仿宋_GB2312" w:cs="仿宋_GB2312"/>
                <w:i w:val="0"/>
                <w:iCs w:val="0"/>
                <w:color w:val="000000"/>
                <w:sz w:val="24"/>
                <w:szCs w:val="24"/>
                <w:u w:val="none"/>
              </w:rPr>
            </w:pPr>
            <w:r>
              <w:rPr>
                <w:rFonts w:hint="eastAsia" w:ascii="Times New Roman" w:hAnsi="Times New Roman" w:eastAsia="仿宋_GB2312" w:cs="仿宋_GB2312"/>
                <w:i w:val="0"/>
                <w:iCs w:val="0"/>
                <w:color w:val="000000"/>
                <w:kern w:val="0"/>
                <w:sz w:val="24"/>
                <w:szCs w:val="24"/>
                <w:u w:val="none"/>
                <w:lang w:val="en-US" w:eastAsia="zh-CN"/>
              </w:rPr>
              <w:t>波罗赤镇：卢杖子村；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木头城子镇：召山咀村、郑杖子村、西三家村；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二十家子镇：南三家子村；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羊山镇：肖家店村、上屯村、鲁王杖子村、徐杖子村；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六家子镇：百户营子村、魏营子村、龚杖子村；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瓦房子镇：大杖子村、三官营子村、新农村、上三家子村；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大庙镇：胜利村；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古山子镇：北韩村、关杖子村、头三道村、五家子村、刘于营子村；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南双庙镇：榆树沟村；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台子镇：长茂村、苏家店村、馒头营子村、大沟门村、恒河子村；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清风岭镇：南塔子村、后西地村、哈拉贵沟村、老窝铺村；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胜利镇：花坤头营子村、孙家店村、五家子村、董家店村、西沟门村、金杖子村、古树沟村；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七道岭镇：小二十家子村、马架子村、羊山沟村；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杨树湾镇：徐家村、报马营子村、梁东村；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西五家子乡：新地村、三道沟村、西五家子村、石片子村、亚路沟村、吐须沟村、大井村、簸箕掌村；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北沟门子乡：华杖子村、沟门子村、周台子村；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东大道乡：车杖子村、刘炮手沟村；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乌兰河硕蒙古族乡：八大孟克村；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松岭门蒙古族乡：范家村；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根德营子乡：黄木营子村、王家村、老道沟村、元宝营子村、邸三家子村、其林宝村；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西营子乡：五十家子村、川心店村；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北四家子乡：谢杖子村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王营子乡：过良沟村、黑虎村；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黑牛营子乡：五家子村、温杖子村、姜杖子村；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尚志乡：郑杖子村、冯杖子村、范家沟村；</w:t>
            </w:r>
            <w:r>
              <w:rPr>
                <w:rFonts w:hint="eastAsia" w:ascii="Times New Roman" w:hAnsi="Times New Roman" w:eastAsia="仿宋_GB2312" w:cs="仿宋_GB2312"/>
                <w:i w:val="0"/>
                <w:iCs w:val="0"/>
                <w:color w:val="000000"/>
                <w:kern w:val="0"/>
                <w:sz w:val="24"/>
                <w:szCs w:val="24"/>
                <w:u w:val="none"/>
                <w:lang w:val="en-US" w:eastAsia="zh-CN"/>
              </w:rPr>
              <w:br/>
            </w:r>
            <w:r>
              <w:rPr>
                <w:rFonts w:hint="eastAsia" w:ascii="Times New Roman" w:hAnsi="Times New Roman" w:eastAsia="仿宋_GB2312" w:cs="仿宋_GB2312"/>
                <w:i w:val="0"/>
                <w:iCs w:val="0"/>
                <w:color w:val="000000"/>
                <w:kern w:val="0"/>
                <w:sz w:val="24"/>
                <w:szCs w:val="24"/>
                <w:u w:val="none"/>
                <w:lang w:val="en-US" w:eastAsia="zh-CN"/>
              </w:rPr>
              <w:t>国营朝阳县贾家店农场：二分场、三分场、一分场。</w:t>
            </w:r>
          </w:p>
        </w:tc>
      </w:tr>
    </w:tbl>
    <w:p>
      <w:pPr>
        <w:jc w:val="both"/>
        <w:rPr>
          <w:rFonts w:hint="eastAsia"/>
          <w:sz w:val="32"/>
          <w:szCs w:val="32"/>
          <w:lang w:eastAsia="zh-CN"/>
        </w:rPr>
      </w:pPr>
    </w:p>
    <w:p>
      <w:pPr>
        <w:widowControl w:val="0"/>
        <w:wordWrap/>
        <w:adjustRightInd/>
        <w:snapToGrid/>
        <w:spacing w:line="360" w:lineRule="auto"/>
        <w:ind w:firstLine="640" w:firstLineChars="200"/>
        <w:jc w:val="both"/>
        <w:textAlignment w:val="auto"/>
        <w:rPr>
          <w:rFonts w:hint="eastAsia" w:ascii="Times New Roman" w:hAnsi="Times New Roman" w:eastAsia="黑体" w:cs="黑体"/>
          <w:sz w:val="32"/>
          <w:szCs w:val="32"/>
          <w:lang w:val="en-US" w:eastAsia="zh-CN"/>
        </w:rPr>
      </w:pPr>
    </w:p>
    <w:p>
      <w:pPr>
        <w:widowControl w:val="0"/>
        <w:wordWrap/>
        <w:adjustRightInd/>
        <w:snapToGrid/>
        <w:spacing w:line="360" w:lineRule="auto"/>
        <w:ind w:firstLine="640" w:firstLineChars="200"/>
        <w:jc w:val="both"/>
        <w:textAlignment w:val="auto"/>
        <w:rPr>
          <w:rFonts w:hint="eastAsia" w:ascii="Times New Roman" w:hAnsi="Times New Roman" w:eastAsia="黑体" w:cs="黑体"/>
          <w:sz w:val="32"/>
          <w:szCs w:val="32"/>
          <w:lang w:val="en-US" w:eastAsia="zh-CN"/>
        </w:rPr>
      </w:pPr>
    </w:p>
    <w:p>
      <w:pPr>
        <w:widowControl w:val="0"/>
        <w:wordWrap/>
        <w:adjustRightInd/>
        <w:snapToGrid/>
        <w:spacing w:line="360" w:lineRule="auto"/>
        <w:jc w:val="both"/>
        <w:textAlignment w:val="auto"/>
        <w:rPr>
          <w:rFonts w:hint="eastAsia" w:ascii="Times New Roman" w:hAnsi="Times New Roman" w:eastAsia="黑体" w:cs="黑体"/>
          <w:sz w:val="32"/>
          <w:szCs w:val="32"/>
          <w:lang w:val="en-US" w:eastAsia="zh-CN"/>
        </w:rPr>
      </w:pPr>
    </w:p>
    <w:p>
      <w:pPr>
        <w:widowControl w:val="0"/>
        <w:wordWrap/>
        <w:adjustRightInd/>
        <w:snapToGrid/>
        <w:spacing w:line="360" w:lineRule="auto"/>
        <w:ind w:firstLine="640" w:firstLineChars="200"/>
        <w:jc w:val="both"/>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五、集体农用地基准地价图件</w:t>
      </w:r>
    </w:p>
    <w:p>
      <w:pPr>
        <w:jc w:val="center"/>
        <w:rPr>
          <w:rFonts w:hint="eastAsia"/>
          <w:sz w:val="32"/>
          <w:szCs w:val="32"/>
          <w:lang w:eastAsia="zh-CN"/>
        </w:rPr>
      </w:pPr>
      <w:r>
        <w:rPr>
          <w:rFonts w:hint="eastAsia" w:ascii="Calibri" w:hAnsi="Calibri" w:eastAsia="宋体" w:cs="黑体"/>
          <w:kern w:val="2"/>
          <w:sz w:val="32"/>
          <w:szCs w:val="32"/>
          <w:lang w:val="en-US" w:eastAsia="zh-CN" w:bidi="ar-SA"/>
        </w:rPr>
        <w:pict>
          <v:shape id="图片框 1026" o:spid="_x0000_s1027" type="#_x0000_t75" style="height:572.7pt;width:444.2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jc w:val="both"/>
        <w:rPr>
          <w:rFonts w:hint="eastAsia"/>
          <w:sz w:val="32"/>
          <w:szCs w:val="32"/>
          <w:lang w:eastAsia="zh-CN"/>
        </w:rPr>
      </w:pPr>
    </w:p>
    <w:p>
      <w:pPr>
        <w:jc w:val="center"/>
        <w:rPr>
          <w:rFonts w:hint="eastAsia"/>
          <w:sz w:val="32"/>
          <w:szCs w:val="32"/>
          <w:lang w:eastAsia="zh-CN"/>
        </w:rPr>
      </w:pPr>
      <w:r>
        <w:rPr>
          <w:rFonts w:hint="eastAsia" w:ascii="Calibri" w:hAnsi="Calibri" w:eastAsia="宋体" w:cs="黑体"/>
          <w:kern w:val="2"/>
          <w:sz w:val="32"/>
          <w:szCs w:val="32"/>
          <w:lang w:val="en-US" w:eastAsia="zh-CN" w:bidi="ar-SA"/>
        </w:rPr>
        <w:pict>
          <v:shape id="图片框 1027" o:spid="_x0000_s1028" type="#_x0000_t75" style="height:605.95pt;width:442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jc w:val="center"/>
        <w:rPr>
          <w:rFonts w:hint="eastAsia"/>
          <w:sz w:val="32"/>
          <w:szCs w:val="32"/>
          <w:lang w:eastAsia="zh-CN"/>
        </w:rPr>
      </w:pPr>
    </w:p>
    <w:p>
      <w:pPr>
        <w:widowControl/>
        <w:jc w:val="left"/>
        <w:rPr>
          <w:rFonts w:hint="eastAsia" w:ascii="黑体" w:hAnsi="黑体" w:eastAsia="黑体" w:cs="黑体"/>
          <w:sz w:val="32"/>
          <w:szCs w:val="32"/>
        </w:rPr>
      </w:pPr>
      <w:r>
        <w:rPr>
          <w:rFonts w:hint="eastAsia" w:ascii="黑体" w:hAnsi="黑体" w:eastAsia="黑体" w:cs="黑体"/>
          <w:sz w:val="32"/>
          <w:szCs w:val="32"/>
        </w:rPr>
        <w:t>附件2</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朝阳县集体建设用地基准地价成果</w:t>
      </w:r>
    </w:p>
    <w:p>
      <w:pPr>
        <w:widowControl w:val="0"/>
        <w:wordWrap/>
        <w:adjustRightInd/>
        <w:snapToGrid/>
        <w:spacing w:line="520" w:lineRule="exact"/>
        <w:ind w:firstLine="640" w:firstLineChars="200"/>
        <w:jc w:val="both"/>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一、适用范围</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朝阳县集体建设用地基准地价适用于朝阳县行政辖区范围内，国土空间规划确定为工业、商业经营性用途的集体建设用地和宅基地，包括27个街道及乡镇294个行政村。</w:t>
      </w:r>
    </w:p>
    <w:p>
      <w:pPr>
        <w:widowControl w:val="0"/>
        <w:wordWrap/>
        <w:adjustRightInd/>
        <w:snapToGrid/>
        <w:spacing w:line="520" w:lineRule="exact"/>
        <w:ind w:firstLine="640" w:firstLineChars="200"/>
        <w:jc w:val="both"/>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二、基准地价内涵</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基准日：2021年1月1日。</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用地类型：商服用地、工业用地、宅基地</w:t>
      </w:r>
      <w:r>
        <w:rPr>
          <w:rFonts w:hint="eastAsia" w:ascii="仿宋_GB2312" w:hAnsi="仿宋_GB2312" w:eastAsia="仿宋_GB2312" w:cs="仿宋_GB2312"/>
          <w:sz w:val="32"/>
          <w:szCs w:val="32"/>
          <w:lang w:eastAsia="zh-CN"/>
        </w:rPr>
        <w:t>。</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使用年期：土地使用年限商服用地设定为40年；工业用地设定为50年；宅基地设定为无年期限制。</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开发程度：</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商服用地土地开发程度设定为：</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1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级宗地外“五通”（通路、通电、通讯、通供水、通排水）和宗地内土地平整；</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2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II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3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III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宗地外“四通”（通路、通电、通讯、通供水）和宗地内土地平整。</w:t>
      </w:r>
    </w:p>
    <w:p>
      <w:pPr>
        <w:widowControl w:val="0"/>
        <w:wordWrap/>
        <w:adjustRightInd/>
        <w:snapToGrid/>
        <w:spacing w:line="520" w:lineRule="exact"/>
        <w:ind w:firstLine="486" w:firstLineChars="15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工业用地土地开发程度设定为：</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1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级宗地外“四通”（通路、通电、通讯、通供水）和宗地内土地平整；</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2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II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3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III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宗地外“三通”（通路、通电、通讯）和宗地内土地平整。</w:t>
      </w:r>
    </w:p>
    <w:p>
      <w:pPr>
        <w:pStyle w:val="8"/>
        <w:widowControl w:val="0"/>
        <w:wordWrap/>
        <w:adjustRightInd/>
        <w:snapToGrid/>
        <w:spacing w:after="0" w:line="52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宅基地土地开发程度设定为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 1 \* ROMAN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I</w:t>
      </w:r>
      <w:r>
        <w:rPr>
          <w:rFonts w:hint="eastAsia" w:ascii="仿宋_GB2312" w:hAnsi="仿宋_GB2312" w:eastAsia="仿宋_GB2312" w:cs="仿宋_GB2312"/>
          <w:sz w:val="32"/>
          <w:szCs w:val="32"/>
          <w:lang w:eastAsia="zh-CN"/>
        </w:rPr>
        <w:fldChar w:fldCharType="end"/>
      </w:r>
      <w:r>
        <w:rPr>
          <w:rFonts w:hint="eastAsia" w:ascii="仿宋_GB2312" w:hAnsi="仿宋_GB2312" w:eastAsia="仿宋_GB2312" w:cs="仿宋_GB2312"/>
          <w:sz w:val="32"/>
          <w:szCs w:val="32"/>
          <w:lang w:eastAsia="zh-CN"/>
        </w:rPr>
        <w:t>级</w:t>
      </w:r>
      <w:r>
        <w:rPr>
          <w:rFonts w:hint="eastAsia" w:ascii="仿宋_GB2312" w:hAnsi="仿宋_GB2312" w:eastAsia="仿宋_GB2312" w:cs="仿宋_GB2312"/>
          <w:sz w:val="32"/>
          <w:szCs w:val="32"/>
        </w:rPr>
        <w:t>宗地外“</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通”（通路、通电、通讯、通供水</w:t>
      </w:r>
      <w:r>
        <w:rPr>
          <w:rFonts w:hint="eastAsia" w:ascii="仿宋_GB2312" w:hAnsi="仿宋_GB2312" w:eastAsia="仿宋_GB2312" w:cs="仿宋_GB2312"/>
          <w:sz w:val="32"/>
          <w:szCs w:val="32"/>
          <w:lang w:eastAsia="zh-CN"/>
        </w:rPr>
        <w:t>、通排水</w:t>
      </w:r>
      <w:r>
        <w:rPr>
          <w:rFonts w:hint="eastAsia" w:ascii="仿宋_GB2312" w:hAnsi="仿宋_GB2312" w:eastAsia="仿宋_GB2312" w:cs="仿宋_GB2312"/>
          <w:sz w:val="32"/>
          <w:szCs w:val="32"/>
        </w:rPr>
        <w:t>）和宗地内土地平整；</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lang w:eastAsia="zh-CN"/>
        </w:rPr>
        <w:instrText xml:space="preserve"> = 2 \* ROMAN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II</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 3 \* ROMAN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III</w:t>
      </w:r>
      <w:r>
        <w:rPr>
          <w:rFonts w:hint="eastAsia" w:ascii="仿宋_GB2312" w:hAnsi="仿宋_GB2312" w:eastAsia="仿宋_GB2312" w:cs="仿宋_GB2312"/>
          <w:sz w:val="32"/>
          <w:szCs w:val="32"/>
          <w:lang w:eastAsia="zh-CN"/>
        </w:rPr>
        <w:fldChar w:fldCharType="end"/>
      </w:r>
      <w:r>
        <w:rPr>
          <w:rFonts w:hint="eastAsia" w:ascii="仿宋_GB2312" w:hAnsi="仿宋_GB2312" w:eastAsia="仿宋_GB2312" w:cs="仿宋_GB2312"/>
          <w:sz w:val="32"/>
          <w:szCs w:val="32"/>
        </w:rPr>
        <w:t>宗地外“四通”（通路、通电、通讯、通供水）和宗地内土地平整。</w:t>
      </w:r>
    </w:p>
    <w:p>
      <w:pPr>
        <w:pStyle w:val="8"/>
        <w:widowControl w:val="0"/>
        <w:wordWrap/>
        <w:adjustRightInd/>
        <w:snapToGrid/>
        <w:spacing w:after="0" w:line="520" w:lineRule="exact"/>
        <w:ind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容积率：商服用地一级平均容积率1.2；二、三级平均容积率1.0。宅基地平均容积率0.5。工业用地平均容积率0.8。</w:t>
      </w:r>
    </w:p>
    <w:p>
      <w:pPr>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三、集体建设用地基准地价表</w:t>
      </w:r>
    </w:p>
    <w:p>
      <w:pPr>
        <w:ind w:firstLine="425" w:firstLineChars="152"/>
        <w:jc w:val="center"/>
        <w:rPr>
          <w:rFonts w:hint="eastAsia"/>
          <w:sz w:val="28"/>
          <w:szCs w:val="28"/>
        </w:rPr>
      </w:pPr>
      <w:r>
        <w:rPr>
          <w:rFonts w:hint="eastAsia"/>
          <w:sz w:val="28"/>
          <w:szCs w:val="28"/>
        </w:rPr>
        <w:t>朝阳县集体建设用地基准地价表</w:t>
      </w:r>
    </w:p>
    <w:p>
      <w:pPr>
        <w:ind w:firstLine="319" w:firstLineChars="152"/>
        <w:jc w:val="right"/>
        <w:rPr>
          <w:rFonts w:hint="eastAsia"/>
          <w:szCs w:val="21"/>
        </w:rPr>
      </w:pPr>
      <w:r>
        <w:rPr>
          <w:rFonts w:hint="eastAsia"/>
          <w:szCs w:val="21"/>
        </w:rPr>
        <w:t>单位：元/平方米</w:t>
      </w:r>
    </w:p>
    <w:tbl>
      <w:tblPr>
        <w:tblW w:w="9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1"/>
        <w:gridCol w:w="1896"/>
        <w:gridCol w:w="1897"/>
        <w:gridCol w:w="1897"/>
      </w:tblGrid>
      <w:tr>
        <w:trPr>
          <w:trHeight w:val="397" w:hRule="atLeast"/>
        </w:trPr>
        <w:tc>
          <w:tcPr>
            <w:tcW w:w="3371" w:type="dxa"/>
            <w:tcBorders>
              <w:top w:val="single" w:color="auto" w:sz="4" w:space="0"/>
              <w:left w:val="single" w:color="auto" w:sz="4" w:space="0"/>
              <w:tl2br w:val="single" w:color="auto" w:sz="4" w:space="0"/>
            </w:tcBorders>
            <w:vAlign w:val="center"/>
          </w:tcPr>
          <w:p>
            <w:pPr>
              <w:pStyle w:val="9"/>
              <w:jc w:val="right"/>
              <w:rPr>
                <w:rFonts w:hint="eastAsia" w:ascii="黑体" w:hAnsi="黑体" w:eastAsia="黑体" w:cs="黑体"/>
                <w:szCs w:val="18"/>
                <w:lang w:val="en-US" w:eastAsia="zh-CN"/>
              </w:rPr>
            </w:pPr>
            <w:r>
              <w:rPr>
                <w:rFonts w:hint="eastAsia" w:ascii="黑体" w:hAnsi="黑体" w:eastAsia="黑体" w:cs="黑体"/>
                <w:szCs w:val="18"/>
                <w:lang w:val="en-US" w:eastAsia="zh-CN"/>
              </w:rPr>
              <w:t>级别</w:t>
            </w:r>
          </w:p>
          <w:p>
            <w:pPr>
              <w:pStyle w:val="9"/>
              <w:jc w:val="left"/>
              <w:rPr>
                <w:rFonts w:hint="eastAsia" w:ascii="黑体" w:hAnsi="黑体" w:eastAsia="黑体" w:cs="黑体"/>
                <w:szCs w:val="18"/>
                <w:lang w:val="en-US" w:eastAsia="zh-CN"/>
              </w:rPr>
            </w:pPr>
            <w:r>
              <w:rPr>
                <w:rFonts w:hint="eastAsia" w:ascii="黑体" w:hAnsi="黑体" w:eastAsia="黑体" w:cs="黑体"/>
                <w:szCs w:val="18"/>
                <w:lang w:val="en-US" w:eastAsia="zh-CN"/>
              </w:rPr>
              <w:t>用途</w:t>
            </w:r>
          </w:p>
        </w:tc>
        <w:tc>
          <w:tcPr>
            <w:tcW w:w="1896" w:type="dxa"/>
            <w:tcBorders>
              <w:top w:val="single" w:color="auto" w:sz="4" w:space="0"/>
            </w:tcBorders>
            <w:vAlign w:val="center"/>
          </w:tcPr>
          <w:p>
            <w:pPr>
              <w:pStyle w:val="9"/>
              <w:rPr>
                <w:rFonts w:hint="eastAsia" w:ascii="黑体" w:hAnsi="黑体" w:eastAsia="黑体" w:cs="黑体"/>
                <w:szCs w:val="18"/>
                <w:lang w:val="en-US" w:eastAsia="zh-CN"/>
              </w:rPr>
            </w:pPr>
            <w:r>
              <w:rPr>
                <w:rFonts w:hint="eastAsia" w:ascii="黑体" w:hAnsi="黑体" w:eastAsia="黑体" w:cs="黑体"/>
                <w:szCs w:val="18"/>
                <w:lang w:val="en-US" w:eastAsia="zh-CN"/>
              </w:rPr>
              <w:t>Ⅰ级</w:t>
            </w:r>
          </w:p>
        </w:tc>
        <w:tc>
          <w:tcPr>
            <w:tcW w:w="1897" w:type="dxa"/>
            <w:tcBorders>
              <w:top w:val="single" w:color="auto" w:sz="4" w:space="0"/>
            </w:tcBorders>
            <w:vAlign w:val="center"/>
          </w:tcPr>
          <w:p>
            <w:pPr>
              <w:pStyle w:val="9"/>
              <w:rPr>
                <w:rFonts w:hint="eastAsia" w:ascii="黑体" w:hAnsi="黑体" w:eastAsia="黑体" w:cs="黑体"/>
                <w:szCs w:val="18"/>
                <w:lang w:val="en-US" w:eastAsia="zh-CN"/>
              </w:rPr>
            </w:pPr>
            <w:r>
              <w:rPr>
                <w:rFonts w:hint="eastAsia" w:ascii="黑体" w:hAnsi="黑体" w:eastAsia="黑体" w:cs="黑体"/>
                <w:szCs w:val="18"/>
                <w:lang w:val="en-US" w:eastAsia="zh-CN"/>
              </w:rPr>
              <w:t>Ⅱ级</w:t>
            </w:r>
          </w:p>
        </w:tc>
        <w:tc>
          <w:tcPr>
            <w:tcW w:w="1897" w:type="dxa"/>
            <w:tcBorders>
              <w:top w:val="single" w:color="auto" w:sz="4" w:space="0"/>
            </w:tcBorders>
            <w:vAlign w:val="center"/>
          </w:tcPr>
          <w:p>
            <w:pPr>
              <w:pStyle w:val="9"/>
              <w:rPr>
                <w:rFonts w:hint="eastAsia" w:ascii="黑体" w:hAnsi="黑体" w:eastAsia="黑体" w:cs="黑体"/>
                <w:szCs w:val="18"/>
                <w:lang w:val="en-US" w:eastAsia="zh-CN"/>
              </w:rPr>
            </w:pPr>
            <w:r>
              <w:rPr>
                <w:rFonts w:hint="eastAsia" w:ascii="黑体" w:hAnsi="黑体" w:eastAsia="黑体" w:cs="黑体"/>
                <w:szCs w:val="18"/>
                <w:lang w:val="en-US" w:eastAsia="zh-CN"/>
              </w:rPr>
              <w:t>Ⅲ级</w:t>
            </w:r>
          </w:p>
        </w:tc>
      </w:tr>
      <w:tr>
        <w:trPr>
          <w:trHeight w:val="397" w:hRule="atLeast"/>
        </w:trPr>
        <w:tc>
          <w:tcPr>
            <w:tcW w:w="3371" w:type="dxa"/>
            <w:tcBorders>
              <w:left w:val="single" w:color="auto" w:sz="4" w:space="0"/>
            </w:tcBorders>
            <w:vAlign w:val="center"/>
          </w:tcPr>
          <w:p>
            <w:pPr>
              <w:pStyle w:val="9"/>
              <w:rPr>
                <w:rFonts w:ascii="宋体" w:hAnsi="宋体"/>
                <w:szCs w:val="18"/>
                <w:lang w:eastAsia="zh-CN"/>
              </w:rPr>
            </w:pPr>
            <w:r>
              <w:rPr>
                <w:rFonts w:hint="eastAsia" w:ascii="宋体" w:hAnsi="宋体"/>
                <w:szCs w:val="18"/>
                <w:lang w:eastAsia="zh-CN"/>
              </w:rPr>
              <w:t>商服用地</w:t>
            </w:r>
          </w:p>
        </w:tc>
        <w:tc>
          <w:tcPr>
            <w:tcW w:w="1896" w:type="dxa"/>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280</w:t>
            </w:r>
          </w:p>
        </w:tc>
        <w:tc>
          <w:tcPr>
            <w:tcW w:w="1897" w:type="dxa"/>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250</w:t>
            </w:r>
          </w:p>
        </w:tc>
        <w:tc>
          <w:tcPr>
            <w:tcW w:w="1897" w:type="dxa"/>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220</w:t>
            </w:r>
          </w:p>
        </w:tc>
      </w:tr>
      <w:tr>
        <w:trPr>
          <w:trHeight w:val="397" w:hRule="atLeast"/>
        </w:trPr>
        <w:tc>
          <w:tcPr>
            <w:tcW w:w="3371" w:type="dxa"/>
            <w:tcBorders>
              <w:left w:val="single" w:color="auto" w:sz="4" w:space="0"/>
            </w:tcBorders>
            <w:vAlign w:val="center"/>
          </w:tcPr>
          <w:p>
            <w:pPr>
              <w:pStyle w:val="9"/>
              <w:rPr>
                <w:rFonts w:ascii="宋体" w:hAnsi="宋体"/>
                <w:szCs w:val="18"/>
                <w:lang w:eastAsia="zh-CN"/>
              </w:rPr>
            </w:pPr>
            <w:r>
              <w:rPr>
                <w:rFonts w:hint="eastAsia" w:ascii="宋体" w:hAnsi="宋体"/>
                <w:szCs w:val="18"/>
                <w:lang w:eastAsia="zh-CN"/>
              </w:rPr>
              <w:t>宅基地</w:t>
            </w:r>
          </w:p>
        </w:tc>
        <w:tc>
          <w:tcPr>
            <w:tcW w:w="1896" w:type="dxa"/>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210</w:t>
            </w:r>
          </w:p>
        </w:tc>
        <w:tc>
          <w:tcPr>
            <w:tcW w:w="1897" w:type="dxa"/>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180</w:t>
            </w:r>
          </w:p>
        </w:tc>
        <w:tc>
          <w:tcPr>
            <w:tcW w:w="1897" w:type="dxa"/>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140</w:t>
            </w:r>
          </w:p>
        </w:tc>
      </w:tr>
      <w:tr>
        <w:trPr>
          <w:trHeight w:val="397" w:hRule="atLeast"/>
        </w:trPr>
        <w:tc>
          <w:tcPr>
            <w:tcW w:w="3371" w:type="dxa"/>
            <w:tcBorders>
              <w:left w:val="single" w:color="auto" w:sz="4" w:space="0"/>
              <w:bottom w:val="single" w:color="auto" w:sz="4" w:space="0"/>
            </w:tcBorders>
            <w:vAlign w:val="center"/>
          </w:tcPr>
          <w:p>
            <w:pPr>
              <w:pStyle w:val="9"/>
              <w:rPr>
                <w:rFonts w:ascii="宋体" w:hAnsi="宋体"/>
                <w:szCs w:val="18"/>
                <w:lang w:eastAsia="zh-CN"/>
              </w:rPr>
            </w:pPr>
            <w:r>
              <w:rPr>
                <w:rFonts w:hint="eastAsia" w:ascii="宋体" w:hAnsi="宋体"/>
                <w:szCs w:val="18"/>
                <w:lang w:eastAsia="zh-CN"/>
              </w:rPr>
              <w:t>工业用地</w:t>
            </w:r>
          </w:p>
        </w:tc>
        <w:tc>
          <w:tcPr>
            <w:tcW w:w="1896" w:type="dxa"/>
            <w:tcBorders>
              <w:bottom w:val="single" w:color="auto" w:sz="4" w:space="0"/>
            </w:tcBorders>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140</w:t>
            </w:r>
          </w:p>
        </w:tc>
        <w:tc>
          <w:tcPr>
            <w:tcW w:w="1897" w:type="dxa"/>
            <w:tcBorders>
              <w:bottom w:val="single" w:color="auto" w:sz="4" w:space="0"/>
            </w:tcBorders>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135</w:t>
            </w:r>
          </w:p>
        </w:tc>
        <w:tc>
          <w:tcPr>
            <w:tcW w:w="1897" w:type="dxa"/>
            <w:tcBorders>
              <w:bottom w:val="single" w:color="auto" w:sz="4" w:space="0"/>
            </w:tcBorders>
            <w:vAlign w:val="center"/>
          </w:tcPr>
          <w:p>
            <w:pPr>
              <w:widowControl/>
              <w:jc w:val="center"/>
              <w:rPr>
                <w:rFonts w:ascii="宋体" w:hAnsi="宋体" w:eastAsia="宋体" w:cs="宋体"/>
                <w:iCs/>
                <w:color w:val="000000"/>
                <w:sz w:val="18"/>
                <w:szCs w:val="18"/>
              </w:rPr>
            </w:pPr>
            <w:r>
              <w:rPr>
                <w:rFonts w:hint="eastAsia" w:ascii="宋体" w:hAnsi="宋体" w:eastAsia="宋体" w:cs="宋体"/>
                <w:iCs/>
                <w:color w:val="000000"/>
                <w:sz w:val="18"/>
                <w:szCs w:val="18"/>
              </w:rPr>
              <w:t>120</w:t>
            </w:r>
          </w:p>
        </w:tc>
      </w:tr>
    </w:tbl>
    <w:p>
      <w:pPr>
        <w:ind w:firstLine="319" w:firstLineChars="152"/>
        <w:jc w:val="left"/>
        <w:rPr>
          <w:rFonts w:hint="eastAsia"/>
          <w:szCs w:val="21"/>
        </w:rPr>
      </w:pPr>
    </w:p>
    <w:p>
      <w:pPr>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四、土地级别划分范围</w:t>
      </w:r>
    </w:p>
    <w:p>
      <w:pPr>
        <w:ind w:firstLine="425" w:firstLineChars="152"/>
        <w:jc w:val="center"/>
        <w:rPr>
          <w:rFonts w:hint="eastAsia"/>
          <w:sz w:val="28"/>
          <w:szCs w:val="28"/>
        </w:rPr>
      </w:pPr>
      <w:r>
        <w:rPr>
          <w:rFonts w:hint="eastAsia"/>
          <w:sz w:val="28"/>
          <w:szCs w:val="28"/>
        </w:rPr>
        <w:t>朝阳县集体建设用地级别范围描述表</w:t>
      </w:r>
    </w:p>
    <w:tbl>
      <w:tblPr>
        <w:tblW w:w="90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018"/>
        <w:gridCol w:w="6315"/>
      </w:tblGrid>
      <w:tr>
        <w:trPr>
          <w:trHeight w:val="452" w:hRule="atLeast"/>
        </w:trPr>
        <w:tc>
          <w:tcPr>
            <w:tcW w:w="674" w:type="dxa"/>
            <w:vAlign w:val="center"/>
          </w:tcPr>
          <w:p>
            <w:pPr>
              <w:widowControl/>
              <w:spacing w:line="0" w:lineRule="atLeast"/>
              <w:jc w:val="center"/>
              <w:rPr>
                <w:rFonts w:hint="eastAsia" w:ascii="黑体" w:hAnsi="黑体" w:eastAsia="黑体" w:cs="黑体"/>
                <w:iCs/>
                <w:color w:val="000000"/>
              </w:rPr>
            </w:pPr>
            <w:r>
              <w:rPr>
                <w:rFonts w:hint="eastAsia" w:ascii="黑体" w:hAnsi="黑体" w:eastAsia="黑体" w:cs="黑体"/>
                <w:iCs/>
                <w:color w:val="000000"/>
              </w:rPr>
              <w:t>级别</w:t>
            </w:r>
          </w:p>
        </w:tc>
        <w:tc>
          <w:tcPr>
            <w:tcW w:w="2018" w:type="dxa"/>
            <w:vAlign w:val="center"/>
          </w:tcPr>
          <w:p>
            <w:pPr>
              <w:widowControl/>
              <w:spacing w:line="0" w:lineRule="atLeast"/>
              <w:jc w:val="center"/>
              <w:rPr>
                <w:rFonts w:hint="eastAsia" w:ascii="黑体" w:hAnsi="黑体" w:eastAsia="黑体" w:cs="黑体"/>
                <w:iCs/>
                <w:color w:val="000000"/>
              </w:rPr>
            </w:pPr>
            <w:r>
              <w:rPr>
                <w:rFonts w:hint="eastAsia" w:ascii="黑体" w:hAnsi="黑体" w:eastAsia="黑体" w:cs="黑体"/>
                <w:iCs/>
                <w:color w:val="000000"/>
              </w:rPr>
              <w:t>所属乡镇街道</w:t>
            </w:r>
          </w:p>
        </w:tc>
        <w:tc>
          <w:tcPr>
            <w:tcW w:w="6315" w:type="dxa"/>
            <w:vAlign w:val="center"/>
          </w:tcPr>
          <w:p>
            <w:pPr>
              <w:widowControl/>
              <w:spacing w:line="0" w:lineRule="atLeast"/>
              <w:jc w:val="center"/>
              <w:rPr>
                <w:rFonts w:hint="eastAsia" w:ascii="黑体" w:hAnsi="黑体" w:eastAsia="黑体" w:cs="黑体"/>
                <w:iCs/>
                <w:color w:val="000000"/>
              </w:rPr>
            </w:pPr>
            <w:r>
              <w:rPr>
                <w:rFonts w:hint="eastAsia" w:ascii="黑体" w:hAnsi="黑体" w:eastAsia="黑体" w:cs="黑体"/>
                <w:iCs/>
                <w:color w:val="000000"/>
              </w:rPr>
              <w:t>所属村</w:t>
            </w:r>
          </w:p>
        </w:tc>
      </w:tr>
      <w:tr>
        <w:trPr>
          <w:trHeight w:val="312" w:hRule="atLeast"/>
        </w:trPr>
        <w:tc>
          <w:tcPr>
            <w:tcW w:w="674" w:type="dxa"/>
            <w:vMerge w:val="restart"/>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一级</w:t>
            </w: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柳城街道</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腰而营子村、袁台子村、拉拉屯村、郭家村、波赤村、十二台村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木头城子镇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木头城子村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二十家子镇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兴隆岗村、二十家子村、何家窝铺村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羊山镇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羊山村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六家子镇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六家子村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瓦房子镇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局子沟村</w:t>
            </w:r>
          </w:p>
        </w:tc>
      </w:tr>
      <w:tr>
        <w:trPr>
          <w:trHeight w:val="312" w:hRule="atLeast"/>
        </w:trPr>
        <w:tc>
          <w:tcPr>
            <w:tcW w:w="674" w:type="dxa"/>
            <w:vMerge w:val="restart"/>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二级</w:t>
            </w: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柳城街道</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东山村、下洼子村、小平房村、牟台子村、西大杖子村、小木头沟村、南大营子村、南林皋村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波罗赤镇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波罗赤村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木头城子镇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除木头城子村之外的其它村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二十家子镇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除兴隆岗村、二十家子村、何家窝铺村之外的其它村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羊山镇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除羊山村之外的其它村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六家子镇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除六家子村之外的其它村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瓦房子镇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除局子沟村之外的其它村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大庙镇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大庙村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古山子镇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二道村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南双庙镇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南双庙村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台子镇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六家子村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清风岭镇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长在营子村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胜利镇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东山村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七道岭镇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七道岭村、双庙村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杨树湾镇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平房村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西五家子乡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西五家子村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北沟门子乡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沟门子村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东大道乡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东大道村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乌兰河硕蒙古族乡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乌兰河硕</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东大屯乡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大屯村、稗子沟村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松岭门蒙古族乡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松岭门村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根德营子乡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根德营子村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西营子乡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长皋村、五十家子村、仇家店村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北四家子乡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北四家子村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王营子乡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王营子村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黑牛营子乡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果蚕村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尚志乡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尚志村</w:t>
            </w:r>
          </w:p>
        </w:tc>
      </w:tr>
      <w:tr>
        <w:trPr>
          <w:trHeight w:val="312" w:hRule="atLeast"/>
        </w:trPr>
        <w:tc>
          <w:tcPr>
            <w:tcW w:w="674" w:type="dxa"/>
            <w:vMerge w:val="restart"/>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三级</w:t>
            </w: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波罗赤镇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除波罗赤村之外的其它村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大庙镇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除大庙村之外的其它村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古山子镇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除二道村之外的其它村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南双庙镇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除南双庙村之外的其它村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台子镇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除六家子村之外的其它村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清风岭镇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除长在营子村之外的其它村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胜利镇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除东山村之外的其它村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七道岭镇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除七道岭村、双庙村之外的其它村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杨树湾镇</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徐家村、河西村、河东村、报马营子村、梁东村</w:t>
            </w:r>
          </w:p>
        </w:tc>
      </w:tr>
      <w:tr>
        <w:trPr>
          <w:trHeight w:val="312" w:hRule="atLeast"/>
        </w:trPr>
        <w:tc>
          <w:tcPr>
            <w:tcW w:w="674" w:type="dxa"/>
            <w:vMerge w:val="continue"/>
            <w:vAlign w:val="center"/>
          </w:tcPr>
          <w:p>
            <w:pPr>
              <w:widowControl/>
              <w:wordWrap/>
              <w:adjustRightInd/>
              <w:snapToGrid/>
              <w:spacing w:line="340" w:lineRule="exact"/>
              <w:jc w:val="center"/>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西五家子乡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除西五家子村之外的其它村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北沟门子乡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华杖子村、东山村、黄台子村、周台子村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东大道乡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除东大道村之外的其它村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乌兰河硕蒙古族乡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除乌兰河硕之外的其它村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东大屯乡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除大屯村、稗子沟村之外的其它村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松岭门蒙古族乡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大二台村、平房子村、梁家屯村、往户屯村、范家村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根德营子乡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除根德营子村之外的其它村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西营子乡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白庙子村、西六家子村、姜杖子村、川心店村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北四家子乡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除北四家子村之外的其它村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王营子乡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除王营子村之外的其它村</w:t>
            </w:r>
          </w:p>
        </w:tc>
      </w:tr>
      <w:tr>
        <w:trPr>
          <w:trHeight w:val="312"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黑牛营子乡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除果蚕村之外的其它村</w:t>
            </w:r>
          </w:p>
        </w:tc>
      </w:tr>
      <w:tr>
        <w:trPr>
          <w:trHeight w:val="415" w:hRule="atLeast"/>
        </w:trPr>
        <w:tc>
          <w:tcPr>
            <w:tcW w:w="674" w:type="dxa"/>
            <w:vMerge w:val="continue"/>
            <w:vAlign w:val="center"/>
          </w:tcPr>
          <w:p>
            <w:pPr>
              <w:widowControl/>
              <w:wordWrap/>
              <w:adjustRightInd/>
              <w:snapToGrid/>
              <w:spacing w:line="340" w:lineRule="exact"/>
              <w:textAlignment w:val="auto"/>
              <w:rPr>
                <w:rFonts w:ascii="宋体" w:hAnsi="宋体" w:eastAsia="宋体" w:cs="宋体"/>
                <w:iCs/>
                <w:color w:val="000000"/>
              </w:rPr>
            </w:pPr>
          </w:p>
        </w:tc>
        <w:tc>
          <w:tcPr>
            <w:tcW w:w="2018" w:type="dxa"/>
            <w:vAlign w:val="center"/>
          </w:tcPr>
          <w:p>
            <w:pPr>
              <w:widowControl/>
              <w:wordWrap/>
              <w:adjustRightInd/>
              <w:snapToGrid/>
              <w:spacing w:line="340" w:lineRule="exact"/>
              <w:jc w:val="center"/>
              <w:textAlignment w:val="auto"/>
              <w:rPr>
                <w:rFonts w:ascii="宋体" w:hAnsi="宋体" w:eastAsia="宋体" w:cs="宋体"/>
                <w:iCs/>
                <w:color w:val="000000"/>
              </w:rPr>
            </w:pPr>
            <w:r>
              <w:rPr>
                <w:rFonts w:hint="eastAsia" w:ascii="宋体" w:hAnsi="宋体" w:eastAsia="宋体" w:cs="宋体"/>
                <w:iCs/>
                <w:color w:val="000000"/>
              </w:rPr>
              <w:t>尚志乡</w:t>
            </w:r>
          </w:p>
        </w:tc>
        <w:tc>
          <w:tcPr>
            <w:tcW w:w="6315" w:type="dxa"/>
            <w:vAlign w:val="center"/>
          </w:tcPr>
          <w:p>
            <w:pPr>
              <w:widowControl/>
              <w:wordWrap/>
              <w:adjustRightInd/>
              <w:snapToGrid/>
              <w:spacing w:line="340" w:lineRule="exact"/>
              <w:jc w:val="left"/>
              <w:textAlignment w:val="auto"/>
              <w:rPr>
                <w:rFonts w:ascii="宋体" w:hAnsi="宋体" w:eastAsia="宋体" w:cs="宋体"/>
                <w:iCs/>
                <w:color w:val="000000"/>
              </w:rPr>
            </w:pPr>
            <w:r>
              <w:rPr>
                <w:rFonts w:hint="eastAsia" w:ascii="宋体" w:hAnsi="宋体" w:eastAsia="宋体" w:cs="宋体"/>
                <w:iCs/>
                <w:color w:val="000000"/>
              </w:rPr>
              <w:t>郑杖子村、冯杖子村、范家沟村、米家沟村、大车户村、二车户村</w:t>
            </w:r>
          </w:p>
        </w:tc>
      </w:tr>
    </w:tbl>
    <w:p>
      <w:pPr>
        <w:ind w:firstLine="640" w:firstLineChars="200"/>
        <w:rPr>
          <w:rFonts w:hint="eastAsia" w:ascii="黑体" w:hAnsi="黑体" w:eastAsia="黑体" w:cs="黑体"/>
          <w:b w:val="0"/>
          <w:bCs/>
          <w:sz w:val="32"/>
          <w:szCs w:val="32"/>
        </w:rPr>
      </w:pPr>
    </w:p>
    <w:p>
      <w:pPr>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五、集体建设用地基准地价图</w:t>
      </w:r>
    </w:p>
    <w:p>
      <w:pPr>
        <w:ind w:firstLine="319" w:firstLineChars="152"/>
        <w:rPr>
          <w:rFonts w:hint="eastAsia"/>
          <w:sz w:val="32"/>
          <w:szCs w:val="32"/>
        </w:rPr>
      </w:pPr>
      <w:r>
        <w:rPr>
          <w:rFonts w:ascii="Calibri" w:hAnsi="Calibri" w:eastAsia="宋体" w:cs="黑体"/>
          <w:i/>
          <w:kern w:val="2"/>
          <w:sz w:val="21"/>
          <w:szCs w:val="22"/>
          <w:lang w:val="en-US" w:eastAsia="zh-CN" w:bidi="ar-SA"/>
        </w:rPr>
        <w:pict>
          <v:shape id="图片框 1028" o:spid="_x0000_s1029" type="#_x0000_t75" style="height:586.15pt;width:415.3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sectPr>
      <w:footerReference r:id="rId4" w:type="default"/>
      <w:pgSz w:w="11906" w:h="16838"/>
      <w:pgMar w:top="2098" w:right="1474" w:bottom="1984" w:left="1587" w:header="851" w:footer="1587" w:gutter="0"/>
      <w:pgNumType w:fmt="decimal" w:start="3"/>
      <w:cols w:space="720" w:num="1"/>
      <w:rtlGutter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altName w:val="宋体"/>
    <w:panose1 w:val="02000000000000000000"/>
    <w:charset w:val="86"/>
    <w:family w:val="auto"/>
    <w:pitch w:val="default"/>
    <w:sig w:usb0="00000001" w:usb1="08000000" w:usb2="00000000" w:usb3="00000000" w:csb0="00040000" w:csb1="00000000"/>
  </w:font>
  <w:font w:name="DejaVu Sans">
    <w:altName w:val="Segoe Print"/>
    <w:panose1 w:val="020B0603030804020204"/>
    <w:charset w:val="00"/>
    <w:family w:val="auto"/>
    <w:pitch w:val="default"/>
    <w:sig w:usb0="E7006EFF" w:usb1="D200FDFF" w:usb2="0A246029" w:usb3="0400200C" w:csb0="600001FF" w:csb1="DFFF0000"/>
  </w:font>
  <w:font w:name="Nimbus Roman No9 L">
    <w:altName w:val="微软雅黑"/>
    <w:panose1 w:val="00000000000000000000"/>
    <w:charset w:val="00"/>
    <w:family w:val="auto"/>
    <w:pitch w:val="default"/>
    <w:sig w:usb0="00000000" w:usb1="00000000" w:usb2="00000000" w:usb3="00000000" w:csb0="00040001" w:csb1="00000000"/>
  </w:font>
  <w:font w:name="FreeSerif">
    <w:altName w:val="Traditional Arabic"/>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Pr>
    <w:r>
      <w:rPr>
        <w:rFonts w:ascii="Calibri" w:hAnsi="Calibri" w:eastAsia="宋体" w:cs="黑体"/>
        <w:kern w:val="2"/>
        <w:sz w:val="18"/>
        <w:szCs w:val="18"/>
        <w:lang w:val="en-US" w:eastAsia="zh-CN" w:bidi="ar-SA"/>
      </w:rPr>
      <w:pict>
        <v:shape id="_x0000_s4097" o:spid="_x0000_s1025" type="#_x0000_t202" style="position:absolute;left:0;margin-top:0pt;height:144pt;width:144pt;mso-position-horizontal:right;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qFormat="1" w:uiPriority="99" w:name="Balloon Text"/>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8"/>
    <w:basedOn w:val="1"/>
    <w:next w:val="1"/>
    <w:link w:val="15"/>
    <w:semiHidden/>
    <w:unhideWhenUsed/>
    <w:qFormat/>
    <w:uiPriority w:val="9"/>
    <w:pPr>
      <w:keepNext/>
      <w:keepLines/>
      <w:spacing w:before="240" w:after="64" w:line="320" w:lineRule="auto"/>
      <w:outlineLvl w:val="7"/>
    </w:pPr>
    <w:rPr>
      <w:rFonts w:ascii="Cambria" w:hAnsi="Cambria" w:eastAsia="宋体" w:cs="黑体"/>
      <w:sz w:val="24"/>
      <w:szCs w:val="24"/>
    </w:rPr>
  </w:style>
  <w:style w:type="character" w:default="1" w:styleId="7">
    <w:name w:val="Default Paragraph Font"/>
    <w:semiHidden/>
    <w:unhideWhenUsed/>
    <w:qFormat/>
    <w:uiPriority w:val="1"/>
  </w:style>
  <w:style w:type="paragraph" w:styleId="3">
    <w:name w:val="Date"/>
    <w:basedOn w:val="1"/>
    <w:next w:val="1"/>
    <w:link w:val="12"/>
    <w:semiHidden/>
    <w:unhideWhenUsed/>
    <w:qFormat/>
    <w:uiPriority w:val="99"/>
    <w:pPr>
      <w:ind w:left="100" w:leftChars="2500"/>
    </w:pPr>
  </w:style>
  <w:style w:type="paragraph" w:styleId="4">
    <w:name w:val="Balloon Text"/>
    <w:basedOn w:val="1"/>
    <w:link w:val="16"/>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正文4"/>
    <w:basedOn w:val="1"/>
    <w:link w:val="13"/>
    <w:qFormat/>
    <w:uiPriority w:val="0"/>
    <w:pPr>
      <w:spacing w:after="200" w:line="408" w:lineRule="auto"/>
      <w:ind w:firstLine="200" w:firstLineChars="200"/>
    </w:pPr>
    <w:rPr>
      <w:rFonts w:ascii="Calibri" w:hAnsi="Calibri" w:eastAsia="宋体" w:cs="Times New Roman"/>
      <w:iCs/>
      <w:kern w:val="0"/>
      <w:sz w:val="22"/>
      <w:lang w:bidi="en-US"/>
    </w:rPr>
  </w:style>
  <w:style w:type="paragraph" w:customStyle="1" w:styleId="9">
    <w:name w:val="表格内容1"/>
    <w:basedOn w:val="2"/>
    <w:link w:val="14"/>
    <w:qFormat/>
    <w:uiPriority w:val="0"/>
    <w:pPr>
      <w:spacing w:before="0" w:after="0" w:line="260" w:lineRule="exact"/>
      <w:contextualSpacing/>
      <w:jc w:val="center"/>
    </w:pPr>
    <w:rPr>
      <w:rFonts w:ascii="Cambria" w:hAnsi="Cambria" w:eastAsia="宋体" w:cs="Times New Roman"/>
      <w:iCs/>
      <w:kern w:val="0"/>
      <w:sz w:val="18"/>
      <w:szCs w:val="16"/>
      <w:lang w:bidi="en-US"/>
    </w:rPr>
  </w:style>
  <w:style w:type="character" w:customStyle="1" w:styleId="10">
    <w:name w:val="页眉 Char Char"/>
    <w:basedOn w:val="7"/>
    <w:link w:val="6"/>
    <w:uiPriority w:val="99"/>
    <w:rPr>
      <w:sz w:val="18"/>
      <w:szCs w:val="18"/>
    </w:rPr>
  </w:style>
  <w:style w:type="character" w:customStyle="1" w:styleId="11">
    <w:name w:val="页脚 Char Char"/>
    <w:basedOn w:val="7"/>
    <w:link w:val="5"/>
    <w:uiPriority w:val="99"/>
    <w:rPr>
      <w:sz w:val="18"/>
      <w:szCs w:val="18"/>
    </w:rPr>
  </w:style>
  <w:style w:type="character" w:customStyle="1" w:styleId="12">
    <w:name w:val="日期 Char Char"/>
    <w:basedOn w:val="7"/>
    <w:link w:val="3"/>
    <w:uiPriority w:val="99"/>
    <w:rPr/>
  </w:style>
  <w:style w:type="character" w:customStyle="1" w:styleId="13">
    <w:name w:val="正文4 Char Char"/>
    <w:basedOn w:val="7"/>
    <w:link w:val="8"/>
    <w:qFormat/>
    <w:uiPriority w:val="0"/>
    <w:rPr>
      <w:rFonts w:ascii="Calibri" w:hAnsi="Calibri" w:eastAsia="宋体" w:cs="Times New Roman"/>
      <w:iCs/>
      <w:kern w:val="0"/>
      <w:sz w:val="22"/>
      <w:lang w:bidi="en-US"/>
    </w:rPr>
  </w:style>
  <w:style w:type="character" w:customStyle="1" w:styleId="14">
    <w:name w:val="表格内容1 Char Char"/>
    <w:link w:val="9"/>
    <w:qFormat/>
    <w:uiPriority w:val="0"/>
    <w:rPr>
      <w:rFonts w:ascii="Cambria" w:hAnsi="Cambria" w:eastAsia="宋体" w:cs="Times New Roman"/>
      <w:iCs/>
      <w:kern w:val="0"/>
      <w:sz w:val="18"/>
      <w:szCs w:val="16"/>
      <w:lang w:bidi="en-US"/>
    </w:rPr>
  </w:style>
  <w:style w:type="character" w:customStyle="1" w:styleId="15">
    <w:name w:val="标题 8 Char Char"/>
    <w:basedOn w:val="7"/>
    <w:link w:val="2"/>
    <w:uiPriority w:val="9"/>
    <w:rPr>
      <w:rFonts w:ascii="Cambria" w:hAnsi="Cambria" w:eastAsia="宋体" w:cs="黑体"/>
      <w:sz w:val="24"/>
      <w:szCs w:val="24"/>
    </w:rPr>
  </w:style>
  <w:style w:type="character" w:customStyle="1" w:styleId="16">
    <w:name w:val="批注框文本 Char Char"/>
    <w:basedOn w:val="7"/>
    <w:link w:val="4"/>
    <w:uiPriority w:val="99"/>
    <w:rPr>
      <w:sz w:val="18"/>
      <w:szCs w:val="18"/>
    </w:rPr>
  </w:style>
  <w:style w:type="character" w:customStyle="1" w:styleId="17">
    <w:name w:val="font21"/>
    <w:basedOn w:val="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Pages>
  <Words>320</Words>
  <Characters>1825</Characters>
  <Lines>15</Lines>
  <Paragraphs>4</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2022-01-19T23:28:00Z</dcterms:created>
  <dc:creator>User</dc:creator>
  <cp:lastModifiedBy>Administrator</cp:lastModifiedBy>
  <dcterms:modified xsi:type="dcterms:W3CDTF">2022-02-24T07:25:01Z</dcterms:modified>
  <dc:title>附件1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5347033A7A434F38BFDAC6737D6797D7</vt:lpwstr>
  </property>
</Properties>
</file>