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rPr>
          <w:rFonts w:hint="eastAsia" w:asciiTheme="minorEastAsia" w:hAnsiTheme="minorEastAsia" w:eastAsiaTheme="minorEastAsia"/>
          <w:color w:val="000000"/>
          <w:sz w:val="28"/>
          <w:szCs w:val="28"/>
        </w:rPr>
      </w:pPr>
    </w:p>
    <w:p>
      <w:pPr>
        <w:ind w:firstLine="883"/>
        <w:jc w:val="both"/>
        <w:rPr>
          <w:rFonts w:ascii="黑体" w:hAnsi="黑体" w:eastAsia="黑体" w:cs="黑体"/>
          <w:b/>
          <w:color w:val="000000"/>
          <w:sz w:val="44"/>
          <w:szCs w:val="44"/>
        </w:rPr>
      </w:pPr>
      <w:r>
        <w:rPr>
          <w:rFonts w:hint="eastAsia" w:ascii="黑体" w:hAnsi="黑体" w:eastAsia="黑体" w:cs="黑体"/>
          <w:b/>
          <w:color w:val="000000"/>
          <w:sz w:val="44"/>
          <w:szCs w:val="44"/>
        </w:rPr>
        <w:t>朝阳县2023年国民经济和社会发展</w:t>
      </w:r>
    </w:p>
    <w:p>
      <w:pPr>
        <w:ind w:firstLine="3534" w:firstLineChars="800"/>
        <w:jc w:val="both"/>
        <w:rPr>
          <w:rFonts w:ascii="黑体" w:hAnsi="黑体" w:eastAsia="黑体" w:cs="黑体"/>
          <w:b/>
          <w:color w:val="000000"/>
          <w:sz w:val="44"/>
          <w:szCs w:val="44"/>
        </w:rPr>
      </w:pPr>
      <w:r>
        <w:rPr>
          <w:rFonts w:hint="eastAsia" w:ascii="黑体" w:hAnsi="黑体" w:eastAsia="黑体" w:cs="黑体"/>
          <w:b/>
          <w:color w:val="000000"/>
          <w:sz w:val="44"/>
          <w:szCs w:val="44"/>
        </w:rPr>
        <w:t>统计公报</w:t>
      </w:r>
    </w:p>
    <w:p>
      <w:pPr>
        <w:keepNext/>
        <w:jc w:val="center"/>
        <w:rPr>
          <w:rFonts w:hint="eastAsia" w:ascii="仿宋_GB2312" w:hAnsi="ˎ̥" w:eastAsia="仿宋_GB2312"/>
          <w:sz w:val="34"/>
          <w:szCs w:val="34"/>
          <w:lang w:val="en-US" w:eastAsia="zh-CN"/>
        </w:rPr>
      </w:pPr>
      <w:r>
        <w:rPr>
          <w:rFonts w:hint="eastAsia" w:ascii="仿宋_GB2312" w:hAnsi="ˎ̥" w:eastAsia="仿宋_GB2312"/>
          <w:sz w:val="34"/>
          <w:szCs w:val="34"/>
          <w:lang w:val="en-US" w:eastAsia="zh-CN"/>
        </w:rPr>
        <w:t>朝阳县统计局</w:t>
      </w:r>
    </w:p>
    <w:p>
      <w:pPr>
        <w:ind w:firstLine="640"/>
        <w:rPr>
          <w:rFonts w:ascii="黑体" w:hAnsi="黑体" w:eastAsia="黑体" w:cs="黑体"/>
          <w:sz w:val="32"/>
          <w:szCs w:val="32"/>
        </w:rPr>
      </w:pPr>
    </w:p>
    <w:p>
      <w:pPr>
        <w:keepNext/>
        <w:ind w:firstLine="680" w:firstLineChars="200"/>
        <w:jc w:val="left"/>
        <w:rPr>
          <w:rFonts w:hint="default" w:ascii="仿宋_GB2312" w:hAnsi="ˎ̥" w:eastAsia="仿宋_GB2312"/>
          <w:sz w:val="34"/>
          <w:szCs w:val="34"/>
          <w:lang w:val="en-US" w:eastAsia="zh-CN"/>
        </w:rPr>
      </w:pPr>
      <w:r>
        <w:rPr>
          <w:rFonts w:hint="eastAsia" w:ascii="仿宋_GB2312" w:hAnsi="ˎ̥" w:eastAsia="仿宋_GB2312"/>
          <w:sz w:val="34"/>
          <w:szCs w:val="34"/>
        </w:rPr>
        <w:t>2023年，全县上下高举习近平新时代中国特色社会主义思想伟大旗帜，</w:t>
      </w:r>
      <w:r>
        <w:rPr>
          <w:rFonts w:hint="eastAsia" w:ascii="仿宋_GB2312" w:hAnsi="ˎ̥" w:eastAsia="仿宋_GB2312"/>
          <w:sz w:val="34"/>
          <w:szCs w:val="34"/>
          <w:lang w:val="en-US" w:eastAsia="zh-CN"/>
        </w:rPr>
        <w:t>坚持稳中求进，以进促稳实施政策，固本培元增强内生动能，</w:t>
      </w:r>
      <w:r>
        <w:rPr>
          <w:rFonts w:hint="eastAsia" w:ascii="仿宋_GB2312" w:hAnsi="ˎ̥" w:eastAsia="仿宋_GB2312" w:cs="Times New Roman"/>
          <w:sz w:val="34"/>
          <w:szCs w:val="34"/>
          <w:lang w:val="en-US" w:eastAsia="zh-CN"/>
        </w:rPr>
        <w:t>全力推进全面振兴新突破三年行动，</w:t>
      </w:r>
      <w:r>
        <w:rPr>
          <w:rFonts w:hint="eastAsia" w:ascii="仿宋_GB2312" w:hAnsi="ˎ̥" w:eastAsia="仿宋_GB2312"/>
          <w:sz w:val="34"/>
          <w:szCs w:val="34"/>
          <w:lang w:val="en-US" w:eastAsia="zh-CN"/>
        </w:rPr>
        <w:t>国民经济呈现增长较快，质效向好的发展态势。</w:t>
      </w:r>
    </w:p>
    <w:p>
      <w:pPr>
        <w:keepNext/>
        <w:ind w:firstLine="683" w:firstLineChars="200"/>
        <w:jc w:val="left"/>
        <w:rPr>
          <w:rFonts w:ascii="仿宋_GB2312" w:hAnsi="ˎ̥" w:eastAsia="仿宋_GB2312"/>
          <w:b/>
          <w:bCs/>
          <w:sz w:val="34"/>
          <w:szCs w:val="34"/>
        </w:rPr>
      </w:pPr>
      <w:r>
        <w:rPr>
          <w:rFonts w:hint="eastAsia" w:ascii="仿宋_GB2312" w:hAnsi="ˎ̥" w:eastAsia="仿宋_GB2312"/>
          <w:b/>
          <w:bCs/>
          <w:sz w:val="34"/>
          <w:szCs w:val="34"/>
        </w:rPr>
        <w:t>一、经济总量</w:t>
      </w:r>
    </w:p>
    <w:p>
      <w:pPr>
        <w:keepNext/>
        <w:ind w:firstLine="680" w:firstLineChars="200"/>
        <w:jc w:val="left"/>
        <w:rPr>
          <w:rFonts w:asciiTheme="minorEastAsia" w:hAnsiTheme="minorEastAsia" w:eastAsiaTheme="minorEastAsia"/>
          <w:color w:val="000000"/>
          <w:sz w:val="28"/>
          <w:szCs w:val="28"/>
          <w:highlight w:val="yellow"/>
        </w:rPr>
      </w:pPr>
      <w:r>
        <w:rPr>
          <w:rFonts w:hint="eastAsia" w:ascii="仿宋_GB2312" w:hAnsi="ˎ̥" w:eastAsia="仿宋_GB2312"/>
          <w:sz w:val="34"/>
          <w:szCs w:val="34"/>
        </w:rPr>
        <w:t>初步核算，全县实现地区生产总值</w:t>
      </w:r>
      <w:r>
        <w:rPr>
          <w:rFonts w:ascii="仿宋_GB2312" w:hAnsi="ˎ̥" w:eastAsia="仿宋_GB2312"/>
          <w:sz w:val="34"/>
          <w:szCs w:val="34"/>
        </w:rPr>
        <w:t>1240078</w:t>
      </w:r>
      <w:r>
        <w:rPr>
          <w:rFonts w:hint="eastAsia" w:ascii="仿宋_GB2312" w:hAnsi="ˎ̥" w:eastAsia="仿宋_GB2312"/>
          <w:sz w:val="34"/>
          <w:szCs w:val="34"/>
        </w:rPr>
        <w:t>万元，按可比价格计算，同比增长</w:t>
      </w:r>
      <w:r>
        <w:rPr>
          <w:rFonts w:ascii="仿宋_GB2312" w:hAnsi="ˎ̥" w:eastAsia="仿宋_GB2312"/>
          <w:sz w:val="34"/>
          <w:szCs w:val="34"/>
        </w:rPr>
        <w:t>6.8</w:t>
      </w:r>
      <w:r>
        <w:rPr>
          <w:rFonts w:hint="eastAsia" w:ascii="仿宋_GB2312" w:hAnsi="ˎ̥" w:eastAsia="仿宋_GB2312"/>
          <w:sz w:val="34"/>
          <w:szCs w:val="34"/>
        </w:rPr>
        <w:t>%。其中，第一产业增加值</w:t>
      </w:r>
      <w:r>
        <w:rPr>
          <w:rFonts w:ascii="仿宋_GB2312" w:hAnsi="ˎ̥" w:eastAsia="仿宋_GB2312"/>
          <w:sz w:val="34"/>
          <w:szCs w:val="34"/>
        </w:rPr>
        <w:t>416925</w:t>
      </w:r>
      <w:r>
        <w:rPr>
          <w:rFonts w:hint="eastAsia" w:ascii="仿宋_GB2312" w:hAnsi="ˎ̥" w:eastAsia="仿宋_GB2312"/>
          <w:sz w:val="34"/>
          <w:szCs w:val="34"/>
        </w:rPr>
        <w:t>万元，同比增长5.1%；第二产业增加值</w:t>
      </w:r>
      <w:r>
        <w:rPr>
          <w:rFonts w:ascii="仿宋_GB2312" w:hAnsi="ˎ̥" w:eastAsia="仿宋_GB2312"/>
          <w:sz w:val="34"/>
          <w:szCs w:val="34"/>
        </w:rPr>
        <w:t>291067</w:t>
      </w:r>
      <w:r>
        <w:rPr>
          <w:rFonts w:hint="eastAsia" w:ascii="仿宋_GB2312" w:hAnsi="ˎ̥" w:eastAsia="仿宋_GB2312"/>
          <w:sz w:val="34"/>
          <w:szCs w:val="34"/>
        </w:rPr>
        <w:t>万元，同比增长14.2%；第三产业增加值</w:t>
      </w:r>
      <w:r>
        <w:rPr>
          <w:rFonts w:ascii="仿宋_GB2312" w:hAnsi="ˎ̥" w:eastAsia="仿宋_GB2312"/>
          <w:sz w:val="34"/>
          <w:szCs w:val="34"/>
        </w:rPr>
        <w:t>532086</w:t>
      </w:r>
      <w:r>
        <w:rPr>
          <w:rFonts w:hint="eastAsia" w:ascii="仿宋_GB2312" w:hAnsi="ˎ̥" w:eastAsia="仿宋_GB2312"/>
          <w:sz w:val="34"/>
          <w:szCs w:val="34"/>
        </w:rPr>
        <w:t>万元，同比增长</w:t>
      </w:r>
      <w:r>
        <w:rPr>
          <w:rFonts w:ascii="仿宋_GB2312" w:hAnsi="ˎ̥" w:eastAsia="仿宋_GB2312"/>
          <w:sz w:val="34"/>
          <w:szCs w:val="34"/>
        </w:rPr>
        <w:t>4.9</w:t>
      </w:r>
      <w:r>
        <w:rPr>
          <w:rFonts w:hint="eastAsia" w:ascii="仿宋_GB2312" w:hAnsi="ˎ̥" w:eastAsia="仿宋_GB2312"/>
          <w:sz w:val="34"/>
          <w:szCs w:val="34"/>
        </w:rPr>
        <w:t>%，三次产业增加值比重为34:23:43。分季度看，一季度地区生产总值增长3.7%，二季度增长5.7%，三季度增长6.3%，四季度增长6.8%。</w:t>
      </w:r>
      <w:r>
        <w:rPr>
          <w:rFonts w:hint="eastAsia" w:asciiTheme="minorEastAsia" w:hAnsiTheme="minorEastAsia" w:eastAsiaTheme="minorEastAsia"/>
          <w:color w:val="000000"/>
          <w:sz w:val="28"/>
          <w:szCs w:val="28"/>
        </w:rPr>
        <w:drawing>
          <wp:inline distT="0" distB="0" distL="0" distR="0">
            <wp:extent cx="5166995" cy="3755390"/>
            <wp:effectExtent l="4445" t="4445" r="10160" b="12065"/>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420" w:firstLineChars="15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drawing>
          <wp:inline distT="0" distB="0" distL="0" distR="0">
            <wp:extent cx="4610100" cy="2941955"/>
            <wp:effectExtent l="4445" t="4445" r="14605" b="63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ind w:firstLine="683" w:firstLineChars="200"/>
        <w:jc w:val="left"/>
        <w:rPr>
          <w:rFonts w:ascii="仿宋_GB2312" w:hAnsi="ˎ̥" w:eastAsia="仿宋_GB2312"/>
          <w:b/>
          <w:bCs/>
          <w:sz w:val="34"/>
          <w:szCs w:val="34"/>
        </w:rPr>
      </w:pPr>
      <w:r>
        <w:rPr>
          <w:rFonts w:hint="eastAsia" w:ascii="仿宋_GB2312" w:hAnsi="ˎ̥" w:eastAsia="仿宋_GB2312"/>
          <w:b/>
          <w:bCs/>
          <w:sz w:val="34"/>
          <w:szCs w:val="34"/>
        </w:rPr>
        <w:t xml:space="preserve">二、农  业 </w:t>
      </w:r>
    </w:p>
    <w:p>
      <w:pPr>
        <w:keepNext/>
        <w:ind w:firstLine="680" w:firstLineChars="200"/>
        <w:jc w:val="left"/>
        <w:rPr>
          <w:rFonts w:ascii="仿宋_GB2312" w:hAnsi="ˎ̥" w:eastAsia="仿宋_GB2312"/>
          <w:color w:val="FF0000"/>
          <w:sz w:val="34"/>
          <w:szCs w:val="34"/>
        </w:rPr>
      </w:pPr>
      <w:r>
        <w:rPr>
          <w:rFonts w:hint="eastAsia" w:ascii="仿宋_GB2312" w:hAnsi="ˎ̥" w:eastAsia="仿宋_GB2312"/>
          <w:sz w:val="34"/>
          <w:szCs w:val="34"/>
        </w:rPr>
        <w:t>全年粮食产量</w:t>
      </w:r>
      <w:r>
        <w:rPr>
          <w:rFonts w:ascii="仿宋_GB2312" w:hAnsi="ˎ̥" w:eastAsia="仿宋_GB2312"/>
          <w:sz w:val="34"/>
          <w:szCs w:val="34"/>
        </w:rPr>
        <w:t>528403.03</w:t>
      </w:r>
      <w:r>
        <w:rPr>
          <w:rFonts w:hint="eastAsia" w:ascii="仿宋_GB2312" w:hAnsi="ˎ̥" w:eastAsia="仿宋_GB2312"/>
          <w:sz w:val="34"/>
          <w:szCs w:val="34"/>
        </w:rPr>
        <w:t>吨。主要农作物产量中：玉米产量</w:t>
      </w:r>
      <w:r>
        <w:rPr>
          <w:rFonts w:ascii="仿宋_GB2312" w:hAnsi="ˎ̥" w:eastAsia="仿宋_GB2312"/>
          <w:sz w:val="34"/>
          <w:szCs w:val="34"/>
        </w:rPr>
        <w:t>504079.52</w:t>
      </w:r>
      <w:r>
        <w:rPr>
          <w:rFonts w:hint="eastAsia" w:ascii="仿宋_GB2312" w:hAnsi="ˎ̥" w:eastAsia="仿宋_GB2312"/>
          <w:sz w:val="34"/>
          <w:szCs w:val="34"/>
        </w:rPr>
        <w:t>吨，谷子产量</w:t>
      </w:r>
      <w:r>
        <w:rPr>
          <w:rFonts w:ascii="仿宋_GB2312" w:hAnsi="ˎ̥" w:eastAsia="仿宋_GB2312"/>
          <w:sz w:val="34"/>
          <w:szCs w:val="34"/>
        </w:rPr>
        <w:t>4930.69</w:t>
      </w:r>
      <w:r>
        <w:rPr>
          <w:rFonts w:hint="eastAsia" w:ascii="仿宋_GB2312" w:hAnsi="ˎ̥" w:eastAsia="仿宋_GB2312"/>
          <w:sz w:val="34"/>
          <w:szCs w:val="34"/>
        </w:rPr>
        <w:t>吨，高粱产量</w:t>
      </w:r>
      <w:r>
        <w:rPr>
          <w:rFonts w:ascii="仿宋_GB2312" w:hAnsi="ˎ̥" w:eastAsia="仿宋_GB2312"/>
          <w:sz w:val="34"/>
          <w:szCs w:val="34"/>
        </w:rPr>
        <w:t>12210.5</w:t>
      </w:r>
      <w:r>
        <w:rPr>
          <w:rFonts w:hint="eastAsia" w:ascii="仿宋_GB2312" w:hAnsi="ˎ̥" w:eastAsia="仿宋_GB2312"/>
          <w:sz w:val="34"/>
          <w:szCs w:val="34"/>
        </w:rPr>
        <w:t>吨，豆类产量</w:t>
      </w:r>
      <w:r>
        <w:rPr>
          <w:rFonts w:ascii="仿宋_GB2312" w:hAnsi="ˎ̥" w:eastAsia="仿宋_GB2312"/>
          <w:sz w:val="34"/>
          <w:szCs w:val="34"/>
        </w:rPr>
        <w:t>2032.66</w:t>
      </w:r>
      <w:r>
        <w:rPr>
          <w:rFonts w:hint="eastAsia" w:ascii="仿宋_GB2312" w:hAnsi="ˎ̥" w:eastAsia="仿宋_GB2312"/>
          <w:sz w:val="34"/>
          <w:szCs w:val="34"/>
        </w:rPr>
        <w:t>吨。在非粮食作物中，油料产量</w:t>
      </w:r>
      <w:r>
        <w:rPr>
          <w:rFonts w:ascii="仿宋_GB2312" w:hAnsi="ˎ̥" w:eastAsia="仿宋_GB2312"/>
          <w:sz w:val="34"/>
          <w:szCs w:val="34"/>
        </w:rPr>
        <w:t>2765</w:t>
      </w:r>
      <w:r>
        <w:rPr>
          <w:rFonts w:hint="eastAsia" w:ascii="仿宋_GB2312" w:hAnsi="ˎ̥" w:eastAsia="仿宋_GB2312"/>
          <w:sz w:val="34"/>
          <w:szCs w:val="34"/>
        </w:rPr>
        <w:t>吨，同比下降</w:t>
      </w:r>
      <w:r>
        <w:rPr>
          <w:rFonts w:ascii="仿宋_GB2312" w:hAnsi="ˎ̥" w:eastAsia="仿宋_GB2312"/>
          <w:sz w:val="34"/>
          <w:szCs w:val="34"/>
        </w:rPr>
        <w:t>5.3%</w:t>
      </w:r>
      <w:r>
        <w:rPr>
          <w:rFonts w:hint="eastAsia" w:ascii="仿宋_GB2312" w:hAnsi="ˎ̥" w:eastAsia="仿宋_GB2312"/>
          <w:sz w:val="34"/>
          <w:szCs w:val="34"/>
        </w:rPr>
        <w:t>；蔬菜及食用菌产量</w:t>
      </w:r>
      <w:r>
        <w:rPr>
          <w:rFonts w:ascii="仿宋_GB2312" w:hAnsi="ˎ̥" w:eastAsia="仿宋_GB2312"/>
          <w:sz w:val="34"/>
          <w:szCs w:val="34"/>
        </w:rPr>
        <w:t>454465</w:t>
      </w:r>
      <w:r>
        <w:rPr>
          <w:rFonts w:hint="eastAsia" w:ascii="仿宋_GB2312" w:hAnsi="ˎ̥" w:eastAsia="仿宋_GB2312"/>
          <w:sz w:val="34"/>
          <w:szCs w:val="34"/>
        </w:rPr>
        <w:t>吨，同比增长</w:t>
      </w:r>
      <w:r>
        <w:rPr>
          <w:rFonts w:ascii="仿宋_GB2312" w:hAnsi="ˎ̥" w:eastAsia="仿宋_GB2312"/>
          <w:sz w:val="34"/>
          <w:szCs w:val="34"/>
        </w:rPr>
        <w:t>5.6%</w:t>
      </w:r>
      <w:r>
        <w:rPr>
          <w:rFonts w:hint="eastAsia" w:ascii="仿宋_GB2312" w:hAnsi="ˎ̥" w:eastAsia="仿宋_GB2312"/>
          <w:sz w:val="34"/>
          <w:szCs w:val="34"/>
        </w:rPr>
        <w:t>；水果产量</w:t>
      </w:r>
      <w:r>
        <w:rPr>
          <w:rFonts w:ascii="仿宋_GB2312" w:hAnsi="ˎ̥" w:eastAsia="仿宋_GB2312"/>
          <w:sz w:val="34"/>
          <w:szCs w:val="34"/>
        </w:rPr>
        <w:t>201987</w:t>
      </w:r>
      <w:r>
        <w:rPr>
          <w:rFonts w:hint="eastAsia" w:ascii="仿宋_GB2312" w:hAnsi="ˎ̥" w:eastAsia="仿宋_GB2312"/>
          <w:sz w:val="34"/>
          <w:szCs w:val="34"/>
        </w:rPr>
        <w:t>吨，同比增长</w:t>
      </w:r>
      <w:r>
        <w:rPr>
          <w:rFonts w:ascii="仿宋_GB2312" w:hAnsi="ˎ̥" w:eastAsia="仿宋_GB2312"/>
          <w:sz w:val="34"/>
          <w:szCs w:val="34"/>
        </w:rPr>
        <w:t>6.9%</w:t>
      </w:r>
      <w:r>
        <w:rPr>
          <w:rFonts w:hint="eastAsia" w:ascii="仿宋_GB2312" w:hAnsi="ˎ̥" w:eastAsia="仿宋_GB2312"/>
          <w:sz w:val="34"/>
          <w:szCs w:val="34"/>
        </w:rPr>
        <w:t>，其中，</w:t>
      </w:r>
      <w:r>
        <w:rPr>
          <w:rFonts w:ascii="仿宋_GB2312" w:hAnsi="ˎ̥" w:eastAsia="仿宋_GB2312"/>
          <w:sz w:val="34"/>
          <w:szCs w:val="34"/>
        </w:rPr>
        <w:t>大</w:t>
      </w:r>
      <w:r>
        <w:rPr>
          <w:rFonts w:hint="eastAsia" w:ascii="仿宋_GB2312" w:hAnsi="ˎ̥" w:eastAsia="仿宋_GB2312"/>
          <w:sz w:val="34"/>
          <w:szCs w:val="34"/>
          <w:lang w:val="en-US" w:eastAsia="zh-CN"/>
        </w:rPr>
        <w:t>枣</w:t>
      </w:r>
      <w:r>
        <w:rPr>
          <w:rFonts w:hint="eastAsia" w:ascii="仿宋_GB2312" w:hAnsi="ˎ̥" w:eastAsia="仿宋_GB2312"/>
          <w:sz w:val="34"/>
          <w:szCs w:val="34"/>
        </w:rPr>
        <w:t>产量</w:t>
      </w:r>
      <w:r>
        <w:rPr>
          <w:rFonts w:ascii="仿宋_GB2312" w:hAnsi="ˎ̥" w:eastAsia="仿宋_GB2312"/>
          <w:sz w:val="34"/>
          <w:szCs w:val="34"/>
        </w:rPr>
        <w:t>96416</w:t>
      </w:r>
      <w:r>
        <w:rPr>
          <w:rFonts w:hint="eastAsia" w:ascii="仿宋_GB2312" w:hAnsi="ˎ̥" w:eastAsia="仿宋_GB2312"/>
          <w:sz w:val="34"/>
          <w:szCs w:val="34"/>
        </w:rPr>
        <w:t>吨，同比增长</w:t>
      </w:r>
      <w:r>
        <w:rPr>
          <w:rFonts w:ascii="仿宋_GB2312" w:hAnsi="ˎ̥" w:eastAsia="仿宋_GB2312"/>
          <w:sz w:val="34"/>
          <w:szCs w:val="34"/>
        </w:rPr>
        <w:t>10.1%</w:t>
      </w:r>
      <w:r>
        <w:rPr>
          <w:rFonts w:hint="eastAsia" w:ascii="仿宋_GB2312" w:hAnsi="ˎ̥" w:eastAsia="仿宋_GB2312"/>
          <w:sz w:val="34"/>
          <w:szCs w:val="34"/>
        </w:rPr>
        <w:t>。</w:t>
      </w:r>
    </w:p>
    <w:p>
      <w:pPr>
        <w:keepNext/>
        <w:ind w:firstLine="680" w:firstLineChars="200"/>
        <w:jc w:val="left"/>
        <w:rPr>
          <w:rFonts w:ascii="仿宋_GB2312" w:hAnsi="ˎ̥" w:eastAsia="仿宋_GB2312"/>
          <w:sz w:val="34"/>
          <w:szCs w:val="34"/>
        </w:rPr>
      </w:pPr>
      <w:r>
        <w:rPr>
          <w:rFonts w:hint="eastAsia" w:ascii="仿宋_GB2312" w:hAnsi="ˎ̥" w:eastAsia="仿宋_GB2312"/>
          <w:sz w:val="34"/>
          <w:szCs w:val="34"/>
        </w:rPr>
        <w:t>生猪饲养量</w:t>
      </w:r>
      <w:r>
        <w:rPr>
          <w:rFonts w:ascii="仿宋_GB2312" w:hAnsi="ˎ̥" w:eastAsia="仿宋_GB2312"/>
          <w:sz w:val="34"/>
          <w:szCs w:val="34"/>
        </w:rPr>
        <w:t>301.69</w:t>
      </w:r>
      <w:r>
        <w:rPr>
          <w:rFonts w:hint="eastAsia" w:ascii="仿宋_GB2312" w:hAnsi="ˎ̥" w:eastAsia="仿宋_GB2312"/>
          <w:sz w:val="34"/>
          <w:szCs w:val="34"/>
        </w:rPr>
        <w:t>万头，同比</w:t>
      </w:r>
      <w:r>
        <w:rPr>
          <w:rFonts w:hint="eastAsia" w:ascii="仿宋_GB2312" w:hAnsi="ˎ̥" w:eastAsia="仿宋_GB2312"/>
          <w:sz w:val="34"/>
          <w:szCs w:val="34"/>
          <w:lang w:val="en-US" w:eastAsia="zh-CN"/>
        </w:rPr>
        <w:t>增长</w:t>
      </w:r>
      <w:r>
        <w:rPr>
          <w:rFonts w:hint="eastAsia" w:ascii="仿宋_GB2312" w:hAnsi="ˎ̥" w:eastAsia="仿宋_GB2312"/>
          <w:sz w:val="34"/>
          <w:szCs w:val="34"/>
        </w:rPr>
        <w:t>6.1%;牛饲养量</w:t>
      </w:r>
      <w:r>
        <w:rPr>
          <w:rFonts w:ascii="仿宋_GB2312" w:hAnsi="ˎ̥" w:eastAsia="仿宋_GB2312"/>
          <w:sz w:val="34"/>
          <w:szCs w:val="34"/>
        </w:rPr>
        <w:t>50.47</w:t>
      </w:r>
      <w:r>
        <w:rPr>
          <w:rFonts w:hint="eastAsia" w:ascii="仿宋_GB2312" w:hAnsi="ˎ̥" w:eastAsia="仿宋_GB2312"/>
          <w:sz w:val="34"/>
          <w:szCs w:val="34"/>
        </w:rPr>
        <w:t>万头，同比下降</w:t>
      </w:r>
      <w:r>
        <w:rPr>
          <w:rFonts w:ascii="仿宋_GB2312" w:hAnsi="ˎ̥" w:eastAsia="仿宋_GB2312"/>
          <w:sz w:val="34"/>
          <w:szCs w:val="34"/>
        </w:rPr>
        <w:t>1.</w:t>
      </w:r>
      <w:r>
        <w:rPr>
          <w:rFonts w:hint="eastAsia" w:ascii="仿宋_GB2312" w:hAnsi="ˎ̥" w:eastAsia="仿宋_GB2312"/>
          <w:sz w:val="34"/>
          <w:szCs w:val="34"/>
          <w:lang w:val="en-US" w:eastAsia="zh-CN"/>
        </w:rPr>
        <w:t>9</w:t>
      </w:r>
      <w:r>
        <w:rPr>
          <w:rFonts w:hint="eastAsia" w:ascii="仿宋_GB2312" w:hAnsi="ˎ̥" w:eastAsia="仿宋_GB2312"/>
          <w:sz w:val="34"/>
          <w:szCs w:val="34"/>
        </w:rPr>
        <w:t>%;羊饲养量</w:t>
      </w:r>
      <w:r>
        <w:rPr>
          <w:rFonts w:ascii="仿宋_GB2312" w:hAnsi="ˎ̥" w:eastAsia="仿宋_GB2312"/>
          <w:sz w:val="34"/>
          <w:szCs w:val="34"/>
        </w:rPr>
        <w:t>237.55</w:t>
      </w:r>
      <w:r>
        <w:rPr>
          <w:rFonts w:hint="eastAsia" w:ascii="仿宋_GB2312" w:hAnsi="ˎ̥" w:eastAsia="仿宋_GB2312"/>
          <w:sz w:val="34"/>
          <w:szCs w:val="34"/>
        </w:rPr>
        <w:t>万头，同比增长0.</w:t>
      </w:r>
      <w:r>
        <w:rPr>
          <w:rFonts w:hint="eastAsia" w:ascii="仿宋_GB2312" w:hAnsi="ˎ̥" w:eastAsia="仿宋_GB2312"/>
          <w:sz w:val="34"/>
          <w:szCs w:val="34"/>
          <w:lang w:val="en-US" w:eastAsia="zh-CN"/>
        </w:rPr>
        <w:t>6</w:t>
      </w:r>
      <w:r>
        <w:rPr>
          <w:rFonts w:hint="eastAsia" w:ascii="仿宋_GB2312" w:hAnsi="ˎ̥" w:eastAsia="仿宋_GB2312"/>
          <w:sz w:val="34"/>
          <w:szCs w:val="34"/>
        </w:rPr>
        <w:t>%;禽饲养量</w:t>
      </w:r>
      <w:r>
        <w:rPr>
          <w:rFonts w:ascii="仿宋_GB2312" w:hAnsi="ˎ̥" w:eastAsia="仿宋_GB2312"/>
          <w:sz w:val="34"/>
          <w:szCs w:val="34"/>
        </w:rPr>
        <w:t>3312.28</w:t>
      </w:r>
      <w:r>
        <w:rPr>
          <w:rFonts w:hint="eastAsia" w:ascii="仿宋_GB2312" w:hAnsi="ˎ̥" w:eastAsia="仿宋_GB2312"/>
          <w:sz w:val="34"/>
          <w:szCs w:val="34"/>
        </w:rPr>
        <w:t>万只，同比下降1.2%。肉类总产量</w:t>
      </w:r>
      <w:r>
        <w:rPr>
          <w:rFonts w:ascii="仿宋_GB2312" w:hAnsi="ˎ̥" w:eastAsia="仿宋_GB2312"/>
          <w:sz w:val="34"/>
          <w:szCs w:val="34"/>
        </w:rPr>
        <w:t>14.13</w:t>
      </w:r>
      <w:r>
        <w:rPr>
          <w:rFonts w:hint="eastAsia" w:ascii="仿宋_GB2312" w:hAnsi="ˎ̥" w:eastAsia="仿宋_GB2312"/>
          <w:sz w:val="34"/>
          <w:szCs w:val="34"/>
        </w:rPr>
        <w:t>万吨。其中，猪肉产量</w:t>
      </w:r>
      <w:r>
        <w:rPr>
          <w:rFonts w:ascii="仿宋_GB2312" w:hAnsi="ˎ̥" w:eastAsia="仿宋_GB2312"/>
          <w:sz w:val="34"/>
          <w:szCs w:val="34"/>
        </w:rPr>
        <w:t>9.28</w:t>
      </w:r>
      <w:r>
        <w:rPr>
          <w:rFonts w:hint="eastAsia" w:ascii="仿宋_GB2312" w:hAnsi="ˎ̥" w:eastAsia="仿宋_GB2312"/>
          <w:sz w:val="34"/>
          <w:szCs w:val="34"/>
        </w:rPr>
        <w:t>万吨，同比增长</w:t>
      </w:r>
      <w:r>
        <w:rPr>
          <w:rFonts w:ascii="仿宋_GB2312" w:hAnsi="ˎ̥" w:eastAsia="仿宋_GB2312"/>
          <w:sz w:val="34"/>
          <w:szCs w:val="34"/>
        </w:rPr>
        <w:t>2.</w:t>
      </w:r>
      <w:r>
        <w:rPr>
          <w:rFonts w:hint="eastAsia" w:ascii="仿宋_GB2312" w:hAnsi="ˎ̥" w:eastAsia="仿宋_GB2312"/>
          <w:sz w:val="34"/>
          <w:szCs w:val="34"/>
          <w:lang w:val="en-US" w:eastAsia="zh-CN"/>
        </w:rPr>
        <w:t>1</w:t>
      </w:r>
      <w:r>
        <w:rPr>
          <w:rFonts w:hint="eastAsia" w:ascii="仿宋_GB2312" w:hAnsi="ˎ̥" w:eastAsia="仿宋_GB2312"/>
          <w:sz w:val="34"/>
          <w:szCs w:val="34"/>
        </w:rPr>
        <w:t>%；牛肉产量</w:t>
      </w:r>
      <w:r>
        <w:rPr>
          <w:rFonts w:ascii="仿宋_GB2312" w:hAnsi="ˎ̥" w:eastAsia="仿宋_GB2312"/>
          <w:sz w:val="34"/>
          <w:szCs w:val="34"/>
        </w:rPr>
        <w:t>1.37</w:t>
      </w:r>
      <w:r>
        <w:rPr>
          <w:rFonts w:hint="eastAsia" w:ascii="仿宋_GB2312" w:hAnsi="ˎ̥" w:eastAsia="仿宋_GB2312"/>
          <w:sz w:val="34"/>
          <w:szCs w:val="34"/>
        </w:rPr>
        <w:t>万吨，同比</w:t>
      </w:r>
      <w:r>
        <w:rPr>
          <w:rFonts w:hint="eastAsia" w:ascii="仿宋_GB2312" w:hAnsi="ˎ̥" w:eastAsia="仿宋_GB2312"/>
          <w:sz w:val="34"/>
          <w:szCs w:val="34"/>
          <w:lang w:val="en-US" w:eastAsia="zh-CN"/>
        </w:rPr>
        <w:t>下降</w:t>
      </w:r>
      <w:r>
        <w:rPr>
          <w:rFonts w:hint="eastAsia" w:ascii="仿宋_GB2312" w:hAnsi="ˎ̥" w:eastAsia="仿宋_GB2312"/>
          <w:sz w:val="34"/>
          <w:szCs w:val="34"/>
        </w:rPr>
        <w:t>7.3%；羊肉产量</w:t>
      </w:r>
      <w:r>
        <w:rPr>
          <w:rFonts w:ascii="仿宋_GB2312" w:hAnsi="ˎ̥" w:eastAsia="仿宋_GB2312"/>
          <w:sz w:val="34"/>
          <w:szCs w:val="34"/>
        </w:rPr>
        <w:t>0.78</w:t>
      </w:r>
      <w:r>
        <w:rPr>
          <w:rFonts w:hint="eastAsia" w:ascii="仿宋_GB2312" w:hAnsi="ˎ̥" w:eastAsia="仿宋_GB2312"/>
          <w:sz w:val="34"/>
          <w:szCs w:val="34"/>
        </w:rPr>
        <w:t>万吨, 同比增长3.</w:t>
      </w:r>
      <w:r>
        <w:rPr>
          <w:rFonts w:hint="eastAsia" w:ascii="仿宋_GB2312" w:hAnsi="ˎ̥" w:eastAsia="仿宋_GB2312"/>
          <w:sz w:val="34"/>
          <w:szCs w:val="34"/>
          <w:lang w:val="en-US" w:eastAsia="zh-CN"/>
        </w:rPr>
        <w:t>9</w:t>
      </w:r>
      <w:r>
        <w:rPr>
          <w:rFonts w:hint="eastAsia" w:ascii="仿宋_GB2312" w:hAnsi="ˎ̥" w:eastAsia="仿宋_GB2312"/>
          <w:sz w:val="34"/>
          <w:szCs w:val="34"/>
        </w:rPr>
        <w:t>%；禽肉产量2.7万吨，</w:t>
      </w:r>
      <w:r>
        <w:rPr>
          <w:rFonts w:ascii="仿宋_GB2312" w:hAnsi="ˎ̥" w:eastAsia="仿宋_GB2312"/>
          <w:sz w:val="34"/>
          <w:szCs w:val="34"/>
        </w:rPr>
        <w:t>与去年持平</w:t>
      </w:r>
      <w:r>
        <w:rPr>
          <w:rFonts w:hint="eastAsia" w:ascii="仿宋_GB2312" w:hAnsi="ˎ̥" w:eastAsia="仿宋_GB2312"/>
          <w:sz w:val="34"/>
          <w:szCs w:val="34"/>
        </w:rPr>
        <w:t>；</w:t>
      </w:r>
      <w:r>
        <w:rPr>
          <w:rFonts w:ascii="仿宋_GB2312" w:hAnsi="ˎ̥" w:eastAsia="仿宋_GB2312"/>
          <w:sz w:val="34"/>
          <w:szCs w:val="34"/>
        </w:rPr>
        <w:t>禽蛋产量</w:t>
      </w:r>
      <w:r>
        <w:rPr>
          <w:rFonts w:hint="eastAsia" w:ascii="仿宋_GB2312" w:hAnsi="ˎ̥" w:eastAsia="仿宋_GB2312"/>
          <w:sz w:val="34"/>
          <w:szCs w:val="34"/>
        </w:rPr>
        <w:t>3</w:t>
      </w:r>
      <w:r>
        <w:rPr>
          <w:rFonts w:ascii="仿宋_GB2312" w:hAnsi="ˎ̥" w:eastAsia="仿宋_GB2312"/>
          <w:sz w:val="34"/>
          <w:szCs w:val="34"/>
        </w:rPr>
        <w:t>.82万吨，同比下降</w:t>
      </w:r>
      <w:r>
        <w:rPr>
          <w:rFonts w:hint="eastAsia" w:ascii="仿宋_GB2312" w:hAnsi="ˎ̥" w:eastAsia="仿宋_GB2312"/>
          <w:sz w:val="34"/>
          <w:szCs w:val="34"/>
        </w:rPr>
        <w:t>1</w:t>
      </w:r>
      <w:r>
        <w:rPr>
          <w:rFonts w:ascii="仿宋_GB2312" w:hAnsi="ˎ̥" w:eastAsia="仿宋_GB2312"/>
          <w:sz w:val="34"/>
          <w:szCs w:val="34"/>
        </w:rPr>
        <w:t>2</w:t>
      </w:r>
      <w:r>
        <w:rPr>
          <w:rFonts w:hint="eastAsia" w:ascii="仿宋_GB2312" w:hAnsi="ˎ̥" w:eastAsia="仿宋_GB2312"/>
          <w:sz w:val="34"/>
          <w:szCs w:val="34"/>
        </w:rPr>
        <w:t>%。</w:t>
      </w:r>
    </w:p>
    <w:p>
      <w:pPr>
        <w:keepNext/>
        <w:ind w:firstLine="510" w:firstLineChars="150"/>
        <w:jc w:val="left"/>
        <w:rPr>
          <w:rFonts w:ascii="仿宋_GB2312" w:hAnsi="ˎ̥" w:eastAsia="仿宋_GB2312"/>
          <w:sz w:val="34"/>
          <w:szCs w:val="34"/>
        </w:rPr>
      </w:pPr>
      <w:r>
        <w:rPr>
          <w:rFonts w:hint="eastAsia" w:ascii="仿宋_GB2312" w:hAnsi="ˎ̥" w:eastAsia="仿宋_GB2312"/>
          <w:sz w:val="34"/>
          <w:szCs w:val="34"/>
        </w:rPr>
        <w:t>农业科技推广应用规模扩大，生产条件进一步改善。2023年，全县高标准农田建设项目完成</w:t>
      </w:r>
      <w:r>
        <w:rPr>
          <w:rFonts w:hint="eastAsia" w:ascii="仿宋_GB2312" w:hAnsi="ˎ̥" w:eastAsia="仿宋_GB2312"/>
          <w:sz w:val="34"/>
          <w:szCs w:val="34"/>
          <w:lang w:val="en-US" w:eastAsia="zh-CN"/>
        </w:rPr>
        <w:t>目标5</w:t>
      </w:r>
      <w:r>
        <w:rPr>
          <w:rFonts w:hint="eastAsia" w:ascii="仿宋_GB2312" w:hAnsi="ˎ̥" w:eastAsia="仿宋_GB2312"/>
          <w:sz w:val="34"/>
          <w:szCs w:val="34"/>
        </w:rPr>
        <w:t>万亩。农业机械总动力达到40.5万千瓦特。</w:t>
      </w:r>
    </w:p>
    <w:p>
      <w:pPr>
        <w:keepNext/>
        <w:ind w:firstLine="683" w:firstLineChars="200"/>
        <w:jc w:val="left"/>
        <w:rPr>
          <w:rFonts w:ascii="仿宋_GB2312" w:hAnsi="ˎ̥" w:eastAsia="仿宋_GB2312"/>
          <w:b/>
          <w:bCs/>
          <w:sz w:val="34"/>
          <w:szCs w:val="34"/>
        </w:rPr>
      </w:pPr>
      <w:r>
        <w:rPr>
          <w:rFonts w:hint="eastAsia" w:ascii="仿宋_GB2312" w:hAnsi="ˎ̥" w:eastAsia="仿宋_GB2312"/>
          <w:b/>
          <w:bCs/>
          <w:sz w:val="34"/>
          <w:szCs w:val="34"/>
        </w:rPr>
        <w:t>三、工业</w:t>
      </w:r>
    </w:p>
    <w:p>
      <w:pPr>
        <w:keepNext/>
        <w:ind w:firstLine="680" w:firstLineChars="200"/>
        <w:jc w:val="left"/>
        <w:rPr>
          <w:rFonts w:hint="eastAsia" w:ascii="仿宋_GB2312" w:hAnsi="ˎ̥" w:eastAsia="仿宋_GB2312"/>
          <w:color w:val="000000" w:themeColor="text1"/>
          <w:sz w:val="34"/>
          <w:szCs w:val="34"/>
          <w14:textFill>
            <w14:solidFill>
              <w14:schemeClr w14:val="tx1"/>
            </w14:solidFill>
          </w14:textFill>
        </w:rPr>
      </w:pPr>
      <w:r>
        <w:rPr>
          <w:rFonts w:hint="eastAsia" w:ascii="仿宋_GB2312" w:hAnsi="ˎ̥" w:eastAsia="仿宋_GB2312"/>
          <w:color w:val="000000" w:themeColor="text1"/>
          <w:sz w:val="34"/>
          <w:szCs w:val="34"/>
          <w14:textFill>
            <w14:solidFill>
              <w14:schemeClr w14:val="tx1"/>
            </w14:solidFill>
          </w14:textFill>
        </w:rPr>
        <w:t>2023年，全县规模以上工业企业66户，其中：产值超亿元企业20户，超5000万元（含超亿元企业）企业39户。规上工业总产值同比增长22.3%。分门类看，采矿业同比增长24.4%；制造业同比增长20.1%；电力、热力、燃气及水的生产和供应业同比增长34.2%。</w:t>
      </w:r>
    </w:p>
    <w:p>
      <w:pPr>
        <w:keepNext/>
        <w:ind w:firstLine="680" w:firstLineChars="200"/>
        <w:jc w:val="left"/>
        <w:rPr>
          <w:rFonts w:ascii="仿宋_GB2312" w:hAnsi="ˎ̥" w:eastAsia="仿宋_GB2312"/>
          <w:b/>
          <w:bCs/>
          <w:color w:val="000000" w:themeColor="text1"/>
          <w:sz w:val="34"/>
          <w:szCs w:val="34"/>
          <w14:textFill>
            <w14:solidFill>
              <w14:schemeClr w14:val="tx1"/>
            </w14:solidFill>
          </w14:textFill>
        </w:rPr>
      </w:pPr>
      <w:r>
        <w:rPr>
          <w:rFonts w:hint="eastAsia" w:ascii="仿宋_GB2312" w:hAnsi="ˎ̥" w:eastAsia="仿宋_GB2312"/>
          <w:color w:val="000000" w:themeColor="text1"/>
          <w:sz w:val="34"/>
          <w:szCs w:val="34"/>
          <w14:textFill>
            <w14:solidFill>
              <w14:schemeClr w14:val="tx1"/>
            </w14:solidFill>
          </w14:textFill>
        </w:rPr>
        <w:t>规上工业企业实现营业收入828773万元，</w:t>
      </w:r>
      <w:r>
        <w:rPr>
          <w:rFonts w:hint="eastAsia" w:ascii="仿宋_GB2312" w:hAnsi="ˎ̥" w:eastAsia="仿宋_GB2312"/>
          <w:color w:val="000000" w:themeColor="text1"/>
          <w:sz w:val="34"/>
          <w:szCs w:val="34"/>
          <w:lang w:val="en-US" w:eastAsia="zh-CN"/>
          <w14:textFill>
            <w14:solidFill>
              <w14:schemeClr w14:val="tx1"/>
            </w14:solidFill>
          </w14:textFill>
        </w:rPr>
        <w:t>同比</w:t>
      </w:r>
      <w:r>
        <w:rPr>
          <w:rFonts w:hint="eastAsia" w:ascii="仿宋_GB2312" w:hAnsi="ˎ̥" w:eastAsia="仿宋_GB2312"/>
          <w:color w:val="000000" w:themeColor="text1"/>
          <w:sz w:val="34"/>
          <w:szCs w:val="34"/>
          <w14:textFill>
            <w14:solidFill>
              <w14:schemeClr w14:val="tx1"/>
            </w14:solidFill>
          </w14:textFill>
        </w:rPr>
        <w:t>增长32.4%；利税总额79968万元，</w:t>
      </w:r>
      <w:r>
        <w:rPr>
          <w:rFonts w:hint="eastAsia" w:ascii="仿宋_GB2312" w:hAnsi="ˎ̥" w:eastAsia="仿宋_GB2312"/>
          <w:color w:val="000000" w:themeColor="text1"/>
          <w:sz w:val="34"/>
          <w:szCs w:val="34"/>
          <w:lang w:val="en-US" w:eastAsia="zh-CN"/>
          <w14:textFill>
            <w14:solidFill>
              <w14:schemeClr w14:val="tx1"/>
            </w14:solidFill>
          </w14:textFill>
        </w:rPr>
        <w:t>同比</w:t>
      </w:r>
      <w:r>
        <w:rPr>
          <w:rFonts w:hint="eastAsia" w:ascii="仿宋_GB2312" w:hAnsi="ˎ̥" w:eastAsia="仿宋_GB2312"/>
          <w:color w:val="000000" w:themeColor="text1"/>
          <w:sz w:val="34"/>
          <w:szCs w:val="34"/>
          <w14:textFill>
            <w14:solidFill>
              <w14:schemeClr w14:val="tx1"/>
            </w14:solidFill>
          </w14:textFill>
        </w:rPr>
        <w:t>增长42.6%，其中利润总额35798万元，</w:t>
      </w:r>
      <w:r>
        <w:rPr>
          <w:rFonts w:hint="eastAsia" w:ascii="仿宋_GB2312" w:hAnsi="ˎ̥" w:eastAsia="仿宋_GB2312"/>
          <w:color w:val="000000" w:themeColor="text1"/>
          <w:sz w:val="34"/>
          <w:szCs w:val="34"/>
          <w:lang w:val="en-US" w:eastAsia="zh-CN"/>
          <w14:textFill>
            <w14:solidFill>
              <w14:schemeClr w14:val="tx1"/>
            </w14:solidFill>
          </w14:textFill>
        </w:rPr>
        <w:t>同比</w:t>
      </w:r>
      <w:r>
        <w:rPr>
          <w:rFonts w:hint="eastAsia" w:ascii="仿宋_GB2312" w:hAnsi="ˎ̥" w:eastAsia="仿宋_GB2312"/>
          <w:color w:val="000000" w:themeColor="text1"/>
          <w:sz w:val="34"/>
          <w:szCs w:val="34"/>
          <w14:textFill>
            <w14:solidFill>
              <w14:schemeClr w14:val="tx1"/>
            </w14:solidFill>
          </w14:textFill>
        </w:rPr>
        <w:t>增长102.9%。规上工业增加值同比增长21.9%。</w:t>
      </w:r>
    </w:p>
    <w:p>
      <w:pPr>
        <w:keepNext/>
        <w:ind w:firstLine="683" w:firstLineChars="200"/>
        <w:jc w:val="left"/>
        <w:rPr>
          <w:rFonts w:ascii="仿宋_GB2312" w:hAnsi="ˎ̥" w:eastAsia="仿宋_GB2312"/>
          <w:b/>
          <w:bCs/>
          <w:sz w:val="34"/>
          <w:szCs w:val="34"/>
        </w:rPr>
      </w:pPr>
      <w:r>
        <w:rPr>
          <w:rFonts w:hint="eastAsia" w:ascii="仿宋_GB2312" w:hAnsi="ˎ̥" w:eastAsia="仿宋_GB2312"/>
          <w:b/>
          <w:bCs/>
          <w:sz w:val="34"/>
          <w:szCs w:val="34"/>
        </w:rPr>
        <w:t xml:space="preserve">四、建筑业 </w:t>
      </w:r>
    </w:p>
    <w:p>
      <w:pPr>
        <w:keepNext/>
        <w:ind w:firstLine="680" w:firstLineChars="200"/>
        <w:jc w:val="left"/>
        <w:rPr>
          <w:rFonts w:ascii="仿宋_GB2312" w:hAnsi="ˎ̥" w:eastAsia="仿宋_GB2312"/>
          <w:sz w:val="34"/>
          <w:szCs w:val="34"/>
        </w:rPr>
      </w:pPr>
      <w:r>
        <w:rPr>
          <w:rFonts w:hint="eastAsia" w:ascii="仿宋_GB2312" w:hAnsi="ˎ̥" w:eastAsia="仿宋_GB2312"/>
          <w:sz w:val="34"/>
          <w:szCs w:val="34"/>
        </w:rPr>
        <w:t>具有建筑业资质等级的总承包和专业承包建筑企业户数</w:t>
      </w:r>
      <w:r>
        <w:rPr>
          <w:rFonts w:ascii="仿宋_GB2312" w:hAnsi="ˎ̥" w:eastAsia="仿宋_GB2312"/>
          <w:sz w:val="34"/>
          <w:szCs w:val="34"/>
        </w:rPr>
        <w:t>54</w:t>
      </w:r>
      <w:r>
        <w:rPr>
          <w:rFonts w:hint="eastAsia" w:ascii="仿宋_GB2312" w:hAnsi="ˎ̥" w:eastAsia="仿宋_GB2312"/>
          <w:sz w:val="34"/>
          <w:szCs w:val="34"/>
        </w:rPr>
        <w:t>户。建筑业总产值</w:t>
      </w:r>
      <w:r>
        <w:rPr>
          <w:rFonts w:ascii="仿宋_GB2312" w:hAnsi="ˎ̥" w:eastAsia="仿宋_GB2312"/>
          <w:sz w:val="34"/>
          <w:szCs w:val="34"/>
        </w:rPr>
        <w:t>126616</w:t>
      </w:r>
      <w:r>
        <w:rPr>
          <w:rFonts w:hint="eastAsia" w:ascii="仿宋_GB2312" w:hAnsi="ˎ̥" w:eastAsia="仿宋_GB2312"/>
          <w:sz w:val="34"/>
          <w:szCs w:val="34"/>
        </w:rPr>
        <w:t>万元，同比增长</w:t>
      </w:r>
      <w:r>
        <w:rPr>
          <w:rFonts w:ascii="仿宋_GB2312" w:hAnsi="ˎ̥" w:eastAsia="仿宋_GB2312"/>
          <w:sz w:val="34"/>
          <w:szCs w:val="34"/>
        </w:rPr>
        <w:t>19.9</w:t>
      </w:r>
      <w:r>
        <w:rPr>
          <w:rFonts w:hint="eastAsia" w:ascii="仿宋_GB2312" w:hAnsi="ˎ̥" w:eastAsia="仿宋_GB2312"/>
          <w:sz w:val="34"/>
          <w:szCs w:val="34"/>
        </w:rPr>
        <w:t>%，实际施工的房屋面积</w:t>
      </w:r>
      <w:r>
        <w:rPr>
          <w:rFonts w:ascii="仿宋_GB2312" w:hAnsi="ˎ̥" w:eastAsia="仿宋_GB2312"/>
          <w:sz w:val="34"/>
          <w:szCs w:val="34"/>
        </w:rPr>
        <w:t>37.3</w:t>
      </w:r>
      <w:r>
        <w:rPr>
          <w:rFonts w:hint="eastAsia" w:ascii="仿宋_GB2312" w:hAnsi="ˎ̥" w:eastAsia="仿宋_GB2312"/>
          <w:sz w:val="34"/>
          <w:szCs w:val="34"/>
        </w:rPr>
        <w:t>万平方米，同比下降48.</w:t>
      </w:r>
      <w:r>
        <w:rPr>
          <w:rFonts w:hint="eastAsia" w:ascii="仿宋_GB2312" w:hAnsi="ˎ̥" w:eastAsia="仿宋_GB2312"/>
          <w:sz w:val="34"/>
          <w:szCs w:val="34"/>
          <w:lang w:val="en-US" w:eastAsia="zh-CN"/>
        </w:rPr>
        <w:t>1</w:t>
      </w:r>
      <w:r>
        <w:rPr>
          <w:rFonts w:hint="eastAsia" w:ascii="仿宋_GB2312" w:hAnsi="ˎ̥" w:eastAsia="仿宋_GB2312"/>
          <w:sz w:val="34"/>
          <w:szCs w:val="34"/>
        </w:rPr>
        <w:t>%，其中,新开工面积</w:t>
      </w:r>
      <w:r>
        <w:rPr>
          <w:rFonts w:ascii="仿宋_GB2312" w:hAnsi="ˎ̥" w:eastAsia="仿宋_GB2312"/>
          <w:sz w:val="34"/>
          <w:szCs w:val="34"/>
        </w:rPr>
        <w:t>24.9</w:t>
      </w:r>
      <w:r>
        <w:rPr>
          <w:rFonts w:hint="eastAsia" w:ascii="仿宋_GB2312" w:hAnsi="ˎ̥" w:eastAsia="仿宋_GB2312"/>
          <w:sz w:val="34"/>
          <w:szCs w:val="34"/>
        </w:rPr>
        <w:t>万平方米，同比增长7.8%。</w:t>
      </w:r>
    </w:p>
    <w:p>
      <w:pPr>
        <w:keepNext/>
        <w:ind w:firstLine="683" w:firstLineChars="200"/>
        <w:jc w:val="left"/>
        <w:rPr>
          <w:rFonts w:asciiTheme="minorEastAsia" w:hAnsiTheme="minorEastAsia" w:eastAsiaTheme="minorEastAsia"/>
          <w:b/>
          <w:color w:val="000000"/>
          <w:sz w:val="28"/>
          <w:szCs w:val="28"/>
        </w:rPr>
      </w:pPr>
      <w:r>
        <w:rPr>
          <w:rFonts w:hint="eastAsia" w:ascii="仿宋_GB2312" w:hAnsi="ˎ̥" w:eastAsia="仿宋_GB2312"/>
          <w:b/>
          <w:bCs/>
          <w:sz w:val="34"/>
          <w:szCs w:val="34"/>
        </w:rPr>
        <w:t>五、固定资产投资</w:t>
      </w:r>
    </w:p>
    <w:p>
      <w:pPr>
        <w:keepNext/>
        <w:ind w:firstLine="680" w:firstLineChars="200"/>
        <w:jc w:val="left"/>
        <w:rPr>
          <w:rFonts w:ascii="仿宋_GB2312" w:hAnsi="ˎ̥" w:eastAsia="仿宋_GB2312"/>
          <w:sz w:val="34"/>
          <w:szCs w:val="34"/>
        </w:rPr>
      </w:pPr>
      <w:r>
        <w:rPr>
          <w:rFonts w:hint="eastAsia" w:ascii="仿宋_GB2312" w:hAnsi="ˎ̥" w:eastAsia="仿宋_GB2312"/>
          <w:sz w:val="34"/>
          <w:szCs w:val="34"/>
        </w:rPr>
        <w:t>全年固定资产投资比上年增长</w:t>
      </w:r>
      <w:r>
        <w:rPr>
          <w:rFonts w:ascii="仿宋_GB2312" w:hAnsi="ˎ̥" w:eastAsia="仿宋_GB2312"/>
          <w:sz w:val="34"/>
          <w:szCs w:val="34"/>
        </w:rPr>
        <w:t>7.5</w:t>
      </w:r>
      <w:r>
        <w:rPr>
          <w:rFonts w:hint="eastAsia" w:ascii="仿宋_GB2312" w:hAnsi="ˎ̥" w:eastAsia="仿宋_GB2312"/>
          <w:sz w:val="34"/>
          <w:szCs w:val="34"/>
        </w:rPr>
        <w:t>%。其中：建设项目投资</w:t>
      </w:r>
      <w:r>
        <w:rPr>
          <w:rFonts w:hint="eastAsia" w:ascii="仿宋_GB2312" w:hAnsi="ˎ̥" w:eastAsia="仿宋_GB2312"/>
          <w:sz w:val="34"/>
          <w:szCs w:val="34"/>
          <w:lang w:val="en-US" w:eastAsia="zh-CN"/>
        </w:rPr>
        <w:t>同比</w:t>
      </w:r>
      <w:bookmarkStart w:id="0" w:name="_GoBack"/>
      <w:bookmarkEnd w:id="0"/>
      <w:r>
        <w:rPr>
          <w:rFonts w:hint="eastAsia" w:ascii="仿宋_GB2312" w:hAnsi="ˎ̥" w:eastAsia="仿宋_GB2312"/>
          <w:sz w:val="34"/>
          <w:szCs w:val="34"/>
        </w:rPr>
        <w:t>增长27.6%;房地产开发投资同比下降40.2%。</w:t>
      </w:r>
    </w:p>
    <w:p>
      <w:pPr>
        <w:keepNext/>
        <w:ind w:firstLine="510" w:firstLineChars="150"/>
        <w:jc w:val="left"/>
        <w:rPr>
          <w:rFonts w:ascii="仿宋_GB2312" w:hAnsi="ˎ̥" w:eastAsia="仿宋_GB2312"/>
          <w:sz w:val="34"/>
          <w:szCs w:val="34"/>
        </w:rPr>
      </w:pPr>
      <w:r>
        <w:rPr>
          <w:rFonts w:hint="eastAsia" w:ascii="仿宋_GB2312" w:hAnsi="ˎ̥" w:eastAsia="仿宋_GB2312"/>
          <w:sz w:val="34"/>
          <w:szCs w:val="34"/>
        </w:rPr>
        <w:t> 房地产开发房屋施工面积83.2万平方米，商品房销售面积</w:t>
      </w:r>
      <w:r>
        <w:rPr>
          <w:rFonts w:ascii="仿宋_GB2312" w:hAnsi="ˎ̥" w:eastAsia="仿宋_GB2312"/>
          <w:sz w:val="34"/>
          <w:szCs w:val="34"/>
        </w:rPr>
        <w:t>4</w:t>
      </w:r>
      <w:r>
        <w:rPr>
          <w:rFonts w:hint="eastAsia" w:ascii="仿宋_GB2312" w:hAnsi="ˎ̥" w:eastAsia="仿宋_GB2312"/>
          <w:sz w:val="34"/>
          <w:szCs w:val="34"/>
        </w:rPr>
        <w:t>万平方米，同比</w:t>
      </w:r>
      <w:r>
        <w:rPr>
          <w:rFonts w:hint="eastAsia" w:ascii="仿宋_GB2312" w:hAnsi="ˎ̥" w:eastAsia="仿宋_GB2312"/>
          <w:sz w:val="34"/>
          <w:szCs w:val="34"/>
          <w:lang w:val="en-US" w:eastAsia="zh-CN"/>
        </w:rPr>
        <w:t>增长</w:t>
      </w:r>
      <w:r>
        <w:rPr>
          <w:rFonts w:hint="eastAsia" w:ascii="仿宋_GB2312" w:hAnsi="ˎ̥" w:eastAsia="仿宋_GB2312"/>
          <w:sz w:val="34"/>
          <w:szCs w:val="34"/>
        </w:rPr>
        <w:t>19.9%。商品房销售额</w:t>
      </w:r>
      <w:r>
        <w:rPr>
          <w:rFonts w:ascii="仿宋_GB2312" w:hAnsi="ˎ̥" w:eastAsia="仿宋_GB2312"/>
          <w:sz w:val="34"/>
          <w:szCs w:val="34"/>
        </w:rPr>
        <w:t>13435</w:t>
      </w:r>
      <w:r>
        <w:rPr>
          <w:rFonts w:hint="eastAsia" w:ascii="仿宋_GB2312" w:hAnsi="ˎ̥" w:eastAsia="仿宋_GB2312"/>
          <w:sz w:val="34"/>
          <w:szCs w:val="34"/>
        </w:rPr>
        <w:t>万元，同比</w:t>
      </w:r>
      <w:r>
        <w:rPr>
          <w:rFonts w:hint="eastAsia" w:ascii="仿宋_GB2312" w:hAnsi="ˎ̥" w:eastAsia="仿宋_GB2312"/>
          <w:sz w:val="34"/>
          <w:szCs w:val="34"/>
          <w:lang w:val="en-US" w:eastAsia="zh-CN"/>
        </w:rPr>
        <w:t>增长</w:t>
      </w:r>
      <w:r>
        <w:rPr>
          <w:rFonts w:hint="eastAsia" w:ascii="仿宋_GB2312" w:hAnsi="ˎ̥" w:eastAsia="仿宋_GB2312"/>
          <w:sz w:val="34"/>
          <w:szCs w:val="34"/>
        </w:rPr>
        <w:t>2.8%。</w:t>
      </w:r>
    </w:p>
    <w:p>
      <w:pPr>
        <w:widowControl/>
        <w:ind w:firstLine="683" w:firstLineChars="200"/>
        <w:jc w:val="left"/>
        <w:rPr>
          <w:rFonts w:hint="eastAsia" w:ascii="仿宋_GB2312" w:hAnsi="ˎ̥" w:eastAsia="仿宋_GB2312"/>
          <w:b/>
          <w:bCs/>
          <w:sz w:val="34"/>
          <w:szCs w:val="34"/>
          <w:highlight w:val="yellow"/>
          <w:lang w:val="en-US" w:eastAsia="zh-CN"/>
        </w:rPr>
      </w:pPr>
      <w:r>
        <w:rPr>
          <w:rFonts w:hint="eastAsia" w:ascii="仿宋_GB2312" w:hAnsi="ˎ̥" w:eastAsia="仿宋_GB2312"/>
          <w:b/>
          <w:bCs/>
          <w:sz w:val="34"/>
          <w:szCs w:val="34"/>
        </w:rPr>
        <w:t>六、国内贸易和市场物价</w:t>
      </w:r>
      <w:r>
        <w:rPr>
          <w:rFonts w:hint="eastAsia" w:ascii="仿宋_GB2312" w:hAnsi="ˎ̥" w:eastAsia="仿宋_GB2312"/>
          <w:b/>
          <w:bCs/>
          <w:sz w:val="34"/>
          <w:szCs w:val="34"/>
          <w:lang w:val="en-US" w:eastAsia="zh-CN"/>
        </w:rPr>
        <w:t xml:space="preserve"> </w:t>
      </w:r>
    </w:p>
    <w:p>
      <w:pPr>
        <w:keepNext/>
        <w:ind w:firstLine="680" w:firstLineChars="200"/>
        <w:jc w:val="left"/>
      </w:pPr>
      <w:r>
        <w:rPr>
          <w:rFonts w:hint="eastAsia" w:ascii="仿宋_GB2312" w:hAnsi="ˎ̥" w:eastAsia="仿宋_GB2312"/>
          <w:sz w:val="34"/>
          <w:szCs w:val="34"/>
        </w:rPr>
        <w:t>社会消费品零售总额实现</w:t>
      </w:r>
      <w:r>
        <w:rPr>
          <w:rFonts w:ascii="仿宋_GB2312" w:hAnsi="ˎ̥" w:eastAsia="仿宋_GB2312"/>
          <w:sz w:val="34"/>
          <w:szCs w:val="34"/>
        </w:rPr>
        <w:t>353007</w:t>
      </w:r>
      <w:r>
        <w:rPr>
          <w:rFonts w:hint="eastAsia" w:ascii="仿宋_GB2312" w:hAnsi="ˎ̥" w:eastAsia="仿宋_GB2312"/>
          <w:sz w:val="34"/>
          <w:szCs w:val="34"/>
        </w:rPr>
        <w:t>万元，同比增长</w:t>
      </w:r>
      <w:r>
        <w:rPr>
          <w:rFonts w:ascii="仿宋_GB2312" w:hAnsi="ˎ̥" w:eastAsia="仿宋_GB2312"/>
          <w:sz w:val="34"/>
          <w:szCs w:val="34"/>
        </w:rPr>
        <w:t>10</w:t>
      </w:r>
      <w:r>
        <w:rPr>
          <w:rFonts w:hint="eastAsia" w:ascii="仿宋_GB2312" w:hAnsi="ˎ̥" w:eastAsia="仿宋_GB2312"/>
          <w:sz w:val="34"/>
          <w:szCs w:val="34"/>
        </w:rPr>
        <w:t>%</w:t>
      </w:r>
      <w:r>
        <w:rPr>
          <w:rFonts w:hint="eastAsia" w:ascii="仿宋_GB2312" w:hAnsi="ˎ̥" w:eastAsia="仿宋_GB2312"/>
          <w:sz w:val="34"/>
          <w:szCs w:val="34"/>
          <w:lang w:eastAsia="zh-CN"/>
        </w:rPr>
        <w:t>，</w:t>
      </w:r>
      <w:r>
        <w:rPr>
          <w:rFonts w:hint="eastAsia" w:ascii="仿宋_GB2312" w:hAnsi="ˎ̥" w:eastAsia="仿宋_GB2312"/>
          <w:sz w:val="34"/>
          <w:szCs w:val="34"/>
          <w:lang w:val="en-US" w:eastAsia="zh-CN"/>
        </w:rPr>
        <w:t>其中</w:t>
      </w:r>
      <w:r>
        <w:rPr>
          <w:rFonts w:hint="eastAsia" w:ascii="仿宋_GB2312" w:hAnsi="ˎ̥" w:eastAsia="仿宋_GB2312" w:cs="Times New Roman"/>
          <w:sz w:val="34"/>
          <w:szCs w:val="34"/>
        </w:rPr>
        <w:t>限额以上企业（单位）零售额</w:t>
      </w:r>
      <w:r>
        <w:rPr>
          <w:rFonts w:hint="eastAsia" w:ascii="仿宋_GB2312" w:hAnsi="ˎ̥" w:eastAsia="仿宋_GB2312" w:cs="Times New Roman"/>
          <w:sz w:val="34"/>
          <w:szCs w:val="34"/>
          <w:lang w:val="en-US" w:eastAsia="zh-CN"/>
        </w:rPr>
        <w:t>79209万</w:t>
      </w:r>
      <w:r>
        <w:rPr>
          <w:rFonts w:hint="eastAsia" w:ascii="仿宋_GB2312" w:hAnsi="ˎ̥" w:eastAsia="仿宋_GB2312" w:cs="Times New Roman"/>
          <w:sz w:val="34"/>
          <w:szCs w:val="34"/>
        </w:rPr>
        <w:t>元，</w:t>
      </w:r>
      <w:r>
        <w:rPr>
          <w:rFonts w:hint="eastAsia" w:ascii="仿宋_GB2312" w:hAnsi="ˎ̥" w:eastAsia="仿宋_GB2312"/>
          <w:sz w:val="34"/>
          <w:szCs w:val="34"/>
        </w:rPr>
        <w:t>同比增长</w:t>
      </w:r>
      <w:r>
        <w:rPr>
          <w:rFonts w:hint="eastAsia" w:ascii="仿宋_GB2312" w:hAnsi="ˎ̥" w:eastAsia="仿宋_GB2312"/>
          <w:sz w:val="34"/>
          <w:szCs w:val="34"/>
          <w:lang w:val="en-US" w:eastAsia="zh-CN"/>
        </w:rPr>
        <w:t>13.4</w:t>
      </w:r>
      <w:r>
        <w:rPr>
          <w:rFonts w:hint="eastAsia" w:ascii="仿宋_GB2312" w:hAnsi="ˎ̥" w:eastAsia="仿宋_GB2312" w:cs="Times New Roman"/>
          <w:sz w:val="34"/>
          <w:szCs w:val="34"/>
        </w:rPr>
        <w:t>%</w:t>
      </w:r>
      <w:r>
        <w:rPr>
          <w:rFonts w:hint="eastAsia" w:ascii="仿宋_GB2312" w:hAnsi="ˎ̥" w:eastAsia="仿宋_GB2312" w:cs="Times New Roman"/>
          <w:sz w:val="34"/>
          <w:szCs w:val="34"/>
          <w:lang w:eastAsia="zh-CN"/>
        </w:rPr>
        <w:t>。</w:t>
      </w:r>
    </w:p>
    <w:p>
      <w:pPr>
        <w:pStyle w:val="2"/>
        <w:rPr>
          <w:rFonts w:hint="eastAsia"/>
          <w:lang w:eastAsia="zh-CN"/>
        </w:rPr>
      </w:pPr>
      <w:r>
        <w:drawing>
          <wp:inline distT="0" distB="0" distL="114300" distR="114300">
            <wp:extent cx="4826000" cy="2743200"/>
            <wp:effectExtent l="4445" t="4445" r="825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ascii="仿宋_GB2312" w:hAnsi="ˎ̥" w:eastAsia="仿宋_GB2312"/>
          <w:sz w:val="34"/>
          <w:szCs w:val="34"/>
        </w:rPr>
      </w:pPr>
      <w:r>
        <w:rPr>
          <w:rFonts w:hint="eastAsia" w:ascii="仿宋_GB2312" w:hAnsi="ˎ̥" w:eastAsia="仿宋_GB2312"/>
          <w:sz w:val="34"/>
          <w:szCs w:val="34"/>
        </w:rPr>
        <w:t>全年居民</w:t>
      </w:r>
      <w:r>
        <w:rPr>
          <w:rFonts w:ascii="仿宋_GB2312" w:hAnsi="ˎ̥" w:eastAsia="仿宋_GB2312"/>
          <w:sz w:val="34"/>
          <w:szCs w:val="34"/>
        </w:rPr>
        <w:t>生活</w:t>
      </w:r>
      <w:r>
        <w:rPr>
          <w:rFonts w:hint="eastAsia" w:ascii="仿宋_GB2312" w:hAnsi="ˎ̥" w:eastAsia="仿宋_GB2312"/>
          <w:sz w:val="34"/>
          <w:szCs w:val="34"/>
        </w:rPr>
        <w:t>消费支出上涨</w:t>
      </w:r>
      <w:r>
        <w:rPr>
          <w:rFonts w:ascii="仿宋_GB2312" w:hAnsi="ˎ̥" w:eastAsia="仿宋_GB2312"/>
          <w:sz w:val="34"/>
          <w:szCs w:val="34"/>
        </w:rPr>
        <w:t>9.8</w:t>
      </w:r>
      <w:r>
        <w:rPr>
          <w:rFonts w:hint="eastAsia" w:ascii="仿宋_GB2312" w:hAnsi="ˎ̥" w:eastAsia="仿宋_GB2312"/>
          <w:sz w:val="34"/>
          <w:szCs w:val="34"/>
        </w:rPr>
        <w:t>%。分八大类别看，食品烟酒类上涨</w:t>
      </w:r>
      <w:r>
        <w:rPr>
          <w:rFonts w:ascii="仿宋_GB2312" w:hAnsi="ˎ̥" w:eastAsia="仿宋_GB2312"/>
          <w:sz w:val="34"/>
          <w:szCs w:val="34"/>
        </w:rPr>
        <w:t>6.2</w:t>
      </w:r>
      <w:r>
        <w:rPr>
          <w:rFonts w:hint="eastAsia" w:ascii="仿宋_GB2312" w:hAnsi="ˎ̥" w:eastAsia="仿宋_GB2312"/>
          <w:sz w:val="34"/>
          <w:szCs w:val="34"/>
        </w:rPr>
        <w:t>%；衣着类上涨</w:t>
      </w:r>
      <w:r>
        <w:rPr>
          <w:rFonts w:ascii="仿宋_GB2312" w:hAnsi="ˎ̥" w:eastAsia="仿宋_GB2312"/>
          <w:sz w:val="34"/>
          <w:szCs w:val="34"/>
        </w:rPr>
        <w:t>6.2</w:t>
      </w:r>
      <w:r>
        <w:rPr>
          <w:rFonts w:hint="eastAsia" w:ascii="仿宋_GB2312" w:hAnsi="ˎ̥" w:eastAsia="仿宋_GB2312"/>
          <w:sz w:val="34"/>
          <w:szCs w:val="34"/>
        </w:rPr>
        <w:t>%；居住类上涨</w:t>
      </w:r>
      <w:r>
        <w:rPr>
          <w:rFonts w:ascii="仿宋_GB2312" w:hAnsi="ˎ̥" w:eastAsia="仿宋_GB2312"/>
          <w:sz w:val="34"/>
          <w:szCs w:val="34"/>
        </w:rPr>
        <w:t>7.6</w:t>
      </w:r>
      <w:r>
        <w:rPr>
          <w:rFonts w:hint="eastAsia" w:ascii="仿宋_GB2312" w:hAnsi="ˎ̥" w:eastAsia="仿宋_GB2312"/>
          <w:sz w:val="34"/>
          <w:szCs w:val="34"/>
        </w:rPr>
        <w:t>%；生活用品及服务类上涨</w:t>
      </w:r>
      <w:r>
        <w:rPr>
          <w:rFonts w:ascii="仿宋_GB2312" w:hAnsi="ˎ̥" w:eastAsia="仿宋_GB2312"/>
          <w:sz w:val="34"/>
          <w:szCs w:val="34"/>
        </w:rPr>
        <w:t>6.7</w:t>
      </w:r>
      <w:r>
        <w:rPr>
          <w:rFonts w:hint="eastAsia" w:ascii="仿宋_GB2312" w:hAnsi="ˎ̥" w:eastAsia="仿宋_GB2312"/>
          <w:sz w:val="34"/>
          <w:szCs w:val="34"/>
        </w:rPr>
        <w:t>%；交通和通信类上涨</w:t>
      </w:r>
      <w:r>
        <w:rPr>
          <w:rFonts w:ascii="仿宋_GB2312" w:hAnsi="ˎ̥" w:eastAsia="仿宋_GB2312"/>
          <w:sz w:val="34"/>
          <w:szCs w:val="34"/>
        </w:rPr>
        <w:t>4.5</w:t>
      </w:r>
      <w:r>
        <w:rPr>
          <w:rFonts w:hint="eastAsia" w:ascii="仿宋_GB2312" w:hAnsi="ˎ̥" w:eastAsia="仿宋_GB2312"/>
          <w:sz w:val="34"/>
          <w:szCs w:val="34"/>
        </w:rPr>
        <w:t>%；教育文化和娱乐类上涨</w:t>
      </w:r>
      <w:r>
        <w:rPr>
          <w:rFonts w:ascii="仿宋_GB2312" w:hAnsi="ˎ̥" w:eastAsia="仿宋_GB2312"/>
          <w:sz w:val="34"/>
          <w:szCs w:val="34"/>
        </w:rPr>
        <w:t>19.8</w:t>
      </w:r>
      <w:r>
        <w:rPr>
          <w:rFonts w:hint="eastAsia" w:ascii="仿宋_GB2312" w:hAnsi="ˎ̥" w:eastAsia="仿宋_GB2312"/>
          <w:sz w:val="34"/>
          <w:szCs w:val="34"/>
        </w:rPr>
        <w:t>%；医疗保健类上涨2</w:t>
      </w:r>
      <w:r>
        <w:rPr>
          <w:rFonts w:ascii="仿宋_GB2312" w:hAnsi="ˎ̥" w:eastAsia="仿宋_GB2312"/>
          <w:sz w:val="34"/>
          <w:szCs w:val="34"/>
        </w:rPr>
        <w:t>4.5</w:t>
      </w:r>
      <w:r>
        <w:rPr>
          <w:rFonts w:hint="eastAsia" w:ascii="仿宋_GB2312" w:hAnsi="ˎ̥" w:eastAsia="仿宋_GB2312"/>
          <w:sz w:val="34"/>
          <w:szCs w:val="34"/>
        </w:rPr>
        <w:t>%；其他用品和服务类上涨3.</w:t>
      </w:r>
      <w:r>
        <w:rPr>
          <w:rFonts w:ascii="仿宋_GB2312" w:hAnsi="ˎ̥" w:eastAsia="仿宋_GB2312"/>
          <w:sz w:val="34"/>
          <w:szCs w:val="34"/>
        </w:rPr>
        <w:t>7</w:t>
      </w:r>
      <w:r>
        <w:rPr>
          <w:rFonts w:hint="eastAsia" w:ascii="仿宋_GB2312" w:hAnsi="ˎ̥" w:eastAsia="仿宋_GB2312"/>
          <w:sz w:val="34"/>
          <w:szCs w:val="34"/>
        </w:rPr>
        <w:t>%。</w:t>
      </w:r>
    </w:p>
    <w:p>
      <w:pPr>
        <w:widowControl/>
        <w:ind w:firstLine="683" w:firstLineChars="200"/>
        <w:jc w:val="left"/>
        <w:rPr>
          <w:rFonts w:asciiTheme="minorEastAsia" w:hAnsiTheme="minorEastAsia" w:eastAsiaTheme="minorEastAsia"/>
          <w:b/>
          <w:color w:val="000000"/>
          <w:sz w:val="28"/>
          <w:szCs w:val="28"/>
        </w:rPr>
      </w:pPr>
      <w:r>
        <w:rPr>
          <w:rFonts w:hint="eastAsia" w:ascii="仿宋_GB2312" w:hAnsi="ˎ̥" w:eastAsia="仿宋_GB2312"/>
          <w:b/>
          <w:bCs/>
          <w:sz w:val="34"/>
          <w:szCs w:val="34"/>
        </w:rPr>
        <w:t>七、对外经济</w:t>
      </w:r>
    </w:p>
    <w:p>
      <w:pPr>
        <w:ind w:left="420" w:firstLine="340" w:firstLineChars="100"/>
        <w:rPr>
          <w:rFonts w:hint="eastAsia" w:ascii="仿宋_GB2312" w:hAnsi="ˎ̥" w:eastAsia="仿宋_GB2312"/>
          <w:sz w:val="34"/>
          <w:szCs w:val="34"/>
          <w:lang w:eastAsia="zh-CN"/>
        </w:rPr>
      </w:pPr>
      <w:r>
        <w:rPr>
          <w:rFonts w:hint="eastAsia" w:ascii="仿宋_GB2312" w:hAnsi="ˎ̥" w:eastAsia="仿宋_GB2312"/>
          <w:sz w:val="34"/>
          <w:szCs w:val="34"/>
        </w:rPr>
        <w:t>全年实际利用外资10万美元；引进省外资金615200</w:t>
      </w:r>
    </w:p>
    <w:p>
      <w:pPr>
        <w:pStyle w:val="2"/>
        <w:ind w:left="0" w:leftChars="0" w:firstLine="0" w:firstLineChars="0"/>
        <w:rPr>
          <w:rFonts w:hint="eastAsia"/>
          <w:lang w:eastAsia="zh-CN"/>
        </w:rPr>
      </w:pPr>
      <w:r>
        <w:rPr>
          <w:rFonts w:hint="eastAsia" w:ascii="仿宋_GB2312" w:hAnsi="ˎ̥" w:eastAsia="仿宋_GB2312"/>
          <w:sz w:val="34"/>
          <w:szCs w:val="34"/>
        </w:rPr>
        <w:t>万元；外贸进出口15624.8万元。</w:t>
      </w:r>
    </w:p>
    <w:p>
      <w:pPr>
        <w:widowControl/>
        <w:ind w:firstLine="683" w:firstLineChars="200"/>
        <w:jc w:val="left"/>
        <w:rPr>
          <w:rFonts w:ascii="仿宋_GB2312" w:hAnsi="ˎ̥" w:eastAsia="仿宋_GB2312"/>
          <w:b/>
          <w:bCs/>
          <w:sz w:val="34"/>
          <w:szCs w:val="34"/>
        </w:rPr>
      </w:pPr>
      <w:r>
        <w:rPr>
          <w:rFonts w:hint="eastAsia" w:ascii="仿宋_GB2312" w:hAnsi="ˎ̥" w:eastAsia="仿宋_GB2312"/>
          <w:b/>
          <w:bCs/>
          <w:sz w:val="34"/>
          <w:szCs w:val="34"/>
        </w:rPr>
        <w:t>八、交通运输、邮电通讯业</w:t>
      </w:r>
    </w:p>
    <w:p>
      <w:pPr>
        <w:ind w:firstLine="680" w:firstLineChars="200"/>
        <w:rPr>
          <w:rFonts w:ascii="仿宋_GB2312" w:hAnsi="ˎ̥" w:eastAsia="仿宋_GB2312"/>
          <w:color w:val="000000" w:themeColor="text1"/>
          <w:sz w:val="34"/>
          <w:szCs w:val="34"/>
          <w14:textFill>
            <w14:solidFill>
              <w14:schemeClr w14:val="tx1"/>
            </w14:solidFill>
          </w14:textFill>
        </w:rPr>
      </w:pPr>
      <w:r>
        <w:rPr>
          <w:rFonts w:hint="eastAsia" w:ascii="仿宋_GB2312" w:hAnsi="ˎ̥" w:eastAsia="仿宋_GB2312"/>
          <w:color w:val="000000" w:themeColor="text1"/>
          <w:sz w:val="34"/>
          <w:szCs w:val="34"/>
          <w14:textFill>
            <w14:solidFill>
              <w14:schemeClr w14:val="tx1"/>
            </w14:solidFill>
          </w14:textFill>
        </w:rPr>
        <w:t>截止2023年末，全县公路总长度达到3500.</w:t>
      </w:r>
      <w:r>
        <w:rPr>
          <w:rFonts w:hint="eastAsia" w:ascii="仿宋_GB2312" w:hAnsi="ˎ̥" w:eastAsia="仿宋_GB2312"/>
          <w:color w:val="000000" w:themeColor="text1"/>
          <w:sz w:val="34"/>
          <w:szCs w:val="34"/>
          <w:lang w:val="en-US" w:eastAsia="zh-CN"/>
          <w14:textFill>
            <w14:solidFill>
              <w14:schemeClr w14:val="tx1"/>
            </w14:solidFill>
          </w14:textFill>
        </w:rPr>
        <w:t>7</w:t>
      </w:r>
      <w:r>
        <w:rPr>
          <w:rFonts w:hint="eastAsia" w:ascii="仿宋_GB2312" w:hAnsi="ˎ̥" w:eastAsia="仿宋_GB2312"/>
          <w:color w:val="000000" w:themeColor="text1"/>
          <w:sz w:val="34"/>
          <w:szCs w:val="34"/>
          <w14:textFill>
            <w14:solidFill>
              <w14:schemeClr w14:val="tx1"/>
            </w14:solidFill>
          </w14:textFill>
        </w:rPr>
        <w:t>公里（含村道2482.</w:t>
      </w:r>
      <w:r>
        <w:rPr>
          <w:rFonts w:hint="eastAsia" w:ascii="仿宋_GB2312" w:hAnsi="ˎ̥" w:eastAsia="仿宋_GB2312"/>
          <w:color w:val="000000" w:themeColor="text1"/>
          <w:sz w:val="34"/>
          <w:szCs w:val="34"/>
          <w:lang w:val="en-US" w:eastAsia="zh-CN"/>
          <w14:textFill>
            <w14:solidFill>
              <w14:schemeClr w14:val="tx1"/>
            </w14:solidFill>
          </w14:textFill>
        </w:rPr>
        <w:t>5</w:t>
      </w:r>
      <w:r>
        <w:rPr>
          <w:rFonts w:hint="eastAsia" w:ascii="仿宋_GB2312" w:hAnsi="ˎ̥" w:eastAsia="仿宋_GB2312"/>
          <w:color w:val="000000" w:themeColor="text1"/>
          <w:sz w:val="34"/>
          <w:szCs w:val="34"/>
          <w14:textFill>
            <w14:solidFill>
              <w14:schemeClr w14:val="tx1"/>
            </w14:solidFill>
          </w14:textFill>
        </w:rPr>
        <w:t>公里）。全县共有营运车辆</w:t>
      </w:r>
      <w:r>
        <w:rPr>
          <w:rFonts w:ascii="仿宋_GB2312" w:hAnsi="ˎ̥" w:eastAsia="仿宋_GB2312"/>
          <w:color w:val="000000" w:themeColor="text1"/>
          <w:sz w:val="34"/>
          <w:szCs w:val="34"/>
          <w14:textFill>
            <w14:solidFill>
              <w14:schemeClr w14:val="tx1"/>
            </w14:solidFill>
          </w14:textFill>
        </w:rPr>
        <w:t>2485</w:t>
      </w:r>
      <w:r>
        <w:rPr>
          <w:rFonts w:hint="eastAsia" w:ascii="仿宋_GB2312" w:hAnsi="ˎ̥" w:eastAsia="仿宋_GB2312"/>
          <w:color w:val="000000" w:themeColor="text1"/>
          <w:sz w:val="34"/>
          <w:szCs w:val="34"/>
          <w14:textFill>
            <w14:solidFill>
              <w14:schemeClr w14:val="tx1"/>
            </w14:solidFill>
          </w14:textFill>
        </w:rPr>
        <w:t>辆，其中普通营运货车辆2141辆，危险品运输车180辆，班线客车</w:t>
      </w:r>
      <w:r>
        <w:rPr>
          <w:rFonts w:ascii="仿宋_GB2312" w:hAnsi="ˎ̥" w:eastAsia="仿宋_GB2312"/>
          <w:color w:val="000000" w:themeColor="text1"/>
          <w:sz w:val="34"/>
          <w:szCs w:val="34"/>
          <w14:textFill>
            <w14:solidFill>
              <w14:schemeClr w14:val="tx1"/>
            </w14:solidFill>
          </w14:textFill>
        </w:rPr>
        <w:t>98</w:t>
      </w:r>
      <w:r>
        <w:rPr>
          <w:rFonts w:hint="eastAsia" w:ascii="仿宋_GB2312" w:hAnsi="ˎ̥" w:eastAsia="仿宋_GB2312"/>
          <w:color w:val="000000" w:themeColor="text1"/>
          <w:sz w:val="34"/>
          <w:szCs w:val="34"/>
          <w14:textFill>
            <w14:solidFill>
              <w14:schemeClr w14:val="tx1"/>
            </w14:solidFill>
          </w14:textFill>
        </w:rPr>
        <w:t>辆，公交车34台，旅游包车32台。</w:t>
      </w:r>
    </w:p>
    <w:p>
      <w:pPr>
        <w:ind w:firstLine="680" w:firstLineChars="200"/>
        <w:rPr>
          <w:rFonts w:ascii="仿宋_GB2312" w:hAnsi="ˎ̥" w:eastAsia="仿宋_GB2312"/>
          <w:color w:val="000000" w:themeColor="text1"/>
          <w:sz w:val="34"/>
          <w:szCs w:val="34"/>
          <w:highlight w:val="none"/>
          <w14:textFill>
            <w14:solidFill>
              <w14:schemeClr w14:val="tx1"/>
            </w14:solidFill>
          </w14:textFill>
        </w:rPr>
      </w:pPr>
      <w:r>
        <w:rPr>
          <w:rFonts w:hint="eastAsia" w:ascii="仿宋_GB2312" w:hAnsi="ˎ̥" w:eastAsia="仿宋_GB2312"/>
          <w:color w:val="000000" w:themeColor="text1"/>
          <w:sz w:val="34"/>
          <w:szCs w:val="34"/>
          <w14:textFill>
            <w14:solidFill>
              <w14:schemeClr w14:val="tx1"/>
            </w14:solidFill>
          </w14:textFill>
        </w:rPr>
        <w:t>2023年联通完成业务总收入8</w:t>
      </w:r>
      <w:r>
        <w:rPr>
          <w:rFonts w:ascii="仿宋_GB2312" w:hAnsi="ˎ̥" w:eastAsia="仿宋_GB2312"/>
          <w:color w:val="000000" w:themeColor="text1"/>
          <w:sz w:val="34"/>
          <w:szCs w:val="34"/>
          <w14:textFill>
            <w14:solidFill>
              <w14:schemeClr w14:val="tx1"/>
            </w14:solidFill>
          </w14:textFill>
        </w:rPr>
        <w:t>230</w:t>
      </w:r>
      <w:r>
        <w:rPr>
          <w:rFonts w:hint="eastAsia" w:ascii="仿宋_GB2312" w:hAnsi="ˎ̥" w:eastAsia="仿宋_GB2312"/>
          <w:color w:val="000000" w:themeColor="text1"/>
          <w:sz w:val="34"/>
          <w:szCs w:val="34"/>
          <w14:textFill>
            <w14:solidFill>
              <w14:schemeClr w14:val="tx1"/>
            </w14:solidFill>
          </w14:textFill>
        </w:rPr>
        <w:t>万元，其中,移动网业务收入5</w:t>
      </w:r>
      <w:r>
        <w:rPr>
          <w:rFonts w:ascii="仿宋_GB2312" w:hAnsi="ˎ̥" w:eastAsia="仿宋_GB2312"/>
          <w:color w:val="000000" w:themeColor="text1"/>
          <w:sz w:val="34"/>
          <w:szCs w:val="34"/>
          <w14:textFill>
            <w14:solidFill>
              <w14:schemeClr w14:val="tx1"/>
            </w14:solidFill>
          </w14:textFill>
        </w:rPr>
        <w:t>260</w:t>
      </w:r>
      <w:r>
        <w:rPr>
          <w:rFonts w:hint="eastAsia" w:ascii="仿宋_GB2312" w:hAnsi="ˎ̥" w:eastAsia="仿宋_GB2312"/>
          <w:color w:val="000000" w:themeColor="text1"/>
          <w:sz w:val="34"/>
          <w:szCs w:val="34"/>
          <w14:textFill>
            <w14:solidFill>
              <w14:schemeClr w14:val="tx1"/>
            </w14:solidFill>
          </w14:textFill>
        </w:rPr>
        <w:t>万元，固网业务收入2</w:t>
      </w:r>
      <w:r>
        <w:rPr>
          <w:rFonts w:ascii="仿宋_GB2312" w:hAnsi="ˎ̥" w:eastAsia="仿宋_GB2312"/>
          <w:color w:val="000000" w:themeColor="text1"/>
          <w:sz w:val="34"/>
          <w:szCs w:val="34"/>
          <w14:textFill>
            <w14:solidFill>
              <w14:schemeClr w14:val="tx1"/>
            </w14:solidFill>
          </w14:textFill>
        </w:rPr>
        <w:t>970</w:t>
      </w:r>
      <w:r>
        <w:rPr>
          <w:rFonts w:hint="eastAsia" w:ascii="仿宋_GB2312" w:hAnsi="ˎ̥" w:eastAsia="仿宋_GB2312"/>
          <w:color w:val="000000" w:themeColor="text1"/>
          <w:sz w:val="34"/>
          <w:szCs w:val="34"/>
          <w14:textFill>
            <w14:solidFill>
              <w14:schemeClr w14:val="tx1"/>
            </w14:solidFill>
          </w14:textFill>
        </w:rPr>
        <w:t>万元</w:t>
      </w:r>
      <w:r>
        <w:rPr>
          <w:rFonts w:hint="eastAsia" w:ascii="仿宋_GB2312" w:hAnsi="ˎ̥" w:eastAsia="仿宋_GB2312"/>
          <w:color w:val="000000" w:themeColor="text1"/>
          <w:sz w:val="34"/>
          <w:szCs w:val="34"/>
          <w:highlight w:val="none"/>
          <w14:textFill>
            <w14:solidFill>
              <w14:schemeClr w14:val="tx1"/>
            </w14:solidFill>
          </w14:textFill>
        </w:rPr>
        <w:t>；移动完成全年业务总收入12500万元；电信完成全年业务总收入</w:t>
      </w:r>
      <w:r>
        <w:rPr>
          <w:rFonts w:ascii="仿宋_GB2312" w:hAnsi="ˎ̥" w:eastAsia="仿宋_GB2312"/>
          <w:color w:val="000000" w:themeColor="text1"/>
          <w:sz w:val="34"/>
          <w:szCs w:val="34"/>
          <w:highlight w:val="none"/>
          <w14:textFill>
            <w14:solidFill>
              <w14:schemeClr w14:val="tx1"/>
            </w14:solidFill>
          </w14:textFill>
        </w:rPr>
        <w:t>1026</w:t>
      </w:r>
      <w:r>
        <w:rPr>
          <w:rFonts w:hint="eastAsia" w:ascii="仿宋_GB2312" w:hAnsi="ˎ̥" w:eastAsia="仿宋_GB2312"/>
          <w:color w:val="000000" w:themeColor="text1"/>
          <w:sz w:val="34"/>
          <w:szCs w:val="34"/>
          <w:highlight w:val="none"/>
          <w14:textFill>
            <w14:solidFill>
              <w14:schemeClr w14:val="tx1"/>
            </w14:solidFill>
          </w14:textFill>
        </w:rPr>
        <w:t xml:space="preserve">万元。邮政总业务量2480万件，总收入7900万元。揽收610万件，同比增长95%。投递1870万件，同比增长17%。 </w:t>
      </w:r>
    </w:p>
    <w:p>
      <w:pPr>
        <w:ind w:firstLine="683" w:firstLineChars="200"/>
        <w:rPr>
          <w:rFonts w:ascii="仿宋_GB2312" w:hAnsi="ˎ̥" w:eastAsia="仿宋_GB2312"/>
          <w:sz w:val="34"/>
          <w:szCs w:val="34"/>
        </w:rPr>
      </w:pPr>
      <w:r>
        <w:rPr>
          <w:rFonts w:hint="eastAsia" w:ascii="仿宋_GB2312" w:hAnsi="ˎ̥" w:eastAsia="仿宋_GB2312"/>
          <w:b/>
          <w:bCs/>
          <w:sz w:val="34"/>
          <w:szCs w:val="34"/>
        </w:rPr>
        <w:t>九、财政、金融　</w:t>
      </w:r>
      <w:r>
        <w:rPr>
          <w:rFonts w:hint="eastAsia" w:ascii="仿宋_GB2312" w:hAnsi="ˎ̥" w:eastAsia="仿宋_GB2312"/>
          <w:sz w:val="34"/>
          <w:szCs w:val="34"/>
        </w:rPr>
        <w:t>　</w:t>
      </w:r>
    </w:p>
    <w:p>
      <w:pPr>
        <w:ind w:firstLine="680" w:firstLineChars="200"/>
        <w:rPr>
          <w:rFonts w:hint="eastAsia" w:ascii="仿宋_GB2312" w:hAnsi="ˎ̥" w:eastAsia="仿宋_GB2312"/>
          <w:sz w:val="34"/>
          <w:szCs w:val="34"/>
        </w:rPr>
      </w:pPr>
      <w:r>
        <w:rPr>
          <w:rFonts w:hint="eastAsia" w:ascii="仿宋_GB2312" w:hAnsi="ˎ̥" w:eastAsia="仿宋_GB2312"/>
          <w:sz w:val="34"/>
          <w:szCs w:val="34"/>
          <w:lang w:val="en-US" w:eastAsia="zh-CN"/>
        </w:rPr>
        <w:t>全年</w:t>
      </w:r>
      <w:r>
        <w:rPr>
          <w:rFonts w:hint="eastAsia" w:ascii="仿宋_GB2312" w:hAnsi="ˎ̥" w:eastAsia="仿宋_GB2312"/>
          <w:sz w:val="34"/>
          <w:szCs w:val="34"/>
        </w:rPr>
        <w:t>一般公共预算收入67205 万元，同比增长10.6%。</w:t>
      </w:r>
      <w:r>
        <w:rPr>
          <w:rFonts w:hint="eastAsia" w:ascii="仿宋_GB2312" w:hAnsi="ˎ̥" w:eastAsia="仿宋_GB2312"/>
          <w:sz w:val="34"/>
          <w:szCs w:val="34"/>
          <w:lang w:val="en-US" w:eastAsia="zh-CN"/>
        </w:rPr>
        <w:t>其中</w:t>
      </w:r>
      <w:r>
        <w:rPr>
          <w:rFonts w:hint="eastAsia" w:ascii="仿宋_GB2312" w:hAnsi="ˎ̥" w:eastAsia="仿宋_GB2312"/>
          <w:sz w:val="34"/>
          <w:szCs w:val="34"/>
        </w:rPr>
        <w:t>税收收入53337万元，同比增长45.4%</w:t>
      </w:r>
      <w:r>
        <w:rPr>
          <w:rFonts w:hint="eastAsia" w:ascii="仿宋_GB2312" w:hAnsi="ˎ̥" w:eastAsia="仿宋_GB2312"/>
          <w:sz w:val="34"/>
          <w:szCs w:val="34"/>
          <w:lang w:eastAsia="zh-CN"/>
        </w:rPr>
        <w:t>，</w:t>
      </w:r>
      <w:r>
        <w:rPr>
          <w:rFonts w:hint="eastAsia" w:ascii="仿宋_GB2312" w:hAnsi="ˎ̥" w:eastAsia="仿宋_GB2312"/>
          <w:sz w:val="34"/>
          <w:szCs w:val="34"/>
          <w:lang w:val="en-US" w:eastAsia="zh-CN"/>
        </w:rPr>
        <w:t>在各项税收中，</w:t>
      </w:r>
      <w:r>
        <w:rPr>
          <w:rFonts w:hint="eastAsia" w:ascii="仿宋_GB2312" w:hAnsi="ˎ̥" w:eastAsia="仿宋_GB2312"/>
          <w:sz w:val="34"/>
          <w:szCs w:val="34"/>
        </w:rPr>
        <w:t>增值税23829万元，同比增长328.7%；资源税9360万元，同比增长27.9%；企业所得税4202万元，同比增长79.5%；个人所得税872万元，同比下降29.6%；契税2257万元，同比下降60.2%。</w:t>
      </w:r>
    </w:p>
    <w:p>
      <w:pPr>
        <w:pStyle w:val="2"/>
        <w:rPr>
          <w:rFonts w:hint="eastAsia"/>
        </w:rPr>
      </w:pPr>
      <w:r>
        <w:drawing>
          <wp:inline distT="0" distB="0" distL="114300" distR="114300">
            <wp:extent cx="4826000" cy="2743200"/>
            <wp:effectExtent l="4445" t="4445" r="825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ind w:firstLine="680" w:firstLineChars="200"/>
        <w:rPr>
          <w:rFonts w:hint="eastAsia" w:ascii="仿宋_GB2312" w:hAnsi="ˎ̥" w:eastAsia="仿宋_GB2312"/>
          <w:sz w:val="34"/>
          <w:szCs w:val="34"/>
          <w:highlight w:val="none"/>
        </w:rPr>
      </w:pPr>
      <w:r>
        <w:rPr>
          <w:rFonts w:hint="eastAsia" w:ascii="仿宋_GB2312" w:hAnsi="ˎ̥" w:eastAsia="仿宋_GB2312"/>
          <w:sz w:val="34"/>
          <w:szCs w:val="34"/>
          <w:lang w:val="en-US" w:eastAsia="zh-CN"/>
        </w:rPr>
        <w:t>全年</w:t>
      </w:r>
      <w:r>
        <w:rPr>
          <w:rFonts w:hint="eastAsia" w:ascii="仿宋_GB2312" w:hAnsi="ˎ̥" w:eastAsia="仿宋_GB2312"/>
          <w:sz w:val="34"/>
          <w:szCs w:val="34"/>
        </w:rPr>
        <w:t>一般公共预算支出359822万元，同比增长4.4%。</w:t>
      </w:r>
      <w:r>
        <w:rPr>
          <w:rFonts w:hint="eastAsia" w:ascii="仿宋_GB2312" w:hAnsi="ˎ̥" w:eastAsia="仿宋_GB2312"/>
          <w:sz w:val="34"/>
          <w:szCs w:val="34"/>
          <w:highlight w:val="none"/>
        </w:rPr>
        <w:t>一般公共服务支出36891万元，同比增长10.2%；教育支出63020万元，同比下降9.2%；社会保障和就业支出86594万元，同比增长10.0%；卫生健康支出17150万元，同比下降46.4%；节能环保支出3636万元，同比增长209.7%；农林水事务支出66046万元，同比增长27.7%；交通运输支出8358万元，同比下降12.2%；住房保障支出19136万元，同比增长0.9%。</w:t>
      </w:r>
    </w:p>
    <w:p>
      <w:pPr>
        <w:ind w:firstLine="680" w:firstLineChars="200"/>
        <w:rPr>
          <w:rFonts w:ascii="仿宋_GB2312" w:hAnsi="ˎ̥" w:eastAsia="仿宋_GB2312"/>
          <w:color w:val="000000" w:themeColor="text1"/>
          <w:sz w:val="34"/>
          <w:szCs w:val="34"/>
          <w14:textFill>
            <w14:solidFill>
              <w14:schemeClr w14:val="tx1"/>
            </w14:solidFill>
          </w14:textFill>
        </w:rPr>
      </w:pPr>
      <w:r>
        <w:rPr>
          <w:rFonts w:hint="eastAsia" w:ascii="仿宋_GB2312" w:hAnsi="ˎ̥" w:eastAsia="仿宋_GB2312"/>
          <w:color w:val="000000" w:themeColor="text1"/>
          <w:sz w:val="34"/>
          <w:szCs w:val="34"/>
          <w:lang w:val="en-US" w:eastAsia="zh-CN"/>
          <w14:textFill>
            <w14:solidFill>
              <w14:schemeClr w14:val="tx1"/>
            </w14:solidFill>
          </w14:textFill>
        </w:rPr>
        <w:t>全</w:t>
      </w:r>
      <w:r>
        <w:rPr>
          <w:rFonts w:hint="eastAsia" w:ascii="仿宋_GB2312" w:hAnsi="ˎ̥" w:eastAsia="仿宋_GB2312"/>
          <w:color w:val="000000" w:themeColor="text1"/>
          <w:sz w:val="34"/>
          <w:szCs w:val="34"/>
          <w14:textFill>
            <w14:solidFill>
              <w14:schemeClr w14:val="tx1"/>
            </w14:solidFill>
          </w14:textFill>
        </w:rPr>
        <w:t>年全县主要金融机构各项存款余额170</w:t>
      </w:r>
      <w:r>
        <w:rPr>
          <w:rFonts w:hint="eastAsia" w:ascii="仿宋_GB2312" w:hAnsi="ˎ̥" w:eastAsia="仿宋_GB2312"/>
          <w:color w:val="000000" w:themeColor="text1"/>
          <w:sz w:val="34"/>
          <w:szCs w:val="34"/>
          <w:lang w:val="en-US" w:eastAsia="zh-CN"/>
          <w14:textFill>
            <w14:solidFill>
              <w14:schemeClr w14:val="tx1"/>
            </w14:solidFill>
          </w14:textFill>
        </w:rPr>
        <w:t>亿</w:t>
      </w:r>
      <w:r>
        <w:rPr>
          <w:rFonts w:hint="eastAsia" w:ascii="仿宋_GB2312" w:hAnsi="ˎ̥" w:eastAsia="仿宋_GB2312"/>
          <w:color w:val="000000" w:themeColor="text1"/>
          <w:sz w:val="34"/>
          <w:szCs w:val="34"/>
          <w14:textFill>
            <w14:solidFill>
              <w14:schemeClr w14:val="tx1"/>
            </w14:solidFill>
          </w14:textFill>
        </w:rPr>
        <w:t>元，同比增长3.7%，增量6</w:t>
      </w:r>
      <w:r>
        <w:rPr>
          <w:rFonts w:hint="eastAsia" w:ascii="仿宋_GB2312" w:hAnsi="ˎ̥" w:eastAsia="仿宋_GB2312"/>
          <w:color w:val="000000" w:themeColor="text1"/>
          <w:sz w:val="34"/>
          <w:szCs w:val="34"/>
          <w:lang w:val="en-US" w:eastAsia="zh-CN"/>
          <w14:textFill>
            <w14:solidFill>
              <w14:schemeClr w14:val="tx1"/>
            </w14:solidFill>
          </w14:textFill>
        </w:rPr>
        <w:t>亿</w:t>
      </w:r>
      <w:r>
        <w:rPr>
          <w:rFonts w:hint="eastAsia" w:ascii="仿宋_GB2312" w:hAnsi="ˎ̥" w:eastAsia="仿宋_GB2312"/>
          <w:color w:val="000000" w:themeColor="text1"/>
          <w:sz w:val="34"/>
          <w:szCs w:val="34"/>
          <w14:textFill>
            <w14:solidFill>
              <w14:schemeClr w14:val="tx1"/>
            </w14:solidFill>
          </w14:textFill>
        </w:rPr>
        <w:t>元。金融机构各项贷款余额78</w:t>
      </w:r>
      <w:r>
        <w:rPr>
          <w:rFonts w:hint="eastAsia" w:ascii="仿宋_GB2312" w:hAnsi="ˎ̥" w:eastAsia="仿宋_GB2312"/>
          <w:color w:val="000000" w:themeColor="text1"/>
          <w:sz w:val="34"/>
          <w:szCs w:val="34"/>
          <w:lang w:val="en-US" w:eastAsia="zh-CN"/>
          <w14:textFill>
            <w14:solidFill>
              <w14:schemeClr w14:val="tx1"/>
            </w14:solidFill>
          </w14:textFill>
        </w:rPr>
        <w:t>亿</w:t>
      </w:r>
      <w:r>
        <w:rPr>
          <w:rFonts w:hint="eastAsia" w:ascii="仿宋_GB2312" w:hAnsi="ˎ̥" w:eastAsia="仿宋_GB2312"/>
          <w:color w:val="000000" w:themeColor="text1"/>
          <w:sz w:val="34"/>
          <w:szCs w:val="34"/>
          <w14:textFill>
            <w14:solidFill>
              <w14:schemeClr w14:val="tx1"/>
            </w14:solidFill>
          </w14:textFill>
        </w:rPr>
        <w:t>元，同比增长10.6%，增量7</w:t>
      </w:r>
      <w:r>
        <w:rPr>
          <w:rFonts w:hint="eastAsia" w:ascii="仿宋_GB2312" w:hAnsi="ˎ̥" w:eastAsia="仿宋_GB2312"/>
          <w:color w:val="000000" w:themeColor="text1"/>
          <w:sz w:val="34"/>
          <w:szCs w:val="34"/>
          <w:lang w:val="en-US" w:eastAsia="zh-CN"/>
          <w14:textFill>
            <w14:solidFill>
              <w14:schemeClr w14:val="tx1"/>
            </w14:solidFill>
          </w14:textFill>
        </w:rPr>
        <w:t>.</w:t>
      </w:r>
      <w:r>
        <w:rPr>
          <w:rFonts w:hint="eastAsia" w:ascii="仿宋_GB2312" w:hAnsi="ˎ̥" w:eastAsia="仿宋_GB2312"/>
          <w:color w:val="000000" w:themeColor="text1"/>
          <w:sz w:val="34"/>
          <w:szCs w:val="34"/>
          <w14:textFill>
            <w14:solidFill>
              <w14:schemeClr w14:val="tx1"/>
            </w14:solidFill>
          </w14:textFill>
        </w:rPr>
        <w:t>5</w:t>
      </w:r>
      <w:r>
        <w:rPr>
          <w:rFonts w:hint="eastAsia" w:ascii="仿宋_GB2312" w:hAnsi="ˎ̥" w:eastAsia="仿宋_GB2312"/>
          <w:color w:val="000000" w:themeColor="text1"/>
          <w:sz w:val="34"/>
          <w:szCs w:val="34"/>
          <w:lang w:val="en-US" w:eastAsia="zh-CN"/>
          <w14:textFill>
            <w14:solidFill>
              <w14:schemeClr w14:val="tx1"/>
            </w14:solidFill>
          </w14:textFill>
        </w:rPr>
        <w:t>亿</w:t>
      </w:r>
      <w:r>
        <w:rPr>
          <w:rFonts w:hint="eastAsia" w:ascii="仿宋_GB2312" w:hAnsi="ˎ̥" w:eastAsia="仿宋_GB2312"/>
          <w:color w:val="000000" w:themeColor="text1"/>
          <w:sz w:val="34"/>
          <w:szCs w:val="34"/>
          <w14:textFill>
            <w14:solidFill>
              <w14:schemeClr w14:val="tx1"/>
            </w14:solidFill>
          </w14:textFill>
        </w:rPr>
        <w:t xml:space="preserve">元。 </w:t>
      </w:r>
    </w:p>
    <w:p>
      <w:pPr>
        <w:ind w:firstLine="683" w:firstLineChars="200"/>
        <w:rPr>
          <w:rFonts w:ascii="仿宋_GB2312" w:hAnsi="ˎ̥" w:eastAsia="仿宋_GB2312"/>
          <w:b/>
          <w:bCs/>
          <w:sz w:val="34"/>
          <w:szCs w:val="34"/>
        </w:rPr>
      </w:pPr>
      <w:r>
        <w:rPr>
          <w:rFonts w:hint="eastAsia" w:ascii="仿宋_GB2312" w:hAnsi="ˎ̥" w:eastAsia="仿宋_GB2312"/>
          <w:b/>
          <w:bCs/>
          <w:sz w:val="34"/>
          <w:szCs w:val="34"/>
        </w:rPr>
        <w:t>十、教育、卫生</w:t>
      </w:r>
    </w:p>
    <w:p>
      <w:pPr>
        <w:ind w:firstLine="680" w:firstLineChars="200"/>
        <w:rPr>
          <w:rFonts w:hint="eastAsia"/>
        </w:rPr>
      </w:pPr>
      <w:r>
        <w:rPr>
          <w:rFonts w:hint="eastAsia" w:ascii="仿宋_GB2312" w:hAnsi="ˎ̥" w:eastAsia="仿宋_GB2312"/>
          <w:sz w:val="34"/>
          <w:szCs w:val="34"/>
        </w:rPr>
        <w:t>初中毕业生升入普通高中占比为55.</w:t>
      </w:r>
      <w:r>
        <w:rPr>
          <w:rFonts w:hint="eastAsia" w:ascii="仿宋_GB2312" w:hAnsi="ˎ̥" w:eastAsia="仿宋_GB2312"/>
          <w:sz w:val="34"/>
          <w:szCs w:val="34"/>
          <w:lang w:val="en-US" w:eastAsia="zh-CN"/>
        </w:rPr>
        <w:t>7</w:t>
      </w:r>
      <w:r>
        <w:rPr>
          <w:rFonts w:hint="eastAsia" w:ascii="仿宋_GB2312" w:hAnsi="ˎ̥" w:eastAsia="仿宋_GB2312"/>
          <w:sz w:val="34"/>
          <w:szCs w:val="34"/>
        </w:rPr>
        <w:t>%，初中毛入学率100.3%，小学毛入学率100.</w:t>
      </w:r>
      <w:r>
        <w:rPr>
          <w:rFonts w:hint="eastAsia" w:ascii="仿宋_GB2312" w:hAnsi="ˎ̥" w:eastAsia="仿宋_GB2312"/>
          <w:sz w:val="34"/>
          <w:szCs w:val="34"/>
          <w:lang w:val="en-US" w:eastAsia="zh-CN"/>
        </w:rPr>
        <w:t>5</w:t>
      </w:r>
      <w:r>
        <w:rPr>
          <w:rFonts w:hint="eastAsia" w:ascii="仿宋_GB2312" w:hAnsi="ˎ̥" w:eastAsia="仿宋_GB2312"/>
          <w:sz w:val="34"/>
          <w:szCs w:val="34"/>
        </w:rPr>
        <w:t>%。全县各级各类学校共215所，其中小学92所（含小学教学点31所）；初级中学 23所；九年一贯制学校5所；完全中学1所；高级中学2所；十二年一贯制学校1所；师范进修学校1所；职业中专1所；特殊教育学校1所；幼儿园88所。在校学生45723人，其中小学在校生17925 人；特教学校在校生156人；初级中学在校生13048 人；高中在校生8969 人；职业中专在校生1320人；幼儿园及附设幼儿班学生4305人。</w:t>
      </w:r>
    </w:p>
    <w:p>
      <w:pPr>
        <w:ind w:firstLine="680" w:firstLineChars="200"/>
        <w:rPr>
          <w:rFonts w:hint="eastAsia" w:ascii="仿宋_GB2312" w:hAnsi="ˎ̥" w:eastAsia="仿宋_GB2312" w:cs="Times New Roman"/>
          <w:kern w:val="2"/>
          <w:sz w:val="34"/>
          <w:szCs w:val="34"/>
          <w:lang w:val="en-US" w:eastAsia="zh-CN" w:bidi="ar-SA"/>
        </w:rPr>
      </w:pPr>
      <w:r>
        <w:rPr>
          <w:rFonts w:hint="eastAsia" w:ascii="仿宋_GB2312" w:hAnsi="ˎ̥" w:eastAsia="仿宋_GB2312" w:cs="Times New Roman"/>
          <w:kern w:val="2"/>
          <w:sz w:val="34"/>
          <w:szCs w:val="34"/>
          <w:lang w:val="en-US" w:eastAsia="zh-CN" w:bidi="ar-SA"/>
        </w:rPr>
        <w:t>卫生医疗服务继续改善。2023年末，全县现有医疗机构728家，其中，二级医疗机构1家、一级综合医疗机构1家、中医院1家、精神专科医院1家、乡镇卫生院28家（含4家乡镇中心卫生院）、民营医院4家、结核病防治所1家、村卫生室678家、个体诊所9家、综合门诊部1家、社区卫生服务站1家、社区卫生服务中心1家、医务室1家。</w:t>
      </w:r>
    </w:p>
    <w:p>
      <w:pPr>
        <w:ind w:firstLine="680" w:firstLineChars="200"/>
        <w:rPr>
          <w:rFonts w:hint="eastAsia" w:ascii="仿宋_GB2312" w:hAnsi="ˎ̥" w:eastAsia="仿宋_GB2312" w:cs="Times New Roman"/>
          <w:kern w:val="2"/>
          <w:sz w:val="34"/>
          <w:szCs w:val="34"/>
          <w:lang w:val="en-US" w:eastAsia="zh-CN" w:bidi="ar-SA"/>
        </w:rPr>
      </w:pPr>
      <w:r>
        <w:rPr>
          <w:rFonts w:hint="eastAsia" w:ascii="仿宋_GB2312" w:hAnsi="ˎ̥" w:eastAsia="仿宋_GB2312" w:cs="Times New Roman"/>
          <w:kern w:val="2"/>
          <w:sz w:val="34"/>
          <w:szCs w:val="34"/>
          <w:lang w:val="en-US" w:eastAsia="zh-CN" w:bidi="ar-SA"/>
        </w:rPr>
        <w:t>医疗机构核定编制床位1225张，其中，二级医院499张、精神专科医院50张、一级综合医院84张、民营医院80张、乡镇卫生院477张、中医院19张、妇幼保健站10张、村卫生室6张。</w:t>
      </w:r>
    </w:p>
    <w:p>
      <w:pPr>
        <w:ind w:firstLine="680" w:firstLineChars="200"/>
        <w:rPr>
          <w:rFonts w:hint="eastAsia" w:ascii="仿宋_GB2312" w:hAnsi="ˎ̥" w:eastAsia="仿宋_GB2312" w:cs="Times New Roman"/>
          <w:kern w:val="2"/>
          <w:sz w:val="34"/>
          <w:szCs w:val="34"/>
          <w:lang w:val="en-US" w:eastAsia="zh-CN" w:bidi="ar-SA"/>
        </w:rPr>
      </w:pPr>
      <w:r>
        <w:rPr>
          <w:rFonts w:hint="eastAsia" w:ascii="仿宋_GB2312" w:hAnsi="ˎ̥" w:eastAsia="仿宋_GB2312" w:cs="Times New Roman"/>
          <w:kern w:val="2"/>
          <w:sz w:val="34"/>
          <w:szCs w:val="34"/>
          <w:lang w:val="en-US" w:eastAsia="zh-CN" w:bidi="ar-SA"/>
        </w:rPr>
        <w:t>全县现有卫生专业技术人员 2824人，其中，执业医师（含助理执业医师、全科医生217人）971人、注册护士840人、注册乡村医生1013人。</w:t>
      </w:r>
    </w:p>
    <w:p>
      <w:pPr>
        <w:ind w:firstLine="683" w:firstLineChars="200"/>
        <w:rPr>
          <w:rFonts w:ascii="仿宋_GB2312" w:hAnsi="ˎ̥" w:eastAsia="仿宋_GB2312"/>
          <w:b/>
          <w:bCs/>
          <w:sz w:val="34"/>
          <w:szCs w:val="34"/>
        </w:rPr>
      </w:pPr>
      <w:r>
        <w:rPr>
          <w:rFonts w:hint="eastAsia" w:ascii="仿宋_GB2312" w:hAnsi="ˎ̥" w:eastAsia="仿宋_GB2312"/>
          <w:b/>
          <w:bCs/>
          <w:sz w:val="34"/>
          <w:szCs w:val="34"/>
        </w:rPr>
        <w:t>十一、人口和社会保障</w:t>
      </w:r>
    </w:p>
    <w:p>
      <w:pPr>
        <w:ind w:firstLine="680" w:firstLineChars="200"/>
        <w:rPr>
          <w:rFonts w:hint="eastAsia" w:ascii="仿宋_GB2312" w:hAnsi="ˎ̥" w:eastAsia="仿宋_GB2312"/>
          <w:sz w:val="34"/>
          <w:szCs w:val="34"/>
          <w:lang w:eastAsia="zh-CN"/>
        </w:rPr>
      </w:pPr>
      <w:r>
        <w:rPr>
          <w:rFonts w:hint="eastAsia" w:ascii="仿宋_GB2312" w:hAnsi="ˎ̥" w:eastAsia="仿宋_GB2312"/>
          <w:sz w:val="34"/>
          <w:szCs w:val="34"/>
        </w:rPr>
        <w:t>2023年末全县总户数为1</w:t>
      </w:r>
      <w:r>
        <w:rPr>
          <w:rFonts w:ascii="仿宋_GB2312" w:hAnsi="ˎ̥" w:eastAsia="仿宋_GB2312"/>
          <w:sz w:val="34"/>
          <w:szCs w:val="34"/>
        </w:rPr>
        <w:t>64811</w:t>
      </w:r>
      <w:r>
        <w:rPr>
          <w:rFonts w:hint="eastAsia" w:ascii="仿宋_GB2312" w:hAnsi="ˎ̥" w:eastAsia="仿宋_GB2312"/>
          <w:sz w:val="34"/>
          <w:szCs w:val="34"/>
        </w:rPr>
        <w:t>户，户籍总人口为5</w:t>
      </w:r>
      <w:r>
        <w:rPr>
          <w:rFonts w:ascii="仿宋_GB2312" w:hAnsi="ˎ̥" w:eastAsia="仿宋_GB2312"/>
          <w:sz w:val="34"/>
          <w:szCs w:val="34"/>
        </w:rPr>
        <w:t>27588</w:t>
      </w:r>
      <w:r>
        <w:rPr>
          <w:rFonts w:hint="eastAsia" w:ascii="仿宋_GB2312" w:hAnsi="ˎ̥" w:eastAsia="仿宋_GB2312"/>
          <w:sz w:val="34"/>
          <w:szCs w:val="34"/>
        </w:rPr>
        <w:t>人。在总人口中男性人口为2</w:t>
      </w:r>
      <w:r>
        <w:rPr>
          <w:rFonts w:ascii="仿宋_GB2312" w:hAnsi="ˎ̥" w:eastAsia="仿宋_GB2312"/>
          <w:sz w:val="34"/>
          <w:szCs w:val="34"/>
        </w:rPr>
        <w:t>75043</w:t>
      </w:r>
      <w:r>
        <w:rPr>
          <w:rFonts w:hint="eastAsia" w:ascii="仿宋_GB2312" w:hAnsi="ˎ̥" w:eastAsia="仿宋_GB2312"/>
          <w:sz w:val="34"/>
          <w:szCs w:val="34"/>
        </w:rPr>
        <w:t>人，占总人口的 52.1%；女性人口为2</w:t>
      </w:r>
      <w:r>
        <w:rPr>
          <w:rFonts w:ascii="仿宋_GB2312" w:hAnsi="ˎ̥" w:eastAsia="仿宋_GB2312"/>
          <w:sz w:val="34"/>
          <w:szCs w:val="34"/>
        </w:rPr>
        <w:t>52545</w:t>
      </w:r>
      <w:r>
        <w:rPr>
          <w:rFonts w:hint="eastAsia" w:ascii="仿宋_GB2312" w:hAnsi="ˎ̥" w:eastAsia="仿宋_GB2312"/>
          <w:sz w:val="34"/>
          <w:szCs w:val="34"/>
        </w:rPr>
        <w:t>人，占总人口的47.9%。0-17岁人口</w:t>
      </w:r>
      <w:r>
        <w:rPr>
          <w:rFonts w:ascii="仿宋_GB2312" w:hAnsi="ˎ̥" w:eastAsia="仿宋_GB2312"/>
          <w:sz w:val="34"/>
          <w:szCs w:val="34"/>
        </w:rPr>
        <w:t>86716</w:t>
      </w:r>
      <w:r>
        <w:rPr>
          <w:rFonts w:hint="eastAsia" w:ascii="仿宋_GB2312" w:hAnsi="ˎ̥" w:eastAsia="仿宋_GB2312"/>
          <w:sz w:val="34"/>
          <w:szCs w:val="34"/>
          <w:lang w:val="en-US" w:eastAsia="zh-CN"/>
        </w:rPr>
        <w:t>人，</w:t>
      </w:r>
      <w:r>
        <w:rPr>
          <w:rFonts w:hint="eastAsia" w:ascii="仿宋_GB2312" w:hAnsi="ˎ̥" w:eastAsia="仿宋_GB2312"/>
          <w:sz w:val="34"/>
          <w:szCs w:val="34"/>
        </w:rPr>
        <w:t>占总人口的1</w:t>
      </w:r>
      <w:r>
        <w:rPr>
          <w:rFonts w:ascii="仿宋_GB2312" w:hAnsi="ˎ̥" w:eastAsia="仿宋_GB2312"/>
          <w:sz w:val="34"/>
          <w:szCs w:val="34"/>
        </w:rPr>
        <w:t>6.4</w:t>
      </w:r>
      <w:r>
        <w:rPr>
          <w:rFonts w:hint="eastAsia" w:ascii="仿宋_GB2312" w:hAnsi="ˎ̥" w:eastAsia="仿宋_GB2312"/>
          <w:sz w:val="34"/>
          <w:szCs w:val="34"/>
        </w:rPr>
        <w:t>%；18-34岁人口1</w:t>
      </w:r>
      <w:r>
        <w:rPr>
          <w:rFonts w:ascii="仿宋_GB2312" w:hAnsi="ˎ̥" w:eastAsia="仿宋_GB2312"/>
          <w:sz w:val="34"/>
          <w:szCs w:val="34"/>
        </w:rPr>
        <w:t>10613</w:t>
      </w:r>
      <w:r>
        <w:rPr>
          <w:rFonts w:hint="eastAsia" w:ascii="仿宋_GB2312" w:hAnsi="ˎ̥" w:eastAsia="仿宋_GB2312"/>
          <w:sz w:val="34"/>
          <w:szCs w:val="34"/>
        </w:rPr>
        <w:t>人，占总人口的2</w:t>
      </w:r>
      <w:r>
        <w:rPr>
          <w:rFonts w:ascii="仿宋_GB2312" w:hAnsi="ˎ̥" w:eastAsia="仿宋_GB2312"/>
          <w:sz w:val="34"/>
          <w:szCs w:val="34"/>
        </w:rPr>
        <w:t>1</w:t>
      </w:r>
      <w:r>
        <w:rPr>
          <w:rFonts w:hint="eastAsia" w:ascii="仿宋_GB2312" w:hAnsi="ˎ̥" w:eastAsia="仿宋_GB2312"/>
          <w:sz w:val="34"/>
          <w:szCs w:val="34"/>
        </w:rPr>
        <w:t>%；35-59岁人口2</w:t>
      </w:r>
      <w:r>
        <w:rPr>
          <w:rFonts w:ascii="仿宋_GB2312" w:hAnsi="ˎ̥" w:eastAsia="仿宋_GB2312"/>
          <w:sz w:val="34"/>
          <w:szCs w:val="34"/>
        </w:rPr>
        <w:t>00007</w:t>
      </w:r>
      <w:r>
        <w:rPr>
          <w:rFonts w:hint="eastAsia" w:ascii="仿宋_GB2312" w:hAnsi="ˎ̥" w:eastAsia="仿宋_GB2312"/>
          <w:sz w:val="34"/>
          <w:szCs w:val="34"/>
        </w:rPr>
        <w:t>人，占总人口的3</w:t>
      </w:r>
      <w:r>
        <w:rPr>
          <w:rFonts w:ascii="仿宋_GB2312" w:hAnsi="ˎ̥" w:eastAsia="仿宋_GB2312"/>
          <w:sz w:val="34"/>
          <w:szCs w:val="34"/>
        </w:rPr>
        <w:t>7.9</w:t>
      </w:r>
      <w:r>
        <w:rPr>
          <w:rFonts w:hint="eastAsia" w:ascii="仿宋_GB2312" w:hAnsi="ˎ̥" w:eastAsia="仿宋_GB2312"/>
          <w:sz w:val="34"/>
          <w:szCs w:val="34"/>
        </w:rPr>
        <w:t>%；60岁及以上人口1</w:t>
      </w:r>
      <w:r>
        <w:rPr>
          <w:rFonts w:ascii="仿宋_GB2312" w:hAnsi="ˎ̥" w:eastAsia="仿宋_GB2312"/>
          <w:sz w:val="34"/>
          <w:szCs w:val="34"/>
        </w:rPr>
        <w:t>30252</w:t>
      </w:r>
      <w:r>
        <w:rPr>
          <w:rFonts w:hint="eastAsia" w:ascii="仿宋_GB2312" w:hAnsi="ˎ̥" w:eastAsia="仿宋_GB2312"/>
          <w:sz w:val="34"/>
          <w:szCs w:val="34"/>
        </w:rPr>
        <w:t>人，占总人口的2</w:t>
      </w:r>
      <w:r>
        <w:rPr>
          <w:rFonts w:ascii="仿宋_GB2312" w:hAnsi="ˎ̥" w:eastAsia="仿宋_GB2312"/>
          <w:sz w:val="34"/>
          <w:szCs w:val="34"/>
        </w:rPr>
        <w:t>4.7</w:t>
      </w:r>
      <w:r>
        <w:rPr>
          <w:rFonts w:hint="eastAsia" w:ascii="仿宋_GB2312" w:hAnsi="ˎ̥" w:eastAsia="仿宋_GB2312"/>
          <w:sz w:val="34"/>
          <w:szCs w:val="34"/>
        </w:rPr>
        <w:t>%。全年出生人口2</w:t>
      </w:r>
      <w:r>
        <w:rPr>
          <w:rFonts w:ascii="仿宋_GB2312" w:hAnsi="ˎ̥" w:eastAsia="仿宋_GB2312"/>
          <w:sz w:val="34"/>
          <w:szCs w:val="34"/>
        </w:rPr>
        <w:t>505</w:t>
      </w:r>
      <w:r>
        <w:rPr>
          <w:rFonts w:hint="eastAsia" w:ascii="仿宋_GB2312" w:hAnsi="ˎ̥" w:eastAsia="仿宋_GB2312"/>
          <w:sz w:val="34"/>
          <w:szCs w:val="34"/>
        </w:rPr>
        <w:t>人，死亡人口6</w:t>
      </w:r>
      <w:r>
        <w:rPr>
          <w:rFonts w:ascii="仿宋_GB2312" w:hAnsi="ˎ̥" w:eastAsia="仿宋_GB2312"/>
          <w:sz w:val="34"/>
          <w:szCs w:val="34"/>
        </w:rPr>
        <w:t>029</w:t>
      </w:r>
      <w:r>
        <w:rPr>
          <w:rFonts w:hint="eastAsia" w:ascii="仿宋_GB2312" w:hAnsi="ˎ̥" w:eastAsia="仿宋_GB2312"/>
          <w:sz w:val="34"/>
          <w:szCs w:val="34"/>
        </w:rPr>
        <w:t>人</w:t>
      </w:r>
      <w:r>
        <w:rPr>
          <w:rFonts w:hint="eastAsia" w:ascii="仿宋_GB2312" w:hAnsi="ˎ̥" w:eastAsia="仿宋_GB2312"/>
          <w:sz w:val="34"/>
          <w:szCs w:val="34"/>
          <w:lang w:eastAsia="zh-CN"/>
        </w:rPr>
        <w:t>。</w:t>
      </w:r>
    </w:p>
    <w:p>
      <w:pPr>
        <w:ind w:firstLine="680" w:firstLineChars="200"/>
        <w:rPr>
          <w:rFonts w:ascii="仿宋_GB2312" w:hAnsi="ˎ̥" w:eastAsia="仿宋_GB2312"/>
          <w:sz w:val="34"/>
          <w:szCs w:val="34"/>
        </w:rPr>
      </w:pPr>
      <w:r>
        <w:rPr>
          <w:rFonts w:hint="eastAsia" w:ascii="仿宋_GB2312" w:hAnsi="ˎ̥" w:eastAsia="仿宋_GB2312"/>
          <w:sz w:val="34"/>
          <w:szCs w:val="34"/>
        </w:rPr>
        <w:t xml:space="preserve">                                       </w:t>
      </w:r>
    </w:p>
    <w:tbl>
      <w:tblPr>
        <w:tblStyle w:val="6"/>
        <w:tblW w:w="7140" w:type="dxa"/>
        <w:jc w:val="center"/>
        <w:tblLayout w:type="autofit"/>
        <w:tblCellMar>
          <w:top w:w="0" w:type="dxa"/>
          <w:left w:w="108" w:type="dxa"/>
          <w:bottom w:w="0" w:type="dxa"/>
          <w:right w:w="108" w:type="dxa"/>
        </w:tblCellMar>
      </w:tblPr>
      <w:tblGrid>
        <w:gridCol w:w="3586"/>
        <w:gridCol w:w="2024"/>
        <w:gridCol w:w="1530"/>
      </w:tblGrid>
      <w:tr>
        <w:tblPrEx>
          <w:tblCellMar>
            <w:top w:w="0" w:type="dxa"/>
            <w:left w:w="108" w:type="dxa"/>
            <w:bottom w:w="0" w:type="dxa"/>
            <w:right w:w="108" w:type="dxa"/>
          </w:tblCellMar>
        </w:tblPrEx>
        <w:trPr>
          <w:trHeight w:val="522" w:hRule="atLeast"/>
          <w:jc w:val="center"/>
        </w:trPr>
        <w:tc>
          <w:tcPr>
            <w:tcW w:w="7140" w:type="dxa"/>
            <w:gridSpan w:val="3"/>
            <w:tcBorders>
              <w:top w:val="nil"/>
              <w:left w:val="nil"/>
              <w:bottom w:val="nil"/>
              <w:right w:val="nil"/>
            </w:tcBorders>
            <w:shd w:val="clear" w:color="auto" w:fill="auto"/>
            <w:noWrap/>
            <w:vAlign w:val="center"/>
          </w:tcPr>
          <w:p>
            <w:pPr>
              <w:ind w:firstLine="853" w:firstLineChars="250"/>
              <w:rPr>
                <w:rFonts w:ascii="仿宋_GB2312" w:hAnsi="ˎ̥" w:eastAsia="仿宋_GB2312"/>
                <w:sz w:val="34"/>
                <w:szCs w:val="34"/>
              </w:rPr>
            </w:pPr>
            <w:r>
              <w:rPr>
                <w:rFonts w:hint="eastAsia" w:ascii="仿宋_GB2312" w:hAnsi="ˎ̥" w:eastAsia="仿宋_GB2312"/>
                <w:b/>
                <w:bCs/>
                <w:sz w:val="34"/>
                <w:szCs w:val="34"/>
              </w:rPr>
              <w:t>表1 2023年末人口数及其构成</w:t>
            </w:r>
          </w:p>
        </w:tc>
      </w:tr>
      <w:tr>
        <w:tblPrEx>
          <w:tblCellMar>
            <w:top w:w="0" w:type="dxa"/>
            <w:left w:w="108" w:type="dxa"/>
            <w:bottom w:w="0" w:type="dxa"/>
            <w:right w:w="108" w:type="dxa"/>
          </w:tblCellMar>
        </w:tblPrEx>
        <w:trPr>
          <w:trHeight w:val="859" w:hRule="atLeast"/>
          <w:jc w:val="center"/>
        </w:trPr>
        <w:tc>
          <w:tcPr>
            <w:tcW w:w="3586" w:type="dxa"/>
            <w:tcBorders>
              <w:top w:val="single" w:color="auto" w:sz="12" w:space="0"/>
              <w:left w:val="nil"/>
              <w:bottom w:val="nil"/>
              <w:right w:val="nil"/>
            </w:tcBorders>
            <w:shd w:val="clear" w:color="auto" w:fill="auto"/>
            <w:noWrap/>
            <w:vAlign w:val="center"/>
          </w:tcPr>
          <w:p>
            <w:pPr>
              <w:ind w:firstLine="550" w:firstLineChars="250"/>
              <w:rPr>
                <w:rFonts w:ascii="仿宋_GB2312" w:hAnsi="ˎ̥" w:eastAsia="仿宋_GB2312"/>
                <w:sz w:val="22"/>
                <w:szCs w:val="22"/>
              </w:rPr>
            </w:pPr>
            <w:r>
              <w:rPr>
                <w:rFonts w:hint="eastAsia" w:ascii="仿宋_GB2312" w:hAnsi="ˎ̥" w:eastAsia="仿宋_GB2312"/>
                <w:sz w:val="22"/>
                <w:szCs w:val="22"/>
              </w:rPr>
              <w:t>指   标</w:t>
            </w:r>
          </w:p>
        </w:tc>
        <w:tc>
          <w:tcPr>
            <w:tcW w:w="2024" w:type="dxa"/>
            <w:tcBorders>
              <w:top w:val="single" w:color="auto" w:sz="12" w:space="0"/>
              <w:left w:val="single" w:color="auto" w:sz="4" w:space="0"/>
              <w:bottom w:val="nil"/>
              <w:right w:val="single" w:color="auto" w:sz="4" w:space="0"/>
            </w:tcBorders>
            <w:shd w:val="clear" w:color="auto" w:fill="auto"/>
            <w:noWrap/>
            <w:vAlign w:val="center"/>
          </w:tcPr>
          <w:p>
            <w:pPr>
              <w:ind w:firstLine="440"/>
              <w:rPr>
                <w:rFonts w:ascii="仿宋_GB2312" w:hAnsi="ˎ̥" w:eastAsia="仿宋_GB2312"/>
                <w:sz w:val="22"/>
                <w:szCs w:val="22"/>
              </w:rPr>
            </w:pPr>
            <w:r>
              <w:rPr>
                <w:rFonts w:hint="eastAsia" w:ascii="仿宋_GB2312" w:hAnsi="ˎ̥" w:eastAsia="仿宋_GB2312"/>
                <w:sz w:val="22"/>
                <w:szCs w:val="22"/>
              </w:rPr>
              <w:t>年末数（人）</w:t>
            </w:r>
          </w:p>
        </w:tc>
        <w:tc>
          <w:tcPr>
            <w:tcW w:w="1530" w:type="dxa"/>
            <w:tcBorders>
              <w:top w:val="single" w:color="auto" w:sz="12" w:space="0"/>
              <w:left w:val="nil"/>
              <w:bottom w:val="nil"/>
              <w:right w:val="nil"/>
            </w:tcBorders>
            <w:shd w:val="clear" w:color="auto" w:fill="auto"/>
            <w:noWrap/>
            <w:vAlign w:val="center"/>
          </w:tcPr>
          <w:p>
            <w:pPr>
              <w:ind w:firstLine="440"/>
              <w:rPr>
                <w:rFonts w:ascii="仿宋_GB2312" w:hAnsi="ˎ̥" w:eastAsia="仿宋_GB2312"/>
                <w:sz w:val="22"/>
                <w:szCs w:val="22"/>
              </w:rPr>
            </w:pPr>
            <w:r>
              <w:rPr>
                <w:rFonts w:hint="eastAsia" w:ascii="仿宋_GB2312" w:hAnsi="ˎ̥" w:eastAsia="仿宋_GB2312"/>
                <w:sz w:val="22"/>
                <w:szCs w:val="22"/>
              </w:rPr>
              <w:t>比重（%）</w:t>
            </w:r>
          </w:p>
        </w:tc>
      </w:tr>
      <w:tr>
        <w:tblPrEx>
          <w:tblCellMar>
            <w:top w:w="0" w:type="dxa"/>
            <w:left w:w="108" w:type="dxa"/>
            <w:bottom w:w="0" w:type="dxa"/>
            <w:right w:w="108" w:type="dxa"/>
          </w:tblCellMar>
        </w:tblPrEx>
        <w:trPr>
          <w:trHeight w:val="315" w:hRule="atLeast"/>
          <w:jc w:val="center"/>
        </w:trPr>
        <w:tc>
          <w:tcPr>
            <w:tcW w:w="3586" w:type="dxa"/>
            <w:tcBorders>
              <w:top w:val="single" w:color="auto" w:sz="4" w:space="0"/>
              <w:left w:val="nil"/>
              <w:bottom w:val="nil"/>
              <w:right w:val="nil"/>
            </w:tcBorders>
            <w:shd w:val="clear" w:color="auto" w:fill="auto"/>
            <w:noWrap/>
            <w:vAlign w:val="center"/>
          </w:tcPr>
          <w:p>
            <w:pPr>
              <w:ind w:firstLine="550" w:firstLineChars="250"/>
              <w:jc w:val="left"/>
              <w:rPr>
                <w:rFonts w:ascii="仿宋_GB2312" w:hAnsi="ˎ̥" w:eastAsia="仿宋_GB2312"/>
                <w:sz w:val="22"/>
                <w:szCs w:val="22"/>
              </w:rPr>
            </w:pPr>
            <w:r>
              <w:rPr>
                <w:rFonts w:hint="eastAsia" w:ascii="仿宋_GB2312" w:hAnsi="ˎ̥" w:eastAsia="仿宋_GB2312"/>
                <w:sz w:val="22"/>
                <w:szCs w:val="22"/>
              </w:rPr>
              <w:t>全县总人口</w:t>
            </w:r>
          </w:p>
        </w:tc>
        <w:tc>
          <w:tcPr>
            <w:tcW w:w="2024" w:type="dxa"/>
            <w:tcBorders>
              <w:top w:val="single" w:color="auto" w:sz="4" w:space="0"/>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527588</w:t>
            </w:r>
          </w:p>
        </w:tc>
        <w:tc>
          <w:tcPr>
            <w:tcW w:w="1530" w:type="dxa"/>
            <w:tcBorders>
              <w:top w:val="single" w:color="auto" w:sz="4" w:space="0"/>
              <w:left w:val="nil"/>
              <w:bottom w:val="nil"/>
              <w:right w:val="nil"/>
            </w:tcBorders>
            <w:shd w:val="clear" w:color="auto" w:fill="auto"/>
            <w:noWrap/>
            <w:vAlign w:val="center"/>
          </w:tcPr>
          <w:p>
            <w:pPr>
              <w:ind w:firstLine="550" w:firstLineChars="250"/>
              <w:rPr>
                <w:rFonts w:ascii="仿宋_GB2312" w:hAnsi="ˎ̥" w:eastAsia="仿宋_GB2312"/>
                <w:sz w:val="22"/>
                <w:szCs w:val="22"/>
              </w:rPr>
            </w:pPr>
            <w:r>
              <w:rPr>
                <w:rFonts w:hint="eastAsia" w:ascii="仿宋_GB2312" w:hAnsi="ˎ̥" w:eastAsia="仿宋_GB2312"/>
                <w:sz w:val="22"/>
                <w:szCs w:val="22"/>
              </w:rPr>
              <w:t>100</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nil"/>
              <w:right w:val="nil"/>
            </w:tcBorders>
            <w:shd w:val="clear" w:color="auto" w:fill="auto"/>
            <w:noWrap/>
            <w:vAlign w:val="center"/>
          </w:tcPr>
          <w:p>
            <w:pPr>
              <w:ind w:firstLine="550" w:firstLineChars="250"/>
              <w:jc w:val="left"/>
              <w:rPr>
                <w:rFonts w:ascii="仿宋_GB2312" w:hAnsi="ˎ̥" w:eastAsia="仿宋_GB2312"/>
                <w:sz w:val="22"/>
                <w:szCs w:val="22"/>
              </w:rPr>
            </w:pPr>
            <w:r>
              <w:rPr>
                <w:rFonts w:hint="eastAsia" w:ascii="仿宋_GB2312" w:hAnsi="ˎ̥" w:eastAsia="仿宋_GB2312"/>
                <w:sz w:val="22"/>
                <w:szCs w:val="22"/>
              </w:rPr>
              <w:t>其中 ：男性</w:t>
            </w:r>
          </w:p>
        </w:tc>
        <w:tc>
          <w:tcPr>
            <w:tcW w:w="2024" w:type="dxa"/>
            <w:tcBorders>
              <w:top w:val="nil"/>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275043</w:t>
            </w:r>
          </w:p>
        </w:tc>
        <w:tc>
          <w:tcPr>
            <w:tcW w:w="1530" w:type="dxa"/>
            <w:tcBorders>
              <w:top w:val="nil"/>
              <w:left w:val="nil"/>
              <w:bottom w:val="nil"/>
              <w:right w:val="nil"/>
            </w:tcBorders>
            <w:shd w:val="clear" w:color="auto" w:fill="auto"/>
            <w:noWrap/>
            <w:vAlign w:val="center"/>
          </w:tcPr>
          <w:p>
            <w:pPr>
              <w:ind w:firstLine="550" w:firstLineChars="250"/>
              <w:rPr>
                <w:rFonts w:ascii="仿宋_GB2312" w:hAnsi="ˎ̥" w:eastAsia="仿宋_GB2312"/>
                <w:sz w:val="22"/>
                <w:szCs w:val="22"/>
              </w:rPr>
            </w:pPr>
            <w:r>
              <w:rPr>
                <w:rFonts w:hint="eastAsia" w:ascii="仿宋_GB2312" w:hAnsi="ˎ̥" w:eastAsia="仿宋_GB2312"/>
                <w:sz w:val="22"/>
                <w:szCs w:val="22"/>
              </w:rPr>
              <w:t xml:space="preserve">52.1 </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nil"/>
              <w:right w:val="nil"/>
            </w:tcBorders>
            <w:shd w:val="clear" w:color="auto" w:fill="auto"/>
            <w:noWrap/>
            <w:vAlign w:val="center"/>
          </w:tcPr>
          <w:p>
            <w:pPr>
              <w:ind w:firstLine="1320" w:firstLineChars="600"/>
              <w:jc w:val="left"/>
              <w:rPr>
                <w:rFonts w:ascii="仿宋_GB2312" w:hAnsi="ˎ̥" w:eastAsia="仿宋_GB2312"/>
                <w:sz w:val="22"/>
                <w:szCs w:val="22"/>
              </w:rPr>
            </w:pPr>
            <w:r>
              <w:rPr>
                <w:rFonts w:hint="eastAsia" w:ascii="仿宋_GB2312" w:hAnsi="ˎ̥" w:eastAsia="仿宋_GB2312"/>
                <w:sz w:val="22"/>
                <w:szCs w:val="22"/>
              </w:rPr>
              <w:t>女性</w:t>
            </w:r>
          </w:p>
        </w:tc>
        <w:tc>
          <w:tcPr>
            <w:tcW w:w="2024" w:type="dxa"/>
            <w:tcBorders>
              <w:top w:val="nil"/>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252545</w:t>
            </w:r>
          </w:p>
        </w:tc>
        <w:tc>
          <w:tcPr>
            <w:tcW w:w="1530" w:type="dxa"/>
            <w:tcBorders>
              <w:top w:val="nil"/>
              <w:left w:val="nil"/>
              <w:bottom w:val="nil"/>
              <w:right w:val="nil"/>
            </w:tcBorders>
            <w:shd w:val="clear" w:color="auto" w:fill="auto"/>
            <w:noWrap/>
            <w:vAlign w:val="center"/>
          </w:tcPr>
          <w:p>
            <w:pPr>
              <w:ind w:firstLine="550" w:firstLineChars="250"/>
              <w:rPr>
                <w:rFonts w:ascii="仿宋_GB2312" w:hAnsi="ˎ̥" w:eastAsia="仿宋_GB2312"/>
                <w:sz w:val="22"/>
                <w:szCs w:val="22"/>
              </w:rPr>
            </w:pPr>
            <w:r>
              <w:rPr>
                <w:rFonts w:hint="eastAsia" w:ascii="仿宋_GB2312" w:hAnsi="ˎ̥" w:eastAsia="仿宋_GB2312"/>
                <w:sz w:val="22"/>
                <w:szCs w:val="22"/>
              </w:rPr>
              <w:t>47.9</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nil"/>
              <w:right w:val="nil"/>
            </w:tcBorders>
            <w:shd w:val="clear" w:color="auto" w:fill="auto"/>
            <w:noWrap/>
            <w:vAlign w:val="center"/>
          </w:tcPr>
          <w:p>
            <w:pPr>
              <w:ind w:firstLine="550" w:firstLineChars="250"/>
              <w:jc w:val="left"/>
              <w:rPr>
                <w:rFonts w:ascii="仿宋_GB2312" w:hAnsi="ˎ̥" w:eastAsia="仿宋_GB2312"/>
                <w:sz w:val="22"/>
                <w:szCs w:val="22"/>
              </w:rPr>
            </w:pPr>
            <w:r>
              <w:rPr>
                <w:rFonts w:hint="eastAsia" w:ascii="仿宋_GB2312" w:hAnsi="ˎ̥" w:eastAsia="仿宋_GB2312"/>
                <w:sz w:val="22"/>
                <w:szCs w:val="22"/>
              </w:rPr>
              <w:t>其中：0-17岁</w:t>
            </w:r>
          </w:p>
        </w:tc>
        <w:tc>
          <w:tcPr>
            <w:tcW w:w="2024" w:type="dxa"/>
            <w:tcBorders>
              <w:top w:val="nil"/>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86716</w:t>
            </w:r>
          </w:p>
        </w:tc>
        <w:tc>
          <w:tcPr>
            <w:tcW w:w="1530" w:type="dxa"/>
            <w:tcBorders>
              <w:top w:val="nil"/>
              <w:left w:val="nil"/>
              <w:bottom w:val="nil"/>
              <w:right w:val="nil"/>
            </w:tcBorders>
            <w:shd w:val="clear" w:color="auto" w:fill="auto"/>
            <w:noWrap/>
            <w:vAlign w:val="center"/>
          </w:tcPr>
          <w:p>
            <w:pPr>
              <w:ind w:firstLine="550" w:firstLineChars="250"/>
              <w:rPr>
                <w:rFonts w:hint="default" w:ascii="仿宋_GB2312" w:hAnsi="ˎ̥" w:eastAsia="仿宋_GB2312"/>
                <w:sz w:val="22"/>
                <w:szCs w:val="22"/>
                <w:lang w:val="en-US" w:eastAsia="zh-CN"/>
              </w:rPr>
            </w:pPr>
            <w:r>
              <w:rPr>
                <w:rFonts w:hint="eastAsia" w:ascii="仿宋_GB2312" w:hAnsi="ˎ̥" w:eastAsia="仿宋_GB2312"/>
                <w:sz w:val="22"/>
                <w:szCs w:val="22"/>
                <w:lang w:val="en-US" w:eastAsia="zh-CN"/>
              </w:rPr>
              <w:t>16.4</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nil"/>
              <w:right w:val="nil"/>
            </w:tcBorders>
            <w:shd w:val="clear" w:color="auto" w:fill="auto"/>
            <w:noWrap/>
            <w:vAlign w:val="center"/>
          </w:tcPr>
          <w:p>
            <w:pPr>
              <w:ind w:firstLine="1210" w:firstLineChars="550"/>
              <w:jc w:val="left"/>
              <w:rPr>
                <w:rFonts w:ascii="仿宋_GB2312" w:hAnsi="ˎ̥" w:eastAsia="仿宋_GB2312"/>
                <w:sz w:val="22"/>
                <w:szCs w:val="22"/>
              </w:rPr>
            </w:pPr>
            <w:r>
              <w:rPr>
                <w:rFonts w:hint="eastAsia" w:ascii="仿宋_GB2312" w:hAnsi="ˎ̥" w:eastAsia="仿宋_GB2312"/>
                <w:sz w:val="22"/>
                <w:szCs w:val="22"/>
              </w:rPr>
              <w:t>18-34岁</w:t>
            </w:r>
          </w:p>
        </w:tc>
        <w:tc>
          <w:tcPr>
            <w:tcW w:w="2024" w:type="dxa"/>
            <w:tcBorders>
              <w:top w:val="nil"/>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110613</w:t>
            </w:r>
          </w:p>
        </w:tc>
        <w:tc>
          <w:tcPr>
            <w:tcW w:w="1530" w:type="dxa"/>
            <w:tcBorders>
              <w:top w:val="nil"/>
              <w:left w:val="nil"/>
              <w:bottom w:val="nil"/>
              <w:right w:val="nil"/>
            </w:tcBorders>
            <w:shd w:val="clear" w:color="auto" w:fill="auto"/>
            <w:noWrap/>
            <w:vAlign w:val="center"/>
          </w:tcPr>
          <w:p>
            <w:pPr>
              <w:ind w:firstLine="550" w:firstLineChars="250"/>
              <w:rPr>
                <w:rFonts w:hint="default" w:ascii="仿宋_GB2312" w:hAnsi="ˎ̥" w:eastAsia="仿宋_GB2312"/>
                <w:sz w:val="22"/>
                <w:szCs w:val="22"/>
                <w:lang w:val="en-US" w:eastAsia="zh-CN"/>
              </w:rPr>
            </w:pPr>
            <w:r>
              <w:rPr>
                <w:rFonts w:hint="eastAsia" w:ascii="仿宋_GB2312" w:hAnsi="ˎ̥" w:eastAsia="仿宋_GB2312"/>
                <w:sz w:val="22"/>
                <w:szCs w:val="22"/>
                <w:lang w:val="en-US" w:eastAsia="zh-CN"/>
              </w:rPr>
              <w:t>21.0</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nil"/>
              <w:right w:val="nil"/>
            </w:tcBorders>
            <w:shd w:val="clear" w:color="auto" w:fill="auto"/>
            <w:noWrap/>
            <w:vAlign w:val="center"/>
          </w:tcPr>
          <w:p>
            <w:pPr>
              <w:ind w:firstLine="1210" w:firstLineChars="550"/>
              <w:jc w:val="left"/>
              <w:rPr>
                <w:rFonts w:ascii="仿宋_GB2312" w:hAnsi="ˎ̥" w:eastAsia="仿宋_GB2312"/>
                <w:sz w:val="22"/>
                <w:szCs w:val="22"/>
              </w:rPr>
            </w:pPr>
            <w:r>
              <w:rPr>
                <w:rFonts w:hint="eastAsia" w:ascii="仿宋_GB2312" w:hAnsi="ˎ̥" w:eastAsia="仿宋_GB2312"/>
                <w:sz w:val="22"/>
                <w:szCs w:val="22"/>
              </w:rPr>
              <w:t>35-59岁</w:t>
            </w:r>
          </w:p>
        </w:tc>
        <w:tc>
          <w:tcPr>
            <w:tcW w:w="2024" w:type="dxa"/>
            <w:tcBorders>
              <w:top w:val="nil"/>
              <w:left w:val="single" w:color="auto" w:sz="4" w:space="0"/>
              <w:bottom w:val="nil"/>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200007</w:t>
            </w:r>
          </w:p>
        </w:tc>
        <w:tc>
          <w:tcPr>
            <w:tcW w:w="1530" w:type="dxa"/>
            <w:tcBorders>
              <w:top w:val="nil"/>
              <w:left w:val="nil"/>
              <w:bottom w:val="nil"/>
              <w:right w:val="nil"/>
            </w:tcBorders>
            <w:shd w:val="clear" w:color="auto" w:fill="auto"/>
            <w:noWrap/>
            <w:vAlign w:val="center"/>
          </w:tcPr>
          <w:p>
            <w:pPr>
              <w:ind w:firstLine="550" w:firstLineChars="250"/>
              <w:rPr>
                <w:rFonts w:hint="default" w:ascii="仿宋_GB2312" w:hAnsi="ˎ̥" w:eastAsia="仿宋_GB2312"/>
                <w:sz w:val="22"/>
                <w:szCs w:val="22"/>
                <w:lang w:val="en-US" w:eastAsia="zh-CN"/>
              </w:rPr>
            </w:pPr>
            <w:r>
              <w:rPr>
                <w:rFonts w:hint="eastAsia" w:ascii="仿宋_GB2312" w:hAnsi="ˎ̥" w:eastAsia="仿宋_GB2312"/>
                <w:sz w:val="22"/>
                <w:szCs w:val="22"/>
                <w:lang w:val="en-US" w:eastAsia="zh-CN"/>
              </w:rPr>
              <w:t>37.9</w:t>
            </w:r>
          </w:p>
        </w:tc>
      </w:tr>
      <w:tr>
        <w:tblPrEx>
          <w:tblCellMar>
            <w:top w:w="0" w:type="dxa"/>
            <w:left w:w="108" w:type="dxa"/>
            <w:bottom w:w="0" w:type="dxa"/>
            <w:right w:w="108" w:type="dxa"/>
          </w:tblCellMar>
        </w:tblPrEx>
        <w:trPr>
          <w:trHeight w:val="315" w:hRule="atLeast"/>
          <w:jc w:val="center"/>
        </w:trPr>
        <w:tc>
          <w:tcPr>
            <w:tcW w:w="3586" w:type="dxa"/>
            <w:tcBorders>
              <w:top w:val="nil"/>
              <w:left w:val="nil"/>
              <w:bottom w:val="single" w:color="auto" w:sz="12" w:space="0"/>
              <w:right w:val="nil"/>
            </w:tcBorders>
            <w:shd w:val="clear" w:color="auto" w:fill="auto"/>
            <w:noWrap/>
            <w:vAlign w:val="center"/>
          </w:tcPr>
          <w:p>
            <w:pPr>
              <w:ind w:firstLine="1210" w:firstLineChars="550"/>
              <w:jc w:val="left"/>
              <w:rPr>
                <w:rFonts w:ascii="仿宋_GB2312" w:hAnsi="ˎ̥" w:eastAsia="仿宋_GB2312"/>
                <w:sz w:val="22"/>
                <w:szCs w:val="22"/>
              </w:rPr>
            </w:pPr>
            <w:r>
              <w:rPr>
                <w:rFonts w:hint="eastAsia" w:ascii="仿宋_GB2312" w:hAnsi="ˎ̥" w:eastAsia="仿宋_GB2312"/>
                <w:sz w:val="22"/>
                <w:szCs w:val="22"/>
              </w:rPr>
              <w:t>60岁及以上</w:t>
            </w:r>
          </w:p>
        </w:tc>
        <w:tc>
          <w:tcPr>
            <w:tcW w:w="2024" w:type="dxa"/>
            <w:tcBorders>
              <w:top w:val="nil"/>
              <w:left w:val="single" w:color="auto" w:sz="4" w:space="0"/>
              <w:bottom w:val="single" w:color="auto" w:sz="12" w:space="0"/>
              <w:right w:val="single" w:color="auto" w:sz="4" w:space="0"/>
            </w:tcBorders>
            <w:shd w:val="clear" w:color="auto" w:fill="auto"/>
            <w:noWrap/>
            <w:vAlign w:val="center"/>
          </w:tcPr>
          <w:p>
            <w:pPr>
              <w:ind w:firstLine="550" w:firstLineChars="250"/>
              <w:jc w:val="center"/>
              <w:rPr>
                <w:rFonts w:ascii="仿宋_GB2312" w:hAnsi="ˎ̥" w:eastAsia="仿宋_GB2312"/>
                <w:sz w:val="22"/>
                <w:szCs w:val="22"/>
              </w:rPr>
            </w:pPr>
            <w:r>
              <w:rPr>
                <w:rFonts w:ascii="仿宋_GB2312" w:hAnsi="ˎ̥" w:eastAsia="仿宋_GB2312"/>
                <w:sz w:val="22"/>
                <w:szCs w:val="22"/>
              </w:rPr>
              <w:t>130252</w:t>
            </w:r>
          </w:p>
        </w:tc>
        <w:tc>
          <w:tcPr>
            <w:tcW w:w="1530" w:type="dxa"/>
            <w:tcBorders>
              <w:top w:val="nil"/>
              <w:left w:val="nil"/>
              <w:bottom w:val="single" w:color="auto" w:sz="12" w:space="0"/>
              <w:right w:val="nil"/>
            </w:tcBorders>
            <w:shd w:val="clear" w:color="auto" w:fill="auto"/>
            <w:noWrap/>
            <w:vAlign w:val="center"/>
          </w:tcPr>
          <w:p>
            <w:pPr>
              <w:ind w:firstLine="550" w:firstLineChars="250"/>
              <w:rPr>
                <w:rFonts w:hint="default" w:ascii="仿宋_GB2312" w:hAnsi="ˎ̥" w:eastAsia="仿宋_GB2312"/>
                <w:sz w:val="22"/>
                <w:szCs w:val="22"/>
                <w:lang w:val="en-US" w:eastAsia="zh-CN"/>
              </w:rPr>
            </w:pPr>
            <w:r>
              <w:rPr>
                <w:rFonts w:hint="eastAsia" w:ascii="仿宋_GB2312" w:hAnsi="ˎ̥" w:eastAsia="仿宋_GB2312"/>
                <w:sz w:val="22"/>
                <w:szCs w:val="22"/>
                <w:lang w:val="en-US" w:eastAsia="zh-CN"/>
              </w:rPr>
              <w:t>24.7</w:t>
            </w:r>
          </w:p>
        </w:tc>
      </w:tr>
    </w:tbl>
    <w:p>
      <w:pPr>
        <w:ind w:firstLine="680" w:firstLineChars="200"/>
        <w:rPr>
          <w:rFonts w:hint="eastAsia" w:ascii="仿宋_GB2312" w:hAnsi="ˎ̥" w:eastAsia="仿宋_GB2312"/>
          <w:sz w:val="34"/>
          <w:szCs w:val="34"/>
        </w:rPr>
      </w:pPr>
    </w:p>
    <w:p>
      <w:pPr>
        <w:ind w:firstLine="680" w:firstLineChars="200"/>
        <w:rPr>
          <w:rFonts w:ascii="仿宋_GB2312" w:hAnsi="ˎ̥" w:eastAsia="仿宋_GB2312"/>
          <w:sz w:val="34"/>
          <w:szCs w:val="34"/>
        </w:rPr>
      </w:pPr>
      <w:r>
        <w:rPr>
          <w:rFonts w:hint="eastAsia" w:ascii="仿宋_GB2312" w:hAnsi="ˎ̥" w:eastAsia="仿宋_GB2312"/>
          <w:sz w:val="34"/>
          <w:szCs w:val="34"/>
        </w:rPr>
        <w:t>城乡居民收入增加，生活水平继续提高。全年实现农村</w:t>
      </w:r>
      <w:r>
        <w:rPr>
          <w:rFonts w:hint="eastAsia" w:ascii="仿宋_GB2312" w:hAnsi="ˎ̥" w:eastAsia="仿宋_GB2312"/>
          <w:sz w:val="34"/>
          <w:szCs w:val="34"/>
          <w:lang w:val="en-US" w:eastAsia="zh-CN"/>
        </w:rPr>
        <w:t>常住</w:t>
      </w:r>
      <w:r>
        <w:rPr>
          <w:rFonts w:hint="eastAsia" w:ascii="仿宋_GB2312" w:hAnsi="ˎ̥" w:eastAsia="仿宋_GB2312"/>
          <w:sz w:val="34"/>
          <w:szCs w:val="34"/>
        </w:rPr>
        <w:t>居民</w:t>
      </w:r>
      <w:r>
        <w:rPr>
          <w:rFonts w:hint="eastAsia" w:ascii="仿宋_GB2312" w:hAnsi="ˎ̥" w:eastAsia="仿宋_GB2312"/>
          <w:sz w:val="34"/>
          <w:szCs w:val="34"/>
          <w:lang w:val="en-US" w:eastAsia="zh-CN"/>
        </w:rPr>
        <w:t>人均</w:t>
      </w:r>
      <w:r>
        <w:rPr>
          <w:rFonts w:hint="eastAsia" w:ascii="仿宋_GB2312" w:hAnsi="ˎ̥" w:eastAsia="仿宋_GB2312"/>
          <w:sz w:val="34"/>
          <w:szCs w:val="34"/>
        </w:rPr>
        <w:t>可支配收入1</w:t>
      </w:r>
      <w:r>
        <w:rPr>
          <w:rFonts w:hint="eastAsia" w:ascii="仿宋_GB2312" w:hAnsi="ˎ̥" w:eastAsia="仿宋_GB2312"/>
          <w:sz w:val="34"/>
          <w:szCs w:val="34"/>
          <w:lang w:val="en-US" w:eastAsia="zh-CN"/>
        </w:rPr>
        <w:t>8377</w:t>
      </w:r>
      <w:r>
        <w:rPr>
          <w:rFonts w:hint="eastAsia" w:ascii="仿宋_GB2312" w:hAnsi="ˎ̥" w:eastAsia="仿宋_GB2312"/>
          <w:sz w:val="34"/>
          <w:szCs w:val="34"/>
        </w:rPr>
        <w:t>元，同比增长</w:t>
      </w:r>
      <w:r>
        <w:rPr>
          <w:rFonts w:hint="eastAsia" w:ascii="仿宋_GB2312" w:hAnsi="ˎ̥" w:eastAsia="仿宋_GB2312"/>
          <w:sz w:val="34"/>
          <w:szCs w:val="34"/>
          <w:lang w:val="en-US" w:eastAsia="zh-CN"/>
        </w:rPr>
        <w:t>7.6</w:t>
      </w:r>
      <w:r>
        <w:rPr>
          <w:rFonts w:hint="eastAsia" w:ascii="仿宋_GB2312" w:hAnsi="ˎ̥" w:eastAsia="仿宋_GB2312"/>
          <w:sz w:val="34"/>
          <w:szCs w:val="34"/>
        </w:rPr>
        <w:t>%。</w:t>
      </w:r>
    </w:p>
    <w:p>
      <w:pPr>
        <w:ind w:firstLine="680" w:firstLineChars="200"/>
        <w:rPr>
          <w:rFonts w:ascii="仿宋_GB2312" w:hAnsi="ˎ̥" w:eastAsia="仿宋_GB2312"/>
          <w:color w:val="FF0000"/>
          <w:sz w:val="34"/>
          <w:szCs w:val="34"/>
        </w:rPr>
      </w:pPr>
      <w:r>
        <w:rPr>
          <w:rFonts w:hint="eastAsia" w:ascii="仿宋_GB2312" w:hAnsi="ˎ̥" w:eastAsia="仿宋_GB2312"/>
          <w:color w:val="000000" w:themeColor="text1"/>
          <w:sz w:val="34"/>
          <w:szCs w:val="34"/>
          <w:highlight w:val="none"/>
          <w14:textFill>
            <w14:solidFill>
              <w14:schemeClr w14:val="tx1"/>
            </w14:solidFill>
          </w14:textFill>
        </w:rPr>
        <w:t>年末参加城镇职工基本养老保险人数</w:t>
      </w:r>
      <w:r>
        <w:rPr>
          <w:rFonts w:ascii="仿宋_GB2312" w:hAnsi="ˎ̥" w:eastAsia="仿宋_GB2312"/>
          <w:color w:val="000000" w:themeColor="text1"/>
          <w:sz w:val="34"/>
          <w:szCs w:val="34"/>
          <w:highlight w:val="none"/>
          <w14:textFill>
            <w14:solidFill>
              <w14:schemeClr w14:val="tx1"/>
            </w14:solidFill>
          </w14:textFill>
        </w:rPr>
        <w:t>63342</w:t>
      </w:r>
      <w:r>
        <w:rPr>
          <w:rFonts w:hint="eastAsia" w:ascii="仿宋_GB2312" w:hAnsi="ˎ̥" w:eastAsia="仿宋_GB2312"/>
          <w:color w:val="000000" w:themeColor="text1"/>
          <w:sz w:val="34"/>
          <w:szCs w:val="34"/>
          <w:highlight w:val="none"/>
          <w14:textFill>
            <w14:solidFill>
              <w14:schemeClr w14:val="tx1"/>
            </w14:solidFill>
          </w14:textFill>
        </w:rPr>
        <w:t>人，参加城乡居民基本养老保险人数2</w:t>
      </w:r>
      <w:r>
        <w:rPr>
          <w:rFonts w:ascii="仿宋_GB2312" w:hAnsi="ˎ̥" w:eastAsia="仿宋_GB2312"/>
          <w:color w:val="000000" w:themeColor="text1"/>
          <w:sz w:val="34"/>
          <w:szCs w:val="34"/>
          <w:highlight w:val="none"/>
          <w14:textFill>
            <w14:solidFill>
              <w14:schemeClr w14:val="tx1"/>
            </w14:solidFill>
          </w14:textFill>
        </w:rPr>
        <w:t>82851</w:t>
      </w:r>
      <w:r>
        <w:rPr>
          <w:rFonts w:hint="eastAsia" w:ascii="仿宋_GB2312" w:hAnsi="ˎ̥" w:eastAsia="仿宋_GB2312"/>
          <w:color w:val="000000" w:themeColor="text1"/>
          <w:sz w:val="34"/>
          <w:szCs w:val="34"/>
          <w:highlight w:val="none"/>
          <w14:textFill>
            <w14:solidFill>
              <w14:schemeClr w14:val="tx1"/>
            </w14:solidFill>
          </w14:textFill>
        </w:rPr>
        <w:t>人。</w:t>
      </w:r>
      <w:r>
        <w:rPr>
          <w:rFonts w:hint="eastAsia" w:ascii="仿宋_GB2312" w:hAnsi="ˎ̥" w:eastAsia="仿宋_GB2312"/>
          <w:color w:val="000000" w:themeColor="text1"/>
          <w:sz w:val="34"/>
          <w:szCs w:val="34"/>
          <w14:textFill>
            <w14:solidFill>
              <w14:schemeClr w14:val="tx1"/>
            </w14:solidFill>
          </w14:textFill>
        </w:rPr>
        <w:t>年末参加基本医疗保险人数4</w:t>
      </w:r>
      <w:r>
        <w:rPr>
          <w:rFonts w:ascii="仿宋_GB2312" w:hAnsi="ˎ̥" w:eastAsia="仿宋_GB2312"/>
          <w:color w:val="000000" w:themeColor="text1"/>
          <w:sz w:val="34"/>
          <w:szCs w:val="34"/>
          <w14:textFill>
            <w14:solidFill>
              <w14:schemeClr w14:val="tx1"/>
            </w14:solidFill>
          </w14:textFill>
        </w:rPr>
        <w:t>00300</w:t>
      </w:r>
      <w:r>
        <w:rPr>
          <w:rFonts w:hint="eastAsia" w:ascii="仿宋_GB2312" w:hAnsi="ˎ̥" w:eastAsia="仿宋_GB2312"/>
          <w:color w:val="000000" w:themeColor="text1"/>
          <w:sz w:val="34"/>
          <w:szCs w:val="34"/>
          <w14:textFill>
            <w14:solidFill>
              <w14:schemeClr w14:val="tx1"/>
            </w14:solidFill>
          </w14:textFill>
        </w:rPr>
        <w:t>人，其中参加城镇职工基本医疗保险人数5</w:t>
      </w:r>
      <w:r>
        <w:rPr>
          <w:rFonts w:ascii="仿宋_GB2312" w:hAnsi="ˎ̥" w:eastAsia="仿宋_GB2312"/>
          <w:color w:val="000000" w:themeColor="text1"/>
          <w:sz w:val="34"/>
          <w:szCs w:val="34"/>
          <w14:textFill>
            <w14:solidFill>
              <w14:schemeClr w14:val="tx1"/>
            </w14:solidFill>
          </w14:textFill>
        </w:rPr>
        <w:t>8100</w:t>
      </w:r>
      <w:r>
        <w:rPr>
          <w:rFonts w:hint="eastAsia" w:ascii="仿宋_GB2312" w:hAnsi="ˎ̥" w:eastAsia="仿宋_GB2312"/>
          <w:color w:val="000000" w:themeColor="text1"/>
          <w:sz w:val="34"/>
          <w:szCs w:val="34"/>
          <w14:textFill>
            <w14:solidFill>
              <w14:schemeClr w14:val="tx1"/>
            </w14:solidFill>
          </w14:textFill>
        </w:rPr>
        <w:t>人，参加城乡居民基本医疗保险人数3</w:t>
      </w:r>
      <w:r>
        <w:rPr>
          <w:rFonts w:ascii="仿宋_GB2312" w:hAnsi="ˎ̥" w:eastAsia="仿宋_GB2312"/>
          <w:color w:val="000000" w:themeColor="text1"/>
          <w:sz w:val="34"/>
          <w:szCs w:val="34"/>
          <w14:textFill>
            <w14:solidFill>
              <w14:schemeClr w14:val="tx1"/>
            </w14:solidFill>
          </w14:textFill>
        </w:rPr>
        <w:t>42200</w:t>
      </w:r>
      <w:r>
        <w:rPr>
          <w:rFonts w:hint="eastAsia" w:ascii="仿宋_GB2312" w:hAnsi="ˎ̥" w:eastAsia="仿宋_GB2312"/>
          <w:color w:val="000000" w:themeColor="text1"/>
          <w:sz w:val="34"/>
          <w:szCs w:val="34"/>
          <w14:textFill>
            <w14:solidFill>
              <w14:schemeClr w14:val="tx1"/>
            </w14:solidFill>
          </w14:textFill>
        </w:rPr>
        <w:t>人。全县城镇303人和农村</w:t>
      </w:r>
      <w:r>
        <w:rPr>
          <w:rFonts w:ascii="仿宋_GB2312" w:hAnsi="ˎ̥" w:eastAsia="仿宋_GB2312"/>
          <w:color w:val="000000" w:themeColor="text1"/>
          <w:sz w:val="34"/>
          <w:szCs w:val="34"/>
          <w14:textFill>
            <w14:solidFill>
              <w14:schemeClr w14:val="tx1"/>
            </w14:solidFill>
          </w14:textFill>
        </w:rPr>
        <w:t>20098</w:t>
      </w:r>
      <w:r>
        <w:rPr>
          <w:rFonts w:hint="eastAsia" w:ascii="仿宋_GB2312" w:hAnsi="ˎ̥" w:eastAsia="仿宋_GB2312"/>
          <w:color w:val="000000" w:themeColor="text1"/>
          <w:sz w:val="34"/>
          <w:szCs w:val="34"/>
          <w14:textFill>
            <w14:solidFill>
              <w14:schemeClr w14:val="tx1"/>
            </w14:solidFill>
          </w14:textFill>
        </w:rPr>
        <w:t>人得到政府最低生活保障。</w:t>
      </w:r>
    </w:p>
    <w:p>
      <w:pPr>
        <w:ind w:firstLine="683" w:firstLineChars="200"/>
        <w:rPr>
          <w:rFonts w:ascii="仿宋_GB2312" w:hAnsi="ˎ̥" w:eastAsia="仿宋_GB2312"/>
          <w:b/>
          <w:bCs/>
          <w:sz w:val="34"/>
          <w:szCs w:val="34"/>
        </w:rPr>
      </w:pPr>
      <w:r>
        <w:rPr>
          <w:rFonts w:hint="eastAsia" w:ascii="仿宋_GB2312" w:hAnsi="ˎ̥" w:eastAsia="仿宋_GB2312"/>
          <w:b/>
          <w:bCs/>
          <w:sz w:val="34"/>
          <w:szCs w:val="34"/>
        </w:rPr>
        <w:t>十二、公用事业、环境保护</w:t>
      </w:r>
    </w:p>
    <w:p>
      <w:pPr>
        <w:ind w:firstLine="680" w:firstLineChars="200"/>
        <w:rPr>
          <w:rFonts w:ascii="仿宋_GB2312" w:hAnsi="ˎ̥" w:eastAsia="仿宋_GB2312"/>
          <w:sz w:val="34"/>
          <w:szCs w:val="34"/>
        </w:rPr>
      </w:pPr>
      <w:r>
        <w:rPr>
          <w:rFonts w:hint="eastAsia" w:ascii="仿宋_GB2312" w:hAnsi="ˎ̥" w:eastAsia="仿宋_GB2312"/>
          <w:sz w:val="34"/>
          <w:szCs w:val="34"/>
        </w:rPr>
        <w:t>随着县城建设力度的深入推进，县城建成区规模不断扩增，县城城区内的基础设施已日益完善；截至目前，县城已建成市政道路24条</w:t>
      </w:r>
      <w:r>
        <w:rPr>
          <w:rFonts w:hint="eastAsia" w:ascii="仿宋_GB2312" w:hAnsi="ˎ̥" w:eastAsia="仿宋_GB2312"/>
          <w:sz w:val="34"/>
          <w:szCs w:val="34"/>
          <w:lang w:eastAsia="zh-CN"/>
        </w:rPr>
        <w:t>，</w:t>
      </w:r>
      <w:r>
        <w:rPr>
          <w:rFonts w:hint="eastAsia" w:ascii="仿宋_GB2312" w:hAnsi="ˎ̥" w:eastAsia="仿宋_GB2312"/>
          <w:sz w:val="34"/>
          <w:szCs w:val="34"/>
        </w:rPr>
        <w:t>长度4</w:t>
      </w:r>
      <w:r>
        <w:rPr>
          <w:rFonts w:hint="eastAsia" w:ascii="仿宋_GB2312" w:hAnsi="ˎ̥" w:eastAsia="仿宋_GB2312"/>
          <w:sz w:val="34"/>
          <w:szCs w:val="34"/>
          <w:lang w:val="en-US" w:eastAsia="zh-CN"/>
        </w:rPr>
        <w:t>1</w:t>
      </w:r>
      <w:r>
        <w:rPr>
          <w:rFonts w:hint="eastAsia" w:ascii="仿宋_GB2312" w:hAnsi="ˎ̥" w:eastAsia="仿宋_GB2312"/>
          <w:sz w:val="34"/>
          <w:szCs w:val="34"/>
        </w:rPr>
        <w:t>公里</w:t>
      </w:r>
      <w:r>
        <w:rPr>
          <w:rFonts w:hint="eastAsia" w:ascii="仿宋_GB2312" w:hAnsi="ˎ̥" w:eastAsia="仿宋_GB2312"/>
          <w:sz w:val="34"/>
          <w:szCs w:val="34"/>
          <w:lang w:eastAsia="zh-CN"/>
        </w:rPr>
        <w:t>，</w:t>
      </w:r>
      <w:r>
        <w:rPr>
          <w:rFonts w:hint="eastAsia" w:ascii="仿宋_GB2312" w:hAnsi="ˎ̥" w:eastAsia="仿宋_GB2312"/>
          <w:sz w:val="34"/>
          <w:szCs w:val="34"/>
        </w:rPr>
        <w:t>道路面积88.7万平方米，桥梁1</w:t>
      </w:r>
      <w:r>
        <w:rPr>
          <w:rFonts w:ascii="仿宋_GB2312" w:hAnsi="ˎ̥" w:eastAsia="仿宋_GB2312"/>
          <w:sz w:val="34"/>
          <w:szCs w:val="34"/>
        </w:rPr>
        <w:t>0</w:t>
      </w:r>
      <w:r>
        <w:rPr>
          <w:rFonts w:hint="eastAsia" w:ascii="仿宋_GB2312" w:hAnsi="ˎ̥" w:eastAsia="仿宋_GB2312"/>
          <w:sz w:val="34"/>
          <w:szCs w:val="34"/>
        </w:rPr>
        <w:t>座，路灯1109盏，绿化68万平方米，污水管道35.</w:t>
      </w:r>
      <w:r>
        <w:rPr>
          <w:rFonts w:hint="eastAsia" w:ascii="仿宋_GB2312" w:hAnsi="ˎ̥" w:eastAsia="仿宋_GB2312"/>
          <w:sz w:val="34"/>
          <w:szCs w:val="34"/>
          <w:lang w:val="en-US" w:eastAsia="zh-CN"/>
        </w:rPr>
        <w:t>5</w:t>
      </w:r>
      <w:r>
        <w:rPr>
          <w:rFonts w:hint="eastAsia" w:ascii="仿宋_GB2312" w:hAnsi="ˎ̥" w:eastAsia="仿宋_GB2312"/>
          <w:sz w:val="34"/>
          <w:szCs w:val="34"/>
        </w:rPr>
        <w:t>公里</w:t>
      </w:r>
      <w:r>
        <w:rPr>
          <w:rFonts w:hint="eastAsia" w:ascii="仿宋_GB2312" w:hAnsi="ˎ̥" w:eastAsia="仿宋_GB2312"/>
          <w:sz w:val="34"/>
          <w:szCs w:val="34"/>
          <w:lang w:eastAsia="zh-CN"/>
        </w:rPr>
        <w:t>，</w:t>
      </w:r>
      <w:r>
        <w:rPr>
          <w:rFonts w:hint="eastAsia" w:ascii="仿宋_GB2312" w:hAnsi="ˎ̥" w:eastAsia="仿宋_GB2312"/>
          <w:sz w:val="34"/>
          <w:szCs w:val="34"/>
        </w:rPr>
        <w:t>雨水管道</w:t>
      </w:r>
      <w:r>
        <w:rPr>
          <w:rFonts w:hint="eastAsia" w:ascii="仿宋_GB2312" w:hAnsi="ˎ̥" w:eastAsia="仿宋_GB2312"/>
          <w:sz w:val="34"/>
          <w:szCs w:val="34"/>
          <w:lang w:val="en-US" w:eastAsia="zh-CN"/>
        </w:rPr>
        <w:t>40</w:t>
      </w:r>
      <w:r>
        <w:rPr>
          <w:rFonts w:hint="eastAsia" w:ascii="仿宋_GB2312" w:hAnsi="ˎ̥" w:eastAsia="仿宋_GB2312"/>
          <w:sz w:val="34"/>
          <w:szCs w:val="34"/>
        </w:rPr>
        <w:t>公里</w:t>
      </w:r>
      <w:r>
        <w:rPr>
          <w:rFonts w:hint="eastAsia" w:ascii="仿宋_GB2312" w:hAnsi="ˎ̥" w:eastAsia="仿宋_GB2312"/>
          <w:sz w:val="34"/>
          <w:szCs w:val="34"/>
          <w:lang w:eastAsia="zh-CN"/>
        </w:rPr>
        <w:t>，</w:t>
      </w:r>
      <w:r>
        <w:rPr>
          <w:rFonts w:hint="eastAsia" w:ascii="仿宋_GB2312" w:hAnsi="ˎ̥" w:eastAsia="仿宋_GB2312"/>
          <w:sz w:val="34"/>
          <w:szCs w:val="34"/>
        </w:rPr>
        <w:t>给水管道25公里</w:t>
      </w:r>
      <w:r>
        <w:rPr>
          <w:rFonts w:hint="eastAsia" w:ascii="仿宋_GB2312" w:hAnsi="ˎ̥" w:eastAsia="仿宋_GB2312"/>
          <w:sz w:val="34"/>
          <w:szCs w:val="34"/>
          <w:lang w:eastAsia="zh-CN"/>
        </w:rPr>
        <w:t>，</w:t>
      </w:r>
      <w:r>
        <w:rPr>
          <w:rFonts w:hint="eastAsia" w:ascii="仿宋_GB2312" w:hAnsi="ˎ̥" w:eastAsia="仿宋_GB2312"/>
          <w:sz w:val="34"/>
          <w:szCs w:val="34"/>
        </w:rPr>
        <w:t>燃气中压管道11公里</w:t>
      </w:r>
      <w:r>
        <w:rPr>
          <w:rFonts w:hint="eastAsia" w:ascii="仿宋_GB2312" w:hAnsi="ˎ̥" w:eastAsia="仿宋_GB2312"/>
          <w:sz w:val="34"/>
          <w:szCs w:val="34"/>
          <w:lang w:eastAsia="zh-CN"/>
        </w:rPr>
        <w:t>，</w:t>
      </w:r>
      <w:r>
        <w:rPr>
          <w:rFonts w:hint="eastAsia" w:ascii="仿宋_GB2312" w:hAnsi="ˎ̥" w:eastAsia="仿宋_GB2312"/>
          <w:sz w:val="34"/>
          <w:szCs w:val="34"/>
        </w:rPr>
        <w:t>电力线路20公里。综合管廊完成启城路干线管廊2.5公里，淑城路1缆线管廊北段约0.8公里。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全面开展造林绿化工作，全县共完成造林绿化总面积11.93万亩。完成对森林有害生物防治任务14.88万亩，防治效果显著。</w:t>
      </w:r>
    </w:p>
    <w:p>
      <w:pPr>
        <w:keepNext w:val="0"/>
        <w:keepLines w:val="0"/>
        <w:pageBreakBefore w:val="0"/>
        <w:widowControl w:val="0"/>
        <w:kinsoku/>
        <w:wordWrap/>
        <w:overflowPunct/>
        <w:topLinePunct w:val="0"/>
        <w:autoSpaceDE/>
        <w:autoSpaceDN/>
        <w:bidi w:val="0"/>
        <w:adjustRightInd/>
        <w:snapToGrid/>
        <w:ind w:firstLine="680" w:firstLineChars="200"/>
        <w:textAlignment w:val="auto"/>
        <w:rPr>
          <w:rFonts w:ascii="仿宋_GB2312" w:hAnsi="ˎ̥" w:eastAsia="仿宋_GB2312"/>
          <w:sz w:val="34"/>
          <w:szCs w:val="34"/>
        </w:rPr>
      </w:pPr>
      <w:r>
        <w:rPr>
          <w:rFonts w:hint="eastAsia" w:ascii="仿宋_GB2312" w:hAnsi="ˎ̥" w:eastAsia="仿宋_GB2312"/>
          <w:sz w:val="34"/>
          <w:szCs w:val="34"/>
        </w:rPr>
        <w:t xml:space="preserve">全年城市生活垃圾无害化处理率达到100%。城市污水厂日处理能力0.25万吨，城市污水处理率100%。 </w:t>
      </w:r>
      <w:r>
        <w:rPr>
          <w:rFonts w:hint="eastAsia" w:ascii="仿宋_GB2312" w:hAnsi="ˎ̥" w:eastAsia="仿宋_GB2312"/>
          <w:sz w:val="34"/>
          <w:szCs w:val="34"/>
        </w:rPr>
        <w:tab/>
      </w:r>
    </w:p>
    <w:p>
      <w:pPr>
        <w:rPr>
          <w:rFonts w:hint="eastAsia" w:ascii="仿宋_GB2312" w:hAnsi="ˎ̥" w:eastAsia="仿宋_GB2312"/>
          <w:sz w:val="28"/>
          <w:szCs w:val="28"/>
        </w:rPr>
      </w:pPr>
      <w:r>
        <w:rPr>
          <w:rFonts w:hint="eastAsia" w:ascii="仿宋_GB2312" w:hAnsi="ˎ̥" w:eastAsia="仿宋_GB2312"/>
          <w:sz w:val="28"/>
          <w:szCs w:val="28"/>
        </w:rPr>
        <w:t>注：</w:t>
      </w:r>
    </w:p>
    <w:p>
      <w:pPr>
        <w:rPr>
          <w:rFonts w:ascii="仿宋_GB2312" w:hAnsi="ˎ̥" w:eastAsia="仿宋_GB2312"/>
          <w:sz w:val="28"/>
          <w:szCs w:val="28"/>
        </w:rPr>
      </w:pPr>
      <w:r>
        <w:rPr>
          <w:rFonts w:hint="eastAsia" w:ascii="仿宋_GB2312" w:hAnsi="ˎ̥" w:eastAsia="仿宋_GB2312"/>
          <w:sz w:val="28"/>
          <w:szCs w:val="28"/>
        </w:rPr>
        <w:t>1.本公报中数据均为初步统计数，部分指标数据在年报时可能还有调整，部分数据四舍五入的原因，存在着与分项合计不等的情况。</w:t>
      </w:r>
    </w:p>
    <w:p>
      <w:pPr>
        <w:rPr>
          <w:rFonts w:ascii="仿宋_GB2312" w:hAnsi="ˎ̥" w:eastAsia="仿宋_GB2312"/>
          <w:sz w:val="28"/>
          <w:szCs w:val="28"/>
        </w:rPr>
      </w:pPr>
      <w:r>
        <w:rPr>
          <w:rFonts w:hint="eastAsia" w:ascii="仿宋_GB2312" w:hAnsi="ˎ̥" w:eastAsia="仿宋_GB2312"/>
          <w:sz w:val="28"/>
          <w:szCs w:val="28"/>
        </w:rPr>
        <w:t>2.公报中地区生产总值（GDP）、各产业增加值、绝对数按现价计算，增长速度按可比价格计算。</w:t>
      </w:r>
    </w:p>
    <w:p>
      <w:pPr>
        <w:rPr>
          <w:rFonts w:hint="eastAsia" w:ascii="仿宋_GB2312" w:hAnsi="ˎ̥" w:eastAsia="仿宋_GB2312"/>
          <w:sz w:val="28"/>
          <w:szCs w:val="28"/>
          <w:lang w:eastAsia="zh-CN"/>
        </w:rPr>
      </w:pPr>
      <w:r>
        <w:rPr>
          <w:rFonts w:hint="eastAsia" w:ascii="仿宋_GB2312" w:hAnsi="ˎ̥" w:eastAsia="仿宋_GB2312"/>
          <w:sz w:val="28"/>
          <w:szCs w:val="28"/>
        </w:rPr>
        <w:t>3.规模以上工业企业为年主营业务收入2000万元及以上的工业法人单位</w:t>
      </w:r>
      <w:r>
        <w:rPr>
          <w:rFonts w:hint="eastAsia" w:ascii="仿宋_GB2312" w:hAnsi="ˎ̥" w:eastAsia="仿宋_GB2312"/>
          <w:sz w:val="28"/>
          <w:szCs w:val="28"/>
          <w:lang w:eastAsia="zh-CN"/>
        </w:rPr>
        <w:t>。</w:t>
      </w:r>
    </w:p>
    <w:p>
      <w:pPr>
        <w:rPr>
          <w:rFonts w:hint="eastAsia" w:ascii="仿宋_GB2312" w:hAnsi="ˎ̥" w:eastAsia="仿宋_GB2312"/>
          <w:sz w:val="28"/>
          <w:szCs w:val="28"/>
        </w:rPr>
      </w:pPr>
      <w:r>
        <w:rPr>
          <w:rFonts w:hint="eastAsia" w:ascii="仿宋_GB2312" w:hAnsi="ˎ̥" w:eastAsia="仿宋_GB2312"/>
          <w:sz w:val="28"/>
          <w:szCs w:val="28"/>
        </w:rPr>
        <w:t>4.限额以上批发和零售业为年主营业务收入2000万元及以上的批发业、年主营业务收入500万元及以上的零售业法人单位；限额以上住宿和餐饮业为年主营业务收入200万元及以上的住宿和餐饮位；</w:t>
      </w:r>
    </w:p>
    <w:p>
      <w:pPr>
        <w:rPr>
          <w:rFonts w:hint="eastAsia" w:ascii="仿宋_GB2312" w:hAnsi="ˎ̥" w:eastAsia="仿宋_GB2312"/>
          <w:sz w:val="28"/>
          <w:szCs w:val="28"/>
        </w:rPr>
      </w:pPr>
      <w:r>
        <w:rPr>
          <w:rFonts w:hint="eastAsia" w:ascii="仿宋_GB2312" w:hAnsi="ˎ̥" w:eastAsia="仿宋_GB2312"/>
          <w:sz w:val="28"/>
          <w:szCs w:val="28"/>
          <w:lang w:val="en-US" w:eastAsia="zh-CN"/>
        </w:rPr>
        <w:t>5.</w:t>
      </w:r>
      <w:r>
        <w:rPr>
          <w:rFonts w:hint="eastAsia" w:ascii="仿宋_GB2312" w:hAnsi="ˎ̥" w:eastAsia="仿宋_GB2312"/>
          <w:sz w:val="28"/>
          <w:szCs w:val="28"/>
        </w:rPr>
        <w:t>固定资产投资（不含农户）：统计范围为各种登记注册类型的法人单位以及个体经营进行的计划总投资500万元及以上的投资项目，不包括农户投资、军工和国防项目。</w:t>
      </w:r>
    </w:p>
    <w:p>
      <w:pPr>
        <w:rPr>
          <w:rFonts w:hint="eastAsia" w:ascii="仿宋_GB2312" w:hAnsi="ˎ̥" w:eastAsia="仿宋_GB2312"/>
          <w:sz w:val="28"/>
          <w:szCs w:val="28"/>
        </w:rPr>
      </w:pPr>
      <w:r>
        <w:rPr>
          <w:rFonts w:hint="eastAsia" w:ascii="仿宋_GB2312" w:hAnsi="ˎ̥" w:eastAsia="仿宋_GB2312"/>
          <w:sz w:val="28"/>
          <w:szCs w:val="28"/>
          <w:lang w:val="en-US" w:eastAsia="zh-CN"/>
        </w:rPr>
        <w:t>6.</w:t>
      </w:r>
      <w:r>
        <w:rPr>
          <w:rFonts w:hint="eastAsia" w:ascii="仿宋_GB2312" w:hAnsi="ˎ̥" w:eastAsia="仿宋_GB2312"/>
          <w:sz w:val="28"/>
          <w:szCs w:val="28"/>
        </w:rPr>
        <w:t>资料来源：本公报中粮食产量</w:t>
      </w:r>
      <w:r>
        <w:rPr>
          <w:rFonts w:hint="eastAsia" w:ascii="仿宋_GB2312" w:hAnsi="ˎ̥" w:eastAsia="仿宋_GB2312"/>
          <w:sz w:val="28"/>
          <w:szCs w:val="28"/>
          <w:lang w:val="en-US" w:eastAsia="zh-CN"/>
        </w:rPr>
        <w:t>、播种面积、</w:t>
      </w:r>
      <w:r>
        <w:rPr>
          <w:rFonts w:hint="eastAsia" w:ascii="仿宋_GB2312" w:hAnsi="ˎ̥" w:eastAsia="仿宋_GB2312"/>
          <w:sz w:val="28"/>
          <w:szCs w:val="28"/>
        </w:rPr>
        <w:t>居民</w:t>
      </w:r>
      <w:r>
        <w:rPr>
          <w:rFonts w:hint="eastAsia" w:ascii="仿宋_GB2312" w:hAnsi="ˎ̥" w:eastAsia="仿宋_GB2312"/>
          <w:sz w:val="28"/>
          <w:szCs w:val="28"/>
          <w:lang w:val="en-US" w:eastAsia="zh-CN"/>
        </w:rPr>
        <w:t>收支出</w:t>
      </w:r>
      <w:r>
        <w:rPr>
          <w:rFonts w:hint="eastAsia" w:ascii="仿宋_GB2312" w:hAnsi="ˎ̥" w:eastAsia="仿宋_GB2312"/>
          <w:sz w:val="28"/>
          <w:szCs w:val="28"/>
        </w:rPr>
        <w:t>和猪、牛、羊、禽等数据来自国家统计局朝阳调查队</w:t>
      </w:r>
      <w:r>
        <w:rPr>
          <w:rFonts w:hint="eastAsia" w:ascii="仿宋_GB2312" w:hAnsi="ˎ̥" w:eastAsia="仿宋_GB2312"/>
          <w:sz w:val="28"/>
          <w:szCs w:val="28"/>
          <w:lang w:val="en-US" w:eastAsia="zh-CN"/>
        </w:rPr>
        <w:t>;</w:t>
      </w:r>
      <w:r>
        <w:rPr>
          <w:rFonts w:hint="eastAsia" w:ascii="仿宋_GB2312" w:hAnsi="ˎ̥" w:eastAsia="仿宋_GB2312"/>
          <w:sz w:val="28"/>
          <w:szCs w:val="28"/>
        </w:rPr>
        <w:t>农业机械总动力等数据来自农业农村局；对外经济等数据来自工信局；交通运输等数据来自交通局；财政数据来自财政局；金融数据来自</w:t>
      </w:r>
      <w:r>
        <w:rPr>
          <w:rFonts w:hint="eastAsia" w:ascii="仿宋_GB2312" w:hAnsi="ˎ̥" w:eastAsia="仿宋_GB2312"/>
          <w:sz w:val="28"/>
          <w:szCs w:val="28"/>
          <w:lang w:val="en-US" w:eastAsia="zh-CN"/>
        </w:rPr>
        <w:t>朝阳县金融办</w:t>
      </w:r>
      <w:r>
        <w:rPr>
          <w:rFonts w:hint="eastAsia" w:ascii="仿宋_GB2312" w:hAnsi="ˎ̥" w:eastAsia="仿宋_GB2312"/>
          <w:sz w:val="28"/>
          <w:szCs w:val="28"/>
        </w:rPr>
        <w:t>；教育数据来自教育局；卫生数据来自卫生健康局；城乡最低生活保障数据来自民政局；社会保险、</w:t>
      </w:r>
      <w:r>
        <w:rPr>
          <w:rFonts w:hint="eastAsia" w:ascii="仿宋_GB2312" w:hAnsi="ˎ̥" w:eastAsia="仿宋_GB2312"/>
          <w:sz w:val="28"/>
          <w:szCs w:val="28"/>
          <w:lang w:val="en-US" w:eastAsia="zh-CN"/>
        </w:rPr>
        <w:t>医疗保险</w:t>
      </w:r>
      <w:r>
        <w:rPr>
          <w:rFonts w:hint="eastAsia" w:ascii="仿宋_GB2312" w:hAnsi="ˎ̥" w:eastAsia="仿宋_GB2312"/>
          <w:sz w:val="28"/>
          <w:szCs w:val="28"/>
        </w:rPr>
        <w:t>等数据来自人力资源和社会保障局；人口数据来自公安局</w:t>
      </w:r>
      <w:r>
        <w:rPr>
          <w:rFonts w:hint="eastAsia" w:ascii="仿宋_GB2312" w:hAnsi="ˎ̥" w:eastAsia="仿宋_GB2312"/>
          <w:sz w:val="28"/>
          <w:szCs w:val="28"/>
          <w:lang w:val="en-US" w:eastAsia="zh-CN"/>
        </w:rPr>
        <w:t>;公用事业数据来自住建局;</w:t>
      </w:r>
      <w:r>
        <w:rPr>
          <w:rFonts w:hint="eastAsia" w:ascii="仿宋_GB2312" w:hAnsi="ˎ̥" w:eastAsia="仿宋_GB2312"/>
          <w:sz w:val="28"/>
          <w:szCs w:val="28"/>
        </w:rPr>
        <w:t>城市污水率、生活垃圾处理率等数据来自综合执法局。</w:t>
      </w:r>
    </w:p>
    <w:sectPr>
      <w:headerReference r:id="rId3" w:type="default"/>
      <w:footerReference r:id="rId4" w:type="default"/>
      <w:footerReference r:id="rId5" w:type="even"/>
      <w:pgSz w:w="11906" w:h="16838"/>
      <w:pgMar w:top="1701" w:right="1417" w:bottom="1701"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1"/>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separate"/>
    </w:r>
    <w:r>
      <w:rPr>
        <w:rStyle w:val="8"/>
      </w:rPr>
      <w:t>13</w:t>
    </w:r>
    <w:r>
      <w:fldChar w:fldCharType="end"/>
    </w:r>
  </w:p>
  <w:p>
    <w:pPr>
      <w:pStyle w:val="4"/>
      <w:ind w:firstLine="360"/>
    </w:pPr>
  </w:p>
  <w:p/>
  <w:p/>
  <w:p/>
  <w:p/>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8"/>
      </w:rPr>
    </w:pPr>
    <w:r>
      <w:fldChar w:fldCharType="begin"/>
    </w:r>
    <w:r>
      <w:rPr>
        <w:rStyle w:val="8"/>
      </w:rPr>
      <w:instrText xml:space="preserve">PAGE  </w:instrText>
    </w:r>
    <w:r>
      <w:fldChar w:fldCharType="end"/>
    </w:r>
  </w:p>
  <w:p>
    <w:pPr>
      <w:pStyle w:val="4"/>
      <w:ind w:firstLine="360"/>
    </w:pPr>
  </w:p>
  <w:p/>
  <w:p/>
  <w:p/>
  <w:p/>
  <w:p/>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ZDdiYmVjMGQyZjFiMzE4NmM0MDYzOTNhY2IxZDUifQ=="/>
  </w:docVars>
  <w:rsids>
    <w:rsidRoot w:val="2EC35F93"/>
    <w:rsid w:val="00053EEB"/>
    <w:rsid w:val="00094E86"/>
    <w:rsid w:val="001218E5"/>
    <w:rsid w:val="00132B2D"/>
    <w:rsid w:val="001812BB"/>
    <w:rsid w:val="001C3A42"/>
    <w:rsid w:val="001D4DF2"/>
    <w:rsid w:val="00235B9D"/>
    <w:rsid w:val="002D19BE"/>
    <w:rsid w:val="00315A07"/>
    <w:rsid w:val="00332586"/>
    <w:rsid w:val="003764FA"/>
    <w:rsid w:val="00425700"/>
    <w:rsid w:val="004303F8"/>
    <w:rsid w:val="004773CE"/>
    <w:rsid w:val="004979D1"/>
    <w:rsid w:val="0055280A"/>
    <w:rsid w:val="005A40DD"/>
    <w:rsid w:val="005E569D"/>
    <w:rsid w:val="00617E4C"/>
    <w:rsid w:val="00731EB3"/>
    <w:rsid w:val="00733BC6"/>
    <w:rsid w:val="00743059"/>
    <w:rsid w:val="007640A8"/>
    <w:rsid w:val="00804E97"/>
    <w:rsid w:val="00861443"/>
    <w:rsid w:val="008626D8"/>
    <w:rsid w:val="008E41BF"/>
    <w:rsid w:val="00947824"/>
    <w:rsid w:val="009E6432"/>
    <w:rsid w:val="00A174DD"/>
    <w:rsid w:val="00AB772E"/>
    <w:rsid w:val="00B04EBC"/>
    <w:rsid w:val="00B2670A"/>
    <w:rsid w:val="00B7424C"/>
    <w:rsid w:val="00BC4E57"/>
    <w:rsid w:val="00C33B35"/>
    <w:rsid w:val="00C42E0B"/>
    <w:rsid w:val="00C43153"/>
    <w:rsid w:val="00C5317C"/>
    <w:rsid w:val="00CD00DC"/>
    <w:rsid w:val="00D01CC7"/>
    <w:rsid w:val="00D905CC"/>
    <w:rsid w:val="00E16B38"/>
    <w:rsid w:val="00E5255F"/>
    <w:rsid w:val="00EA4FA3"/>
    <w:rsid w:val="00EC170A"/>
    <w:rsid w:val="04F512AE"/>
    <w:rsid w:val="077E1A2E"/>
    <w:rsid w:val="12483ADA"/>
    <w:rsid w:val="166E48C8"/>
    <w:rsid w:val="168A13B6"/>
    <w:rsid w:val="20C903AB"/>
    <w:rsid w:val="2182656E"/>
    <w:rsid w:val="23EA5736"/>
    <w:rsid w:val="24B567E1"/>
    <w:rsid w:val="26ED504B"/>
    <w:rsid w:val="2C400B56"/>
    <w:rsid w:val="2E4701DC"/>
    <w:rsid w:val="2EC35F93"/>
    <w:rsid w:val="368C10F7"/>
    <w:rsid w:val="37382613"/>
    <w:rsid w:val="377F7ED9"/>
    <w:rsid w:val="456006AB"/>
    <w:rsid w:val="46F102F3"/>
    <w:rsid w:val="4A616558"/>
    <w:rsid w:val="53711617"/>
    <w:rsid w:val="54CC1399"/>
    <w:rsid w:val="55DF632A"/>
    <w:rsid w:val="58D73C77"/>
    <w:rsid w:val="63235B2A"/>
    <w:rsid w:val="63CA0C3E"/>
    <w:rsid w:val="66FA6692"/>
    <w:rsid w:val="67BC750B"/>
    <w:rsid w:val="698F0307"/>
    <w:rsid w:val="6BF75464"/>
    <w:rsid w:val="6FBA52BC"/>
    <w:rsid w:val="73E6785D"/>
    <w:rsid w:val="794730E6"/>
    <w:rsid w:val="7DC666FE"/>
    <w:rsid w:val="7F9A2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Indent"/>
    <w:basedOn w:val="1"/>
    <w:autoRedefine/>
    <w:qFormat/>
    <w:uiPriority w:val="0"/>
    <w:pPr>
      <w:ind w:firstLine="420" w:firstLineChars="200"/>
    </w:pPr>
  </w:style>
  <w:style w:type="paragraph" w:styleId="3">
    <w:name w:val="Balloon Text"/>
    <w:basedOn w:val="1"/>
    <w:link w:val="9"/>
    <w:autoRedefine/>
    <w:qFormat/>
    <w:uiPriority w:val="0"/>
    <w:rPr>
      <w:sz w:val="18"/>
      <w:szCs w:val="18"/>
    </w:rPr>
  </w:style>
  <w:style w:type="paragraph" w:styleId="4">
    <w:name w:val="footer"/>
    <w:basedOn w:val="1"/>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page number"/>
    <w:basedOn w:val="7"/>
    <w:autoRedefine/>
    <w:qFormat/>
    <w:uiPriority w:val="0"/>
  </w:style>
  <w:style w:type="character" w:customStyle="1" w:styleId="9">
    <w:name w:val="批注框文本 Char"/>
    <w:basedOn w:val="7"/>
    <w:link w:val="3"/>
    <w:autoRedefine/>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Lenovo\AppData\Local\Temp\wps.xWkgcu\Workbook1.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Lenovo\AppData\Local\Temp\wps.xlNNnn\Workbook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图</a:t>
            </a:r>
            <a:r>
              <a:rPr lang="en-US"/>
              <a:t>1   </a:t>
            </a:r>
            <a:r>
              <a:rPr lang="en-US" b="0" i="0" u="none" strike="noStrike" kern="1200" spc="0" baseline="0">
                <a:solidFill>
                  <a:sysClr val="windowText" lastClr="000000">
                    <a:lumMod val="65000"/>
                    <a:lumOff val="35000"/>
                  </a:sysClr>
                </a:solidFill>
                <a:latin typeface="+mn-lt"/>
                <a:ea typeface="+mn-ea"/>
                <a:cs typeface="+mn-cs"/>
              </a:rPr>
              <a:t>2023</a:t>
            </a:r>
            <a:r>
              <a:rPr lang="zh-CN"/>
              <a:t>年朝阳县地区生产总值和增速</a:t>
            </a:r>
            <a:endParaRPr lang="zh-CN"/>
          </a:p>
        </c:rich>
      </c:tx>
      <c:layout>
        <c:manualLayout>
          <c:xMode val="edge"/>
          <c:yMode val="edge"/>
          <c:x val="0.158625"/>
          <c:y val="0.038026627107765"/>
        </c:manualLayout>
      </c:layout>
      <c:overlay val="0"/>
      <c:spPr>
        <a:noFill/>
        <a:ln>
          <a:noFill/>
        </a:ln>
        <a:effectLst/>
      </c:spPr>
    </c:title>
    <c:autoTitleDeleted val="0"/>
    <c:plotArea>
      <c:layout>
        <c:manualLayout>
          <c:layoutTarget val="inner"/>
          <c:xMode val="edge"/>
          <c:yMode val="edge"/>
          <c:x val="0.091075"/>
          <c:y val="0.125359248461289"/>
          <c:w val="0.905175"/>
          <c:h val="0.7605"/>
        </c:manualLayout>
      </c:layout>
      <c:barChart>
        <c:barDir val="col"/>
        <c:grouping val="clustered"/>
        <c:varyColors val="0"/>
        <c:ser>
          <c:idx val="1"/>
          <c:order val="0"/>
          <c:tx>
            <c:strRef>
              <c:f>Sheet1!$B$1</c:f>
              <c:strCache>
                <c:ptCount val="1"/>
                <c:pt idx="0">
                  <c:v>GDP(亿元）</c:v>
                </c:pt>
              </c:strCache>
            </c:strRef>
          </c:tx>
          <c:spPr>
            <a:gradFill>
              <a:gsLst>
                <a:gs pos="50000">
                  <a:schemeClr val="accent1"/>
                </a:gs>
                <a:gs pos="0">
                  <a:schemeClr val="accent1">
                    <a:lumMod val="25000"/>
                    <a:lumOff val="75000"/>
                  </a:schemeClr>
                </a:gs>
                <a:gs pos="100000">
                  <a:schemeClr val="accent1">
                    <a:lumMod val="85000"/>
                  </a:schemeClr>
                </a:gs>
              </a:gsLst>
              <a:lin ang="5400000" scaled="1"/>
            </a:gradFill>
            <a:ln>
              <a:solidFill>
                <a:schemeClr val="accent1"/>
              </a:solidFill>
            </a:ln>
            <a:effectLst/>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23</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53.9</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82.1</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一季度</c:v>
                </c:pt>
                <c:pt idx="1">
                  <c:v>二季度</c:v>
                </c:pt>
                <c:pt idx="2">
                  <c:v>三季度</c:v>
                </c:pt>
                <c:pt idx="3">
                  <c:v>四季度</c:v>
                </c:pt>
              </c:strCache>
            </c:strRef>
          </c:cat>
          <c:val>
            <c:numRef>
              <c:f>Sheet1!$B$2:$B$5</c:f>
              <c:numCache>
                <c:formatCode>General</c:formatCode>
                <c:ptCount val="4"/>
                <c:pt idx="0">
                  <c:v>23</c:v>
                </c:pt>
                <c:pt idx="1">
                  <c:v>53.9</c:v>
                </c:pt>
                <c:pt idx="2">
                  <c:v>82.1</c:v>
                </c:pt>
                <c:pt idx="3">
                  <c:v>124</c:v>
                </c:pt>
              </c:numCache>
            </c:numRef>
          </c:val>
        </c:ser>
        <c:dLbls>
          <c:showLegendKey val="0"/>
          <c:showVal val="0"/>
          <c:showCatName val="0"/>
          <c:showSerName val="0"/>
          <c:showPercent val="0"/>
          <c:showBubbleSize val="0"/>
        </c:dLbls>
        <c:gapWidth val="269"/>
        <c:axId val="361183888"/>
        <c:axId val="241812392"/>
      </c:barChart>
      <c:lineChart>
        <c:grouping val="standard"/>
        <c:varyColors val="0"/>
        <c:ser>
          <c:idx val="2"/>
          <c:order val="1"/>
          <c:tx>
            <c:strRef>
              <c:f>Sheet1!$C$1</c:f>
              <c:strCache>
                <c:ptCount val="1"/>
                <c:pt idx="0">
                  <c:v>增速（%）</c:v>
                </c:pt>
              </c:strCache>
            </c:strRef>
          </c:tx>
          <c:spPr>
            <a:ln w="28575" cap="rnd">
              <a:solidFill>
                <a:schemeClr val="accent4"/>
              </a:solidFill>
              <a:round/>
            </a:ln>
            <a:effectLst/>
          </c:spPr>
          <c:marker>
            <c:symbol val="none"/>
          </c:marker>
          <c:dLbls>
            <c:dLbl>
              <c:idx val="0"/>
              <c:layout>
                <c:manualLayout>
                  <c:x val="-0.0714541043682063"/>
                  <c:y val="-0.0112187507173849"/>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3.7</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6"/>
                  <c:y val="-0.0322630204332463"/>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5.7</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
                  <c:y val="-0.0207405131356583"/>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6.3</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39375"/>
                  <c:y val="-0.00921800583807036"/>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6.8</a:t>
                    </a:r>
                    <a:endParaRPr lang="en-US" altLang="zh-CN"/>
                  </a:p>
                </c:rich>
              </c:tx>
              <c:dLblPos val="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Sheet1!$A$2:$A$5</c:f>
              <c:strCache>
                <c:ptCount val="4"/>
                <c:pt idx="0">
                  <c:v>一季度</c:v>
                </c:pt>
                <c:pt idx="1">
                  <c:v>二季度</c:v>
                </c:pt>
                <c:pt idx="2">
                  <c:v>三季度</c:v>
                </c:pt>
                <c:pt idx="3">
                  <c:v>四季度</c:v>
                </c:pt>
              </c:strCache>
            </c:strRef>
          </c:cat>
          <c:val>
            <c:numRef>
              <c:f>Sheet1!$C$2:$C$5</c:f>
              <c:numCache>
                <c:formatCode>General</c:formatCode>
                <c:ptCount val="4"/>
                <c:pt idx="0">
                  <c:v>3.7</c:v>
                </c:pt>
                <c:pt idx="1">
                  <c:v>5.7</c:v>
                </c:pt>
                <c:pt idx="2">
                  <c:v>6.3</c:v>
                </c:pt>
                <c:pt idx="3">
                  <c:v>6.8</c:v>
                </c:pt>
              </c:numCache>
            </c:numRef>
          </c:val>
          <c:smooth val="0"/>
        </c:ser>
        <c:dLbls>
          <c:showLegendKey val="0"/>
          <c:showVal val="0"/>
          <c:showCatName val="0"/>
          <c:showSerName val="0"/>
          <c:showPercent val="0"/>
          <c:showBubbleSize val="0"/>
        </c:dLbls>
        <c:marker val="0"/>
        <c:smooth val="0"/>
        <c:axId val="361183888"/>
        <c:axId val="241812392"/>
      </c:lineChart>
      <c:catAx>
        <c:axId val="36118388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41812392"/>
        <c:crosses val="autoZero"/>
        <c:auto val="1"/>
        <c:lblAlgn val="ctr"/>
        <c:lblOffset val="100"/>
        <c:noMultiLvlLbl val="0"/>
      </c:catAx>
      <c:valAx>
        <c:axId val="241812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1183888"/>
        <c:crosses val="autoZero"/>
        <c:crossBetween val="between"/>
      </c:valAx>
      <c:spPr>
        <a:gradFill>
          <a:gsLst>
            <a:gs pos="50000">
              <a:schemeClr val="accent4"/>
            </a:gs>
            <a:gs pos="0">
              <a:schemeClr val="accent4">
                <a:lumMod val="25000"/>
                <a:lumOff val="75000"/>
              </a:schemeClr>
            </a:gs>
            <a:gs pos="100000">
              <a:schemeClr val="accent4">
                <a:lumMod val="85000"/>
              </a:schemeClr>
            </a:gs>
          </a:gsLst>
          <a:lin ang="5400000" scaled="1"/>
        </a:grad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图</a:t>
            </a:r>
            <a:r>
              <a:rPr lang="en-US"/>
              <a:t>2  </a:t>
            </a:r>
            <a:r>
              <a:rPr lang="en-US" sz="1400" b="0" i="0" u="none" strike="noStrike" kern="1200" spc="0" baseline="0">
                <a:solidFill>
                  <a:sysClr val="windowText" lastClr="000000">
                    <a:lumMod val="65000"/>
                    <a:lumOff val="35000"/>
                  </a:sysClr>
                </a:solidFill>
                <a:latin typeface="+mn-lt"/>
                <a:ea typeface="+mn-ea"/>
                <a:cs typeface="+mn-cs"/>
              </a:rPr>
              <a:t>2023</a:t>
            </a:r>
            <a:r>
              <a:rPr lang="zh-CN"/>
              <a:t>年三次产业增加值占地区生产总值比重</a:t>
            </a:r>
            <a:endParaRPr lang="zh-CN"/>
          </a:p>
        </c:rich>
      </c:tx>
      <c:layout/>
      <c:overlay val="0"/>
      <c:spPr>
        <a:noFill/>
        <a:ln>
          <a:noFill/>
        </a:ln>
        <a:effectLst/>
      </c:spPr>
    </c:title>
    <c:autoTitleDeleted val="0"/>
    <c:plotArea>
      <c:layout/>
      <c:pieChart>
        <c:varyColors val="1"/>
        <c:ser>
          <c:idx val="0"/>
          <c:order val="0"/>
          <c:tx>
            <c:strRef>
              <c:f>Sheet1!$B$1</c:f>
              <c:strCache>
                <c:ptCount val="1"/>
                <c:pt idx="0">
                  <c:v>图1  2022年三次产业增加值占地区生产总值比重</c:v>
                </c:pt>
              </c:strCache>
            </c:strRef>
          </c:tx>
          <c:spPr/>
          <c:explosion val="0"/>
          <c:dPt>
            <c:idx val="0"/>
            <c:bubble3D val="0"/>
            <c:spPr>
              <a:gradFill>
                <a:gsLst>
                  <a:gs pos="50000">
                    <a:schemeClr val="accent1"/>
                  </a:gs>
                  <a:gs pos="0">
                    <a:schemeClr val="accent1">
                      <a:lumMod val="25000"/>
                      <a:lumOff val="75000"/>
                    </a:schemeClr>
                  </a:gs>
                  <a:gs pos="100000">
                    <a:schemeClr val="accent1">
                      <a:lumMod val="85000"/>
                    </a:schemeClr>
                  </a:gs>
                </a:gsLst>
                <a:lin ang="5400000" scaled="1"/>
              </a:gradFill>
              <a:ln w="19050">
                <a:solidFill>
                  <a:schemeClr val="lt1"/>
                </a:solidFill>
              </a:ln>
              <a:effectLst/>
            </c:spPr>
          </c:dPt>
          <c:dPt>
            <c:idx val="1"/>
            <c:bubble3D val="0"/>
            <c:spPr>
              <a:gradFill>
                <a:gsLst>
                  <a:gs pos="50000">
                    <a:schemeClr val="accent2"/>
                  </a:gs>
                  <a:gs pos="0">
                    <a:schemeClr val="accent2">
                      <a:lumMod val="25000"/>
                      <a:lumOff val="75000"/>
                    </a:schemeClr>
                  </a:gs>
                  <a:gs pos="100000">
                    <a:schemeClr val="accent2">
                      <a:lumMod val="85000"/>
                    </a:schemeClr>
                  </a:gs>
                </a:gsLst>
                <a:lin ang="5400000" scaled="1"/>
              </a:gradFill>
              <a:ln w="19050">
                <a:solidFill>
                  <a:schemeClr val="lt1"/>
                </a:solidFill>
              </a:ln>
              <a:effectLst/>
            </c:spPr>
          </c:dPt>
          <c:dPt>
            <c:idx val="2"/>
            <c:bubble3D val="0"/>
            <c:spPr>
              <a:gradFill>
                <a:gsLst>
                  <a:gs pos="50000">
                    <a:schemeClr val="accent4"/>
                  </a:gs>
                  <a:gs pos="0">
                    <a:schemeClr val="accent4">
                      <a:lumMod val="25000"/>
                      <a:lumOff val="75000"/>
                    </a:schemeClr>
                  </a:gs>
                  <a:gs pos="100000">
                    <a:schemeClr val="accent4">
                      <a:lumMod val="85000"/>
                    </a:schemeClr>
                  </a:gs>
                </a:gsLst>
                <a:lin ang="5400000" scaled="1"/>
              </a:gra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105119721821433"/>
                  <c:y val="-0.0614608777617968"/>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baseline="0"/>
                      <a:t>第一产业</a:t>
                    </a:r>
                    <a:r>
                      <a:rPr lang="en-US" altLang="zh-CN" baseline="0"/>
                      <a:t>, 34%</a:t>
                    </a:r>
                    <a:endParaRPr lang="en-US" altLang="zh-CN" baseline="0"/>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25547161619245"/>
                  <c:y val="-0.00819482703980888"/>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baseline="0"/>
                      <a:t>第二产业</a:t>
                    </a:r>
                    <a:r>
                      <a:rPr lang="en-US" altLang="zh-CN" baseline="0"/>
                      <a:t>, 23%</a:t>
                    </a:r>
                    <a:endParaRPr lang="zh-CN"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824591273550474"/>
                  <c:y val="-0.0679603130104093"/>
                </c:manualLayout>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zh-CN" altLang="en-US" baseline="0"/>
                      <a:t>第三产业</a:t>
                    </a:r>
                    <a:r>
                      <a:rPr lang="en-US" altLang="zh-CN" baseline="0"/>
                      <a:t>,43%</a:t>
                    </a:r>
                    <a:endParaRPr lang="zh-CN" altLang="en-US"/>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第一产业</c:v>
                </c:pt>
                <c:pt idx="1">
                  <c:v>第二产业</c:v>
                </c:pt>
                <c:pt idx="2">
                  <c:v>第三产业</c:v>
                </c:pt>
              </c:strCache>
            </c:strRef>
          </c:cat>
          <c:val>
            <c:numRef>
              <c:f>Sheet1!$B$2:$B$5</c:f>
              <c:numCache>
                <c:formatCode>General</c:formatCode>
                <c:ptCount val="4"/>
                <c:pt idx="0">
                  <c:v>34</c:v>
                </c:pt>
                <c:pt idx="1">
                  <c:v>23</c:v>
                </c:pt>
                <c:pt idx="2">
                  <c:v>43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3   2019-2023</a:t>
            </a:r>
            <a:r>
              <a:rPr altLang="en-US"/>
              <a:t>年社会消费品零售总额和增速</a:t>
            </a:r>
            <a:endParaRPr lang="en-US" altLang="zh-CN"/>
          </a:p>
        </c:rich>
      </c:tx>
      <c:layout/>
      <c:overlay val="0"/>
      <c:spPr>
        <a:noFill/>
        <a:ln>
          <a:noFill/>
        </a:ln>
        <a:effectLst/>
      </c:spPr>
    </c:title>
    <c:autoTitleDeleted val="0"/>
    <c:plotArea>
      <c:layout/>
      <c:barChart>
        <c:barDir val="bar"/>
        <c:grouping val="clustered"/>
        <c:varyColors val="0"/>
        <c:ser>
          <c:idx val="0"/>
          <c:order val="0"/>
          <c:tx>
            <c:strRef>
              <c:f>[Workbook1.xlsx]Sheet1!$B$1</c:f>
              <c:strCache>
                <c:ptCount val="1"/>
                <c:pt idx="0">
                  <c:v>2019-2023年社会消费品零售总额</c:v>
                </c:pt>
              </c:strCache>
            </c:strRef>
          </c:tx>
          <c:spPr>
            <a:gradFill>
              <a:gsLst>
                <a:gs pos="50000">
                  <a:schemeClr val="accent1"/>
                </a:gs>
                <a:gs pos="0">
                  <a:schemeClr val="accent1">
                    <a:lumMod val="25000"/>
                    <a:lumOff val="75000"/>
                  </a:schemeClr>
                </a:gs>
                <a:gs pos="100000">
                  <a:schemeClr val="accent1">
                    <a:lumMod val="85000"/>
                  </a:schemeClr>
                </a:gs>
              </a:gsLst>
              <a:lin ang="5400000" scaled="1"/>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27.9亿元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28.9亿元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31.4</a:t>
                    </a:r>
                    <a:r>
                      <a:rPr altLang="en-US"/>
                      <a:t>亿元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32.1</a:t>
                    </a:r>
                    <a:r>
                      <a:rPr altLang="en-US"/>
                      <a:t>亿元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35.3亿元</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[Workbook1.xlsx]Sheet1!$A$2:$A$6</c:f>
              <c:strCache>
                <c:ptCount val="5"/>
                <c:pt idx="0">
                  <c:v>2019年</c:v>
                </c:pt>
                <c:pt idx="1">
                  <c:v>2020年</c:v>
                </c:pt>
                <c:pt idx="2">
                  <c:v>2021年</c:v>
                </c:pt>
                <c:pt idx="3">
                  <c:v>2022年</c:v>
                </c:pt>
                <c:pt idx="4">
                  <c:v>2023年</c:v>
                </c:pt>
              </c:strCache>
            </c:strRef>
          </c:cat>
          <c:val>
            <c:numRef>
              <c:f>[Workbook1.xlsx]Sheet1!$B$2:$B$6</c:f>
              <c:numCache>
                <c:formatCode>General</c:formatCode>
                <c:ptCount val="5"/>
                <c:pt idx="0">
                  <c:v>27.9</c:v>
                </c:pt>
                <c:pt idx="1">
                  <c:v>28.9</c:v>
                </c:pt>
                <c:pt idx="2">
                  <c:v>31.4</c:v>
                </c:pt>
                <c:pt idx="3">
                  <c:v>32.1</c:v>
                </c:pt>
                <c:pt idx="4">
                  <c:v>35.3</c:v>
                </c:pt>
              </c:numCache>
            </c:numRef>
          </c:val>
        </c:ser>
        <c:ser>
          <c:idx val="1"/>
          <c:order val="1"/>
          <c:tx>
            <c:strRef>
              <c:f>[Workbook1.xlsx]Sheet1!$C$1</c:f>
              <c:strCache>
                <c:ptCount val="1"/>
                <c:pt idx="0">
                  <c:v>增速</c:v>
                </c:pt>
              </c:strCache>
            </c:strRef>
          </c:tx>
          <c:spPr>
            <a:gradFill>
              <a:gsLst>
                <a:gs pos="50000">
                  <a:schemeClr val="accent2"/>
                </a:gs>
                <a:gs pos="0">
                  <a:schemeClr val="accent2">
                    <a:lumMod val="25000"/>
                    <a:lumOff val="75000"/>
                  </a:schemeClr>
                </a:gs>
                <a:gs pos="100000">
                  <a:schemeClr val="accent2">
                    <a:lumMod val="85000"/>
                  </a:schemeClr>
                </a:gs>
              </a:gsLst>
              <a:lin ang="5400000" scaled="1"/>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8.6</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3.2</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8.7</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2.2</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10.0</a:t>
                    </a:r>
                    <a:r>
                      <a:rPr lang="en-US" altLang="zh-CN"/>
                      <a:t>%</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[Workbook1.xlsx]Sheet1!$A$2:$A$6</c:f>
              <c:strCache>
                <c:ptCount val="5"/>
                <c:pt idx="0">
                  <c:v>2019年</c:v>
                </c:pt>
                <c:pt idx="1">
                  <c:v>2020年</c:v>
                </c:pt>
                <c:pt idx="2">
                  <c:v>2021年</c:v>
                </c:pt>
                <c:pt idx="3">
                  <c:v>2022年</c:v>
                </c:pt>
                <c:pt idx="4">
                  <c:v>2023年</c:v>
                </c:pt>
              </c:strCache>
            </c:strRef>
          </c:cat>
          <c:val>
            <c:numRef>
              <c:f>[Workbook1.xlsx]Sheet1!$C$2:$C$6</c:f>
              <c:numCache>
                <c:formatCode>General</c:formatCode>
                <c:ptCount val="5"/>
                <c:pt idx="0">
                  <c:v>8.6</c:v>
                </c:pt>
                <c:pt idx="1">
                  <c:v>3.2</c:v>
                </c:pt>
                <c:pt idx="2">
                  <c:v>8.7</c:v>
                </c:pt>
                <c:pt idx="3">
                  <c:v>2.2</c:v>
                </c:pt>
                <c:pt idx="4" c:formatCode="0.0_ ">
                  <c:v>10</c:v>
                </c:pt>
              </c:numCache>
            </c:numRef>
          </c:val>
        </c:ser>
        <c:dLbls>
          <c:showLegendKey val="0"/>
          <c:showVal val="1"/>
          <c:showCatName val="0"/>
          <c:showSerName val="0"/>
          <c:showPercent val="0"/>
          <c:showBubbleSize val="0"/>
        </c:dLbls>
        <c:gapWidth val="140"/>
        <c:overlap val="-40"/>
        <c:axId val="705541734"/>
        <c:axId val="348764240"/>
      </c:barChart>
      <c:catAx>
        <c:axId val="70554173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8764240"/>
        <c:crosses val="autoZero"/>
        <c:auto val="1"/>
        <c:lblAlgn val="ctr"/>
        <c:lblOffset val="100"/>
        <c:noMultiLvlLbl val="0"/>
      </c:catAx>
      <c:valAx>
        <c:axId val="348764240"/>
        <c:scaling>
          <c:orientation val="minMax"/>
        </c:scaling>
        <c:delete val="0"/>
        <c:axPos val="b"/>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05541734"/>
        <c:crosses val="autoZero"/>
        <c:crossBetween val="between"/>
      </c:valAx>
      <c:spPr>
        <a:gradFill>
          <a:gsLst>
            <a:gs pos="50000">
              <a:schemeClr val="accent5"/>
            </a:gs>
            <a:gs pos="0">
              <a:schemeClr val="accent5">
                <a:lumMod val="25000"/>
                <a:lumOff val="75000"/>
              </a:schemeClr>
            </a:gs>
            <a:gs pos="100000">
              <a:schemeClr val="accent5">
                <a:lumMod val="85000"/>
              </a:schemeClr>
            </a:gs>
          </a:gsLst>
          <a:lin ang="5400000" scaled="1"/>
        </a:grad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图</a:t>
            </a:r>
            <a:r>
              <a:rPr lang="en-US" altLang="zh-CN"/>
              <a:t>4</a:t>
            </a:r>
            <a:r>
              <a:t>  2019-202</a:t>
            </a:r>
            <a:r>
              <a:rPr lang="en-US" altLang="zh-CN"/>
              <a:t>3</a:t>
            </a:r>
            <a:r>
              <a:t>年一般公共预算收入</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图4 2019-2020年一般公共预算收入</c:v>
                </c:pt>
              </c:strCache>
            </c:strRef>
          </c:tx>
          <c:spPr>
            <a:gradFill>
              <a:gsLst>
                <a:gs pos="50000">
                  <a:schemeClr val="accent1"/>
                </a:gs>
                <a:gs pos="0">
                  <a:schemeClr val="accent1">
                    <a:lumMod val="25000"/>
                    <a:lumOff val="75000"/>
                  </a:schemeClr>
                </a:gs>
                <a:gs pos="100000">
                  <a:schemeClr val="accent1">
                    <a:lumMod val="85000"/>
                  </a:schemeClr>
                </a:gs>
              </a:gsLst>
              <a:lin ang="5400000" scaled="1"/>
            </a:gradFill>
            <a:ln>
              <a:noFill/>
            </a:ln>
            <a:effectLst/>
          </c:spPr>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6.2亿元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7.1亿元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7.5亿元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6.1亿元</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6.7亿元</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2019年</c:v>
                </c:pt>
                <c:pt idx="1">
                  <c:v>2020年</c:v>
                </c:pt>
                <c:pt idx="2">
                  <c:v>2021年</c:v>
                </c:pt>
                <c:pt idx="3">
                  <c:v>2022年</c:v>
                </c:pt>
                <c:pt idx="4">
                  <c:v>2023年</c:v>
                </c:pt>
              </c:strCache>
            </c:strRef>
          </c:cat>
          <c:val>
            <c:numRef>
              <c:f>Sheet1!$B$2:$B$6</c:f>
              <c:numCache>
                <c:formatCode>General</c:formatCode>
                <c:ptCount val="5"/>
                <c:pt idx="0">
                  <c:v>6.2</c:v>
                </c:pt>
                <c:pt idx="1">
                  <c:v>7.1</c:v>
                </c:pt>
                <c:pt idx="2">
                  <c:v>7.5</c:v>
                </c:pt>
                <c:pt idx="3">
                  <c:v>6.1</c:v>
                </c:pt>
                <c:pt idx="4">
                  <c:v>6.7</c:v>
                </c:pt>
              </c:numCache>
            </c:numRef>
          </c:val>
        </c:ser>
        <c:dLbls>
          <c:showLegendKey val="0"/>
          <c:showVal val="1"/>
          <c:showCatName val="0"/>
          <c:showSerName val="0"/>
          <c:showPercent val="0"/>
          <c:showBubbleSize val="0"/>
        </c:dLbls>
        <c:gapWidth val="246"/>
        <c:overlap val="-28"/>
        <c:axId val="487036239"/>
        <c:axId val="975152544"/>
      </c:barChart>
      <c:catAx>
        <c:axId val="48703623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5152544"/>
        <c:crosses val="autoZero"/>
        <c:auto val="1"/>
        <c:lblAlgn val="ctr"/>
        <c:lblOffset val="100"/>
        <c:noMultiLvlLbl val="0"/>
      </c:catAx>
      <c:valAx>
        <c:axId val="97515254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7036239"/>
        <c:crosses val="autoZero"/>
        <c:crossBetween val="between"/>
      </c:valAx>
      <c:spPr>
        <a:noFill/>
        <a:ln>
          <a:noFill/>
        </a:ln>
        <a:effectLst/>
      </c:spPr>
    </c:plotArea>
    <c:plotVisOnly val="1"/>
    <c:dispBlanksAs val="gap"/>
    <c:showDLblsOverMax val="0"/>
  </c:chart>
  <c:spPr>
    <a:gradFill>
      <a:gsLst>
        <a:gs pos="50000">
          <a:schemeClr val="accent4"/>
        </a:gs>
        <a:gs pos="0">
          <a:schemeClr val="accent4">
            <a:lumMod val="25000"/>
            <a:lumOff val="75000"/>
          </a:schemeClr>
        </a:gs>
        <a:gs pos="100000">
          <a:schemeClr val="accent4">
            <a:lumMod val="85000"/>
          </a:schemeClr>
        </a:gs>
      </a:gsLst>
      <a:lin ang="5400000" scaled="1"/>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11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4D024-308B-47C4-A2F2-BD8236BE4B07}">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3300</Words>
  <Characters>4164</Characters>
  <Lines>30</Lines>
  <Paragraphs>8</Paragraphs>
  <TotalTime>21</TotalTime>
  <ScaleCrop>false</ScaleCrop>
  <LinksUpToDate>false</LinksUpToDate>
  <CharactersWithSpaces>4229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2024-03-15T06:06:00Z</dcterms:created>
  <dc:creator>a甲乙丙丁</dc:creator>
  <cp:lastModifiedBy>a甲乙丙丁</cp:lastModifiedBy>
  <cp:lastPrinted>2024-05-15T02:05:00Z</cp:lastPrinted>
  <dcterms:modified xsi:type="dcterms:W3CDTF">2024-05-17T00:29:19Z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E87D2ADEFB004B7DA2F803229FC01F36_11</vt:lpwstr>
  </property>
</Properties>
</file>