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没收保证金事项决定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【法律】《中华人民共和国治安管理处罚法》（主席令第38号，2005年8月28日颁布，2012年10月26日修正）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第一百一十条 被决定给予行政拘留处罚的人交纳保证金，暂缓行政拘留后，逃避行政拘留处罚的执行的，保证金予以没收并上缴国库，已经作出的行政拘留决定仍应执行。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0421-2623348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ECF2E0C"/>
    <w:rsid w:val="7F7781D2"/>
    <w:rsid w:val="9D4B5CFF"/>
    <w:rsid w:val="BA7B23C6"/>
    <w:rsid w:val="CF675108"/>
    <w:rsid w:val="DEDA1774"/>
    <w:rsid w:val="DEDBC325"/>
    <w:rsid w:val="DF7EEFBE"/>
    <w:rsid w:val="DFA03B6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45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2022-07-12T14:48:28Z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