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8F43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38CC13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朝阳</w:t>
      </w:r>
      <w:r>
        <w:rPr>
          <w:rFonts w:hint="eastAsia" w:ascii="方正小标宋简体" w:hAnsi="方正小标宋简体" w:eastAsia="方正小标宋简体" w:cs="方正小标宋简体"/>
          <w:b w:val="0"/>
          <w:bCs w:val="0"/>
          <w:sz w:val="44"/>
          <w:szCs w:val="44"/>
        </w:rPr>
        <w:t>市医疗保障定点医药机构资源配置规划（202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8</w:t>
      </w:r>
      <w:r>
        <w:rPr>
          <w:rFonts w:hint="eastAsia" w:ascii="方正小标宋简体" w:hAnsi="方正小标宋简体" w:eastAsia="方正小标宋简体" w:cs="方正小标宋简体"/>
          <w:b w:val="0"/>
          <w:bCs w:val="0"/>
          <w:sz w:val="44"/>
          <w:szCs w:val="44"/>
        </w:rPr>
        <w:t>年）</w:t>
      </w:r>
    </w:p>
    <w:p w14:paraId="0E7D8B80">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（征求意见稿）</w:t>
      </w:r>
    </w:p>
    <w:p w14:paraId="65514C4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方正小标宋简体" w:eastAsia="方正小标宋简体" w:cs="方正小标宋简体"/>
          <w:sz w:val="44"/>
          <w:szCs w:val="44"/>
          <w:lang w:val="en-US"/>
        </w:rPr>
      </w:pPr>
    </w:p>
    <w:p w14:paraId="24BD5B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为深化医药卫生体制改革，促进医疗保障事业健康发展，推动基本医保定点医药机构资源合理配置、科学规划，更好</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lang w:eastAsia="zh-CN"/>
        </w:rPr>
        <w:t>满足人民群众医药服务需求，赋能医药机构健康发展，根据《医疗机构医疗保障定点管理暂行办法》（国家医疗保障局令第2号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《零售药店医疗保障定点暂行办法》（国家医疗保障局令第3号）、《辽宁省基本医保定点医药机构资源配置规划工作实施方案》要求，结合我市实际，制定本规划。</w:t>
      </w:r>
    </w:p>
    <w:p w14:paraId="0BC195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一、规划背景</w:t>
      </w:r>
    </w:p>
    <w:p w14:paraId="11D2B2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（一）发展现状</w:t>
      </w:r>
    </w:p>
    <w:p w14:paraId="37FA14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我市扎实推进医疗保障制度改革，逐步构建了保障基本、覆盖全民、统筹城乡，以基本医疗保险为主体、大病医疗保险为补充、医疗救助为托底的三重医疗保障体系，较好地满足了参保人员的就医、购药需求。</w:t>
      </w:r>
    </w:p>
    <w:p w14:paraId="6DF227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截至2026年4月，全市住院类</w:t>
      </w:r>
      <w:r>
        <w:rPr>
          <w:rFonts w:hint="default" w:ascii="仿宋_GB2312" w:hAnsi="仿宋_GB2312" w:eastAsia="仿宋_GB2312" w:cs="仿宋_GB2312"/>
          <w:sz w:val="32"/>
          <w:szCs w:val="32"/>
          <w:lang w:val="en-US" w:eastAsia="zh-CN"/>
        </w:rPr>
        <w:t>定点医疗机构</w:t>
      </w:r>
      <w:r>
        <w:rPr>
          <w:rFonts w:hint="eastAsia" w:ascii="仿宋_GB2312" w:hAnsi="仿宋_GB2312" w:eastAsia="仿宋_GB2312" w:cs="仿宋_GB2312"/>
          <w:sz w:val="32"/>
          <w:szCs w:val="32"/>
          <w:lang w:val="en-US" w:eastAsia="zh-CN"/>
        </w:rPr>
        <w:t>301</w:t>
      </w:r>
      <w:r>
        <w:rPr>
          <w:rFonts w:hint="default" w:ascii="仿宋_GB2312" w:hAnsi="仿宋_GB2312" w:eastAsia="仿宋_GB2312" w:cs="仿宋_GB2312"/>
          <w:sz w:val="32"/>
          <w:szCs w:val="32"/>
          <w:lang w:val="en-US" w:eastAsia="zh-CN"/>
        </w:rPr>
        <w:t>家，其中三级医</w:t>
      </w:r>
      <w:r>
        <w:rPr>
          <w:rFonts w:hint="eastAsia" w:ascii="仿宋_GB2312" w:hAnsi="仿宋_GB2312" w:eastAsia="仿宋_GB2312" w:cs="仿宋_GB2312"/>
          <w:sz w:val="32"/>
          <w:szCs w:val="32"/>
          <w:lang w:val="en-US" w:eastAsia="zh-CN"/>
        </w:rPr>
        <w:t>院7</w:t>
      </w:r>
      <w:r>
        <w:rPr>
          <w:rFonts w:hint="default" w:ascii="仿宋_GB2312" w:hAnsi="仿宋_GB2312" w:eastAsia="仿宋_GB2312" w:cs="仿宋_GB2312"/>
          <w:sz w:val="32"/>
          <w:szCs w:val="32"/>
          <w:lang w:val="en-US" w:eastAsia="zh-CN"/>
        </w:rPr>
        <w:t>家，二级医</w:t>
      </w:r>
      <w:r>
        <w:rPr>
          <w:rFonts w:hint="eastAsia" w:ascii="仿宋_GB2312" w:hAnsi="仿宋_GB2312" w:eastAsia="仿宋_GB2312" w:cs="仿宋_GB2312"/>
          <w:sz w:val="32"/>
          <w:szCs w:val="32"/>
          <w:lang w:val="en-US" w:eastAsia="zh-CN"/>
        </w:rPr>
        <w:t>院64</w:t>
      </w:r>
      <w:r>
        <w:rPr>
          <w:rFonts w:hint="default" w:ascii="仿宋_GB2312" w:hAnsi="仿宋_GB2312" w:eastAsia="仿宋_GB2312" w:cs="仿宋_GB2312"/>
          <w:sz w:val="32"/>
          <w:szCs w:val="32"/>
          <w:lang w:val="en-US" w:eastAsia="zh-CN"/>
        </w:rPr>
        <w:t>家，一级医</w:t>
      </w:r>
      <w:r>
        <w:rPr>
          <w:rFonts w:hint="eastAsia" w:ascii="仿宋_GB2312" w:hAnsi="仿宋_GB2312" w:eastAsia="仿宋_GB2312" w:cs="仿宋_GB2312"/>
          <w:sz w:val="32"/>
          <w:szCs w:val="32"/>
          <w:lang w:val="en-US" w:eastAsia="zh-CN"/>
        </w:rPr>
        <w:t>院85家，</w:t>
      </w:r>
      <w:r>
        <w:rPr>
          <w:rFonts w:hint="default" w:ascii="仿宋_GB2312" w:hAnsi="仿宋_GB2312" w:eastAsia="仿宋_GB2312" w:cs="仿宋_GB2312"/>
          <w:sz w:val="32"/>
          <w:szCs w:val="32"/>
          <w:lang w:val="en-US" w:eastAsia="zh-CN"/>
        </w:rPr>
        <w:t>社区卫生服务中心</w:t>
      </w:r>
      <w:r>
        <w:rPr>
          <w:rFonts w:hint="eastAsia" w:ascii="仿宋_GB2312" w:hAnsi="仿宋_GB2312" w:eastAsia="仿宋_GB2312" w:cs="仿宋_GB2312"/>
          <w:sz w:val="32"/>
          <w:szCs w:val="32"/>
          <w:lang w:val="en-US" w:eastAsia="zh-CN"/>
        </w:rPr>
        <w:t>17家，乡镇</w:t>
      </w:r>
      <w:r>
        <w:rPr>
          <w:rFonts w:hint="default" w:ascii="仿宋_GB2312" w:hAnsi="仿宋_GB2312" w:eastAsia="仿宋_GB2312" w:cs="仿宋_GB2312"/>
          <w:sz w:val="32"/>
          <w:szCs w:val="32"/>
          <w:lang w:val="en-US" w:eastAsia="zh-CN"/>
        </w:rPr>
        <w:t>卫生院</w:t>
      </w:r>
      <w:r>
        <w:rPr>
          <w:rFonts w:hint="eastAsia" w:ascii="仿宋_GB2312" w:hAnsi="仿宋_GB2312" w:eastAsia="仿宋_GB2312" w:cs="仿宋_GB2312"/>
          <w:sz w:val="32"/>
          <w:szCs w:val="32"/>
          <w:lang w:val="en-US" w:eastAsia="zh-CN"/>
        </w:rPr>
        <w:t>128家；</w:t>
      </w:r>
      <w:r>
        <w:rPr>
          <w:rFonts w:hint="default" w:ascii="仿宋_GB2312" w:hAnsi="仿宋_GB2312" w:eastAsia="仿宋_GB2312" w:cs="仿宋_GB2312"/>
          <w:sz w:val="32"/>
          <w:szCs w:val="32"/>
          <w:lang w:val="en-US" w:eastAsia="zh-CN"/>
        </w:rPr>
        <w:t>门诊</w:t>
      </w:r>
      <w:r>
        <w:rPr>
          <w:rFonts w:hint="eastAsia" w:ascii="仿宋_GB2312" w:hAnsi="仿宋_GB2312" w:eastAsia="仿宋_GB2312" w:cs="仿宋_GB2312"/>
          <w:sz w:val="32"/>
          <w:szCs w:val="32"/>
          <w:lang w:val="en-US" w:eastAsia="zh-CN"/>
        </w:rPr>
        <w:t>类医疗机构（门诊</w:t>
      </w:r>
      <w:r>
        <w:rPr>
          <w:rFonts w:hint="default"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eastAsia="zh-CN"/>
        </w:rPr>
        <w:t>、诊所、社区卫生服务站）185</w:t>
      </w:r>
      <w:r>
        <w:rPr>
          <w:rFonts w:hint="default" w:ascii="仿宋_GB2312" w:hAnsi="仿宋_GB2312" w:eastAsia="仿宋_GB2312" w:cs="仿宋_GB2312"/>
          <w:sz w:val="32"/>
          <w:szCs w:val="32"/>
          <w:lang w:val="en-US" w:eastAsia="zh-CN"/>
        </w:rPr>
        <w:t>家，</w:t>
      </w:r>
      <w:r>
        <w:rPr>
          <w:rFonts w:hint="eastAsia" w:ascii="仿宋_GB2312" w:hAnsi="仿宋_GB2312" w:eastAsia="仿宋_GB2312" w:cs="仿宋_GB2312"/>
          <w:sz w:val="32"/>
          <w:szCs w:val="32"/>
          <w:lang w:val="en-US" w:eastAsia="zh-CN"/>
        </w:rPr>
        <w:t>村卫生室1147</w:t>
      </w:r>
      <w:r>
        <w:rPr>
          <w:rFonts w:hint="default" w:ascii="仿宋_GB2312" w:hAnsi="仿宋_GB2312" w:eastAsia="仿宋_GB2312" w:cs="仿宋_GB2312"/>
          <w:sz w:val="32"/>
          <w:szCs w:val="32"/>
          <w:lang w:val="en-US" w:eastAsia="zh-CN"/>
        </w:rPr>
        <w:t>家</w:t>
      </w:r>
      <w:r>
        <w:rPr>
          <w:rFonts w:hint="eastAsia" w:ascii="仿宋_GB2312" w:hAnsi="仿宋_GB2312" w:eastAsia="仿宋_GB2312" w:cs="仿宋_GB2312"/>
          <w:sz w:val="32"/>
          <w:szCs w:val="32"/>
          <w:lang w:val="en-US" w:eastAsia="zh-CN"/>
        </w:rPr>
        <w:t>。全市医保定点编制床位数24106张，实际开放床位数25165张。</w:t>
      </w:r>
      <w:bookmarkStart w:id="0" w:name="_GoBack"/>
      <w:r>
        <w:rPr>
          <w:rFonts w:hint="default" w:ascii="仿宋_GB2312" w:hAnsi="仿宋_GB2312" w:eastAsia="仿宋_GB2312" w:cs="仿宋_GB2312"/>
          <w:color w:val="000000" w:themeColor="text1"/>
          <w:sz w:val="32"/>
          <w:szCs w:val="32"/>
          <w:lang w:val="en-US" w:eastAsia="zh-CN"/>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《朝阳市2025年国民经济和社会发展统计公报》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，我市常住人口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为275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，按实有定点住院床位数计算每千常住人口床位数为9.15张，远超国家卫健委规划目标7.5张和辽宁省规划目标8张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。全市住院床位使用率为55.39%。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我市人口规模在100万—300万之间，床位分级配置结构应按照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、二、一级医院4∶4∶2的比例配备，目前按编制床位计算，实际配比为2.9:4.3:2.8。全市</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医保定点零售药店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1092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平均每家定点零售药店服务常住人口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2518</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人。</w:t>
      </w:r>
    </w:p>
    <w:bookmarkEnd w:id="0"/>
    <w:p w14:paraId="2FE19B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（二）面临形势和存在问题</w:t>
      </w:r>
    </w:p>
    <w:p w14:paraId="0D7455E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w:t>
      </w:r>
      <w:r>
        <w:rPr>
          <w:rFonts w:hint="eastAsia" w:ascii="仿宋_GB2312" w:hAnsi="仿宋_GB2312" w:eastAsia="仿宋_GB2312" w:cs="仿宋_GB2312"/>
          <w:sz w:val="32"/>
          <w:szCs w:val="32"/>
        </w:rPr>
        <w:t>我市现有定点医疗机构总量</w:t>
      </w:r>
      <w:r>
        <w:rPr>
          <w:rFonts w:hint="eastAsia" w:ascii="仿宋_GB2312" w:hAnsi="仿宋_GB2312" w:eastAsia="仿宋_GB2312" w:cs="仿宋_GB2312"/>
          <w:sz w:val="32"/>
          <w:szCs w:val="32"/>
          <w:lang w:val="en-US" w:eastAsia="zh-CN"/>
        </w:rPr>
        <w:t>较多，定点医药机构数量增长节奏较快，与参保人员增幅缓慢不匹配，床位使用率较低，机构扩容速度超出医保基金承载水平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现有各级定点医疗机构配比结构不合理，层级分布明显失衡，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资源配置存在冗余过剩，利用不充分问题。</w:t>
      </w:r>
      <w:r>
        <w:rPr>
          <w:rFonts w:hint="eastAsia" w:ascii="仿宋_GB2312" w:hAnsi="仿宋_GB2312" w:eastAsia="仿宋_GB2312" w:cs="仿宋_GB2312"/>
          <w:sz w:val="32"/>
          <w:szCs w:val="32"/>
          <w:lang w:val="en-US" w:eastAsia="zh-CN"/>
        </w:rPr>
        <w:t>定点零售药店在城区内布局密度偏高，乡镇分布不足。</w:t>
      </w:r>
    </w:p>
    <w:p w14:paraId="0AA296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二、总体要求</w:t>
      </w:r>
    </w:p>
    <w:p w14:paraId="5B24E3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（一）指导思想</w:t>
      </w:r>
    </w:p>
    <w:p w14:paraId="2645EE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以习近平新时代中国特色社会主义思想为指导，全面贯彻党的二十届历次全会精神，深入落实习近平总书记关于医疗保障工作的重要讲话和</w:t>
      </w:r>
      <w:r>
        <w:rPr>
          <w:rFonts w:hint="eastAsia" w:ascii="仿宋_GB2312" w:hAnsi="仿宋_GB2312" w:eastAsia="仿宋_GB2312" w:cs="仿宋_GB2312"/>
          <w:sz w:val="32"/>
          <w:szCs w:val="32"/>
          <w:highlight w:val="none"/>
          <w:lang w:val="en-US" w:eastAsia="zh-CN"/>
        </w:rPr>
        <w:t>指示批示精神</w:t>
      </w:r>
      <w:r>
        <w:rPr>
          <w:rFonts w:hint="eastAsia" w:ascii="仿宋_GB2312" w:hAnsi="仿宋_GB2312" w:eastAsia="仿宋_GB2312" w:cs="仿宋_GB2312"/>
          <w:sz w:val="32"/>
          <w:szCs w:val="32"/>
          <w:lang w:val="en-US" w:eastAsia="zh-CN"/>
        </w:rPr>
        <w:t>，立足新发展阶段，贯彻新发展理念，坚持以人民健康为中心，优化医保定点医药服务资源配置，加强医保精细化管理，提升参保群众获得感、幸福感、安全感。</w:t>
      </w:r>
    </w:p>
    <w:p w14:paraId="11087B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（二）基本原则</w:t>
      </w:r>
    </w:p>
    <w:p w14:paraId="33324C2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一是坚持以人为本，保障基本需求。</w:t>
      </w:r>
      <w:r>
        <w:rPr>
          <w:rFonts w:hint="eastAsia" w:ascii="仿宋_GB2312" w:hAnsi="仿宋_GB2312" w:eastAsia="仿宋_GB2312" w:cs="仿宋_GB2312"/>
          <w:sz w:val="32"/>
          <w:szCs w:val="32"/>
          <w:lang w:val="en-US" w:eastAsia="zh-CN"/>
        </w:rPr>
        <w:t>围绕保障参保人基本医药需求，以医疗保障能力为边界，科学合理规划定点医药机构资源总量和结构，保障参保人享有更加公平、便捷和高效的医药卫生服务。</w:t>
      </w:r>
    </w:p>
    <w:p w14:paraId="7B96069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二是坚持统筹兼顾，促进均衡布局。</w:t>
      </w:r>
      <w:r>
        <w:rPr>
          <w:rFonts w:hint="eastAsia" w:ascii="仿宋_GB2312" w:hAnsi="仿宋_GB2312" w:eastAsia="仿宋_GB2312" w:cs="仿宋_GB2312"/>
          <w:sz w:val="32"/>
          <w:szCs w:val="32"/>
          <w:lang w:val="en-US" w:eastAsia="zh-CN"/>
        </w:rPr>
        <w:t>统筹考虑当前与长远、公平与效率、发展与安全，兼顾参保人需求、医疗医药发展和医保基金平稳运行，引导优质医疗资源均衡发展，支持机构服务能力提升。</w:t>
      </w:r>
    </w:p>
    <w:p w14:paraId="1719C3B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三是坚持底线思维，保障基金安全</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kern w:val="2"/>
          <w:sz w:val="32"/>
          <w:szCs w:val="32"/>
          <w:lang w:val="en-US" w:eastAsia="zh-CN" w:bidi="ar-SA"/>
        </w:rPr>
        <w:t>定点医药服务资源配置要与医保基金运行情况相匹配，遇有上年度医保基金出现当期赤字、预计本年度可能存在当期收不抵支风险、收到上级医保部门基金运行预警函等情形，在相关情况未得到改善前，原则上暂停新增定点医药机构。</w:t>
      </w:r>
    </w:p>
    <w:p w14:paraId="2E6CDAB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四是坚持公开透明，接受社会监督。</w:t>
      </w:r>
      <w:r>
        <w:rPr>
          <w:rFonts w:hint="eastAsia" w:ascii="仿宋_GB2312" w:hAnsi="仿宋_GB2312" w:eastAsia="仿宋_GB2312" w:cs="仿宋_GB2312"/>
          <w:kern w:val="2"/>
          <w:sz w:val="32"/>
          <w:szCs w:val="32"/>
          <w:lang w:val="en-US" w:eastAsia="zh-CN" w:bidi="ar-SA"/>
        </w:rPr>
        <w:t>医保资源规划的编制和实施坚持公开透明原则，主动接受社会监督；广泛征求意见，并认真听取和吸纳各方面意见，确保规划的科学性、公平性和合理性。</w:t>
      </w:r>
    </w:p>
    <w:p w14:paraId="760835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（三）规划目标</w:t>
      </w:r>
    </w:p>
    <w:p w14:paraId="4367665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b w:val="0"/>
          <w:i w:val="0"/>
          <w:caps w:val="0"/>
          <w:color w:val="auto"/>
          <w:spacing w:val="0"/>
          <w:sz w:val="21"/>
          <w:szCs w:val="21"/>
        </w:rPr>
      </w:pPr>
      <w:r>
        <w:rPr>
          <w:rFonts w:hint="eastAsia" w:ascii="仿宋_GB2312" w:hAnsi="仿宋_GB2312" w:eastAsia="仿宋_GB2312" w:cs="仿宋_GB2312"/>
          <w:color w:val="auto"/>
          <w:sz w:val="32"/>
          <w:szCs w:val="32"/>
          <w:lang w:val="en-US" w:eastAsia="zh-CN"/>
        </w:rPr>
        <w:t>以保障参保人基本医药服务需求为核心，统筹兼顾医疗保障能力和医药卫生事业发展，科学规划、稳步调整全市基本医保定点医药机构资源。医保床位实行调剂管理，三年内暂不再增加医保床位总数，以优化各区域、各等级过胜医疗机构床位数量为主，支持定点医疗机构差异化发展，合理配置床位资源。到2028年末，初步形成“资源配置均衡、就医报销便捷、基金安全高效”的医保定点资源配置格局，城乡基本医保服务均等化基本实现，多元化就医的市场竞争机制更加有序，医保服务水平及效率显著提升。</w:t>
      </w:r>
    </w:p>
    <w:p w14:paraId="388E59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三、配置标准及规则</w:t>
      </w:r>
    </w:p>
    <w:p w14:paraId="462B72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聚焦构建“15分钟服务圈”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在服务半径800米范围内</w:t>
      </w:r>
      <w:r>
        <w:rPr>
          <w:rFonts w:hint="eastAsia" w:ascii="仿宋_GB2312" w:hAnsi="仿宋_GB2312" w:eastAsia="仿宋_GB2312" w:cs="仿宋_GB2312"/>
          <w:sz w:val="32"/>
          <w:szCs w:val="32"/>
          <w:lang w:eastAsia="zh-CN"/>
        </w:rPr>
        <w:t>合理配置定点医药机构的</w:t>
      </w:r>
      <w:r>
        <w:rPr>
          <w:rFonts w:hint="eastAsia" w:ascii="仿宋_GB2312" w:hAnsi="仿宋_GB2312" w:eastAsia="仿宋_GB2312" w:cs="仿宋_GB2312"/>
          <w:sz w:val="32"/>
          <w:szCs w:val="32"/>
        </w:rPr>
        <w:t>工作目标，实施总量控制、动态调整、择优纳入的配置标准。</w:t>
      </w:r>
    </w:p>
    <w:p w14:paraId="4CE88A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（一）住院医保定点医疗机构配置</w:t>
      </w:r>
    </w:p>
    <w:p w14:paraId="43252D8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1.医保所需千人口床位数测算</w:t>
      </w:r>
    </w:p>
    <w:p w14:paraId="686B27B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千人床位数等指标，统筹确定年度住院定点医疗机构总量。住院服务需求主要取决于人口数量与年龄结构、患病率等因素，包含在住院率中。千人床位数的配置，与住院服务需求、平均住院日呈正相关，与病床使用率呈负相关。同时考虑参保群众异地就医、医保基金支付能力等因素，引入患者调节系数、基金调节系数进行计算。公式如下：</w:t>
      </w:r>
    </w:p>
    <w:p w14:paraId="5877323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lang w:val="en-US" w:eastAsia="zh-CN"/>
        </w:rPr>
        <w:t>医保</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需要的千人床位数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各年龄段住院率×年龄段参保人数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×平均住院日×1000〕÷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病床使用率×全年天数×总参保人数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×患者调节系数×基金调节系数</w:t>
      </w:r>
    </w:p>
    <w:p w14:paraId="07D26D6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b/>
          <w:bCs/>
          <w:sz w:val="32"/>
          <w:szCs w:val="32"/>
          <w:lang w:val="en-US" w:eastAsia="zh-CN"/>
        </w:rPr>
        <w:t>患者调节系数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本地参保人在本地出院人次-本地参保人在异地出院人次+异地参保人在本地出院人次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÷本地参保人在本地出院人次</w:t>
      </w:r>
    </w:p>
    <w:p w14:paraId="4D562B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注：患者调节系数是反映患者流入流出对床位配置的影响指标。</w:t>
      </w:r>
    </w:p>
    <w:p w14:paraId="43F0B0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lang w:val="en-US" w:eastAsia="zh-CN"/>
        </w:rPr>
        <w:t>基金调节系数</w:t>
      </w:r>
      <w:r>
        <w:rPr>
          <w:rFonts w:hint="eastAsia" w:ascii="仿宋_GB2312" w:hAnsi="仿宋_GB2312" w:eastAsia="仿宋_GB2312" w:cs="仿宋_GB2312"/>
          <w:sz w:val="32"/>
          <w:szCs w:val="32"/>
          <w:lang w:val="en-US" w:eastAsia="zh-CN"/>
        </w:rPr>
        <w:t>=基金可支付月数÷基金安全要求可支付月数</w:t>
      </w:r>
    </w:p>
    <w:p w14:paraId="627D3E2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2.住院医疗资源管理规则</w:t>
      </w:r>
    </w:p>
    <w:p w14:paraId="2D6B90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开展医保所需千人床位数测算，结果为医保需求值，</w:t>
      </w:r>
      <w:r>
        <w:rPr>
          <w:rFonts w:hint="eastAsia" w:ascii="仿宋_GB2312" w:hAnsi="仿宋_GB2312" w:eastAsia="仿宋_GB2312" w:cs="仿宋_GB2312"/>
          <w:sz w:val="32"/>
          <w:szCs w:val="32"/>
          <w:highlight w:val="none"/>
          <w:lang w:val="en-US" w:eastAsia="zh-CN"/>
        </w:rPr>
        <w:t>区域卫生规划千人床位数为</w:t>
      </w:r>
      <w:r>
        <w:rPr>
          <w:rFonts w:hint="eastAsia" w:ascii="仿宋_GB2312" w:hAnsi="仿宋_GB2312" w:eastAsia="仿宋_GB2312" w:cs="仿宋_GB2312"/>
          <w:sz w:val="32"/>
          <w:szCs w:val="32"/>
          <w:lang w:val="en-US" w:eastAsia="zh-CN"/>
        </w:rPr>
        <w:t>目标值，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现有定点医药机构千人口实际床位数为实际值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三项指标值进行比对分析，确定能否够满足医药服务需求</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lang w:val="en-US" w:eastAsia="zh-CN"/>
        </w:rPr>
        <w:t>存在资源缺口，明确区域内定点医疗机构资源的调整方向。</w:t>
      </w:r>
    </w:p>
    <w:p w14:paraId="7187FB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规则一：当医保需求值</w:t>
      </w:r>
      <w:r>
        <w:rPr>
          <w:rFonts w:hint="eastAsia" w:ascii="仿宋_GB2312" w:hAnsi="仿宋_GB2312" w:eastAsia="仿宋_GB2312" w:cs="仿宋_GB2312"/>
          <w:sz w:val="32"/>
          <w:szCs w:val="32"/>
          <w:highlight w:val="none"/>
          <w:lang w:val="en-US" w:eastAsia="zh-CN"/>
        </w:rPr>
        <w:t>大于目</w:t>
      </w:r>
      <w:r>
        <w:rPr>
          <w:rFonts w:hint="eastAsia" w:ascii="仿宋_GB2312" w:hAnsi="仿宋_GB2312" w:eastAsia="仿宋_GB2312" w:cs="仿宋_GB2312"/>
          <w:sz w:val="32"/>
          <w:szCs w:val="32"/>
          <w:lang w:val="en-US" w:eastAsia="zh-CN"/>
        </w:rPr>
        <w:t>标值和实际值时，在</w:t>
      </w:r>
      <w:r>
        <w:rPr>
          <w:rFonts w:hint="eastAsia" w:ascii="仿宋_GB2312" w:hAnsi="仿宋_GB2312" w:eastAsia="仿宋_GB2312" w:cs="仿宋_GB2312"/>
          <w:b w:val="0"/>
          <w:bCs w:val="0"/>
          <w:sz w:val="32"/>
          <w:szCs w:val="32"/>
          <w:lang w:val="en-US" w:eastAsia="zh-CN"/>
        </w:rPr>
        <w:t>医保需求床位总量以内，可适当增加床位，</w:t>
      </w:r>
      <w:r>
        <w:rPr>
          <w:rFonts w:hint="eastAsia" w:ascii="仿宋_GB2312" w:hAnsi="仿宋_GB2312" w:eastAsia="仿宋_GB2312" w:cs="仿宋_GB2312"/>
          <w:sz w:val="32"/>
          <w:szCs w:val="32"/>
        </w:rPr>
        <w:t>服务半径800米范围内不配置同类型或同等级的</w:t>
      </w:r>
      <w:r>
        <w:rPr>
          <w:rFonts w:hint="eastAsia" w:ascii="仿宋_GB2312" w:hAnsi="仿宋_GB2312" w:eastAsia="仿宋_GB2312" w:cs="仿宋_GB2312"/>
          <w:sz w:val="32"/>
          <w:szCs w:val="32"/>
          <w:lang w:eastAsia="zh-CN"/>
        </w:rPr>
        <w:t>住院</w:t>
      </w:r>
      <w:r>
        <w:rPr>
          <w:rFonts w:hint="eastAsia" w:ascii="仿宋_GB2312" w:hAnsi="仿宋_GB2312" w:eastAsia="仿宋_GB2312" w:cs="仿宋_GB2312"/>
          <w:sz w:val="32"/>
          <w:szCs w:val="32"/>
        </w:rPr>
        <w:t>定点医疗机构。</w:t>
      </w:r>
      <w:r>
        <w:rPr>
          <w:rFonts w:hint="eastAsia" w:ascii="仿宋_GB2312" w:hAnsi="仿宋_GB2312" w:eastAsia="仿宋_GB2312" w:cs="仿宋_GB2312"/>
          <w:sz w:val="32"/>
          <w:szCs w:val="32"/>
          <w:lang w:val="en-US" w:eastAsia="zh-CN"/>
        </w:rPr>
        <w:t>根据规划目标，优先将资源配置在基层、农村等医药资源薄弱地区，以满足参保人员就医购药需求。</w:t>
      </w:r>
    </w:p>
    <w:p w14:paraId="2C495D7C">
      <w:pPr>
        <w:keepNext w:val="0"/>
        <w:keepLines w:val="0"/>
        <w:pageBreakBefore w:val="0"/>
        <w:kinsoku/>
        <w:wordWrap/>
        <w:overflowPunct/>
        <w:topLinePunct w:val="0"/>
        <w:autoSpaceDE/>
        <w:autoSpaceDN/>
        <w:bidi w:val="0"/>
        <w:adjustRightInd/>
        <w:snapToGrid/>
        <w:spacing w:line="580" w:lineRule="exact"/>
        <w:ind w:right="105" w:firstLine="669"/>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规则二：当医保需求值小于目标值和实际值时，以优化存量为主，</w:t>
      </w:r>
      <w:r>
        <w:rPr>
          <w:rFonts w:hint="eastAsia" w:ascii="仿宋_GB2312" w:hAnsi="仿宋_GB2312" w:eastAsia="仿宋_GB2312" w:cs="仿宋_GB2312"/>
          <w:b w:val="0"/>
          <w:bCs w:val="0"/>
          <w:sz w:val="32"/>
          <w:szCs w:val="32"/>
          <w:lang w:val="en-US" w:eastAsia="zh-CN"/>
        </w:rPr>
        <w:t>原则上不再增加床位。</w:t>
      </w:r>
      <w:r>
        <w:rPr>
          <w:rFonts w:hint="eastAsia" w:ascii="仿宋_GB2312" w:hAnsi="仿宋_GB2312" w:eastAsia="仿宋_GB2312" w:cs="仿宋_GB2312"/>
          <w:sz w:val="32"/>
          <w:szCs w:val="32"/>
          <w:lang w:val="en-US" w:eastAsia="zh-CN"/>
        </w:rPr>
        <w:t>加强日常管理，引导富余床位转型，支持定点医疗机构差异化发展，合理配置床位资源。</w:t>
      </w:r>
    </w:p>
    <w:p w14:paraId="4E4550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规则三：当医保需求值介于目标值和实际值之间，可结合实际</w:t>
      </w:r>
      <w:r>
        <w:rPr>
          <w:rFonts w:hint="eastAsia" w:ascii="仿宋_GB2312" w:hAnsi="仿宋_GB2312" w:eastAsia="仿宋_GB2312" w:cs="仿宋_GB2312"/>
          <w:b w:val="0"/>
          <w:bCs w:val="0"/>
          <w:sz w:val="32"/>
          <w:szCs w:val="32"/>
          <w:lang w:val="en-US" w:eastAsia="zh-CN"/>
        </w:rPr>
        <w:t>同步实施优化增量和优化存量的综合性措施。</w:t>
      </w:r>
    </w:p>
    <w:p w14:paraId="7752E3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（二）门诊定点医疗机构配置</w:t>
      </w:r>
    </w:p>
    <w:p w14:paraId="03E51C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z w:val="32"/>
          <w:szCs w:val="32"/>
          <w:shd w:val="clear" w:color="auto" w:fill="auto"/>
          <w:lang w:val="en-US" w:eastAsia="zh-CN"/>
        </w:rPr>
        <w:t>服务半径800米范围</w:t>
      </w:r>
      <w:r>
        <w:rPr>
          <w:rFonts w:hint="default"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lang w:val="en-US" w:eastAsia="zh-CN"/>
        </w:rPr>
        <w:t>有多家</w:t>
      </w:r>
      <w:r>
        <w:rPr>
          <w:rFonts w:hint="default" w:ascii="仿宋_GB2312" w:hAnsi="仿宋_GB2312" w:eastAsia="仿宋_GB2312" w:cs="仿宋_GB2312"/>
          <w:sz w:val="32"/>
          <w:szCs w:val="32"/>
          <w:lang w:val="en-US" w:eastAsia="zh-CN"/>
        </w:rPr>
        <w:t>提供门诊服务的定点医疗机构</w:t>
      </w:r>
      <w:r>
        <w:rPr>
          <w:rFonts w:hint="eastAsia" w:ascii="仿宋_GB2312" w:hAnsi="仿宋_GB2312" w:eastAsia="仿宋_GB2312" w:cs="仿宋_GB2312"/>
          <w:sz w:val="32"/>
          <w:szCs w:val="32"/>
          <w:lang w:val="en-US" w:eastAsia="zh-CN"/>
        </w:rPr>
        <w:t>时</w:t>
      </w:r>
      <w:r>
        <w:rPr>
          <w:rFonts w:hint="default" w:ascii="仿宋_GB2312" w:hAnsi="仿宋_GB2312" w:eastAsia="仿宋_GB2312" w:cs="仿宋_GB2312"/>
          <w:sz w:val="32"/>
          <w:szCs w:val="32"/>
          <w:lang w:val="en-US" w:eastAsia="zh-CN"/>
        </w:rPr>
        <w:t>，以优化存量为主，重点提升</w:t>
      </w:r>
      <w:r>
        <w:rPr>
          <w:rFonts w:hint="eastAsia" w:ascii="仿宋_GB2312" w:hAnsi="仿宋_GB2312" w:eastAsia="仿宋_GB2312" w:cs="仿宋_GB2312"/>
          <w:sz w:val="32"/>
          <w:szCs w:val="32"/>
          <w:lang w:val="en-US" w:eastAsia="zh-CN"/>
        </w:rPr>
        <w:t>其</w:t>
      </w:r>
      <w:r>
        <w:rPr>
          <w:rFonts w:hint="default" w:ascii="仿宋_GB2312" w:hAnsi="仿宋_GB2312" w:eastAsia="仿宋_GB2312" w:cs="仿宋_GB2312"/>
          <w:sz w:val="32"/>
          <w:szCs w:val="32"/>
          <w:lang w:val="en-US" w:eastAsia="zh-CN"/>
        </w:rPr>
        <w:t>定点医疗机构的医保服务质量。</w:t>
      </w:r>
      <w:r>
        <w:rPr>
          <w:rFonts w:hint="eastAsia" w:ascii="仿宋_GB2312" w:hAnsi="仿宋_GB2312" w:eastAsia="仿宋_GB2312" w:cs="仿宋_GB2312"/>
          <w:sz w:val="32"/>
          <w:szCs w:val="32"/>
          <w:lang w:val="en-US" w:eastAsia="zh-CN"/>
        </w:rPr>
        <w:t>新</w:t>
      </w:r>
      <w:r>
        <w:rPr>
          <w:rFonts w:hint="default" w:ascii="仿宋_GB2312" w:hAnsi="仿宋_GB2312" w:eastAsia="仿宋_GB2312" w:cs="仿宋_GB2312"/>
          <w:sz w:val="32"/>
          <w:szCs w:val="32"/>
          <w:lang w:val="en-US" w:eastAsia="zh-CN"/>
        </w:rPr>
        <w:t>申请开通职工医保个人账户结算服务的医疗机构（门诊部或诊所）按照本规划执行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实行总量控制，择优纳入，退2进1</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w:t>
      </w:r>
    </w:p>
    <w:p w14:paraId="3492DD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（三）定点零售药店配置</w:t>
      </w:r>
    </w:p>
    <w:p w14:paraId="4DAC6C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城市建成区按照</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15分钟医保服务圈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要求，服务半径800米范围内可以纳</w:t>
      </w:r>
      <w:r>
        <w:rPr>
          <w:rFonts w:hint="eastAsia" w:ascii="仿宋_GB2312" w:hAnsi="仿宋_GB2312" w:eastAsia="仿宋_GB2312" w:cs="仿宋_GB2312"/>
          <w:sz w:val="32"/>
          <w:szCs w:val="32"/>
          <w:highlight w:val="none"/>
          <w:lang w:val="en-US" w:eastAsia="zh-CN"/>
        </w:rPr>
        <w:t>入3家定点零售药店。乡镇中心区至少有1家定点零售药店，原则上每个县（市）至少有1家高值药品“双通道”药店。</w:t>
      </w:r>
    </w:p>
    <w:p w14:paraId="6AFF64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（四）其他配置</w:t>
      </w:r>
    </w:p>
    <w:p w14:paraId="0282AA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医疗机构</w:t>
      </w:r>
      <w:r>
        <w:rPr>
          <w:rFonts w:hint="eastAsia" w:ascii="仿宋_GB2312" w:hAnsi="仿宋_GB2312" w:eastAsia="仿宋_GB2312" w:cs="仿宋_GB2312"/>
          <w:color w:val="auto"/>
          <w:sz w:val="32"/>
          <w:szCs w:val="32"/>
          <w:lang w:eastAsia="zh-CN"/>
        </w:rPr>
        <w:t>区域</w:t>
      </w:r>
      <w:r>
        <w:rPr>
          <w:rFonts w:hint="eastAsia" w:ascii="仿宋_GB2312" w:hAnsi="仿宋_GB2312" w:eastAsia="仿宋_GB2312" w:cs="仿宋_GB2312"/>
          <w:color w:val="auto"/>
          <w:sz w:val="32"/>
          <w:szCs w:val="32"/>
        </w:rPr>
        <w:t>设置规划且承担公共卫生服务职能的</w:t>
      </w:r>
      <w:r>
        <w:rPr>
          <w:rFonts w:hint="eastAsia" w:ascii="仿宋_GB2312" w:hAnsi="仿宋_GB2312" w:eastAsia="仿宋_GB2312" w:cs="仿宋_GB2312"/>
          <w:color w:val="auto"/>
          <w:sz w:val="32"/>
          <w:szCs w:val="32"/>
          <w:lang w:eastAsia="zh-CN"/>
        </w:rPr>
        <w:t>基层乡镇卫生院、</w:t>
      </w:r>
      <w:r>
        <w:rPr>
          <w:rFonts w:hint="eastAsia" w:ascii="仿宋_GB2312" w:hAnsi="仿宋_GB2312" w:eastAsia="仿宋_GB2312" w:cs="仿宋_GB2312"/>
          <w:color w:val="auto"/>
          <w:sz w:val="32"/>
          <w:szCs w:val="32"/>
          <w:highlight w:val="none"/>
          <w:u w:val="none"/>
          <w:lang w:val="en-US" w:eastAsia="zh-CN"/>
        </w:rPr>
        <w:t>社区卫生服务中心、</w:t>
      </w:r>
      <w:r>
        <w:rPr>
          <w:rFonts w:hint="eastAsia" w:ascii="仿宋_GB2312" w:hAnsi="仿宋_GB2312" w:eastAsia="仿宋_GB2312" w:cs="仿宋_GB2312"/>
          <w:color w:val="auto"/>
          <w:sz w:val="32"/>
          <w:szCs w:val="32"/>
          <w:u w:val="none"/>
          <w:lang w:val="en-US" w:eastAsia="zh-CN"/>
        </w:rPr>
        <w:t>村卫生室</w:t>
      </w:r>
      <w:r>
        <w:rPr>
          <w:rFonts w:hint="eastAsia" w:ascii="仿宋_GB2312" w:hAnsi="仿宋_GB2312" w:eastAsia="仿宋_GB2312" w:cs="仿宋_GB2312"/>
          <w:color w:val="auto"/>
          <w:sz w:val="32"/>
          <w:szCs w:val="32"/>
          <w:lang w:val="en-US" w:eastAsia="zh-CN"/>
        </w:rPr>
        <w:t>，可不受服务半径限制。</w:t>
      </w:r>
      <w:r>
        <w:rPr>
          <w:rFonts w:hint="eastAsia" w:ascii="仿宋_GB2312" w:hAnsi="仿宋_GB2312" w:eastAsia="仿宋_GB2312" w:cs="仿宋_GB2312"/>
          <w:sz w:val="32"/>
          <w:szCs w:val="32"/>
          <w:lang w:eastAsia="zh-CN"/>
        </w:rPr>
        <w:t>列入政府民生保障项目的医疗机构，</w:t>
      </w:r>
      <w:r>
        <w:rPr>
          <w:rFonts w:hint="eastAsia" w:ascii="仿宋_GB2312" w:hAnsi="仿宋_GB2312" w:eastAsia="仿宋_GB2312" w:cs="仿宋_GB2312"/>
          <w:sz w:val="32"/>
          <w:szCs w:val="32"/>
          <w:u w:val="none"/>
          <w:lang w:val="en-US" w:eastAsia="zh-CN"/>
        </w:rPr>
        <w:t>高等院校、公立养老机构内设医疗机构，</w:t>
      </w:r>
      <w:r>
        <w:rPr>
          <w:rFonts w:hint="eastAsia" w:ascii="仿宋_GB2312" w:hAnsi="仿宋_GB2312" w:eastAsia="仿宋_GB2312" w:cs="仿宋_GB2312"/>
          <w:sz w:val="32"/>
          <w:szCs w:val="32"/>
        </w:rPr>
        <w:t>可不受</w:t>
      </w:r>
      <w:r>
        <w:rPr>
          <w:rFonts w:hint="eastAsia" w:ascii="仿宋_GB2312" w:hAnsi="仿宋_GB2312" w:eastAsia="仿宋_GB2312" w:cs="仿宋_GB2312"/>
          <w:sz w:val="32"/>
          <w:szCs w:val="32"/>
          <w:lang w:eastAsia="zh-CN"/>
        </w:rPr>
        <w:t>本规划</w:t>
      </w:r>
      <w:r>
        <w:rPr>
          <w:rFonts w:hint="eastAsia" w:ascii="仿宋_GB2312" w:hAnsi="仿宋_GB2312" w:eastAsia="仿宋_GB2312" w:cs="仿宋_GB2312"/>
          <w:sz w:val="32"/>
          <w:szCs w:val="32"/>
        </w:rPr>
        <w:t>的限制</w:t>
      </w:r>
      <w:r>
        <w:rPr>
          <w:rFonts w:hint="eastAsia" w:ascii="仿宋_GB2312" w:hAnsi="仿宋_GB2312" w:eastAsia="仿宋_GB2312" w:cs="仿宋_GB2312"/>
          <w:sz w:val="32"/>
          <w:szCs w:val="32"/>
          <w:lang w:eastAsia="zh-CN"/>
        </w:rPr>
        <w:t>，符合条件的，原则上纳入定点准入范围。</w:t>
      </w:r>
    </w:p>
    <w:p w14:paraId="3B0284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（五）不予纳入情形</w:t>
      </w:r>
    </w:p>
    <w:p w14:paraId="744913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机构设置不符合《医疗机构设置规划》或相关行业管理规范的其他要求，不符合定点医药机构服务协议、法规和政策规定的其他不予纳入的情形。</w:t>
      </w:r>
    </w:p>
    <w:p w14:paraId="677C7F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（六）新增执业地点</w:t>
      </w:r>
    </w:p>
    <w:p w14:paraId="315C2A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新设分院区、延伸点等新增执业地点的定点医疗机构视同新增定点，执行本规划。变更注册地址的定点医药机构，执行本规划。</w:t>
      </w:r>
    </w:p>
    <w:p w14:paraId="2AB0A4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四、测算结果及分析</w:t>
      </w:r>
    </w:p>
    <w:p w14:paraId="65EDBD9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经科学测算，将我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市医保所需千人床位数与</w:t>
      </w:r>
      <w:r>
        <w:rPr>
          <w:rFonts w:hint="eastAsia" w:ascii="仿宋_GB2312" w:hAnsi="仿宋_GB2312" w:eastAsia="仿宋_GB2312" w:cs="仿宋_GB2312"/>
          <w:color w:val="auto"/>
          <w:sz w:val="32"/>
          <w:szCs w:val="32"/>
          <w:lang w:val="en-US" w:eastAsia="zh-CN"/>
        </w:rPr>
        <w:t>区域卫生规划千人床位数、现有定点医药机构千人实际床位数进行比对分析，结果为6.34张</w:t>
      </w:r>
      <w:r>
        <w:rPr>
          <w:rFonts w:hint="eastAsia" w:ascii="仿宋_GB2312" w:hAnsi="仿宋_GB2312" w:eastAsia="仿宋_GB2312" w:cs="仿宋_GB2312"/>
          <w:color w:val="auto"/>
          <w:sz w:val="32"/>
          <w:szCs w:val="32"/>
          <w:highlight w:val="none"/>
          <w:lang w:val="en-US" w:eastAsia="zh-CN"/>
        </w:rPr>
        <w:t>小于8.6</w:t>
      </w:r>
      <w:r>
        <w:rPr>
          <w:rFonts w:hint="eastAsia" w:ascii="仿宋_GB2312" w:hAnsi="仿宋_GB2312" w:eastAsia="仿宋_GB2312" w:cs="仿宋_GB2312"/>
          <w:color w:val="auto"/>
          <w:sz w:val="32"/>
          <w:szCs w:val="32"/>
          <w:lang w:val="en-US" w:eastAsia="zh-CN"/>
        </w:rPr>
        <w:t>张和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9.15张</w:t>
      </w:r>
      <w:r>
        <w:rPr>
          <w:rFonts w:hint="eastAsia" w:ascii="仿宋_GB2312" w:hAnsi="仿宋_GB2312" w:eastAsia="仿宋_GB2312" w:cs="仿宋_GB2312"/>
          <w:color w:val="auto"/>
          <w:sz w:val="32"/>
          <w:szCs w:val="32"/>
          <w:lang w:val="en-US" w:eastAsia="zh-CN"/>
        </w:rPr>
        <w:t>，应适用第二项管理规则，以优化存量，促进分级诊疗为主。引导三级定点医疗机构聚焦急危重症，提升区域医疗中心整体水平，合理配置床位资源；重点调剂二级、一级医疗机构床位数，促进二级医疗机构定位为地区医疗枢纽，负责区域内常见病、多发病诊疗；一级医疗机构以基层首诊为核心，提供常见病、慢性病诊疗，提升预防保健等居民健康管理。</w:t>
      </w:r>
    </w:p>
    <w:p w14:paraId="7DDB40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color w:val="FF0000"/>
          <w:lang w:val="en-US" w:eastAsia="zh-CN"/>
        </w:rPr>
      </w:pPr>
      <w:r>
        <w:rPr>
          <w:rFonts w:hint="eastAsia" w:ascii="仿宋_GB2312" w:hAnsi="仿宋_GB2312" w:eastAsia="仿宋_GB2312" w:cs="仿宋_GB2312"/>
          <w:sz w:val="32"/>
          <w:szCs w:val="32"/>
          <w:lang w:val="en-US" w:eastAsia="zh-CN"/>
        </w:rPr>
        <w:t>强化日常管理，采取组织评估、考核评价、监督稽核等多种方式，对现有定点医药机构资源进行全面评估考核，重点对违反服务协议、受到行政处罚、终止支付资格以及未实质开展医疗服务的定点医药机构进行重新评估和资格复审，采取分步实施、循序渐进方式，逐步将不符合条件的定点医药机构调整退出资源配置范围。调整过程中要防止一刀切，确保稳妥实施、平稳过渡。</w:t>
      </w:r>
    </w:p>
    <w:p w14:paraId="5B20F1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五、组织实施</w:t>
      </w:r>
    </w:p>
    <w:p w14:paraId="6A57A68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highlight w:val="none"/>
          <w:lang w:val="en-US" w:eastAsia="zh-CN"/>
        </w:rPr>
        <w:t xml:space="preserve"> （一）加强组织领导</w:t>
      </w:r>
    </w:p>
    <w:p w14:paraId="2E13B70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市医保局负责统筹推进规划编制工作；市医保中心负责规划分析测算，每年拟定全市年度执行计划。各县（市）医保部门要切实加强领导，落实责任，协同推进，确保区域内定点医药机构资源配置工作平稳有序实施。各部门加强沟通协调，及时发现和解决实施中的各类问题，确保规划目标顺利实施。</w:t>
      </w:r>
    </w:p>
    <w:p w14:paraId="18DD4C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（二）完善管理机制</w:t>
      </w:r>
    </w:p>
    <w:p w14:paraId="73D579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在合理布局的基础上，本着公平、公开、公正的择优定点原则，将优质医药机构纳入定点管理范围。强化协议管理，建立定点医药机构考核办法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突出行为规范、服务质量、费用控制、考核评价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形成有进有出的动态管理机制。</w:t>
      </w:r>
    </w:p>
    <w:p w14:paraId="643E5E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（三）强化部门协同</w:t>
      </w:r>
    </w:p>
    <w:p w14:paraId="334C93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卫健、市场监督等部门共同强化沟通协调和信息共享机制，在医药机构规划、设置和医保定点资源规划确定等方面加强工作联动，确保医保定点医药服务资源配置规划及实施更加符合我市经济社会发展实际，更加适宜医保管理与服务保障提升。</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F174F5-3559-4DEF-BA61-5DF302EC3B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6B273E2A-488D-4F6A-BF7D-4CE19082BAD5}"/>
  </w:font>
  <w:font w:name="方正小标宋简体">
    <w:panose1 w:val="02000000000000000000"/>
    <w:charset w:val="86"/>
    <w:family w:val="auto"/>
    <w:pitch w:val="default"/>
    <w:sig w:usb0="00000001" w:usb1="08000000" w:usb2="00000000" w:usb3="00000000" w:csb0="00040000" w:csb1="00000000"/>
    <w:embedRegular r:id="rId3" w:fontKey="{1616E2B8-BFDD-4204-BEE9-3AD1A04E8CCB}"/>
  </w:font>
  <w:font w:name="楷体">
    <w:panose1 w:val="02010609060101010101"/>
    <w:charset w:val="86"/>
    <w:family w:val="auto"/>
    <w:pitch w:val="default"/>
    <w:sig w:usb0="800002BF" w:usb1="38CF7CFA" w:usb2="00000016" w:usb3="00000000" w:csb0="00040001" w:csb1="00000000"/>
    <w:embedRegular r:id="rId4" w:fontKey="{CAC40ECE-F23A-4CD3-B7BE-7E7395BDC6D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D8A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84136">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384136">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C02AC"/>
    <w:rsid w:val="01943DEE"/>
    <w:rsid w:val="01A8339D"/>
    <w:rsid w:val="01CB189A"/>
    <w:rsid w:val="0286398A"/>
    <w:rsid w:val="034B50DA"/>
    <w:rsid w:val="0363023C"/>
    <w:rsid w:val="043D7FA1"/>
    <w:rsid w:val="047B042A"/>
    <w:rsid w:val="048A79CA"/>
    <w:rsid w:val="05D7239D"/>
    <w:rsid w:val="05FB4589"/>
    <w:rsid w:val="062E124F"/>
    <w:rsid w:val="06353CE5"/>
    <w:rsid w:val="06826B84"/>
    <w:rsid w:val="06C51DA2"/>
    <w:rsid w:val="073DF05F"/>
    <w:rsid w:val="0770412B"/>
    <w:rsid w:val="07AB14C2"/>
    <w:rsid w:val="07AD0A26"/>
    <w:rsid w:val="082D6682"/>
    <w:rsid w:val="08812082"/>
    <w:rsid w:val="08F00FB1"/>
    <w:rsid w:val="09AD29E4"/>
    <w:rsid w:val="09D763E4"/>
    <w:rsid w:val="09DE0CE4"/>
    <w:rsid w:val="09E6193E"/>
    <w:rsid w:val="0B79638F"/>
    <w:rsid w:val="0BA27A56"/>
    <w:rsid w:val="0C764C72"/>
    <w:rsid w:val="0D1478A7"/>
    <w:rsid w:val="0D5D49D6"/>
    <w:rsid w:val="0ECF525C"/>
    <w:rsid w:val="0F117F83"/>
    <w:rsid w:val="0FD83FFE"/>
    <w:rsid w:val="0FF40C8A"/>
    <w:rsid w:val="10472678"/>
    <w:rsid w:val="10B864D6"/>
    <w:rsid w:val="112E42F9"/>
    <w:rsid w:val="11AE1D8A"/>
    <w:rsid w:val="132D4070"/>
    <w:rsid w:val="14192DA7"/>
    <w:rsid w:val="14CC6394"/>
    <w:rsid w:val="150C5C18"/>
    <w:rsid w:val="155374EB"/>
    <w:rsid w:val="18962080"/>
    <w:rsid w:val="190F1BCE"/>
    <w:rsid w:val="1B2D30E6"/>
    <w:rsid w:val="1B6FE826"/>
    <w:rsid w:val="1D675CF3"/>
    <w:rsid w:val="1D7D4C5A"/>
    <w:rsid w:val="1F031C9E"/>
    <w:rsid w:val="1F090B96"/>
    <w:rsid w:val="1F0B7BF4"/>
    <w:rsid w:val="1FBA6366"/>
    <w:rsid w:val="204D46F1"/>
    <w:rsid w:val="20781C96"/>
    <w:rsid w:val="20A52830"/>
    <w:rsid w:val="20B17754"/>
    <w:rsid w:val="213E3271"/>
    <w:rsid w:val="21930A3C"/>
    <w:rsid w:val="21C539C0"/>
    <w:rsid w:val="21FF20D5"/>
    <w:rsid w:val="23AE5585"/>
    <w:rsid w:val="23B86ECE"/>
    <w:rsid w:val="23EE23B8"/>
    <w:rsid w:val="23F27276"/>
    <w:rsid w:val="254E3ADC"/>
    <w:rsid w:val="25C45B36"/>
    <w:rsid w:val="25ED1ED4"/>
    <w:rsid w:val="25F67849"/>
    <w:rsid w:val="267A3682"/>
    <w:rsid w:val="268B44A9"/>
    <w:rsid w:val="26FE1348"/>
    <w:rsid w:val="29566F60"/>
    <w:rsid w:val="29D00231"/>
    <w:rsid w:val="2A5E67CE"/>
    <w:rsid w:val="2B454E75"/>
    <w:rsid w:val="2C653AE6"/>
    <w:rsid w:val="2DA15FD1"/>
    <w:rsid w:val="2ECE479A"/>
    <w:rsid w:val="2F1C0D09"/>
    <w:rsid w:val="2F6A5AB4"/>
    <w:rsid w:val="2F6FCA95"/>
    <w:rsid w:val="2F736C80"/>
    <w:rsid w:val="2FE467F2"/>
    <w:rsid w:val="2FEF9321"/>
    <w:rsid w:val="2FFE09C5"/>
    <w:rsid w:val="30FBB3C5"/>
    <w:rsid w:val="31367799"/>
    <w:rsid w:val="328F2905"/>
    <w:rsid w:val="33691C30"/>
    <w:rsid w:val="339F2E57"/>
    <w:rsid w:val="34096CE3"/>
    <w:rsid w:val="34176D2D"/>
    <w:rsid w:val="357D67D2"/>
    <w:rsid w:val="35832E3C"/>
    <w:rsid w:val="362448E7"/>
    <w:rsid w:val="362E417E"/>
    <w:rsid w:val="366B193B"/>
    <w:rsid w:val="36DA8104"/>
    <w:rsid w:val="36EF8379"/>
    <w:rsid w:val="375D4649"/>
    <w:rsid w:val="376FEA38"/>
    <w:rsid w:val="3775DDB1"/>
    <w:rsid w:val="39D26DF7"/>
    <w:rsid w:val="39FDE702"/>
    <w:rsid w:val="3BAF021B"/>
    <w:rsid w:val="3BBC6838"/>
    <w:rsid w:val="3BC736E2"/>
    <w:rsid w:val="3BFB2CA0"/>
    <w:rsid w:val="3C9C3372"/>
    <w:rsid w:val="3CB36E5B"/>
    <w:rsid w:val="3D216F84"/>
    <w:rsid w:val="3E9B5438"/>
    <w:rsid w:val="3EC14DF3"/>
    <w:rsid w:val="3EDA8695"/>
    <w:rsid w:val="3EF37EF4"/>
    <w:rsid w:val="3FEE0EC0"/>
    <w:rsid w:val="3FF86575"/>
    <w:rsid w:val="3FFC175D"/>
    <w:rsid w:val="40333CF5"/>
    <w:rsid w:val="40382529"/>
    <w:rsid w:val="41F77627"/>
    <w:rsid w:val="43183607"/>
    <w:rsid w:val="43CF5935"/>
    <w:rsid w:val="43ED5372"/>
    <w:rsid w:val="4402135F"/>
    <w:rsid w:val="444B0764"/>
    <w:rsid w:val="44695850"/>
    <w:rsid w:val="44D21035"/>
    <w:rsid w:val="454A6A2B"/>
    <w:rsid w:val="45CF216D"/>
    <w:rsid w:val="4657393F"/>
    <w:rsid w:val="476F9F57"/>
    <w:rsid w:val="47FB3989"/>
    <w:rsid w:val="48645385"/>
    <w:rsid w:val="4A025333"/>
    <w:rsid w:val="4AFF1276"/>
    <w:rsid w:val="4BC620E0"/>
    <w:rsid w:val="4C4E1AF5"/>
    <w:rsid w:val="4C7E3B64"/>
    <w:rsid w:val="4CE8219F"/>
    <w:rsid w:val="4D110590"/>
    <w:rsid w:val="4D632D9E"/>
    <w:rsid w:val="4F230546"/>
    <w:rsid w:val="4FBFC538"/>
    <w:rsid w:val="50E73407"/>
    <w:rsid w:val="535F0D07"/>
    <w:rsid w:val="53BE3197"/>
    <w:rsid w:val="53EC2E48"/>
    <w:rsid w:val="542E36EF"/>
    <w:rsid w:val="543D55C0"/>
    <w:rsid w:val="550D3835"/>
    <w:rsid w:val="55EA621E"/>
    <w:rsid w:val="560C1D5F"/>
    <w:rsid w:val="565939ED"/>
    <w:rsid w:val="56A90FD7"/>
    <w:rsid w:val="56DD974A"/>
    <w:rsid w:val="56EE5190"/>
    <w:rsid w:val="572444A8"/>
    <w:rsid w:val="57426415"/>
    <w:rsid w:val="575A1C0A"/>
    <w:rsid w:val="5770027C"/>
    <w:rsid w:val="58FE7118"/>
    <w:rsid w:val="5A371107"/>
    <w:rsid w:val="5A5D05FC"/>
    <w:rsid w:val="5B5FE4A4"/>
    <w:rsid w:val="5B756DDF"/>
    <w:rsid w:val="5B9A3577"/>
    <w:rsid w:val="5BA913F1"/>
    <w:rsid w:val="5BAF76FB"/>
    <w:rsid w:val="5BFF2700"/>
    <w:rsid w:val="5C351149"/>
    <w:rsid w:val="5DA5304D"/>
    <w:rsid w:val="5E0E219D"/>
    <w:rsid w:val="5E583EFD"/>
    <w:rsid w:val="5E5B66A6"/>
    <w:rsid w:val="5E895EE5"/>
    <w:rsid w:val="5EE153F2"/>
    <w:rsid w:val="5F100739"/>
    <w:rsid w:val="5F27F5DA"/>
    <w:rsid w:val="5F7CA38A"/>
    <w:rsid w:val="60092133"/>
    <w:rsid w:val="6259045E"/>
    <w:rsid w:val="628614A4"/>
    <w:rsid w:val="62BD685D"/>
    <w:rsid w:val="62FB0AE3"/>
    <w:rsid w:val="636E387A"/>
    <w:rsid w:val="63C747E1"/>
    <w:rsid w:val="63FDBB0F"/>
    <w:rsid w:val="647470A6"/>
    <w:rsid w:val="64B4710A"/>
    <w:rsid w:val="659C6EFE"/>
    <w:rsid w:val="65D6FF3F"/>
    <w:rsid w:val="66C043ED"/>
    <w:rsid w:val="670F7267"/>
    <w:rsid w:val="68705680"/>
    <w:rsid w:val="689852B4"/>
    <w:rsid w:val="68B85BDD"/>
    <w:rsid w:val="68EA1ED5"/>
    <w:rsid w:val="690425D0"/>
    <w:rsid w:val="696C40C9"/>
    <w:rsid w:val="69F356F9"/>
    <w:rsid w:val="6A96000B"/>
    <w:rsid w:val="6B082A9E"/>
    <w:rsid w:val="6B113FF6"/>
    <w:rsid w:val="6B1F674A"/>
    <w:rsid w:val="6B437E02"/>
    <w:rsid w:val="6BB32ADD"/>
    <w:rsid w:val="6C511A3B"/>
    <w:rsid w:val="6CAD1F5A"/>
    <w:rsid w:val="6D7FAA21"/>
    <w:rsid w:val="6D97837F"/>
    <w:rsid w:val="6E3D31B0"/>
    <w:rsid w:val="6E9733E2"/>
    <w:rsid w:val="6EB5812E"/>
    <w:rsid w:val="6F4710EF"/>
    <w:rsid w:val="6FCF567B"/>
    <w:rsid w:val="6FEF806E"/>
    <w:rsid w:val="6FFB5C0E"/>
    <w:rsid w:val="6FFFA81D"/>
    <w:rsid w:val="70791B8A"/>
    <w:rsid w:val="70FBDDF7"/>
    <w:rsid w:val="73BD3A2F"/>
    <w:rsid w:val="74F83F63"/>
    <w:rsid w:val="74F85C46"/>
    <w:rsid w:val="74FF3258"/>
    <w:rsid w:val="753B3118"/>
    <w:rsid w:val="75496E20"/>
    <w:rsid w:val="75746156"/>
    <w:rsid w:val="757FB385"/>
    <w:rsid w:val="75F567AD"/>
    <w:rsid w:val="760302D0"/>
    <w:rsid w:val="76BC2BA8"/>
    <w:rsid w:val="777B4633"/>
    <w:rsid w:val="77905DB6"/>
    <w:rsid w:val="77CE4490"/>
    <w:rsid w:val="77F953CA"/>
    <w:rsid w:val="77FB84FB"/>
    <w:rsid w:val="7950521B"/>
    <w:rsid w:val="79A05580"/>
    <w:rsid w:val="79FD4CBE"/>
    <w:rsid w:val="7AFF8CE3"/>
    <w:rsid w:val="7B1ABEBF"/>
    <w:rsid w:val="7B697A10"/>
    <w:rsid w:val="7B7F323B"/>
    <w:rsid w:val="7BBF6E7E"/>
    <w:rsid w:val="7BDBE1FD"/>
    <w:rsid w:val="7BE545E6"/>
    <w:rsid w:val="7BFFBDDC"/>
    <w:rsid w:val="7C1138DF"/>
    <w:rsid w:val="7CAE03BB"/>
    <w:rsid w:val="7CBC25F6"/>
    <w:rsid w:val="7CE8773F"/>
    <w:rsid w:val="7D3F2B2F"/>
    <w:rsid w:val="7DDC28B8"/>
    <w:rsid w:val="7E5F3A0A"/>
    <w:rsid w:val="7EAD4E38"/>
    <w:rsid w:val="7EBECE00"/>
    <w:rsid w:val="7EC72593"/>
    <w:rsid w:val="7EF4B53A"/>
    <w:rsid w:val="7EFC4923"/>
    <w:rsid w:val="7F1C9B86"/>
    <w:rsid w:val="7F3E1333"/>
    <w:rsid w:val="7F4FE54B"/>
    <w:rsid w:val="7F7FA40E"/>
    <w:rsid w:val="7F8D63A8"/>
    <w:rsid w:val="7F93E6B4"/>
    <w:rsid w:val="7FABAC74"/>
    <w:rsid w:val="7FBF2173"/>
    <w:rsid w:val="7FC52A57"/>
    <w:rsid w:val="7FD06341"/>
    <w:rsid w:val="7FD77392"/>
    <w:rsid w:val="7FD774E6"/>
    <w:rsid w:val="7FD780B2"/>
    <w:rsid w:val="7FE325CD"/>
    <w:rsid w:val="7FE7FBC4"/>
    <w:rsid w:val="7FEB3883"/>
    <w:rsid w:val="7FF57317"/>
    <w:rsid w:val="7FFBE3C5"/>
    <w:rsid w:val="7FFD98EE"/>
    <w:rsid w:val="7FFE539F"/>
    <w:rsid w:val="7FFFDF50"/>
    <w:rsid w:val="87AB8967"/>
    <w:rsid w:val="91FB1257"/>
    <w:rsid w:val="99AD06E0"/>
    <w:rsid w:val="99EF2CCF"/>
    <w:rsid w:val="9DEA1BB2"/>
    <w:rsid w:val="9F6C1FF0"/>
    <w:rsid w:val="9FD964D1"/>
    <w:rsid w:val="A13F0C1E"/>
    <w:rsid w:val="A7CFD454"/>
    <w:rsid w:val="AFBBA292"/>
    <w:rsid w:val="B4BF56BC"/>
    <w:rsid w:val="B5BEB1C9"/>
    <w:rsid w:val="B5FF0AD8"/>
    <w:rsid w:val="B5FFD74A"/>
    <w:rsid w:val="B6FFA102"/>
    <w:rsid w:val="B7E6036D"/>
    <w:rsid w:val="B86115BE"/>
    <w:rsid w:val="BAB530CB"/>
    <w:rsid w:val="BAEF2C01"/>
    <w:rsid w:val="BB54D4A7"/>
    <w:rsid w:val="BBFF3A30"/>
    <w:rsid w:val="BCE9F93F"/>
    <w:rsid w:val="BEF3777D"/>
    <w:rsid w:val="BFFB7337"/>
    <w:rsid w:val="BFFD21DB"/>
    <w:rsid w:val="CBD7AFBF"/>
    <w:rsid w:val="CBEF1A07"/>
    <w:rsid w:val="CDD7A4A6"/>
    <w:rsid w:val="CEFB18DB"/>
    <w:rsid w:val="D5FF1944"/>
    <w:rsid w:val="D5FFE728"/>
    <w:rsid w:val="D73E6C9D"/>
    <w:rsid w:val="D7F61A29"/>
    <w:rsid w:val="D9FDBB01"/>
    <w:rsid w:val="DB6D8C42"/>
    <w:rsid w:val="DBBB3BF7"/>
    <w:rsid w:val="DCFF2971"/>
    <w:rsid w:val="DDCA5FD4"/>
    <w:rsid w:val="DE377C46"/>
    <w:rsid w:val="DF3F06D8"/>
    <w:rsid w:val="DF7511CF"/>
    <w:rsid w:val="DFBD976F"/>
    <w:rsid w:val="DFE73251"/>
    <w:rsid w:val="DFFF79C9"/>
    <w:rsid w:val="E39EADA5"/>
    <w:rsid w:val="E9FEE5AF"/>
    <w:rsid w:val="EBDFEE2F"/>
    <w:rsid w:val="EBFC02AC"/>
    <w:rsid w:val="EEF76DE1"/>
    <w:rsid w:val="EF5FF06D"/>
    <w:rsid w:val="EF7DD87E"/>
    <w:rsid w:val="EFBF75BD"/>
    <w:rsid w:val="EFEF2DD2"/>
    <w:rsid w:val="EFF72F01"/>
    <w:rsid w:val="EFFFA8FA"/>
    <w:rsid w:val="F2FF1203"/>
    <w:rsid w:val="F57F99DC"/>
    <w:rsid w:val="F5B4715C"/>
    <w:rsid w:val="F6C75473"/>
    <w:rsid w:val="F7C53359"/>
    <w:rsid w:val="F8EFB1A7"/>
    <w:rsid w:val="FB9BA376"/>
    <w:rsid w:val="FBB78105"/>
    <w:rsid w:val="FBFDC15C"/>
    <w:rsid w:val="FCB7A01E"/>
    <w:rsid w:val="FCDD46E9"/>
    <w:rsid w:val="FCFFF829"/>
    <w:rsid w:val="FDD71A53"/>
    <w:rsid w:val="FDFD83A0"/>
    <w:rsid w:val="FDFDB0FB"/>
    <w:rsid w:val="FDFF7B97"/>
    <w:rsid w:val="FE77CEE9"/>
    <w:rsid w:val="FE7DA817"/>
    <w:rsid w:val="FED90AD2"/>
    <w:rsid w:val="FF036DA7"/>
    <w:rsid w:val="FF6FF551"/>
    <w:rsid w:val="FF79622F"/>
    <w:rsid w:val="FF7D6057"/>
    <w:rsid w:val="FFB691BE"/>
    <w:rsid w:val="FFBFE80A"/>
    <w:rsid w:val="FFDFA7F5"/>
    <w:rsid w:val="FFE7D486"/>
    <w:rsid w:val="FFEF5C6D"/>
    <w:rsid w:val="FFF5ACE2"/>
    <w:rsid w:val="FFFFD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tabs>
        <w:tab w:val="right" w:leader="dot" w:pos="8778"/>
      </w:tabs>
      <w:spacing w:after="100" w:line="259" w:lineRule="auto"/>
      <w:jc w:val="left"/>
    </w:pPr>
    <w:rPr>
      <w:rFonts w:ascii="宋体" w:hAnsi="宋体"/>
      <w:b/>
      <w:bCs/>
      <w:kern w:val="0"/>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3608</Words>
  <Characters>3698</Characters>
  <Lines>0</Lines>
  <Paragraphs>0</Paragraphs>
  <TotalTime>78</TotalTime>
  <ScaleCrop>false</ScaleCrop>
  <LinksUpToDate>false</LinksUpToDate>
  <CharactersWithSpaces>3714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2026-01-14T10:03:00Z</dcterms:created>
  <dc:creator> </dc:creator>
  <cp:lastModifiedBy>淡定</cp:lastModifiedBy>
  <cp:lastPrinted>2026-06-24T02:26:24Z</cp:lastPrinted>
  <dcterms:modified xsi:type="dcterms:W3CDTF">2026-06-24T02:27:39Z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eyJoZGlkIjoiNDkyZWYxODhhMGRhNmQ2NmIxYTBkOGY3MTEzOTg0NTIiLCJ1c2VySWQiOiIyNjE5MTU3MjMifQ==</vt:lpwstr>
  </property>
  <property fmtid="{D5CDD505-2E9C-101B-9397-08002B2CF9AE}" pid="4" name="ICV">
    <vt:lpwstr>461D480DE128447ABF139E9B5FEBD294_13</vt:lpwstr>
  </property>
</Properties>
</file>