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FE705">
      <w:pPr>
        <w:adjustRightInd w:val="0"/>
        <w:snapToGrid w:val="0"/>
        <w:spacing w:line="600" w:lineRule="exact"/>
        <w:jc w:val="center"/>
        <w:rPr>
          <w:rStyle w:val="12"/>
          <w:rFonts w:ascii="宋体" w:hAnsi="宋体" w:eastAsia="宋体"/>
          <w:sz w:val="44"/>
          <w:szCs w:val="44"/>
        </w:rPr>
      </w:pPr>
    </w:p>
    <w:p w14:paraId="72A1A49F">
      <w:pPr>
        <w:adjustRightInd w:val="0"/>
        <w:snapToGrid w:val="0"/>
        <w:spacing w:line="600" w:lineRule="exact"/>
        <w:jc w:val="center"/>
        <w:rPr>
          <w:rStyle w:val="12"/>
          <w:rFonts w:ascii="宋体" w:hAnsi="宋体" w:eastAsia="宋体"/>
          <w:sz w:val="44"/>
          <w:szCs w:val="44"/>
        </w:rPr>
      </w:pPr>
      <w:r>
        <w:rPr>
          <w:rStyle w:val="12"/>
          <w:rFonts w:hint="eastAsia" w:ascii="宋体" w:hAnsi="宋体" w:eastAsia="宋体"/>
          <w:sz w:val="44"/>
          <w:szCs w:val="44"/>
        </w:rPr>
        <w:t>朝阳市电动自行车停放充电设施</w:t>
      </w:r>
    </w:p>
    <w:p w14:paraId="273ED0CB">
      <w:pPr>
        <w:adjustRightInd w:val="0"/>
        <w:snapToGrid w:val="0"/>
        <w:spacing w:line="600" w:lineRule="exact"/>
        <w:jc w:val="center"/>
        <w:rPr>
          <w:rStyle w:val="12"/>
          <w:rFonts w:ascii="宋体" w:hAnsi="宋体" w:eastAsia="宋体"/>
          <w:sz w:val="44"/>
          <w:szCs w:val="44"/>
        </w:rPr>
      </w:pPr>
      <w:r>
        <w:rPr>
          <w:rStyle w:val="12"/>
          <w:rFonts w:hint="eastAsia" w:ascii="宋体" w:hAnsi="宋体" w:eastAsia="宋体"/>
          <w:sz w:val="44"/>
          <w:szCs w:val="44"/>
        </w:rPr>
        <w:t>建设工作方案</w:t>
      </w:r>
    </w:p>
    <w:p w14:paraId="4F9B77F5">
      <w:pPr>
        <w:pStyle w:val="8"/>
        <w:spacing w:before="0" w:beforeAutospacing="0" w:after="0" w:afterAutospacing="0" w:line="560" w:lineRule="exact"/>
        <w:jc w:val="center"/>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（征求</w:t>
      </w:r>
      <w:bookmarkStart w:id="0" w:name="_GoBack"/>
      <w:bookmarkEnd w:id="0"/>
      <w:r>
        <w:rPr>
          <w:rFonts w:hint="eastAsia" w:ascii="楷体_GB2312" w:hAnsi="楷体_GB2312" w:eastAsia="楷体_GB2312" w:cs="楷体_GB2312"/>
          <w:sz w:val="32"/>
          <w:szCs w:val="32"/>
          <w:shd w:val="clear" w:color="auto" w:fill="FFFFFF"/>
          <w:lang w:eastAsia="zh-CN"/>
        </w:rPr>
        <w:t>意见稿）</w:t>
      </w:r>
    </w:p>
    <w:p w14:paraId="11A19633">
      <w:pPr>
        <w:pStyle w:val="8"/>
        <w:spacing w:before="0" w:beforeAutospacing="0" w:after="0" w:afterAutospacing="0" w:line="560" w:lineRule="exact"/>
        <w:ind w:firstLine="640" w:firstLineChars="200"/>
        <w:jc w:val="both"/>
        <w:rPr>
          <w:rFonts w:ascii="Times New Roman" w:hAnsi="Times New Roman" w:eastAsia="仿宋_GB2312" w:cs="Times New Roman"/>
          <w:sz w:val="32"/>
          <w:szCs w:val="32"/>
          <w:shd w:val="clear" w:color="auto" w:fill="FFFFFF"/>
        </w:rPr>
      </w:pPr>
    </w:p>
    <w:p w14:paraId="6A1AD68D">
      <w:pPr>
        <w:pStyle w:val="8"/>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加快推进和规范既有住宅小区内（以下简称“既有小区内”）和公共区域增设电动自行车停放充电设施（以下简称“增设设施”）工作，有效防范电动自行车停放和充电环节存在的安全隐患，保障人民生命财产安全。根据《辽宁省电动自行车安全隐患全链条整治行动实施方案》、</w:t>
      </w:r>
      <w:r>
        <w:rPr>
          <w:rFonts w:ascii="Times New Roman" w:hAnsi="Times New Roman" w:eastAsia="仿宋_GB2312" w:cs="Times New Roman"/>
          <w:sz w:val="32"/>
          <w:szCs w:val="32"/>
        </w:rPr>
        <w:t>《辽宁省自然资源厅关于加强和规范电动自行车停放场所规划管理工作的通知》、</w:t>
      </w:r>
      <w:r>
        <w:rPr>
          <w:rFonts w:ascii="Times New Roman" w:hAnsi="Times New Roman" w:eastAsia="仿宋_GB2312" w:cs="Times New Roman"/>
          <w:sz w:val="32"/>
          <w:szCs w:val="32"/>
          <w:shd w:val="clear" w:color="auto" w:fill="FFFFFF"/>
        </w:rPr>
        <w:t>《辽宁省住建厅既有小区内增设电动自行车充电设施工作指导意见（试行）》、《朝阳市电动自行车安全隐患全链条整治行动实施方案的通知》等文件要求，结合我市实际，特制定本方案（试行）。</w:t>
      </w:r>
    </w:p>
    <w:p w14:paraId="7C610817">
      <w:pPr>
        <w:pStyle w:val="8"/>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一</w:t>
      </w:r>
      <w:r>
        <w:rPr>
          <w:rFonts w:ascii="Times New Roman" w:hAnsi="Times New Roman" w:eastAsia="黑体" w:cs="Times New Roman"/>
          <w:sz w:val="32"/>
          <w:szCs w:val="32"/>
        </w:rPr>
        <w:t>、工作目标</w:t>
      </w:r>
    </w:p>
    <w:p w14:paraId="623EDD8A">
      <w:pPr>
        <w:pStyle w:val="3"/>
        <w:snapToGrid w:val="0"/>
        <w:spacing w:after="0" w:line="580" w:lineRule="exact"/>
        <w:ind w:firstLine="640" w:firstLineChars="200"/>
        <w:rPr>
          <w:rFonts w:eastAsia="仿宋"/>
          <w:sz w:val="32"/>
          <w:szCs w:val="32"/>
          <w:shd w:val="clear" w:color="auto" w:fill="FFFFFF"/>
        </w:rPr>
      </w:pPr>
      <w:r>
        <w:rPr>
          <w:rFonts w:hint="eastAsia" w:eastAsia="仿宋_GB2312"/>
          <w:kern w:val="0"/>
          <w:sz w:val="32"/>
          <w:szCs w:val="32"/>
          <w:shd w:val="clear" w:color="auto" w:fill="FFFFFF"/>
        </w:rPr>
        <w:t>坚持人民至上、生命至上，按照“因地制宜、属地落实、分类施策、能建尽建、安全规范、便民高效”的原则，建立健全各级政府统筹，消防、发改、财政、住建、自然资源（国土空间规划服务中心）、公安、综合执法、电力等部门单位共同参与的工作机制，着力解决既有小区内和公共空间电动自行车集中停放场所、充电设施不足、违规停放充电等问题，有效预防压减电动自行车引发的火灾事故，消除失火隐患，降低存量风险，严控增量风险。各地要将增设充电设施列为重点民生工作，实现安全建设、安全管理，保障人民群众生命财产安全。</w:t>
      </w:r>
    </w:p>
    <w:p w14:paraId="1EA115F1">
      <w:pPr>
        <w:pStyle w:val="8"/>
        <w:snapToGrid w:val="0"/>
        <w:spacing w:before="0" w:beforeAutospacing="0" w:after="0" w:afterAutospacing="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、工作任务</w:t>
      </w:r>
    </w:p>
    <w:p w14:paraId="3CEF4F7F">
      <w:pPr>
        <w:pStyle w:val="3"/>
        <w:snapToGrid w:val="0"/>
        <w:spacing w:after="0" w:line="580" w:lineRule="exact"/>
        <w:ind w:firstLine="640" w:firstLineChars="200"/>
        <w:rPr>
          <w:rFonts w:eastAsia="黑体"/>
          <w:sz w:val="32"/>
          <w:szCs w:val="32"/>
        </w:rPr>
      </w:pPr>
      <w:r>
        <w:rPr>
          <w:rFonts w:eastAsia="仿宋_GB2312"/>
          <w:kern w:val="0"/>
          <w:sz w:val="32"/>
          <w:szCs w:val="32"/>
          <w:shd w:val="clear" w:color="auto" w:fill="FFFFFF"/>
        </w:rPr>
        <w:t>目前我市既有小区共有1385个，城区电动自行车保有量20.63万辆，已建充电设施的既有小区594个，配建比例为42.88%。按照省专班下达工作任务，单个小区电动自行车保有量与充电端口3:1的配建比例要求，结合各县（市）区实际情况，</w:t>
      </w:r>
      <w:r>
        <w:rPr>
          <w:rFonts w:hint="eastAsia" w:eastAsia="仿宋_GB2312"/>
          <w:kern w:val="0"/>
          <w:sz w:val="32"/>
          <w:szCs w:val="32"/>
          <w:shd w:val="clear" w:color="auto" w:fill="FFFFFF"/>
        </w:rPr>
        <w:t>计划</w:t>
      </w:r>
      <w:r>
        <w:rPr>
          <w:rFonts w:eastAsia="仿宋_GB2312"/>
          <w:kern w:val="0"/>
          <w:sz w:val="32"/>
          <w:szCs w:val="32"/>
          <w:shd w:val="clear" w:color="auto" w:fill="FFFFFF"/>
        </w:rPr>
        <w:t>增建充电端口33790个。力争2024年底前，各县（市）区配建停放充电设施小区的比例不低于50%，2025年底基本实现全覆盖。全市机关、学校、医院等单位以及大型商业综合体、车站等公共空间，利用现有或周边具备建设条件的场地，根据社会需求和自身需求（“两个需求”）进行建设。自然资源部门（国土空间规划服务中心）负责</w:t>
      </w:r>
      <w:r>
        <w:rPr>
          <w:rFonts w:hint="eastAsia" w:eastAsia="仿宋_GB2312"/>
          <w:kern w:val="0"/>
          <w:sz w:val="32"/>
          <w:szCs w:val="32"/>
          <w:shd w:val="clear" w:color="auto" w:fill="FFFFFF"/>
        </w:rPr>
        <w:t>统筹全市</w:t>
      </w:r>
      <w:r>
        <w:rPr>
          <w:rFonts w:eastAsia="仿宋_GB2312"/>
          <w:kern w:val="0"/>
          <w:sz w:val="32"/>
          <w:szCs w:val="32"/>
          <w:shd w:val="clear" w:color="auto" w:fill="FFFFFF"/>
        </w:rPr>
        <w:t>公共空间增设设施工作，住建部门负责</w:t>
      </w:r>
      <w:r>
        <w:rPr>
          <w:rFonts w:hint="eastAsia" w:eastAsia="仿宋_GB2312"/>
          <w:kern w:val="0"/>
          <w:sz w:val="32"/>
          <w:szCs w:val="32"/>
          <w:shd w:val="clear" w:color="auto" w:fill="FFFFFF"/>
        </w:rPr>
        <w:t>统筹全市</w:t>
      </w:r>
      <w:r>
        <w:rPr>
          <w:rFonts w:eastAsia="仿宋_GB2312"/>
          <w:kern w:val="0"/>
          <w:sz w:val="32"/>
          <w:szCs w:val="32"/>
          <w:shd w:val="clear" w:color="auto" w:fill="FFFFFF"/>
        </w:rPr>
        <w:t>既有小区内增设设施工作。</w:t>
      </w:r>
    </w:p>
    <w:p w14:paraId="12FD56A8">
      <w:pPr>
        <w:snapToGrid w:val="0"/>
        <w:spacing w:line="580" w:lineRule="exact"/>
        <w:ind w:firstLine="640" w:firstLineChars="200"/>
        <w:rPr>
          <w:rFonts w:eastAsia="黑体"/>
          <w:sz w:val="32"/>
          <w:szCs w:val="32"/>
        </w:rPr>
      </w:pPr>
      <w:r>
        <w:rPr>
          <w:rFonts w:hint="eastAsia" w:eastAsia="黑体"/>
          <w:sz w:val="32"/>
          <w:szCs w:val="32"/>
        </w:rPr>
        <w:t>三</w:t>
      </w:r>
      <w:r>
        <w:rPr>
          <w:rFonts w:eastAsia="黑体"/>
          <w:sz w:val="32"/>
          <w:szCs w:val="32"/>
          <w:shd w:val="clear" w:color="auto" w:fill="FFFFFF"/>
        </w:rPr>
        <w:t>、</w:t>
      </w:r>
      <w:r>
        <w:rPr>
          <w:rFonts w:eastAsia="黑体"/>
          <w:sz w:val="32"/>
          <w:szCs w:val="32"/>
        </w:rPr>
        <w:t>建设流程</w:t>
      </w:r>
    </w:p>
    <w:p w14:paraId="5B1AE399">
      <w:pPr>
        <w:widowControl/>
        <w:snapToGrid w:val="0"/>
        <w:spacing w:line="580" w:lineRule="exact"/>
        <w:ind w:firstLine="643" w:firstLineChars="200"/>
        <w:rPr>
          <w:rFonts w:ascii="仿宋_GB2312" w:eastAsia="仿宋_GB2312"/>
          <w:kern w:val="0"/>
          <w:sz w:val="32"/>
          <w:szCs w:val="32"/>
        </w:rPr>
      </w:pPr>
      <w:r>
        <w:rPr>
          <w:rFonts w:ascii="楷体_GB2312" w:hAnsi="Times New Roman" w:eastAsia="楷体_GB2312"/>
          <w:b/>
          <w:kern w:val="0"/>
          <w:sz w:val="32"/>
          <w:szCs w:val="32"/>
        </w:rPr>
        <w:t>（一）摸清建设需求。</w:t>
      </w:r>
      <w:r>
        <w:rPr>
          <w:rFonts w:hint="eastAsia" w:ascii="Times New Roman" w:hAnsi="Times New Roman" w:eastAsia="仿宋_GB2312"/>
          <w:kern w:val="0"/>
          <w:sz w:val="32"/>
          <w:szCs w:val="32"/>
          <w:shd w:val="clear" w:color="auto" w:fill="FFFFFF"/>
        </w:rPr>
        <w:t>电动自行车停放充电设施包括但不限于，停放场所（车棚）、充电桩、充电柜、换电柜和相关配套设施等。</w:t>
      </w:r>
      <w:r>
        <w:rPr>
          <w:rFonts w:ascii="Times New Roman" w:hAnsi="Times New Roman" w:eastAsia="仿宋_GB2312"/>
          <w:kern w:val="0"/>
          <w:sz w:val="32"/>
          <w:szCs w:val="32"/>
          <w:shd w:val="clear" w:color="auto" w:fill="FFFFFF"/>
        </w:rPr>
        <w:t>既有小区</w:t>
      </w:r>
      <w:r>
        <w:rPr>
          <w:rFonts w:hint="eastAsia" w:ascii="Times New Roman" w:hAnsi="Times New Roman" w:eastAsia="仿宋_GB2312"/>
          <w:kern w:val="0"/>
          <w:sz w:val="32"/>
          <w:szCs w:val="32"/>
          <w:shd w:val="clear" w:color="auto" w:fill="FFFFFF"/>
        </w:rPr>
        <w:t>内</w:t>
      </w:r>
      <w:r>
        <w:rPr>
          <w:rFonts w:ascii="Times New Roman" w:hAnsi="Times New Roman" w:eastAsia="仿宋_GB2312"/>
          <w:kern w:val="0"/>
          <w:sz w:val="32"/>
          <w:szCs w:val="32"/>
          <w:shd w:val="clear" w:color="auto" w:fill="FFFFFF"/>
        </w:rPr>
        <w:t>由</w:t>
      </w:r>
      <w:r>
        <w:rPr>
          <w:rFonts w:hint="eastAsia" w:ascii="Times New Roman" w:hAnsi="Times New Roman" w:eastAsia="仿宋_GB2312"/>
          <w:kern w:val="0"/>
          <w:sz w:val="32"/>
          <w:szCs w:val="32"/>
          <w:shd w:val="clear" w:color="auto" w:fill="FFFFFF"/>
        </w:rPr>
        <w:t>属地住建部门牵头（街道社区负责），摸清既有小区内电动自行车保有量、现有停放充电设施数量（端口），结合实际需求，科学合理确定建设任务。公共</w:t>
      </w:r>
      <w:r>
        <w:rPr>
          <w:rFonts w:ascii="Times New Roman" w:hAnsi="Times New Roman" w:eastAsia="仿宋_GB2312"/>
          <w:kern w:val="0"/>
          <w:sz w:val="32"/>
          <w:szCs w:val="32"/>
          <w:shd w:val="clear" w:color="auto" w:fill="FFFFFF"/>
        </w:rPr>
        <w:t>空间由</w:t>
      </w:r>
      <w:r>
        <w:rPr>
          <w:rFonts w:hint="eastAsia" w:ascii="Times New Roman" w:hAnsi="Times New Roman" w:eastAsia="仿宋_GB2312"/>
          <w:kern w:val="0"/>
          <w:sz w:val="32"/>
          <w:szCs w:val="32"/>
          <w:shd w:val="clear" w:color="auto" w:fill="FFFFFF"/>
        </w:rPr>
        <w:t>属地</w:t>
      </w:r>
      <w:r>
        <w:rPr>
          <w:rFonts w:ascii="Times New Roman" w:hAnsi="Times New Roman" w:eastAsia="仿宋_GB2312"/>
          <w:kern w:val="0"/>
          <w:sz w:val="32"/>
          <w:szCs w:val="32"/>
          <w:shd w:val="clear" w:color="auto" w:fill="FFFFFF"/>
        </w:rPr>
        <w:t>自然资源部门（国土空间规划服务中心）</w:t>
      </w:r>
      <w:r>
        <w:rPr>
          <w:rFonts w:hint="eastAsia" w:ascii="Times New Roman" w:hAnsi="Times New Roman" w:eastAsia="仿宋_GB2312"/>
          <w:kern w:val="0"/>
          <w:sz w:val="32"/>
          <w:szCs w:val="32"/>
          <w:shd w:val="clear" w:color="auto" w:fill="FFFFFF"/>
        </w:rPr>
        <w:t>牵头，摸清现有情况，</w:t>
      </w:r>
      <w:r>
        <w:rPr>
          <w:rFonts w:ascii="Times New Roman" w:hAnsi="Times New Roman" w:eastAsia="仿宋_GB2312"/>
          <w:kern w:val="0"/>
          <w:sz w:val="32"/>
          <w:szCs w:val="32"/>
          <w:shd w:val="clear" w:color="auto" w:fill="FFFFFF"/>
        </w:rPr>
        <w:t>根据</w:t>
      </w:r>
      <w:r>
        <w:rPr>
          <w:rFonts w:hint="eastAsia" w:ascii="Times New Roman" w:hAnsi="Times New Roman" w:eastAsia="仿宋_GB2312"/>
          <w:kern w:val="0"/>
          <w:sz w:val="32"/>
          <w:szCs w:val="32"/>
          <w:shd w:val="clear" w:color="auto" w:fill="FFFFFF"/>
        </w:rPr>
        <w:t>“两个需求”进行建设。</w:t>
      </w:r>
    </w:p>
    <w:p w14:paraId="5CB70E21">
      <w:pPr>
        <w:widowControl/>
        <w:snapToGrid w:val="0"/>
        <w:spacing w:line="580" w:lineRule="exact"/>
        <w:ind w:firstLine="643" w:firstLineChars="200"/>
        <w:rPr>
          <w:rFonts w:ascii="仿宋_GB2312" w:eastAsia="仿宋_GB2312"/>
          <w:sz w:val="32"/>
          <w:szCs w:val="32"/>
        </w:rPr>
      </w:pPr>
      <w:r>
        <w:rPr>
          <w:rFonts w:hint="eastAsia" w:ascii="楷体_GB2312" w:eastAsia="楷体_GB2312"/>
          <w:b/>
          <w:kern w:val="0"/>
          <w:sz w:val="32"/>
          <w:szCs w:val="32"/>
        </w:rPr>
        <w:t>（二）确定建设主体。</w:t>
      </w:r>
      <w:r>
        <w:rPr>
          <w:rFonts w:hint="eastAsia" w:ascii="Times New Roman" w:hAnsi="Times New Roman" w:eastAsia="仿宋_GB2312"/>
          <w:kern w:val="0"/>
          <w:sz w:val="32"/>
          <w:szCs w:val="32"/>
          <w:shd w:val="clear" w:color="auto" w:fill="FFFFFF"/>
        </w:rPr>
        <w:t>按照“谁投资、谁建设，谁运营、谁管理”的原则，既有小区内由属地住建部门会同街道社区在征求民意基础上负责合理合规研究确定建设主体。有物业管理的小区物业服务企业为建设主体；无物业管理的小区街道社区为建设主体。有条件的县（市）区可按照规定、程序等</w:t>
      </w:r>
      <w:r>
        <w:rPr>
          <w:rFonts w:ascii="Times New Roman" w:hAnsi="Times New Roman" w:eastAsia="仿宋_GB2312"/>
          <w:kern w:val="0"/>
          <w:sz w:val="32"/>
          <w:szCs w:val="32"/>
          <w:shd w:val="clear" w:color="auto" w:fill="FFFFFF"/>
        </w:rPr>
        <w:t>探索本区域内委托1-2家建设运营单位作为建设主体</w:t>
      </w:r>
      <w:r>
        <w:rPr>
          <w:rFonts w:hint="eastAsia" w:ascii="Times New Roman" w:hAnsi="Times New Roman" w:eastAsia="仿宋_GB2312"/>
          <w:kern w:val="0"/>
          <w:sz w:val="32"/>
          <w:szCs w:val="32"/>
          <w:shd w:val="clear" w:color="auto" w:fill="FFFFFF"/>
        </w:rPr>
        <w:t>。公共空间由自然资源部门（国土空间规划服务中心）结合“两个需求”，根据实际情况合理合规研究确定建设主体。</w:t>
      </w:r>
    </w:p>
    <w:p w14:paraId="548965A3">
      <w:pPr>
        <w:widowControl/>
        <w:snapToGrid w:val="0"/>
        <w:spacing w:line="580" w:lineRule="exact"/>
        <w:ind w:firstLine="643" w:firstLineChars="200"/>
        <w:rPr>
          <w:rFonts w:ascii="仿宋_GB2312" w:eastAsia="仿宋_GB2312"/>
          <w:sz w:val="32"/>
          <w:szCs w:val="32"/>
        </w:rPr>
      </w:pPr>
      <w:r>
        <w:rPr>
          <w:rFonts w:ascii="楷体_GB2312" w:eastAsia="楷体_GB2312"/>
          <w:b/>
          <w:kern w:val="0"/>
          <w:sz w:val="32"/>
          <w:szCs w:val="32"/>
        </w:rPr>
        <w:t>（三）选定建设区域。</w:t>
      </w:r>
      <w:r>
        <w:rPr>
          <w:rFonts w:hint="eastAsia" w:ascii="Times New Roman" w:hAnsi="Times New Roman" w:eastAsia="仿宋_GB2312"/>
          <w:kern w:val="0"/>
          <w:sz w:val="32"/>
          <w:szCs w:val="32"/>
          <w:shd w:val="clear" w:color="auto" w:fill="FFFFFF"/>
        </w:rPr>
        <w:t>自然资源部门（国土空间规划服务中心）强化新建项目和新增停车场所用地的规划管控。严格落实《城市居住区规划设计标准》</w:t>
      </w:r>
      <w:r>
        <w:rPr>
          <w:rFonts w:ascii="Times New Roman" w:hAnsi="Times New Roman" w:eastAsia="仿宋_GB2312"/>
          <w:kern w:val="0"/>
          <w:sz w:val="32"/>
          <w:szCs w:val="32"/>
          <w:shd w:val="clear" w:color="auto" w:fill="FFFFFF"/>
        </w:rPr>
        <w:t>(GB50180-2018)、《城市综合交通体系规划标准》(GB/T51328-2018)、《社区生活圈规划技术指南》(TD/T1062-2021）</w:t>
      </w:r>
      <w:r>
        <w:rPr>
          <w:rFonts w:hint="eastAsia" w:ascii="Times New Roman" w:hAnsi="Times New Roman" w:eastAsia="仿宋_GB2312"/>
          <w:kern w:val="0"/>
          <w:sz w:val="32"/>
          <w:szCs w:val="32"/>
          <w:shd w:val="clear" w:color="auto" w:fill="FFFFFF"/>
        </w:rPr>
        <w:t>等有关非机动车停车场（库）设置规定，严格新建居住项目规划审批管理，将电动自行车停放充电设施纳入项目配套，明确布局和配建比。依据</w:t>
      </w:r>
      <w:r>
        <w:rPr>
          <w:rFonts w:ascii="Times New Roman" w:hAnsi="Times New Roman" w:eastAsia="仿宋_GB2312"/>
          <w:kern w:val="0"/>
          <w:sz w:val="32"/>
          <w:szCs w:val="32"/>
          <w:shd w:val="clear" w:color="auto" w:fill="FFFFFF"/>
        </w:rPr>
        <w:t>《朝阳市电动自行车安全隐患全链条整治行动实施方案的通知》</w:t>
      </w:r>
      <w:r>
        <w:rPr>
          <w:rFonts w:hint="eastAsia" w:ascii="Times New Roman" w:hAnsi="Times New Roman" w:eastAsia="仿宋_GB2312"/>
          <w:kern w:val="0"/>
          <w:sz w:val="32"/>
          <w:szCs w:val="32"/>
          <w:shd w:val="clear" w:color="auto" w:fill="FFFFFF"/>
        </w:rPr>
        <w:t>等文件精神，由自然资源部门</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国土</w:t>
      </w:r>
      <w:r>
        <w:rPr>
          <w:rFonts w:ascii="Times New Roman" w:hAnsi="Times New Roman" w:eastAsia="仿宋_GB2312"/>
          <w:kern w:val="0"/>
          <w:sz w:val="32"/>
          <w:szCs w:val="32"/>
          <w:shd w:val="clear" w:color="auto" w:fill="FFFFFF"/>
        </w:rPr>
        <w:t>空间规划服务</w:t>
      </w:r>
      <w:r>
        <w:rPr>
          <w:rFonts w:hint="eastAsia" w:ascii="Times New Roman" w:hAnsi="Times New Roman" w:eastAsia="仿宋_GB2312"/>
          <w:kern w:val="0"/>
          <w:sz w:val="32"/>
          <w:szCs w:val="32"/>
          <w:shd w:val="clear" w:color="auto" w:fill="FFFFFF"/>
        </w:rPr>
        <w:t>中心</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负责在既有小区内利用公共空间设置停放场所、充电设施，涉及规划调整的，优化办理程序。当既有小区内无固定停放场所、无电源条件等特殊情况的，由自然资源部门</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国土</w:t>
      </w:r>
      <w:r>
        <w:rPr>
          <w:rFonts w:ascii="Times New Roman" w:hAnsi="Times New Roman" w:eastAsia="仿宋_GB2312"/>
          <w:kern w:val="0"/>
          <w:sz w:val="32"/>
          <w:szCs w:val="32"/>
          <w:shd w:val="clear" w:color="auto" w:fill="FFFFFF"/>
        </w:rPr>
        <w:t>空间规划服务</w:t>
      </w:r>
      <w:r>
        <w:rPr>
          <w:rFonts w:hint="eastAsia" w:ascii="Times New Roman" w:hAnsi="Times New Roman" w:eastAsia="仿宋_GB2312"/>
          <w:kern w:val="0"/>
          <w:sz w:val="32"/>
          <w:szCs w:val="32"/>
          <w:shd w:val="clear" w:color="auto" w:fill="FFFFFF"/>
        </w:rPr>
        <w:t>中心</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负责按照规划政策，合理利用小区周边公共空间设置停放场所、充电设施，如需调整规划，优化程序简易办理。街道社区要</w:t>
      </w:r>
      <w:r>
        <w:rPr>
          <w:rFonts w:ascii="Times New Roman" w:hAnsi="Times New Roman" w:eastAsia="仿宋_GB2312"/>
          <w:kern w:val="0"/>
          <w:sz w:val="32"/>
          <w:szCs w:val="32"/>
          <w:shd w:val="clear" w:color="auto" w:fill="FFFFFF"/>
        </w:rPr>
        <w:t>做好既有小区</w:t>
      </w:r>
      <w:r>
        <w:rPr>
          <w:rFonts w:hint="eastAsia" w:ascii="Times New Roman" w:hAnsi="Times New Roman" w:eastAsia="仿宋_GB2312"/>
          <w:kern w:val="0"/>
          <w:sz w:val="32"/>
          <w:szCs w:val="32"/>
          <w:shd w:val="clear" w:color="auto" w:fill="FFFFFF"/>
        </w:rPr>
        <w:t>内和公共区域</w:t>
      </w:r>
      <w:r>
        <w:rPr>
          <w:rFonts w:ascii="Times New Roman" w:hAnsi="Times New Roman" w:eastAsia="仿宋_GB2312"/>
          <w:kern w:val="0"/>
          <w:sz w:val="32"/>
          <w:szCs w:val="32"/>
          <w:shd w:val="clear" w:color="auto" w:fill="FFFFFF"/>
        </w:rPr>
        <w:t>日常</w:t>
      </w:r>
      <w:r>
        <w:rPr>
          <w:rFonts w:hint="eastAsia" w:ascii="Times New Roman" w:hAnsi="Times New Roman" w:eastAsia="仿宋_GB2312"/>
          <w:kern w:val="0"/>
          <w:sz w:val="32"/>
          <w:szCs w:val="32"/>
          <w:shd w:val="clear" w:color="auto" w:fill="FFFFFF"/>
        </w:rPr>
        <w:t>监督工作，在增设设施工作中业主有异议的，应当发挥党建引领作用，做好解释和稳定工作。属地住建部门</w:t>
      </w:r>
      <w:r>
        <w:rPr>
          <w:rFonts w:ascii="Times New Roman" w:hAnsi="Times New Roman" w:eastAsia="仿宋_GB2312"/>
          <w:kern w:val="0"/>
          <w:sz w:val="32"/>
          <w:szCs w:val="32"/>
          <w:shd w:val="clear" w:color="auto" w:fill="FFFFFF"/>
        </w:rPr>
        <w:t>督促</w:t>
      </w:r>
      <w:r>
        <w:rPr>
          <w:rFonts w:hint="eastAsia" w:ascii="Times New Roman" w:hAnsi="Times New Roman" w:eastAsia="仿宋_GB2312"/>
          <w:kern w:val="0"/>
          <w:sz w:val="32"/>
          <w:szCs w:val="32"/>
          <w:shd w:val="clear" w:color="auto" w:fill="FFFFFF"/>
        </w:rPr>
        <w:t>物业</w:t>
      </w:r>
      <w:r>
        <w:rPr>
          <w:rFonts w:ascii="Times New Roman" w:hAnsi="Times New Roman" w:eastAsia="仿宋_GB2312"/>
          <w:kern w:val="0"/>
          <w:sz w:val="32"/>
          <w:szCs w:val="32"/>
          <w:shd w:val="clear" w:color="auto" w:fill="FFFFFF"/>
        </w:rPr>
        <w:t>服务企业</w:t>
      </w:r>
      <w:r>
        <w:rPr>
          <w:rFonts w:hint="eastAsia" w:ascii="Times New Roman" w:hAnsi="Times New Roman" w:eastAsia="仿宋_GB2312"/>
          <w:kern w:val="0"/>
          <w:sz w:val="32"/>
          <w:szCs w:val="32"/>
          <w:shd w:val="clear" w:color="auto" w:fill="FFFFFF"/>
        </w:rPr>
        <w:t>负责落实</w:t>
      </w:r>
      <w:r>
        <w:rPr>
          <w:rFonts w:ascii="Times New Roman" w:hAnsi="Times New Roman" w:eastAsia="仿宋_GB2312"/>
          <w:kern w:val="0"/>
          <w:sz w:val="32"/>
          <w:szCs w:val="32"/>
          <w:shd w:val="clear" w:color="auto" w:fill="FFFFFF"/>
        </w:rPr>
        <w:t>日常管理工作。</w:t>
      </w:r>
      <w:r>
        <w:rPr>
          <w:rFonts w:hint="eastAsia" w:ascii="Times New Roman" w:hAnsi="Times New Roman" w:eastAsia="仿宋_GB2312"/>
          <w:kern w:val="0"/>
          <w:sz w:val="32"/>
          <w:szCs w:val="32"/>
          <w:shd w:val="clear" w:color="auto" w:fill="FFFFFF"/>
        </w:rPr>
        <w:t>综合执法部门负责查处既有小区私搭乱建等问题，对按照法定程序增建的集中停放充电设施，不再按照违法建设进行执法处理。公共空间由自然资源部门（国土空间规划服务中心）结合“两个”需求，依据《关于加强和规范电动自行车停放场所规划管理工作的通知》、</w:t>
      </w:r>
      <w:r>
        <w:rPr>
          <w:rFonts w:ascii="Times New Roman" w:hAnsi="Times New Roman" w:eastAsia="仿宋_GB2312"/>
          <w:kern w:val="0"/>
          <w:sz w:val="32"/>
          <w:szCs w:val="32"/>
          <w:shd w:val="clear" w:color="auto" w:fill="FFFFFF"/>
        </w:rPr>
        <w:t>《朝阳市电动自行车安全隐患全链条整治行动实施方案的通知》</w:t>
      </w:r>
      <w:r>
        <w:rPr>
          <w:rFonts w:hint="eastAsia" w:ascii="Times New Roman" w:hAnsi="Times New Roman" w:eastAsia="仿宋_GB2312"/>
          <w:kern w:val="0"/>
          <w:sz w:val="32"/>
          <w:szCs w:val="32"/>
          <w:shd w:val="clear" w:color="auto" w:fill="FFFFFF"/>
        </w:rPr>
        <w:t>等文件精神进行建设区域选定。</w:t>
      </w:r>
    </w:p>
    <w:p w14:paraId="4A3D48E2">
      <w:pPr>
        <w:pStyle w:val="3"/>
        <w:snapToGrid w:val="0"/>
        <w:spacing w:after="0" w:line="580" w:lineRule="exact"/>
        <w:ind w:firstLine="643" w:firstLineChars="200"/>
      </w:pPr>
      <w:r>
        <w:rPr>
          <w:rFonts w:ascii="楷体_GB2312" w:eastAsia="楷体_GB2312"/>
          <w:b/>
          <w:kern w:val="0"/>
          <w:sz w:val="32"/>
          <w:szCs w:val="32"/>
        </w:rPr>
        <w:t>（</w:t>
      </w:r>
      <w:r>
        <w:rPr>
          <w:rFonts w:hint="eastAsia" w:ascii="楷体_GB2312" w:eastAsia="楷体_GB2312"/>
          <w:b/>
          <w:kern w:val="0"/>
          <w:sz w:val="32"/>
          <w:szCs w:val="32"/>
        </w:rPr>
        <w:t>四</w:t>
      </w:r>
      <w:r>
        <w:rPr>
          <w:rFonts w:ascii="楷体_GB2312" w:eastAsia="楷体_GB2312"/>
          <w:b/>
          <w:kern w:val="0"/>
          <w:sz w:val="32"/>
          <w:szCs w:val="32"/>
        </w:rPr>
        <w:t>）制订建设方案。</w:t>
      </w:r>
      <w:r>
        <w:rPr>
          <w:rFonts w:hint="eastAsia" w:eastAsia="仿宋_GB2312"/>
          <w:kern w:val="0"/>
          <w:sz w:val="32"/>
          <w:szCs w:val="32"/>
          <w:shd w:val="clear" w:color="auto" w:fill="FFFFFF"/>
        </w:rPr>
        <w:t>既有住宅小区内和</w:t>
      </w:r>
      <w:r>
        <w:rPr>
          <w:rFonts w:eastAsia="仿宋_GB2312"/>
          <w:kern w:val="0"/>
          <w:sz w:val="32"/>
          <w:szCs w:val="32"/>
          <w:shd w:val="clear" w:color="auto" w:fill="FFFFFF"/>
        </w:rPr>
        <w:t>公共</w:t>
      </w:r>
      <w:r>
        <w:rPr>
          <w:rFonts w:hint="eastAsia" w:eastAsia="仿宋_GB2312"/>
          <w:kern w:val="0"/>
          <w:sz w:val="32"/>
          <w:szCs w:val="32"/>
          <w:shd w:val="clear" w:color="auto" w:fill="FFFFFF"/>
        </w:rPr>
        <w:t>空间</w:t>
      </w:r>
      <w:r>
        <w:rPr>
          <w:rFonts w:eastAsia="仿宋_GB2312"/>
          <w:kern w:val="0"/>
          <w:sz w:val="32"/>
          <w:szCs w:val="32"/>
          <w:shd w:val="clear" w:color="auto" w:fill="FFFFFF"/>
        </w:rPr>
        <w:t>分别由</w:t>
      </w:r>
      <w:r>
        <w:rPr>
          <w:rFonts w:hint="eastAsia" w:eastAsia="仿宋_GB2312"/>
          <w:kern w:val="0"/>
          <w:sz w:val="32"/>
          <w:szCs w:val="32"/>
          <w:shd w:val="clear" w:color="auto" w:fill="FFFFFF"/>
        </w:rPr>
        <w:t>所在</w:t>
      </w:r>
      <w:r>
        <w:rPr>
          <w:rFonts w:eastAsia="仿宋_GB2312"/>
          <w:kern w:val="0"/>
          <w:sz w:val="32"/>
          <w:szCs w:val="32"/>
          <w:shd w:val="clear" w:color="auto" w:fill="FFFFFF"/>
        </w:rPr>
        <w:t>县</w:t>
      </w:r>
      <w:r>
        <w:rPr>
          <w:rFonts w:hint="eastAsia" w:eastAsia="仿宋_GB2312"/>
          <w:kern w:val="0"/>
          <w:sz w:val="32"/>
          <w:szCs w:val="32"/>
          <w:shd w:val="clear" w:color="auto" w:fill="FFFFFF"/>
        </w:rPr>
        <w:t>（</w:t>
      </w:r>
      <w:r>
        <w:rPr>
          <w:rFonts w:eastAsia="仿宋_GB2312"/>
          <w:kern w:val="0"/>
          <w:sz w:val="32"/>
          <w:szCs w:val="32"/>
          <w:shd w:val="clear" w:color="auto" w:fill="FFFFFF"/>
        </w:rPr>
        <w:t>市</w:t>
      </w:r>
      <w:r>
        <w:rPr>
          <w:rFonts w:hint="eastAsia" w:eastAsia="仿宋_GB2312"/>
          <w:kern w:val="0"/>
          <w:sz w:val="32"/>
          <w:szCs w:val="32"/>
          <w:shd w:val="clear" w:color="auto" w:fill="FFFFFF"/>
        </w:rPr>
        <w:t>）</w:t>
      </w:r>
      <w:r>
        <w:rPr>
          <w:rFonts w:eastAsia="仿宋_GB2312"/>
          <w:kern w:val="0"/>
          <w:sz w:val="32"/>
          <w:szCs w:val="32"/>
          <w:shd w:val="clear" w:color="auto" w:fill="FFFFFF"/>
        </w:rPr>
        <w:t>区住建部门</w:t>
      </w:r>
      <w:r>
        <w:rPr>
          <w:rFonts w:hint="eastAsia" w:eastAsia="仿宋_GB2312"/>
          <w:kern w:val="0"/>
          <w:sz w:val="32"/>
          <w:szCs w:val="32"/>
          <w:shd w:val="clear" w:color="auto" w:fill="FFFFFF"/>
        </w:rPr>
        <w:t>和</w:t>
      </w:r>
      <w:r>
        <w:rPr>
          <w:rFonts w:eastAsia="仿宋_GB2312"/>
          <w:kern w:val="0"/>
          <w:sz w:val="32"/>
          <w:szCs w:val="32"/>
          <w:shd w:val="clear" w:color="auto" w:fill="FFFFFF"/>
        </w:rPr>
        <w:t>自然资源部门（国土空间规划服务中心）牵头组织</w:t>
      </w:r>
      <w:r>
        <w:rPr>
          <w:rFonts w:hint="eastAsia" w:eastAsia="仿宋_GB2312"/>
          <w:kern w:val="0"/>
          <w:sz w:val="32"/>
          <w:szCs w:val="32"/>
          <w:shd w:val="clear" w:color="auto" w:fill="FFFFFF"/>
        </w:rPr>
        <w:t>公安</w:t>
      </w:r>
      <w:r>
        <w:rPr>
          <w:rFonts w:eastAsia="仿宋_GB2312"/>
          <w:kern w:val="0"/>
          <w:sz w:val="32"/>
          <w:szCs w:val="32"/>
          <w:shd w:val="clear" w:color="auto" w:fill="FFFFFF"/>
        </w:rPr>
        <w:t>、综合执法、消防等部门，电力、物业等公司会同街道社区制定</w:t>
      </w:r>
      <w:r>
        <w:rPr>
          <w:rFonts w:hint="eastAsia" w:eastAsia="仿宋_GB2312"/>
          <w:kern w:val="0"/>
          <w:sz w:val="32"/>
          <w:szCs w:val="32"/>
          <w:shd w:val="clear" w:color="auto" w:fill="FFFFFF"/>
        </w:rPr>
        <w:t>县（市）区层面</w:t>
      </w:r>
      <w:r>
        <w:rPr>
          <w:rFonts w:eastAsia="仿宋_GB2312"/>
          <w:kern w:val="0"/>
          <w:sz w:val="32"/>
          <w:szCs w:val="32"/>
          <w:shd w:val="clear" w:color="auto" w:fill="FFFFFF"/>
        </w:rPr>
        <w:t>建设方案</w:t>
      </w:r>
      <w:r>
        <w:rPr>
          <w:rFonts w:hint="eastAsia" w:eastAsia="仿宋_GB2312"/>
          <w:kern w:val="0"/>
          <w:sz w:val="32"/>
          <w:szCs w:val="32"/>
          <w:shd w:val="clear" w:color="auto" w:fill="FFFFFF"/>
        </w:rPr>
        <w:t>，</w:t>
      </w:r>
      <w:r>
        <w:rPr>
          <w:rFonts w:eastAsia="仿宋_GB2312"/>
          <w:kern w:val="0"/>
          <w:sz w:val="32"/>
          <w:szCs w:val="32"/>
          <w:shd w:val="clear" w:color="auto" w:fill="FFFFFF"/>
        </w:rPr>
        <w:t>并报市级住建部门</w:t>
      </w:r>
      <w:r>
        <w:rPr>
          <w:rFonts w:hint="eastAsia" w:eastAsia="仿宋_GB2312"/>
          <w:kern w:val="0"/>
          <w:sz w:val="32"/>
          <w:szCs w:val="32"/>
          <w:shd w:val="clear" w:color="auto" w:fill="FFFFFF"/>
        </w:rPr>
        <w:t>和</w:t>
      </w:r>
      <w:r>
        <w:rPr>
          <w:rFonts w:eastAsia="仿宋_GB2312"/>
          <w:kern w:val="0"/>
          <w:sz w:val="32"/>
          <w:szCs w:val="32"/>
          <w:shd w:val="clear" w:color="auto" w:fill="FFFFFF"/>
        </w:rPr>
        <w:t>自然资源部门（国土空间规划服务中心）</w:t>
      </w:r>
      <w:r>
        <w:rPr>
          <w:rFonts w:hint="eastAsia" w:eastAsia="仿宋_GB2312"/>
          <w:kern w:val="0"/>
          <w:sz w:val="32"/>
          <w:szCs w:val="32"/>
          <w:shd w:val="clear" w:color="auto" w:fill="FFFFFF"/>
        </w:rPr>
        <w:t>备案</w:t>
      </w:r>
      <w:r>
        <w:rPr>
          <w:rFonts w:eastAsia="仿宋_GB2312"/>
          <w:kern w:val="0"/>
          <w:sz w:val="32"/>
          <w:szCs w:val="32"/>
          <w:shd w:val="clear" w:color="auto" w:fill="FFFFFF"/>
        </w:rPr>
        <w:t>。</w:t>
      </w:r>
      <w:r>
        <w:rPr>
          <w:rFonts w:hint="eastAsia" w:eastAsia="仿宋_GB2312"/>
          <w:kern w:val="0"/>
          <w:sz w:val="32"/>
          <w:szCs w:val="32"/>
          <w:shd w:val="clear" w:color="auto" w:fill="FFFFFF"/>
        </w:rPr>
        <w:t>同时，也鼓励各地以街道社区为单位制定建设方案计划。</w:t>
      </w:r>
    </w:p>
    <w:p w14:paraId="6D5D431A">
      <w:pPr>
        <w:snapToGrid w:val="0"/>
        <w:spacing w:line="580" w:lineRule="exact"/>
        <w:ind w:firstLine="643" w:firstLineChars="200"/>
        <w:rPr>
          <w:rFonts w:ascii="楷体_GB2312" w:eastAsia="楷体_GB2312"/>
          <w:b/>
          <w:kern w:val="0"/>
          <w:sz w:val="32"/>
          <w:szCs w:val="32"/>
        </w:rPr>
      </w:pPr>
      <w:r>
        <w:rPr>
          <w:rFonts w:ascii="楷体_GB2312" w:hAnsi="Times New Roman" w:eastAsia="楷体_GB2312"/>
          <w:b/>
          <w:kern w:val="0"/>
          <w:sz w:val="32"/>
          <w:szCs w:val="32"/>
        </w:rPr>
        <w:t>（</w:t>
      </w:r>
      <w:r>
        <w:rPr>
          <w:rFonts w:hint="eastAsia" w:ascii="楷体_GB2312" w:hAnsi="Times New Roman" w:eastAsia="楷体_GB2312"/>
          <w:b/>
          <w:kern w:val="0"/>
          <w:sz w:val="32"/>
          <w:szCs w:val="32"/>
        </w:rPr>
        <w:t>五</w:t>
      </w:r>
      <w:r>
        <w:rPr>
          <w:rFonts w:ascii="楷体_GB2312" w:hAnsi="Times New Roman" w:eastAsia="楷体_GB2312"/>
          <w:b/>
          <w:kern w:val="0"/>
          <w:sz w:val="32"/>
          <w:szCs w:val="32"/>
        </w:rPr>
        <w:t>）确定施工单位。</w:t>
      </w:r>
      <w:r>
        <w:rPr>
          <w:rFonts w:ascii="Times New Roman" w:hAnsi="Times New Roman" w:eastAsia="仿宋_GB2312"/>
          <w:kern w:val="0"/>
          <w:sz w:val="32"/>
          <w:szCs w:val="32"/>
          <w:shd w:val="clear" w:color="auto" w:fill="FFFFFF"/>
        </w:rPr>
        <w:t>由建设主体按照</w:t>
      </w:r>
      <w:r>
        <w:rPr>
          <w:rFonts w:hint="eastAsia" w:ascii="Times New Roman" w:hAnsi="Times New Roman" w:eastAsia="仿宋_GB2312"/>
          <w:kern w:val="0"/>
          <w:sz w:val="32"/>
          <w:szCs w:val="32"/>
          <w:shd w:val="clear" w:color="auto" w:fill="FFFFFF"/>
        </w:rPr>
        <w:t>相关</w:t>
      </w:r>
      <w:r>
        <w:rPr>
          <w:rFonts w:ascii="Times New Roman" w:hAnsi="Times New Roman" w:eastAsia="仿宋_GB2312"/>
          <w:kern w:val="0"/>
          <w:sz w:val="32"/>
          <w:szCs w:val="32"/>
          <w:shd w:val="clear" w:color="auto" w:fill="FFFFFF"/>
        </w:rPr>
        <w:t>原则，通过招标、协商、谈判、竞价、公示等方式确定施工</w:t>
      </w:r>
      <w:r>
        <w:rPr>
          <w:rFonts w:hint="eastAsia" w:ascii="Times New Roman" w:hAnsi="Times New Roman" w:eastAsia="仿宋_GB2312"/>
          <w:kern w:val="0"/>
          <w:sz w:val="32"/>
          <w:szCs w:val="32"/>
          <w:shd w:val="clear" w:color="auto" w:fill="FFFFFF"/>
        </w:rPr>
        <w:t>单位</w:t>
      </w:r>
      <w:r>
        <w:rPr>
          <w:rFonts w:ascii="Times New Roman" w:hAnsi="Times New Roman" w:eastAsia="仿宋_GB2312"/>
          <w:kern w:val="0"/>
          <w:sz w:val="32"/>
          <w:szCs w:val="32"/>
          <w:shd w:val="clear" w:color="auto" w:fill="FFFFFF"/>
        </w:rPr>
        <w:t>，签订施工合同，</w:t>
      </w:r>
      <w:r>
        <w:rPr>
          <w:rFonts w:hint="eastAsia" w:ascii="Times New Roman" w:hAnsi="Times New Roman" w:eastAsia="仿宋_GB2312"/>
          <w:kern w:val="0"/>
          <w:sz w:val="32"/>
          <w:szCs w:val="32"/>
          <w:shd w:val="clear" w:color="auto" w:fill="FFFFFF"/>
        </w:rPr>
        <w:t>按照分工分别报属地</w:t>
      </w:r>
      <w:r>
        <w:rPr>
          <w:rFonts w:ascii="Times New Roman" w:hAnsi="Times New Roman" w:eastAsia="仿宋_GB2312"/>
          <w:kern w:val="0"/>
          <w:sz w:val="32"/>
          <w:szCs w:val="32"/>
          <w:shd w:val="clear" w:color="auto" w:fill="FFFFFF"/>
        </w:rPr>
        <w:t>住建</w:t>
      </w:r>
      <w:r>
        <w:rPr>
          <w:rFonts w:hint="eastAsia" w:ascii="Times New Roman" w:hAnsi="Times New Roman" w:eastAsia="仿宋_GB2312"/>
          <w:kern w:val="0"/>
          <w:sz w:val="32"/>
          <w:szCs w:val="32"/>
          <w:shd w:val="clear" w:color="auto" w:fill="FFFFFF"/>
        </w:rPr>
        <w:t>和自然资源部门（国土空间规划服务中心）</w:t>
      </w:r>
      <w:r>
        <w:rPr>
          <w:rFonts w:ascii="Times New Roman" w:hAnsi="Times New Roman" w:eastAsia="仿宋_GB2312"/>
          <w:kern w:val="0"/>
          <w:sz w:val="32"/>
          <w:szCs w:val="32"/>
          <w:shd w:val="clear" w:color="auto" w:fill="FFFFFF"/>
        </w:rPr>
        <w:t>备案。</w:t>
      </w:r>
    </w:p>
    <w:p w14:paraId="2463ABD4">
      <w:pPr>
        <w:snapToGrid w:val="0"/>
        <w:spacing w:line="580" w:lineRule="exact"/>
        <w:ind w:firstLine="643" w:firstLineChars="200"/>
        <w:rPr>
          <w:rFonts w:ascii="Times New Roman" w:hAnsi="Times New Roman" w:eastAsia="仿宋"/>
          <w:sz w:val="32"/>
          <w:szCs w:val="32"/>
        </w:rPr>
      </w:pPr>
      <w:r>
        <w:rPr>
          <w:rFonts w:ascii="楷体_GB2312" w:hAnsi="Times New Roman" w:eastAsia="楷体_GB2312"/>
          <w:b/>
          <w:kern w:val="0"/>
          <w:sz w:val="32"/>
          <w:szCs w:val="32"/>
        </w:rPr>
        <w:t>（</w:t>
      </w:r>
      <w:r>
        <w:rPr>
          <w:rFonts w:hint="eastAsia" w:ascii="楷体_GB2312" w:hAnsi="Times New Roman" w:eastAsia="楷体_GB2312"/>
          <w:b/>
          <w:kern w:val="0"/>
          <w:sz w:val="32"/>
          <w:szCs w:val="32"/>
        </w:rPr>
        <w:t>六</w:t>
      </w:r>
      <w:r>
        <w:rPr>
          <w:rFonts w:ascii="楷体_GB2312" w:hAnsi="Times New Roman" w:eastAsia="楷体_GB2312"/>
          <w:b/>
          <w:kern w:val="0"/>
          <w:sz w:val="32"/>
          <w:szCs w:val="32"/>
        </w:rPr>
        <w:t>）组织施工建设。</w:t>
      </w:r>
      <w:r>
        <w:rPr>
          <w:rFonts w:ascii="Times New Roman" w:hAnsi="Times New Roman" w:eastAsia="仿宋_GB2312"/>
          <w:kern w:val="0"/>
          <w:sz w:val="32"/>
          <w:szCs w:val="32"/>
          <w:shd w:val="clear" w:color="auto" w:fill="FFFFFF"/>
        </w:rPr>
        <w:t>公共空间和既有小区内增设设施由建设主体组织施工单位按照《既有住宅小区内电动自行车停放充电场所建设导引》以及国家市场监督管理总局、国家标准化管理委员会2022年12月30日发布的GB/T42236.1-2022《电动自行车集中充电设施 第1部分：技术规范》等相关规范标准实施建设，落实质量安全监管主体责任。</w:t>
      </w:r>
    </w:p>
    <w:p w14:paraId="2CDE6865">
      <w:pPr>
        <w:snapToGrid w:val="0"/>
        <w:spacing w:line="580" w:lineRule="exact"/>
        <w:ind w:firstLine="643" w:firstLineChars="200"/>
        <w:rPr>
          <w:rFonts w:ascii="Times New Roman" w:hAnsi="Times New Roman" w:eastAsia="仿宋"/>
          <w:kern w:val="0"/>
          <w:sz w:val="32"/>
          <w:szCs w:val="32"/>
        </w:rPr>
      </w:pPr>
      <w:r>
        <w:rPr>
          <w:rFonts w:ascii="楷体_GB2312" w:hAnsi="Times New Roman" w:eastAsia="楷体_GB2312"/>
          <w:b/>
          <w:kern w:val="0"/>
          <w:sz w:val="32"/>
          <w:szCs w:val="32"/>
        </w:rPr>
        <w:t>（</w:t>
      </w:r>
      <w:r>
        <w:rPr>
          <w:rFonts w:hint="eastAsia" w:ascii="楷体_GB2312" w:hAnsi="Times New Roman" w:eastAsia="楷体_GB2312"/>
          <w:b/>
          <w:kern w:val="0"/>
          <w:sz w:val="32"/>
          <w:szCs w:val="32"/>
        </w:rPr>
        <w:t>七</w:t>
      </w:r>
      <w:r>
        <w:rPr>
          <w:rFonts w:ascii="楷体_GB2312" w:hAnsi="Times New Roman" w:eastAsia="楷体_GB2312"/>
          <w:b/>
          <w:kern w:val="0"/>
          <w:sz w:val="32"/>
          <w:szCs w:val="32"/>
        </w:rPr>
        <w:t>）组织</w:t>
      </w:r>
      <w:r>
        <w:rPr>
          <w:rFonts w:hint="eastAsia" w:ascii="楷体_GB2312" w:hAnsi="Times New Roman" w:eastAsia="楷体_GB2312"/>
          <w:b/>
          <w:kern w:val="0"/>
          <w:sz w:val="32"/>
          <w:szCs w:val="32"/>
        </w:rPr>
        <w:t>工程</w:t>
      </w:r>
      <w:r>
        <w:rPr>
          <w:rFonts w:ascii="楷体_GB2312" w:hAnsi="Times New Roman" w:eastAsia="楷体_GB2312"/>
          <w:b/>
          <w:kern w:val="0"/>
          <w:sz w:val="32"/>
          <w:szCs w:val="32"/>
        </w:rPr>
        <w:t>验收。</w:t>
      </w:r>
      <w:r>
        <w:rPr>
          <w:rFonts w:hint="eastAsia" w:ascii="Times New Roman" w:hAnsi="Times New Roman" w:eastAsia="仿宋_GB2312"/>
          <w:kern w:val="0"/>
          <w:sz w:val="32"/>
          <w:szCs w:val="32"/>
          <w:shd w:val="clear" w:color="auto" w:fill="FFFFFF"/>
        </w:rPr>
        <w:t>建设主体根据增设设施分工，分别向属地住建、自然资源部门（国土空间规划服务中心）申请工程验收，验收合格后申请通电运行。</w:t>
      </w:r>
    </w:p>
    <w:p w14:paraId="5DBFF5C1">
      <w:pPr>
        <w:suppressAutoHyphens/>
        <w:snapToGrid w:val="0"/>
        <w:spacing w:line="580" w:lineRule="exact"/>
        <w:ind w:firstLine="643" w:firstLineChars="200"/>
        <w:rPr>
          <w:sz w:val="28"/>
          <w:szCs w:val="28"/>
        </w:rPr>
      </w:pPr>
      <w:r>
        <w:rPr>
          <w:rFonts w:ascii="楷体_GB2312" w:hAnsi="Times New Roman" w:eastAsia="楷体_GB2312"/>
          <w:b/>
          <w:kern w:val="0"/>
          <w:sz w:val="32"/>
          <w:szCs w:val="32"/>
        </w:rPr>
        <w:t>（</w:t>
      </w:r>
      <w:r>
        <w:rPr>
          <w:rFonts w:hint="eastAsia" w:ascii="楷体_GB2312" w:hAnsi="Times New Roman" w:eastAsia="楷体_GB2312"/>
          <w:b/>
          <w:kern w:val="0"/>
          <w:sz w:val="32"/>
          <w:szCs w:val="32"/>
        </w:rPr>
        <w:t>八</w:t>
      </w:r>
      <w:r>
        <w:rPr>
          <w:rFonts w:ascii="楷体_GB2312" w:hAnsi="Times New Roman" w:eastAsia="楷体_GB2312"/>
          <w:b/>
          <w:kern w:val="0"/>
          <w:sz w:val="32"/>
          <w:szCs w:val="32"/>
        </w:rPr>
        <w:t>）及时接电报装。</w:t>
      </w:r>
      <w:r>
        <w:rPr>
          <w:rFonts w:hint="eastAsia" w:ascii="Times New Roman" w:hAnsi="Times New Roman" w:eastAsia="仿宋_GB2312"/>
          <w:kern w:val="0"/>
          <w:sz w:val="32"/>
          <w:szCs w:val="32"/>
          <w:shd w:val="clear" w:color="auto" w:fill="FFFFFF"/>
        </w:rPr>
        <w:t>由建设主体向电力部门提供验收合格证明后，申报审批接电。电力部门按照国家提升“获得电力”服务水平“三零”政策要求和相关技术标准规定做好充电设施接电服务工作。</w:t>
      </w:r>
    </w:p>
    <w:p w14:paraId="253A3C23">
      <w:pPr>
        <w:widowControl/>
        <w:suppressAutoHyphens/>
        <w:snapToGrid w:val="0"/>
        <w:spacing w:line="580" w:lineRule="exact"/>
        <w:ind w:firstLine="643" w:firstLineChars="200"/>
        <w:rPr>
          <w:rFonts w:ascii="仿宋_GB2312" w:hAnsi="Times New Roman" w:eastAsia="仿宋_GB2312"/>
          <w:kern w:val="0"/>
          <w:sz w:val="32"/>
          <w:szCs w:val="32"/>
        </w:rPr>
      </w:pPr>
      <w:r>
        <w:rPr>
          <w:rFonts w:ascii="楷体_GB2312" w:hAnsi="Times New Roman" w:eastAsia="楷体_GB2312"/>
          <w:b/>
          <w:kern w:val="0"/>
          <w:sz w:val="32"/>
          <w:szCs w:val="32"/>
        </w:rPr>
        <w:t>（</w:t>
      </w:r>
      <w:r>
        <w:rPr>
          <w:rFonts w:hint="eastAsia" w:ascii="楷体_GB2312" w:hAnsi="Times New Roman" w:eastAsia="楷体_GB2312"/>
          <w:b/>
          <w:kern w:val="0"/>
          <w:sz w:val="32"/>
          <w:szCs w:val="32"/>
        </w:rPr>
        <w:t>九</w:t>
      </w:r>
      <w:r>
        <w:rPr>
          <w:rFonts w:ascii="楷体_GB2312" w:hAnsi="Times New Roman" w:eastAsia="楷体_GB2312"/>
          <w:b/>
          <w:kern w:val="0"/>
          <w:sz w:val="32"/>
          <w:szCs w:val="32"/>
        </w:rPr>
        <w:t>）完善退出机制。</w:t>
      </w:r>
      <w:r>
        <w:rPr>
          <w:rFonts w:ascii="Times New Roman" w:hAnsi="Times New Roman" w:eastAsia="仿宋_GB2312"/>
          <w:kern w:val="0"/>
          <w:sz w:val="32"/>
          <w:szCs w:val="32"/>
          <w:shd w:val="clear" w:color="auto" w:fill="FFFFFF"/>
        </w:rPr>
        <w:t>建成设施管理可以由建设主体负责，也可以委托专业建设运营单位负责</w:t>
      </w:r>
      <w:r>
        <w:rPr>
          <w:rFonts w:hint="eastAsia" w:ascii="Times New Roman" w:hAnsi="Times New Roman" w:eastAsia="仿宋_GB2312"/>
          <w:kern w:val="0"/>
          <w:sz w:val="32"/>
          <w:szCs w:val="32"/>
          <w:shd w:val="clear" w:color="auto" w:fill="FFFFFF"/>
        </w:rPr>
        <w:t>。属地</w:t>
      </w:r>
      <w:r>
        <w:rPr>
          <w:rFonts w:ascii="Times New Roman" w:hAnsi="Times New Roman" w:eastAsia="仿宋_GB2312"/>
          <w:kern w:val="0"/>
          <w:sz w:val="32"/>
          <w:szCs w:val="32"/>
          <w:shd w:val="clear" w:color="auto" w:fill="FFFFFF"/>
        </w:rPr>
        <w:t>住建</w:t>
      </w:r>
      <w:r>
        <w:rPr>
          <w:rFonts w:hint="eastAsia" w:ascii="Times New Roman" w:hAnsi="Times New Roman" w:eastAsia="仿宋_GB2312"/>
          <w:kern w:val="0"/>
          <w:sz w:val="32"/>
          <w:szCs w:val="32"/>
          <w:shd w:val="clear" w:color="auto" w:fill="FFFFFF"/>
        </w:rPr>
        <w:t>和自然资源部门（国土空间规划服务中心）</w:t>
      </w:r>
      <w:r>
        <w:rPr>
          <w:rFonts w:ascii="Times New Roman" w:hAnsi="Times New Roman" w:eastAsia="仿宋_GB2312"/>
          <w:kern w:val="0"/>
          <w:sz w:val="32"/>
          <w:szCs w:val="32"/>
          <w:shd w:val="clear" w:color="auto" w:fill="FFFFFF"/>
        </w:rPr>
        <w:t>指导建立日常管理工作机制，发现问题限期整改，逾期未整改的，及时更换建设运营单位。</w:t>
      </w:r>
    </w:p>
    <w:p w14:paraId="0BB02C9F">
      <w:pPr>
        <w:widowControl/>
        <w:suppressAutoHyphens/>
        <w:snapToGrid w:val="0"/>
        <w:spacing w:line="580" w:lineRule="exact"/>
        <w:ind w:firstLine="643" w:firstLineChars="200"/>
        <w:rPr>
          <w:rFonts w:ascii="仿宋_GB2312" w:hAnsi="Times New Roman" w:eastAsia="仿宋_GB2312"/>
          <w:kern w:val="0"/>
          <w:sz w:val="32"/>
          <w:szCs w:val="32"/>
        </w:rPr>
      </w:pPr>
      <w:r>
        <w:rPr>
          <w:rFonts w:hint="eastAsia" w:ascii="楷体_GB2312" w:hAnsi="Times New Roman" w:eastAsia="楷体_GB2312"/>
          <w:b/>
          <w:kern w:val="0"/>
          <w:sz w:val="32"/>
          <w:szCs w:val="32"/>
        </w:rPr>
        <w:t>（十）其他建设事宜。</w:t>
      </w:r>
      <w:r>
        <w:rPr>
          <w:rFonts w:hint="eastAsia" w:ascii="Times New Roman" w:hAnsi="Times New Roman" w:eastAsia="仿宋_GB2312"/>
          <w:kern w:val="0"/>
          <w:sz w:val="32"/>
          <w:szCs w:val="32"/>
          <w:shd w:val="clear" w:color="auto" w:fill="FFFFFF"/>
        </w:rPr>
        <w:t>根据《朝阳市电动自行车安全隐患全链条整治行动实施方案》等文件要求。由自然资源部门（国土空间规划服务中心）负责在商业区、车站周边等人员密集流动量大的区域等公共空间规划建设停放场所、充电设施，并纳入公共服务设施管理范围，提倡“满电回家”。由住建部门负责既有小区内增设设施工作。</w:t>
      </w:r>
    </w:p>
    <w:p w14:paraId="40CEBE59">
      <w:pPr>
        <w:adjustRightInd w:val="0"/>
        <w:snapToGrid w:val="0"/>
        <w:spacing w:line="580" w:lineRule="exact"/>
        <w:ind w:firstLine="640" w:firstLineChars="200"/>
        <w:rPr>
          <w:rFonts w:ascii="仿宋_GB2312" w:hAnsi="Times New Roman" w:eastAsia="仿宋_GB2312"/>
          <w:kern w:val="0"/>
          <w:sz w:val="32"/>
          <w:szCs w:val="32"/>
        </w:rPr>
      </w:pPr>
      <w:r>
        <w:rPr>
          <w:rFonts w:hint="eastAsia" w:ascii="Times New Roman" w:hAnsi="Times New Roman" w:eastAsia="仿宋_GB2312"/>
          <w:kern w:val="0"/>
          <w:sz w:val="32"/>
          <w:szCs w:val="32"/>
          <w:shd w:val="clear" w:color="auto" w:fill="FFFFFF"/>
        </w:rPr>
        <w:t>公共</w:t>
      </w:r>
      <w:r>
        <w:rPr>
          <w:rFonts w:ascii="Times New Roman" w:hAnsi="Times New Roman" w:eastAsia="仿宋_GB2312"/>
          <w:kern w:val="0"/>
          <w:sz w:val="32"/>
          <w:szCs w:val="32"/>
          <w:shd w:val="clear" w:color="auto" w:fill="FFFFFF"/>
        </w:rPr>
        <w:t>空间电动自行车停放充电设施建设标准参照《既有住宅小区</w:t>
      </w:r>
      <w:r>
        <w:rPr>
          <w:rFonts w:hint="eastAsia" w:ascii="Times New Roman" w:hAnsi="Times New Roman" w:eastAsia="仿宋_GB2312"/>
          <w:kern w:val="0"/>
          <w:sz w:val="32"/>
          <w:szCs w:val="32"/>
          <w:shd w:val="clear" w:color="auto" w:fill="FFFFFF"/>
        </w:rPr>
        <w:t>内</w:t>
      </w:r>
      <w:r>
        <w:rPr>
          <w:rFonts w:ascii="Times New Roman" w:hAnsi="Times New Roman" w:eastAsia="仿宋_GB2312"/>
          <w:kern w:val="0"/>
          <w:sz w:val="32"/>
          <w:szCs w:val="32"/>
          <w:shd w:val="clear" w:color="auto" w:fill="FFFFFF"/>
        </w:rPr>
        <w:t>电动自行车停放充电场所建设导引》</w:t>
      </w:r>
      <w:r>
        <w:rPr>
          <w:rFonts w:hint="eastAsia" w:ascii="Times New Roman" w:hAnsi="Times New Roman" w:eastAsia="仿宋_GB2312"/>
          <w:kern w:val="0"/>
          <w:sz w:val="32"/>
          <w:szCs w:val="32"/>
          <w:shd w:val="clear" w:color="auto" w:fill="FFFFFF"/>
        </w:rPr>
        <w:t>等相关规定执行</w:t>
      </w:r>
      <w:r>
        <w:rPr>
          <w:rFonts w:ascii="Times New Roman" w:hAnsi="Times New Roman" w:eastAsia="仿宋_GB2312"/>
          <w:kern w:val="0"/>
          <w:sz w:val="32"/>
          <w:szCs w:val="32"/>
          <w:shd w:val="clear" w:color="auto" w:fill="FFFFFF"/>
        </w:rPr>
        <w:t>。</w:t>
      </w:r>
    </w:p>
    <w:p w14:paraId="0E7B5BF3">
      <w:pPr>
        <w:snapToGrid w:val="0"/>
        <w:spacing w:line="580" w:lineRule="exact"/>
        <w:ind w:firstLine="640" w:firstLineChars="200"/>
        <w:rPr>
          <w:rFonts w:eastAsia="仿宋"/>
          <w:sz w:val="32"/>
          <w:szCs w:val="32"/>
        </w:rPr>
      </w:pPr>
      <w:r>
        <w:rPr>
          <w:rFonts w:hint="eastAsia" w:eastAsia="黑体"/>
          <w:sz w:val="32"/>
          <w:szCs w:val="32"/>
        </w:rPr>
        <w:t>四</w:t>
      </w:r>
      <w:r>
        <w:rPr>
          <w:rFonts w:eastAsia="黑体"/>
          <w:sz w:val="32"/>
          <w:szCs w:val="32"/>
        </w:rPr>
        <w:t>、保障措施</w:t>
      </w:r>
    </w:p>
    <w:p w14:paraId="3A9D56DB">
      <w:pPr>
        <w:pStyle w:val="8"/>
        <w:shd w:val="clear" w:color="auto" w:fill="FFFFFF"/>
        <w:snapToGrid w:val="0"/>
        <w:spacing w:before="0" w:beforeAutospacing="0" w:after="0" w:afterAutospacing="0" w:line="580" w:lineRule="exact"/>
        <w:ind w:firstLine="643" w:firstLineChars="200"/>
        <w:jc w:val="both"/>
        <w:rPr>
          <w:rFonts w:ascii="仿宋_GB2312" w:hAnsi="Times New Roman" w:eastAsia="仿宋_GB2312" w:cs="Times New Roman"/>
          <w:sz w:val="32"/>
          <w:szCs w:val="32"/>
        </w:rPr>
      </w:pPr>
      <w:r>
        <w:rPr>
          <w:rFonts w:ascii="楷体_GB2312" w:hAnsi="Times New Roman" w:eastAsia="楷体_GB2312" w:cs="Times New Roman"/>
          <w:b/>
          <w:sz w:val="32"/>
          <w:szCs w:val="32"/>
        </w:rPr>
        <w:t>（一）强化组织领导。</w:t>
      </w:r>
      <w:r>
        <w:rPr>
          <w:rFonts w:ascii="Times New Roman" w:hAnsi="Times New Roman" w:eastAsia="仿宋_GB2312" w:cs="Times New Roman"/>
          <w:sz w:val="32"/>
          <w:szCs w:val="32"/>
          <w:shd w:val="clear" w:color="auto" w:fill="FFFFFF"/>
        </w:rPr>
        <w:t>各县（市）区政府作为</w:t>
      </w:r>
      <w:r>
        <w:rPr>
          <w:rFonts w:hint="eastAsia" w:ascii="Times New Roman" w:hAnsi="Times New Roman" w:eastAsia="仿宋_GB2312" w:cs="Times New Roman"/>
          <w:sz w:val="32"/>
          <w:szCs w:val="32"/>
          <w:shd w:val="clear" w:color="auto" w:fill="FFFFFF"/>
        </w:rPr>
        <w:t>电动</w:t>
      </w:r>
      <w:r>
        <w:rPr>
          <w:rFonts w:ascii="Times New Roman" w:hAnsi="Times New Roman" w:eastAsia="仿宋_GB2312" w:cs="Times New Roman"/>
          <w:sz w:val="32"/>
          <w:szCs w:val="32"/>
          <w:shd w:val="clear" w:color="auto" w:fill="FFFFFF"/>
        </w:rPr>
        <w:t>自行车</w:t>
      </w:r>
      <w:r>
        <w:rPr>
          <w:rFonts w:hint="eastAsia" w:ascii="Times New Roman" w:hAnsi="Times New Roman" w:eastAsia="仿宋_GB2312" w:cs="Times New Roman"/>
          <w:sz w:val="32"/>
          <w:szCs w:val="32"/>
          <w:shd w:val="clear" w:color="auto" w:fill="FFFFFF"/>
        </w:rPr>
        <w:t>停放</w:t>
      </w:r>
      <w:r>
        <w:rPr>
          <w:rFonts w:ascii="Times New Roman" w:hAnsi="Times New Roman" w:eastAsia="仿宋_GB2312" w:cs="Times New Roman"/>
          <w:sz w:val="32"/>
          <w:szCs w:val="32"/>
          <w:shd w:val="clear" w:color="auto" w:fill="FFFFFF"/>
        </w:rPr>
        <w:t>充电设施建设的责任主体，要加强组织领导，明确工作措施，制订建设计划，统筹部署推进，确保按时间节点完成既定目标任务。要定期组织相关部门街道（镇）</w:t>
      </w:r>
      <w:r>
        <w:rPr>
          <w:rFonts w:hint="eastAsia" w:ascii="Times New Roman" w:hAnsi="Times New Roman" w:eastAsia="仿宋_GB2312" w:cs="Times New Roman"/>
          <w:sz w:val="32"/>
          <w:szCs w:val="32"/>
          <w:shd w:val="clear" w:color="auto" w:fill="FFFFFF"/>
        </w:rPr>
        <w:t>社区、驻地单位</w:t>
      </w:r>
      <w:r>
        <w:rPr>
          <w:rFonts w:ascii="Times New Roman" w:hAnsi="Times New Roman" w:eastAsia="仿宋_GB2312" w:cs="Times New Roman"/>
          <w:sz w:val="32"/>
          <w:szCs w:val="32"/>
          <w:shd w:val="clear" w:color="auto" w:fill="FFFFFF"/>
        </w:rPr>
        <w:t>进行调度会商、分析研判和业务指导，确保工作取得实效。</w:t>
      </w:r>
    </w:p>
    <w:p w14:paraId="3753B715">
      <w:pPr>
        <w:pStyle w:val="8"/>
        <w:shd w:val="clear" w:color="auto" w:fill="FFFFFF"/>
        <w:snapToGrid w:val="0"/>
        <w:spacing w:before="0" w:beforeAutospacing="0" w:after="0" w:afterAutospacing="0" w:line="580" w:lineRule="exact"/>
        <w:ind w:firstLine="643" w:firstLineChars="200"/>
        <w:jc w:val="both"/>
        <w:rPr>
          <w:rFonts w:ascii="仿宋_GB2312" w:hAnsi="Times New Roman" w:eastAsia="仿宋_GB2312" w:cs="Times New Roman"/>
          <w:sz w:val="32"/>
          <w:szCs w:val="32"/>
        </w:rPr>
      </w:pPr>
      <w:r>
        <w:rPr>
          <w:rFonts w:ascii="楷体_GB2312" w:hAnsi="Times New Roman" w:eastAsia="楷体_GB2312"/>
          <w:b/>
          <w:sz w:val="32"/>
          <w:szCs w:val="32"/>
        </w:rPr>
        <w:t>（二）强化部门协调。</w:t>
      </w:r>
      <w:r>
        <w:rPr>
          <w:rFonts w:ascii="Times New Roman" w:hAnsi="Times New Roman" w:eastAsia="仿宋_GB2312" w:cs="Times New Roman"/>
          <w:sz w:val="32"/>
          <w:szCs w:val="32"/>
          <w:shd w:val="clear" w:color="auto" w:fill="FFFFFF"/>
        </w:rPr>
        <w:t>各相关职能部门</w:t>
      </w:r>
      <w:r>
        <w:rPr>
          <w:rFonts w:hint="eastAsia" w:ascii="Times New Roman" w:hAnsi="Times New Roman" w:eastAsia="仿宋_GB2312" w:cs="Times New Roman"/>
          <w:sz w:val="32"/>
          <w:szCs w:val="32"/>
          <w:shd w:val="clear" w:color="auto" w:fill="FFFFFF"/>
        </w:rPr>
        <w:t>和属地街道社区</w:t>
      </w:r>
      <w:r>
        <w:rPr>
          <w:rFonts w:ascii="Times New Roman" w:hAnsi="Times New Roman" w:eastAsia="仿宋_GB2312" w:cs="Times New Roman"/>
          <w:sz w:val="32"/>
          <w:szCs w:val="32"/>
          <w:shd w:val="clear" w:color="auto" w:fill="FFFFFF"/>
        </w:rPr>
        <w:t>在工作中要加强协调配合，</w:t>
      </w:r>
      <w:r>
        <w:rPr>
          <w:rFonts w:hint="eastAsia" w:ascii="Times New Roman" w:hAnsi="Times New Roman" w:eastAsia="仿宋_GB2312" w:cs="Times New Roman"/>
          <w:sz w:val="32"/>
          <w:szCs w:val="32"/>
          <w:shd w:val="clear" w:color="auto" w:fill="FFFFFF"/>
        </w:rPr>
        <w:t>保持横向纵向联系，</w:t>
      </w:r>
      <w:r>
        <w:rPr>
          <w:rFonts w:ascii="Times New Roman" w:hAnsi="Times New Roman" w:eastAsia="仿宋_GB2312" w:cs="Times New Roman"/>
          <w:sz w:val="32"/>
          <w:szCs w:val="32"/>
          <w:shd w:val="clear" w:color="auto" w:fill="FFFFFF"/>
        </w:rPr>
        <w:t>坚持统筹推进，防止出现职能交叉、责任不清、推诿扯皮等问题，要积极主动作为，依据职责分工指导、协助、推进具体工作。</w:t>
      </w:r>
    </w:p>
    <w:p w14:paraId="122E8D29">
      <w:pPr>
        <w:pStyle w:val="8"/>
        <w:shd w:val="clear" w:color="auto" w:fill="FFFFFF"/>
        <w:snapToGrid w:val="0"/>
        <w:spacing w:before="0" w:beforeAutospacing="0" w:after="0" w:afterAutospacing="0" w:line="580" w:lineRule="exact"/>
        <w:ind w:firstLine="643" w:firstLineChars="200"/>
        <w:jc w:val="both"/>
        <w:rPr>
          <w:rFonts w:ascii="仿宋_GB2312" w:hAnsi="Times New Roman" w:eastAsia="仿宋_GB2312" w:cs="Times New Roman"/>
          <w:sz w:val="32"/>
          <w:szCs w:val="32"/>
        </w:rPr>
      </w:pPr>
      <w:r>
        <w:rPr>
          <w:rFonts w:hint="eastAsia" w:ascii="楷体_GB2312" w:hAnsi="Times New Roman" w:eastAsia="楷体_GB2312"/>
          <w:b/>
          <w:sz w:val="32"/>
          <w:szCs w:val="32"/>
        </w:rPr>
        <w:t>（三）强化安全管理。</w:t>
      </w:r>
      <w:r>
        <w:rPr>
          <w:rFonts w:hint="eastAsia" w:ascii="Times New Roman" w:hAnsi="Times New Roman" w:eastAsia="仿宋_GB2312" w:cs="Times New Roman"/>
          <w:sz w:val="32"/>
          <w:szCs w:val="32"/>
          <w:shd w:val="clear" w:color="auto" w:fill="FFFFFF"/>
        </w:rPr>
        <w:t>电动</w:t>
      </w:r>
      <w:r>
        <w:rPr>
          <w:rFonts w:ascii="Times New Roman" w:hAnsi="Times New Roman" w:eastAsia="仿宋_GB2312" w:cs="Times New Roman"/>
          <w:sz w:val="32"/>
          <w:szCs w:val="32"/>
          <w:shd w:val="clear" w:color="auto" w:fill="FFFFFF"/>
        </w:rPr>
        <w:t>自行车充电设施运营单位</w:t>
      </w:r>
      <w:r>
        <w:rPr>
          <w:rFonts w:hint="eastAsia" w:ascii="Times New Roman" w:hAnsi="Times New Roman" w:eastAsia="仿宋_GB2312" w:cs="Times New Roman"/>
          <w:sz w:val="32"/>
          <w:szCs w:val="32"/>
          <w:shd w:val="clear" w:color="auto" w:fill="FFFFFF"/>
        </w:rPr>
        <w:t>，承担运营管理主体责任。充电设施投入使用后，定期开展充电设施电气运行安全、消防安全日常检查，存在严重消防安全隐患的，应立即上报消防等相关部门。公安和消防等部门要加强公共区域电动自行车停放和消防安全执法检查，对于违规违法行为行为按照各自职责依法处罚。</w:t>
      </w:r>
    </w:p>
    <w:p w14:paraId="3E197B4B">
      <w:pPr>
        <w:pStyle w:val="3"/>
        <w:snapToGrid w:val="0"/>
        <w:spacing w:after="0" w:line="580" w:lineRule="exact"/>
        <w:ind w:firstLine="643" w:firstLineChars="200"/>
        <w:rPr>
          <w:rFonts w:eastAsia="仿宋_GB2312"/>
          <w:kern w:val="0"/>
          <w:sz w:val="32"/>
          <w:szCs w:val="32"/>
          <w:shd w:val="clear" w:color="auto" w:fill="FFFFFF"/>
        </w:rPr>
      </w:pPr>
      <w:r>
        <w:rPr>
          <w:rFonts w:hint="eastAsia" w:ascii="楷体_GB2312" w:eastAsia="楷体_GB2312"/>
          <w:b/>
          <w:sz w:val="32"/>
          <w:szCs w:val="32"/>
        </w:rPr>
        <w:t>（四）强化监督检查。</w:t>
      </w:r>
      <w:r>
        <w:rPr>
          <w:rFonts w:eastAsia="仿宋_GB2312"/>
          <w:kern w:val="0"/>
          <w:sz w:val="32"/>
          <w:szCs w:val="32"/>
          <w:shd w:val="clear" w:color="auto" w:fill="FFFFFF"/>
        </w:rPr>
        <w:t>各地要严格落实属地责任，建立健全工作责任制，确保每项任务落实落细。市直相关部门和单位要加强对各地的指导，市电动自行车安全隐患全链条整治工作专班将对各地建设情况进行跟踪督查，对工作推进情况调度和通报。</w:t>
      </w:r>
    </w:p>
    <w:p w14:paraId="147631F2">
      <w:pPr>
        <w:pStyle w:val="3"/>
        <w:snapToGrid w:val="0"/>
        <w:spacing w:after="0" w:line="580" w:lineRule="exact"/>
        <w:ind w:firstLine="640" w:firstLineChars="200"/>
        <w:rPr>
          <w:rFonts w:ascii="仿宋_GB2312" w:eastAsia="仿宋_GB2312"/>
          <w:sz w:val="32"/>
          <w:szCs w:val="32"/>
        </w:rPr>
      </w:pPr>
      <w:r>
        <w:rPr>
          <w:rFonts w:hint="eastAsia" w:eastAsia="仿宋_GB2312"/>
          <w:kern w:val="0"/>
          <w:sz w:val="32"/>
          <w:szCs w:val="32"/>
          <w:shd w:val="clear" w:color="auto" w:fill="FFFFFF"/>
        </w:rPr>
        <w:t>此方案（含附件）为试行，在对同一问题的表述方面，若有与其他上位文件和规定等不一致的，应以上位和规定文件为准。</w:t>
      </w:r>
    </w:p>
    <w:p w14:paraId="45E212BB">
      <w:pPr>
        <w:adjustRightInd w:val="0"/>
        <w:snapToGrid w:val="0"/>
        <w:spacing w:line="580" w:lineRule="exact"/>
        <w:ind w:firstLine="640" w:firstLineChars="200"/>
        <w:rPr>
          <w:rFonts w:ascii="仿宋_GB2312" w:hAnsi="仿宋_GB2312" w:eastAsia="仿宋_GB2312" w:cs="仿宋_GB2312"/>
          <w:sz w:val="32"/>
          <w:szCs w:val="32"/>
        </w:rPr>
      </w:pPr>
    </w:p>
    <w:p w14:paraId="3B196288">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附件1：朝阳市既有住宅小区内电动自行车停放充电设施建设计划表</w:t>
      </w:r>
    </w:p>
    <w:p w14:paraId="015AE964">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附件2：既有住宅小区内电动自行车停放充电场所建设导引</w:t>
      </w:r>
    </w:p>
    <w:p w14:paraId="7C1859C5">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附件3：公共安全技术标准</w:t>
      </w:r>
    </w:p>
    <w:p w14:paraId="196ED42F">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附件4：电动自行车停放充电设施规划要求</w:t>
      </w:r>
    </w:p>
    <w:p w14:paraId="45482071">
      <w:pPr>
        <w:adjustRightInd w:val="0"/>
        <w:snapToGrid w:val="0"/>
        <w:spacing w:line="600" w:lineRule="exact"/>
        <w:rPr>
          <w:rFonts w:ascii="Times New Roman" w:hAnsi="Times New Roman"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14:paraId="1C8807A7">
      <w:pPr>
        <w:adjustRightInd w:val="0"/>
        <w:snapToGrid w:val="0"/>
        <w:spacing w:line="60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Times New Roman" w:hAnsi="Times New Roman" w:eastAsia="黑体"/>
          <w:sz w:val="32"/>
          <w:szCs w:val="32"/>
        </w:rPr>
        <w:t>1</w:t>
      </w:r>
      <w:r>
        <w:rPr>
          <w:rFonts w:hint="eastAsia" w:ascii="仿宋_GB2312" w:hAnsi="仿宋_GB2312" w:eastAsia="仿宋_GB2312" w:cs="仿宋_GB2312"/>
          <w:sz w:val="32"/>
          <w:szCs w:val="32"/>
        </w:rPr>
        <w:t>：</w:t>
      </w:r>
    </w:p>
    <w:p w14:paraId="6DDA493C">
      <w:pPr>
        <w:adjustRightInd w:val="0"/>
        <w:snapToGrid w:val="0"/>
        <w:spacing w:line="600" w:lineRule="exact"/>
        <w:jc w:val="center"/>
        <w:rPr>
          <w:rFonts w:ascii="宋体" w:hAnsi="宋体" w:eastAsia="宋体" w:cs="宋体"/>
          <w:b/>
          <w:bCs/>
          <w:kern w:val="0"/>
          <w:sz w:val="36"/>
          <w:szCs w:val="36"/>
        </w:rPr>
      </w:pPr>
      <w:r>
        <w:rPr>
          <w:rFonts w:hint="eastAsia" w:ascii="宋体" w:hAnsi="宋体" w:eastAsia="宋体" w:cs="宋体"/>
          <w:b/>
          <w:bCs/>
          <w:kern w:val="0"/>
          <w:sz w:val="44"/>
          <w:szCs w:val="44"/>
        </w:rPr>
        <w:t>朝阳市既有住宅小区内电动自行车</w:t>
      </w:r>
      <w:r>
        <w:rPr>
          <w:rFonts w:ascii="宋体" w:hAnsi="宋体" w:eastAsia="宋体" w:cs="宋体"/>
          <w:b/>
          <w:bCs/>
          <w:kern w:val="0"/>
          <w:sz w:val="44"/>
          <w:szCs w:val="44"/>
        </w:rPr>
        <w:t>停放</w:t>
      </w:r>
      <w:r>
        <w:rPr>
          <w:rFonts w:hint="eastAsia" w:ascii="宋体" w:hAnsi="宋体" w:eastAsia="宋体" w:cs="宋体"/>
          <w:b/>
          <w:bCs/>
          <w:kern w:val="0"/>
          <w:sz w:val="44"/>
          <w:szCs w:val="44"/>
        </w:rPr>
        <w:t>充电设施建设计划表</w:t>
      </w:r>
    </w:p>
    <w:p w14:paraId="449A3A0F">
      <w:pPr>
        <w:adjustRightInd w:val="0"/>
        <w:snapToGrid w:val="0"/>
        <w:spacing w:line="600" w:lineRule="exact"/>
        <w:ind w:firstLine="1920" w:firstLineChars="600"/>
        <w:rPr>
          <w:rFonts w:ascii="宋体" w:hAnsi="宋体" w:eastAsia="宋体" w:cs="宋体"/>
          <w:b/>
          <w:bCs/>
          <w:kern w:val="0"/>
          <w:sz w:val="32"/>
          <w:szCs w:val="32"/>
        </w:rPr>
      </w:pPr>
    </w:p>
    <w:tbl>
      <w:tblPr>
        <w:tblStyle w:val="10"/>
        <w:tblW w:w="13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1"/>
        <w:gridCol w:w="1419"/>
        <w:gridCol w:w="1274"/>
        <w:gridCol w:w="1416"/>
        <w:gridCol w:w="1567"/>
        <w:gridCol w:w="1318"/>
        <w:gridCol w:w="1318"/>
        <w:gridCol w:w="1318"/>
        <w:gridCol w:w="1321"/>
      </w:tblGrid>
      <w:tr w14:paraId="6860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9" w:type="dxa"/>
          </w:tcPr>
          <w:p w14:paraId="550E4091">
            <w:pPr>
              <w:jc w:val="center"/>
              <w:rPr>
                <w:sz w:val="24"/>
                <w:szCs w:val="24"/>
              </w:rPr>
            </w:pPr>
            <w:r>
              <w:rPr>
                <w:rFonts w:hint="eastAsia"/>
                <w:sz w:val="24"/>
                <w:szCs w:val="24"/>
              </w:rPr>
              <w:t>序号</w:t>
            </w:r>
          </w:p>
        </w:tc>
        <w:tc>
          <w:tcPr>
            <w:tcW w:w="1861" w:type="dxa"/>
            <w:vAlign w:val="center"/>
          </w:tcPr>
          <w:p w14:paraId="620DC6FF">
            <w:pPr>
              <w:jc w:val="center"/>
              <w:rPr>
                <w:sz w:val="24"/>
                <w:szCs w:val="24"/>
              </w:rPr>
            </w:pPr>
            <w:r>
              <w:rPr>
                <w:rFonts w:hint="eastAsia"/>
                <w:sz w:val="24"/>
                <w:szCs w:val="24"/>
              </w:rPr>
              <w:t>辖  区</w:t>
            </w:r>
          </w:p>
        </w:tc>
        <w:tc>
          <w:tcPr>
            <w:tcW w:w="1419" w:type="dxa"/>
            <w:vAlign w:val="center"/>
          </w:tcPr>
          <w:p w14:paraId="2A172033">
            <w:pPr>
              <w:jc w:val="center"/>
              <w:rPr>
                <w:sz w:val="24"/>
                <w:szCs w:val="24"/>
              </w:rPr>
            </w:pPr>
            <w:r>
              <w:rPr>
                <w:rFonts w:hint="eastAsia"/>
                <w:sz w:val="24"/>
                <w:szCs w:val="24"/>
              </w:rPr>
              <w:t>合  计</w:t>
            </w:r>
          </w:p>
        </w:tc>
        <w:tc>
          <w:tcPr>
            <w:tcW w:w="1274" w:type="dxa"/>
            <w:vAlign w:val="center"/>
          </w:tcPr>
          <w:p w14:paraId="6A36DCBC">
            <w:pPr>
              <w:jc w:val="center"/>
              <w:rPr>
                <w:sz w:val="24"/>
                <w:szCs w:val="24"/>
              </w:rPr>
            </w:pPr>
            <w:r>
              <w:rPr>
                <w:rFonts w:hint="eastAsia"/>
                <w:sz w:val="24"/>
                <w:szCs w:val="24"/>
              </w:rPr>
              <w:t>北票市</w:t>
            </w:r>
          </w:p>
        </w:tc>
        <w:tc>
          <w:tcPr>
            <w:tcW w:w="1416" w:type="dxa"/>
            <w:vAlign w:val="center"/>
          </w:tcPr>
          <w:p w14:paraId="1F9462A5">
            <w:pPr>
              <w:jc w:val="center"/>
              <w:rPr>
                <w:sz w:val="24"/>
                <w:szCs w:val="24"/>
              </w:rPr>
            </w:pPr>
            <w:r>
              <w:rPr>
                <w:rFonts w:hint="eastAsia"/>
                <w:sz w:val="24"/>
                <w:szCs w:val="24"/>
              </w:rPr>
              <w:t>凌源市</w:t>
            </w:r>
          </w:p>
        </w:tc>
        <w:tc>
          <w:tcPr>
            <w:tcW w:w="1567" w:type="dxa"/>
            <w:vAlign w:val="center"/>
          </w:tcPr>
          <w:p w14:paraId="09686804">
            <w:pPr>
              <w:jc w:val="center"/>
              <w:rPr>
                <w:sz w:val="24"/>
                <w:szCs w:val="24"/>
              </w:rPr>
            </w:pPr>
            <w:r>
              <w:rPr>
                <w:rFonts w:hint="eastAsia"/>
                <w:sz w:val="24"/>
                <w:szCs w:val="24"/>
              </w:rPr>
              <w:t>朝阳县</w:t>
            </w:r>
          </w:p>
        </w:tc>
        <w:tc>
          <w:tcPr>
            <w:tcW w:w="1318" w:type="dxa"/>
            <w:vAlign w:val="center"/>
          </w:tcPr>
          <w:p w14:paraId="30315C54">
            <w:pPr>
              <w:jc w:val="center"/>
              <w:rPr>
                <w:sz w:val="24"/>
                <w:szCs w:val="24"/>
              </w:rPr>
            </w:pPr>
            <w:r>
              <w:rPr>
                <w:rFonts w:hint="eastAsia"/>
                <w:sz w:val="24"/>
                <w:szCs w:val="24"/>
              </w:rPr>
              <w:t>建平县</w:t>
            </w:r>
          </w:p>
        </w:tc>
        <w:tc>
          <w:tcPr>
            <w:tcW w:w="1318" w:type="dxa"/>
            <w:vAlign w:val="center"/>
          </w:tcPr>
          <w:p w14:paraId="70690570">
            <w:pPr>
              <w:jc w:val="center"/>
              <w:rPr>
                <w:sz w:val="24"/>
                <w:szCs w:val="24"/>
              </w:rPr>
            </w:pPr>
            <w:r>
              <w:rPr>
                <w:rFonts w:hint="eastAsia"/>
                <w:sz w:val="24"/>
                <w:szCs w:val="24"/>
              </w:rPr>
              <w:t>喀左县</w:t>
            </w:r>
          </w:p>
        </w:tc>
        <w:tc>
          <w:tcPr>
            <w:tcW w:w="1318" w:type="dxa"/>
            <w:vAlign w:val="center"/>
          </w:tcPr>
          <w:p w14:paraId="1729D99C">
            <w:pPr>
              <w:jc w:val="center"/>
              <w:rPr>
                <w:sz w:val="24"/>
                <w:szCs w:val="24"/>
              </w:rPr>
            </w:pPr>
            <w:r>
              <w:rPr>
                <w:rFonts w:hint="eastAsia"/>
                <w:sz w:val="24"/>
                <w:szCs w:val="24"/>
              </w:rPr>
              <w:t>双塔区</w:t>
            </w:r>
          </w:p>
        </w:tc>
        <w:tc>
          <w:tcPr>
            <w:tcW w:w="1321" w:type="dxa"/>
            <w:vAlign w:val="center"/>
          </w:tcPr>
          <w:p w14:paraId="5E287028">
            <w:pPr>
              <w:jc w:val="center"/>
              <w:rPr>
                <w:sz w:val="24"/>
                <w:szCs w:val="24"/>
              </w:rPr>
            </w:pPr>
            <w:r>
              <w:rPr>
                <w:rFonts w:hint="eastAsia"/>
                <w:sz w:val="24"/>
                <w:szCs w:val="24"/>
              </w:rPr>
              <w:t>龙城区</w:t>
            </w:r>
          </w:p>
        </w:tc>
      </w:tr>
      <w:tr w14:paraId="4D15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9" w:type="dxa"/>
          </w:tcPr>
          <w:p w14:paraId="20DD94E9">
            <w:pPr>
              <w:jc w:val="center"/>
              <w:rPr>
                <w:sz w:val="24"/>
                <w:szCs w:val="24"/>
              </w:rPr>
            </w:pPr>
            <w:r>
              <w:rPr>
                <w:rFonts w:hint="eastAsia"/>
                <w:sz w:val="24"/>
                <w:szCs w:val="24"/>
              </w:rPr>
              <w:t>1</w:t>
            </w:r>
          </w:p>
        </w:tc>
        <w:tc>
          <w:tcPr>
            <w:tcW w:w="1861" w:type="dxa"/>
            <w:vAlign w:val="center"/>
          </w:tcPr>
          <w:p w14:paraId="7B343242">
            <w:pPr>
              <w:jc w:val="center"/>
              <w:rPr>
                <w:sz w:val="24"/>
                <w:szCs w:val="24"/>
              </w:rPr>
            </w:pPr>
            <w:r>
              <w:rPr>
                <w:rFonts w:hint="eastAsia"/>
                <w:sz w:val="24"/>
                <w:szCs w:val="24"/>
              </w:rPr>
              <w:t>现有</w:t>
            </w:r>
            <w:r>
              <w:rPr>
                <w:sz w:val="24"/>
                <w:szCs w:val="24"/>
              </w:rPr>
              <w:t>小区数</w:t>
            </w:r>
          </w:p>
        </w:tc>
        <w:tc>
          <w:tcPr>
            <w:tcW w:w="1419" w:type="dxa"/>
            <w:vAlign w:val="center"/>
          </w:tcPr>
          <w:p w14:paraId="0EAAC096">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=SUM(LEFT) </w:instrText>
            </w:r>
            <w:r>
              <w:rPr>
                <w:rFonts w:ascii="Times New Roman" w:hAnsi="Times New Roman"/>
                <w:sz w:val="24"/>
                <w:szCs w:val="24"/>
              </w:rPr>
              <w:fldChar w:fldCharType="separate"/>
            </w:r>
            <w:r>
              <w:rPr>
                <w:rFonts w:ascii="Times New Roman" w:hAnsi="Times New Roman"/>
                <w:sz w:val="24"/>
                <w:szCs w:val="24"/>
              </w:rPr>
              <w:t>1385</w:t>
            </w:r>
            <w:r>
              <w:rPr>
                <w:rFonts w:ascii="Times New Roman" w:hAnsi="Times New Roman"/>
                <w:sz w:val="24"/>
                <w:szCs w:val="24"/>
              </w:rPr>
              <w:fldChar w:fldCharType="end"/>
            </w:r>
          </w:p>
        </w:tc>
        <w:tc>
          <w:tcPr>
            <w:tcW w:w="1274" w:type="dxa"/>
            <w:vAlign w:val="center"/>
          </w:tcPr>
          <w:p w14:paraId="20A3E654">
            <w:pPr>
              <w:jc w:val="center"/>
              <w:rPr>
                <w:rFonts w:ascii="Times New Roman" w:hAnsi="Times New Roman"/>
                <w:sz w:val="24"/>
                <w:szCs w:val="24"/>
              </w:rPr>
            </w:pPr>
            <w:r>
              <w:rPr>
                <w:rFonts w:ascii="Times New Roman" w:hAnsi="Times New Roman"/>
                <w:sz w:val="24"/>
                <w:szCs w:val="24"/>
              </w:rPr>
              <w:t>112</w:t>
            </w:r>
          </w:p>
        </w:tc>
        <w:tc>
          <w:tcPr>
            <w:tcW w:w="1416" w:type="dxa"/>
            <w:vAlign w:val="center"/>
          </w:tcPr>
          <w:p w14:paraId="2961F06B">
            <w:pPr>
              <w:jc w:val="center"/>
              <w:rPr>
                <w:rFonts w:ascii="Times New Roman" w:hAnsi="Times New Roman"/>
                <w:sz w:val="24"/>
                <w:szCs w:val="24"/>
              </w:rPr>
            </w:pPr>
            <w:r>
              <w:rPr>
                <w:rFonts w:ascii="Times New Roman" w:hAnsi="Times New Roman"/>
                <w:sz w:val="24"/>
                <w:szCs w:val="24"/>
              </w:rPr>
              <w:t>338</w:t>
            </w:r>
          </w:p>
        </w:tc>
        <w:tc>
          <w:tcPr>
            <w:tcW w:w="1567" w:type="dxa"/>
            <w:vAlign w:val="center"/>
          </w:tcPr>
          <w:p w14:paraId="18099AB5">
            <w:pPr>
              <w:jc w:val="center"/>
              <w:rPr>
                <w:rFonts w:ascii="Times New Roman" w:hAnsi="Times New Roman"/>
                <w:sz w:val="24"/>
                <w:szCs w:val="24"/>
              </w:rPr>
            </w:pPr>
            <w:r>
              <w:rPr>
                <w:rFonts w:ascii="Times New Roman" w:hAnsi="Times New Roman"/>
                <w:sz w:val="24"/>
                <w:szCs w:val="24"/>
              </w:rPr>
              <w:t>21</w:t>
            </w:r>
          </w:p>
        </w:tc>
        <w:tc>
          <w:tcPr>
            <w:tcW w:w="1318" w:type="dxa"/>
            <w:vAlign w:val="center"/>
          </w:tcPr>
          <w:p w14:paraId="3034B1EC">
            <w:pPr>
              <w:jc w:val="center"/>
              <w:rPr>
                <w:rFonts w:ascii="Times New Roman" w:hAnsi="Times New Roman"/>
                <w:sz w:val="24"/>
                <w:szCs w:val="24"/>
              </w:rPr>
            </w:pPr>
            <w:r>
              <w:rPr>
                <w:rFonts w:ascii="Times New Roman" w:hAnsi="Times New Roman"/>
                <w:sz w:val="24"/>
                <w:szCs w:val="24"/>
              </w:rPr>
              <w:t>262</w:t>
            </w:r>
          </w:p>
        </w:tc>
        <w:tc>
          <w:tcPr>
            <w:tcW w:w="1318" w:type="dxa"/>
            <w:vAlign w:val="center"/>
          </w:tcPr>
          <w:p w14:paraId="707CEC87">
            <w:pPr>
              <w:jc w:val="center"/>
              <w:rPr>
                <w:rFonts w:ascii="Times New Roman" w:hAnsi="Times New Roman"/>
                <w:sz w:val="24"/>
                <w:szCs w:val="24"/>
              </w:rPr>
            </w:pPr>
            <w:r>
              <w:rPr>
                <w:rFonts w:ascii="Times New Roman" w:hAnsi="Times New Roman"/>
                <w:sz w:val="24"/>
                <w:szCs w:val="24"/>
              </w:rPr>
              <w:t>142</w:t>
            </w:r>
          </w:p>
        </w:tc>
        <w:tc>
          <w:tcPr>
            <w:tcW w:w="1318" w:type="dxa"/>
            <w:vAlign w:val="center"/>
          </w:tcPr>
          <w:p w14:paraId="430943F5">
            <w:pPr>
              <w:jc w:val="center"/>
              <w:rPr>
                <w:rFonts w:ascii="Times New Roman" w:hAnsi="Times New Roman"/>
                <w:sz w:val="24"/>
                <w:szCs w:val="24"/>
              </w:rPr>
            </w:pPr>
            <w:r>
              <w:rPr>
                <w:rFonts w:ascii="Times New Roman" w:hAnsi="Times New Roman"/>
                <w:sz w:val="24"/>
                <w:szCs w:val="24"/>
              </w:rPr>
              <w:t>400</w:t>
            </w:r>
          </w:p>
        </w:tc>
        <w:tc>
          <w:tcPr>
            <w:tcW w:w="1321" w:type="dxa"/>
            <w:vAlign w:val="center"/>
          </w:tcPr>
          <w:p w14:paraId="7AA83BEA">
            <w:pPr>
              <w:jc w:val="center"/>
              <w:rPr>
                <w:rFonts w:ascii="Times New Roman" w:hAnsi="Times New Roman"/>
                <w:sz w:val="24"/>
                <w:szCs w:val="24"/>
              </w:rPr>
            </w:pPr>
            <w:r>
              <w:rPr>
                <w:rFonts w:ascii="Times New Roman" w:hAnsi="Times New Roman"/>
                <w:sz w:val="24"/>
                <w:szCs w:val="24"/>
              </w:rPr>
              <w:t>110</w:t>
            </w:r>
          </w:p>
        </w:tc>
      </w:tr>
      <w:tr w14:paraId="0EDE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9" w:type="dxa"/>
          </w:tcPr>
          <w:p w14:paraId="5956EC0B">
            <w:pPr>
              <w:jc w:val="center"/>
              <w:rPr>
                <w:sz w:val="24"/>
                <w:szCs w:val="24"/>
              </w:rPr>
            </w:pPr>
            <w:r>
              <w:rPr>
                <w:rFonts w:hint="eastAsia"/>
                <w:sz w:val="24"/>
                <w:szCs w:val="24"/>
              </w:rPr>
              <w:t>2</w:t>
            </w:r>
          </w:p>
        </w:tc>
        <w:tc>
          <w:tcPr>
            <w:tcW w:w="1861" w:type="dxa"/>
            <w:vAlign w:val="center"/>
          </w:tcPr>
          <w:p w14:paraId="72F33944">
            <w:pPr>
              <w:jc w:val="center"/>
              <w:rPr>
                <w:sz w:val="24"/>
                <w:szCs w:val="24"/>
              </w:rPr>
            </w:pPr>
            <w:r>
              <w:rPr>
                <w:rFonts w:hint="eastAsia"/>
                <w:sz w:val="24"/>
                <w:szCs w:val="24"/>
              </w:rPr>
              <w:t>已建</w:t>
            </w:r>
            <w:r>
              <w:rPr>
                <w:sz w:val="24"/>
                <w:szCs w:val="24"/>
              </w:rPr>
              <w:t>小区数</w:t>
            </w:r>
          </w:p>
        </w:tc>
        <w:tc>
          <w:tcPr>
            <w:tcW w:w="1419" w:type="dxa"/>
            <w:vAlign w:val="center"/>
          </w:tcPr>
          <w:p w14:paraId="0CF57868">
            <w:pPr>
              <w:jc w:val="center"/>
              <w:rPr>
                <w:rFonts w:ascii="Times New Roman" w:hAnsi="Times New Roman"/>
                <w:sz w:val="24"/>
                <w:szCs w:val="24"/>
              </w:rPr>
            </w:pPr>
            <w:r>
              <w:rPr>
                <w:rFonts w:ascii="Times New Roman" w:hAnsi="Times New Roman"/>
                <w:sz w:val="24"/>
                <w:szCs w:val="24"/>
              </w:rPr>
              <w:t>594</w:t>
            </w:r>
          </w:p>
        </w:tc>
        <w:tc>
          <w:tcPr>
            <w:tcW w:w="1274" w:type="dxa"/>
            <w:vAlign w:val="center"/>
          </w:tcPr>
          <w:p w14:paraId="2EF85959">
            <w:pPr>
              <w:jc w:val="center"/>
              <w:rPr>
                <w:rFonts w:ascii="Times New Roman" w:hAnsi="Times New Roman"/>
                <w:sz w:val="24"/>
                <w:szCs w:val="24"/>
              </w:rPr>
            </w:pPr>
            <w:r>
              <w:rPr>
                <w:rFonts w:ascii="Times New Roman" w:hAnsi="Times New Roman"/>
                <w:sz w:val="24"/>
                <w:szCs w:val="24"/>
              </w:rPr>
              <w:t>31</w:t>
            </w:r>
          </w:p>
        </w:tc>
        <w:tc>
          <w:tcPr>
            <w:tcW w:w="1416" w:type="dxa"/>
            <w:vAlign w:val="center"/>
          </w:tcPr>
          <w:p w14:paraId="48698389">
            <w:pPr>
              <w:jc w:val="center"/>
              <w:rPr>
                <w:rFonts w:ascii="Times New Roman" w:hAnsi="Times New Roman"/>
                <w:sz w:val="24"/>
                <w:szCs w:val="24"/>
              </w:rPr>
            </w:pPr>
            <w:r>
              <w:rPr>
                <w:rFonts w:ascii="Times New Roman" w:hAnsi="Times New Roman"/>
                <w:sz w:val="24"/>
                <w:szCs w:val="24"/>
              </w:rPr>
              <w:t>92</w:t>
            </w:r>
          </w:p>
        </w:tc>
        <w:tc>
          <w:tcPr>
            <w:tcW w:w="1567" w:type="dxa"/>
            <w:vAlign w:val="center"/>
          </w:tcPr>
          <w:p w14:paraId="2B8D148E">
            <w:pPr>
              <w:jc w:val="center"/>
              <w:rPr>
                <w:rFonts w:ascii="Times New Roman" w:hAnsi="Times New Roman"/>
                <w:sz w:val="24"/>
                <w:szCs w:val="24"/>
              </w:rPr>
            </w:pPr>
            <w:r>
              <w:rPr>
                <w:rFonts w:ascii="Times New Roman" w:hAnsi="Times New Roman"/>
                <w:sz w:val="24"/>
                <w:szCs w:val="24"/>
              </w:rPr>
              <w:t>15</w:t>
            </w:r>
          </w:p>
        </w:tc>
        <w:tc>
          <w:tcPr>
            <w:tcW w:w="1318" w:type="dxa"/>
            <w:vAlign w:val="center"/>
          </w:tcPr>
          <w:p w14:paraId="4E54B2CE">
            <w:pPr>
              <w:jc w:val="center"/>
              <w:rPr>
                <w:rFonts w:ascii="Times New Roman" w:hAnsi="Times New Roman"/>
                <w:sz w:val="24"/>
                <w:szCs w:val="24"/>
              </w:rPr>
            </w:pPr>
            <w:r>
              <w:rPr>
                <w:rFonts w:ascii="Times New Roman" w:hAnsi="Times New Roman"/>
                <w:sz w:val="24"/>
                <w:szCs w:val="24"/>
              </w:rPr>
              <w:t>145</w:t>
            </w:r>
          </w:p>
        </w:tc>
        <w:tc>
          <w:tcPr>
            <w:tcW w:w="1318" w:type="dxa"/>
            <w:vAlign w:val="center"/>
          </w:tcPr>
          <w:p w14:paraId="5678CF5D">
            <w:pPr>
              <w:jc w:val="center"/>
              <w:rPr>
                <w:rFonts w:ascii="Times New Roman" w:hAnsi="Times New Roman"/>
                <w:sz w:val="24"/>
                <w:szCs w:val="24"/>
              </w:rPr>
            </w:pPr>
            <w:r>
              <w:rPr>
                <w:rFonts w:ascii="Times New Roman" w:hAnsi="Times New Roman"/>
                <w:sz w:val="24"/>
                <w:szCs w:val="24"/>
              </w:rPr>
              <w:t>89</w:t>
            </w:r>
          </w:p>
        </w:tc>
        <w:tc>
          <w:tcPr>
            <w:tcW w:w="1318" w:type="dxa"/>
            <w:vAlign w:val="center"/>
          </w:tcPr>
          <w:p w14:paraId="599DF765">
            <w:pPr>
              <w:jc w:val="center"/>
              <w:rPr>
                <w:rFonts w:ascii="Times New Roman" w:hAnsi="Times New Roman"/>
                <w:sz w:val="24"/>
                <w:szCs w:val="24"/>
              </w:rPr>
            </w:pPr>
            <w:r>
              <w:rPr>
                <w:rFonts w:ascii="Times New Roman" w:hAnsi="Times New Roman"/>
                <w:sz w:val="24"/>
                <w:szCs w:val="24"/>
              </w:rPr>
              <w:t>124</w:t>
            </w:r>
          </w:p>
        </w:tc>
        <w:tc>
          <w:tcPr>
            <w:tcW w:w="1321" w:type="dxa"/>
            <w:vAlign w:val="center"/>
          </w:tcPr>
          <w:p w14:paraId="753DDAA9">
            <w:pPr>
              <w:jc w:val="center"/>
              <w:rPr>
                <w:rFonts w:ascii="Times New Roman" w:hAnsi="Times New Roman"/>
                <w:sz w:val="24"/>
                <w:szCs w:val="24"/>
              </w:rPr>
            </w:pPr>
            <w:r>
              <w:rPr>
                <w:rFonts w:ascii="Times New Roman" w:hAnsi="Times New Roman"/>
                <w:sz w:val="24"/>
                <w:szCs w:val="24"/>
              </w:rPr>
              <w:t>98</w:t>
            </w:r>
          </w:p>
        </w:tc>
      </w:tr>
      <w:tr w14:paraId="1401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9" w:type="dxa"/>
          </w:tcPr>
          <w:p w14:paraId="2094C2E7">
            <w:pPr>
              <w:jc w:val="center"/>
              <w:rPr>
                <w:sz w:val="24"/>
                <w:szCs w:val="24"/>
              </w:rPr>
            </w:pPr>
            <w:r>
              <w:rPr>
                <w:rFonts w:hint="eastAsia"/>
                <w:sz w:val="24"/>
                <w:szCs w:val="24"/>
              </w:rPr>
              <w:t>3</w:t>
            </w:r>
          </w:p>
        </w:tc>
        <w:tc>
          <w:tcPr>
            <w:tcW w:w="1861" w:type="dxa"/>
            <w:vAlign w:val="center"/>
          </w:tcPr>
          <w:p w14:paraId="02B3ED78">
            <w:pPr>
              <w:jc w:val="center"/>
              <w:rPr>
                <w:sz w:val="24"/>
                <w:szCs w:val="24"/>
              </w:rPr>
            </w:pPr>
            <w:r>
              <w:rPr>
                <w:rFonts w:hint="eastAsia"/>
                <w:sz w:val="24"/>
                <w:szCs w:val="24"/>
              </w:rPr>
              <w:t>已建</w:t>
            </w:r>
            <w:r>
              <w:rPr>
                <w:sz w:val="24"/>
                <w:szCs w:val="24"/>
              </w:rPr>
              <w:t>端口数</w:t>
            </w:r>
          </w:p>
        </w:tc>
        <w:tc>
          <w:tcPr>
            <w:tcW w:w="1419" w:type="dxa"/>
            <w:vAlign w:val="center"/>
          </w:tcPr>
          <w:p w14:paraId="23228368">
            <w:pPr>
              <w:jc w:val="center"/>
              <w:rPr>
                <w:rFonts w:ascii="Times New Roman" w:hAnsi="Times New Roman"/>
                <w:sz w:val="24"/>
                <w:szCs w:val="24"/>
              </w:rPr>
            </w:pPr>
            <w:r>
              <w:rPr>
                <w:rFonts w:ascii="Times New Roman" w:hAnsi="Times New Roman"/>
                <w:sz w:val="24"/>
              </w:rPr>
              <w:t>44339</w:t>
            </w:r>
          </w:p>
        </w:tc>
        <w:tc>
          <w:tcPr>
            <w:tcW w:w="1274" w:type="dxa"/>
            <w:vAlign w:val="center"/>
          </w:tcPr>
          <w:p w14:paraId="65151372">
            <w:pPr>
              <w:jc w:val="center"/>
              <w:rPr>
                <w:rFonts w:ascii="Times New Roman" w:hAnsi="Times New Roman"/>
                <w:sz w:val="24"/>
                <w:szCs w:val="24"/>
              </w:rPr>
            </w:pPr>
            <w:r>
              <w:rPr>
                <w:rFonts w:ascii="Times New Roman" w:hAnsi="Times New Roman"/>
                <w:sz w:val="24"/>
              </w:rPr>
              <w:t>1237</w:t>
            </w:r>
          </w:p>
        </w:tc>
        <w:tc>
          <w:tcPr>
            <w:tcW w:w="1416" w:type="dxa"/>
            <w:vAlign w:val="center"/>
          </w:tcPr>
          <w:p w14:paraId="66A6A5E3">
            <w:pPr>
              <w:jc w:val="center"/>
              <w:rPr>
                <w:rFonts w:ascii="Times New Roman" w:hAnsi="Times New Roman"/>
                <w:sz w:val="24"/>
                <w:szCs w:val="24"/>
              </w:rPr>
            </w:pPr>
            <w:r>
              <w:rPr>
                <w:rFonts w:ascii="Times New Roman" w:hAnsi="Times New Roman"/>
                <w:sz w:val="24"/>
              </w:rPr>
              <w:t>12778</w:t>
            </w:r>
          </w:p>
        </w:tc>
        <w:tc>
          <w:tcPr>
            <w:tcW w:w="1567" w:type="dxa"/>
            <w:vAlign w:val="center"/>
          </w:tcPr>
          <w:p w14:paraId="7D22BAE5">
            <w:pPr>
              <w:jc w:val="center"/>
              <w:rPr>
                <w:rFonts w:ascii="Times New Roman" w:hAnsi="Times New Roman"/>
                <w:sz w:val="24"/>
                <w:szCs w:val="24"/>
              </w:rPr>
            </w:pPr>
            <w:r>
              <w:rPr>
                <w:rFonts w:ascii="Times New Roman" w:hAnsi="Times New Roman"/>
                <w:sz w:val="24"/>
              </w:rPr>
              <w:t>1197</w:t>
            </w:r>
          </w:p>
        </w:tc>
        <w:tc>
          <w:tcPr>
            <w:tcW w:w="1318" w:type="dxa"/>
            <w:vAlign w:val="center"/>
          </w:tcPr>
          <w:p w14:paraId="6D9543D8">
            <w:pPr>
              <w:jc w:val="center"/>
              <w:rPr>
                <w:rFonts w:ascii="Times New Roman" w:hAnsi="Times New Roman"/>
                <w:sz w:val="24"/>
                <w:szCs w:val="24"/>
              </w:rPr>
            </w:pPr>
            <w:r>
              <w:rPr>
                <w:rFonts w:ascii="Times New Roman" w:hAnsi="Times New Roman"/>
                <w:sz w:val="24"/>
              </w:rPr>
              <w:t>4860</w:t>
            </w:r>
          </w:p>
        </w:tc>
        <w:tc>
          <w:tcPr>
            <w:tcW w:w="1318" w:type="dxa"/>
            <w:vAlign w:val="center"/>
          </w:tcPr>
          <w:p w14:paraId="72753370">
            <w:pPr>
              <w:jc w:val="center"/>
              <w:rPr>
                <w:rFonts w:ascii="Times New Roman" w:hAnsi="Times New Roman"/>
                <w:sz w:val="24"/>
                <w:szCs w:val="24"/>
              </w:rPr>
            </w:pPr>
            <w:r>
              <w:rPr>
                <w:rFonts w:ascii="Times New Roman" w:hAnsi="Times New Roman"/>
                <w:sz w:val="24"/>
              </w:rPr>
              <w:t>6315</w:t>
            </w:r>
          </w:p>
        </w:tc>
        <w:tc>
          <w:tcPr>
            <w:tcW w:w="1318" w:type="dxa"/>
            <w:vAlign w:val="center"/>
          </w:tcPr>
          <w:p w14:paraId="588B1919">
            <w:pPr>
              <w:jc w:val="center"/>
              <w:rPr>
                <w:rFonts w:ascii="Times New Roman" w:hAnsi="Times New Roman"/>
                <w:sz w:val="24"/>
                <w:szCs w:val="24"/>
              </w:rPr>
            </w:pPr>
            <w:r>
              <w:rPr>
                <w:rFonts w:ascii="Times New Roman" w:hAnsi="Times New Roman"/>
                <w:sz w:val="24"/>
              </w:rPr>
              <w:t>6152</w:t>
            </w:r>
          </w:p>
        </w:tc>
        <w:tc>
          <w:tcPr>
            <w:tcW w:w="1321" w:type="dxa"/>
            <w:vAlign w:val="center"/>
          </w:tcPr>
          <w:p w14:paraId="53F86587">
            <w:pPr>
              <w:jc w:val="center"/>
              <w:rPr>
                <w:rFonts w:ascii="Times New Roman" w:hAnsi="Times New Roman"/>
                <w:sz w:val="24"/>
                <w:szCs w:val="24"/>
              </w:rPr>
            </w:pPr>
            <w:r>
              <w:rPr>
                <w:rFonts w:ascii="Times New Roman" w:hAnsi="Times New Roman"/>
                <w:sz w:val="24"/>
              </w:rPr>
              <w:t>11800</w:t>
            </w:r>
          </w:p>
        </w:tc>
      </w:tr>
      <w:tr w14:paraId="13EB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9" w:type="dxa"/>
          </w:tcPr>
          <w:p w14:paraId="7FF7BBDD">
            <w:pPr>
              <w:jc w:val="center"/>
              <w:rPr>
                <w:sz w:val="24"/>
                <w:szCs w:val="24"/>
              </w:rPr>
            </w:pPr>
            <w:r>
              <w:rPr>
                <w:rFonts w:hint="eastAsia"/>
                <w:sz w:val="24"/>
                <w:szCs w:val="24"/>
              </w:rPr>
              <w:t>4</w:t>
            </w:r>
          </w:p>
        </w:tc>
        <w:tc>
          <w:tcPr>
            <w:tcW w:w="1861" w:type="dxa"/>
            <w:vAlign w:val="center"/>
          </w:tcPr>
          <w:p w14:paraId="6FD1EF32">
            <w:pPr>
              <w:jc w:val="center"/>
              <w:rPr>
                <w:sz w:val="24"/>
                <w:szCs w:val="24"/>
              </w:rPr>
            </w:pPr>
            <w:r>
              <w:rPr>
                <w:rFonts w:hint="eastAsia"/>
                <w:sz w:val="24"/>
                <w:szCs w:val="24"/>
              </w:rPr>
              <w:t>计划建端口数</w:t>
            </w:r>
          </w:p>
        </w:tc>
        <w:tc>
          <w:tcPr>
            <w:tcW w:w="1419" w:type="dxa"/>
            <w:vAlign w:val="center"/>
          </w:tcPr>
          <w:p w14:paraId="505E4484">
            <w:pPr>
              <w:jc w:val="center"/>
              <w:rPr>
                <w:rFonts w:ascii="Times New Roman" w:hAnsi="Times New Roman"/>
                <w:sz w:val="24"/>
                <w:szCs w:val="24"/>
              </w:rPr>
            </w:pPr>
            <w:r>
              <w:rPr>
                <w:rFonts w:ascii="Times New Roman" w:hAnsi="Times New Roman"/>
                <w:sz w:val="24"/>
                <w:szCs w:val="24"/>
              </w:rPr>
              <w:t>33790</w:t>
            </w:r>
          </w:p>
        </w:tc>
        <w:tc>
          <w:tcPr>
            <w:tcW w:w="1274" w:type="dxa"/>
            <w:vAlign w:val="center"/>
          </w:tcPr>
          <w:p w14:paraId="56C6BE66">
            <w:pPr>
              <w:jc w:val="center"/>
              <w:rPr>
                <w:rFonts w:ascii="Times New Roman" w:hAnsi="Times New Roman"/>
                <w:sz w:val="24"/>
                <w:szCs w:val="24"/>
              </w:rPr>
            </w:pPr>
            <w:r>
              <w:rPr>
                <w:rFonts w:ascii="Times New Roman" w:hAnsi="Times New Roman"/>
                <w:sz w:val="24"/>
                <w:szCs w:val="24"/>
              </w:rPr>
              <w:t>3813</w:t>
            </w:r>
          </w:p>
        </w:tc>
        <w:tc>
          <w:tcPr>
            <w:tcW w:w="1416" w:type="dxa"/>
            <w:vAlign w:val="center"/>
          </w:tcPr>
          <w:p w14:paraId="181067F2">
            <w:pPr>
              <w:jc w:val="center"/>
              <w:rPr>
                <w:rFonts w:ascii="Times New Roman" w:hAnsi="Times New Roman"/>
                <w:sz w:val="24"/>
                <w:szCs w:val="24"/>
              </w:rPr>
            </w:pPr>
            <w:r>
              <w:rPr>
                <w:rFonts w:ascii="Times New Roman" w:hAnsi="Times New Roman"/>
                <w:sz w:val="24"/>
                <w:szCs w:val="24"/>
              </w:rPr>
              <w:t>4826</w:t>
            </w:r>
          </w:p>
        </w:tc>
        <w:tc>
          <w:tcPr>
            <w:tcW w:w="1567" w:type="dxa"/>
            <w:vAlign w:val="center"/>
          </w:tcPr>
          <w:p w14:paraId="4A4F2D61">
            <w:pPr>
              <w:jc w:val="center"/>
              <w:rPr>
                <w:rFonts w:ascii="Times New Roman" w:hAnsi="Times New Roman"/>
                <w:sz w:val="24"/>
                <w:szCs w:val="24"/>
              </w:rPr>
            </w:pPr>
            <w:r>
              <w:rPr>
                <w:rFonts w:ascii="Times New Roman" w:hAnsi="Times New Roman"/>
                <w:sz w:val="24"/>
                <w:szCs w:val="24"/>
              </w:rPr>
              <w:t>1218</w:t>
            </w:r>
          </w:p>
        </w:tc>
        <w:tc>
          <w:tcPr>
            <w:tcW w:w="1318" w:type="dxa"/>
            <w:vAlign w:val="center"/>
          </w:tcPr>
          <w:p w14:paraId="719D341B">
            <w:pPr>
              <w:jc w:val="center"/>
              <w:rPr>
                <w:rFonts w:ascii="Times New Roman" w:hAnsi="Times New Roman"/>
                <w:sz w:val="24"/>
                <w:szCs w:val="24"/>
              </w:rPr>
            </w:pPr>
            <w:r>
              <w:rPr>
                <w:rFonts w:ascii="Times New Roman" w:hAnsi="Times New Roman"/>
                <w:sz w:val="24"/>
                <w:szCs w:val="24"/>
              </w:rPr>
              <w:t>4466</w:t>
            </w:r>
          </w:p>
        </w:tc>
        <w:tc>
          <w:tcPr>
            <w:tcW w:w="1318" w:type="dxa"/>
            <w:vAlign w:val="center"/>
          </w:tcPr>
          <w:p w14:paraId="13846219">
            <w:pPr>
              <w:jc w:val="center"/>
              <w:rPr>
                <w:rFonts w:ascii="Times New Roman" w:hAnsi="Times New Roman"/>
                <w:sz w:val="24"/>
                <w:szCs w:val="24"/>
              </w:rPr>
            </w:pPr>
            <w:r>
              <w:rPr>
                <w:rFonts w:ascii="Times New Roman" w:hAnsi="Times New Roman"/>
                <w:sz w:val="24"/>
                <w:szCs w:val="24"/>
              </w:rPr>
              <w:t>4498</w:t>
            </w:r>
          </w:p>
        </w:tc>
        <w:tc>
          <w:tcPr>
            <w:tcW w:w="1318" w:type="dxa"/>
            <w:vAlign w:val="center"/>
          </w:tcPr>
          <w:p w14:paraId="3D6A0B84">
            <w:pPr>
              <w:jc w:val="center"/>
              <w:rPr>
                <w:rFonts w:ascii="Times New Roman" w:hAnsi="Times New Roman"/>
                <w:sz w:val="24"/>
                <w:szCs w:val="24"/>
              </w:rPr>
            </w:pPr>
            <w:r>
              <w:rPr>
                <w:rFonts w:ascii="Times New Roman" w:hAnsi="Times New Roman"/>
                <w:sz w:val="24"/>
                <w:szCs w:val="24"/>
              </w:rPr>
              <w:t>14729</w:t>
            </w:r>
          </w:p>
        </w:tc>
        <w:tc>
          <w:tcPr>
            <w:tcW w:w="1321" w:type="dxa"/>
            <w:vAlign w:val="center"/>
          </w:tcPr>
          <w:p w14:paraId="449CFC8E">
            <w:pPr>
              <w:jc w:val="center"/>
              <w:rPr>
                <w:rFonts w:ascii="Times New Roman" w:hAnsi="Times New Roman"/>
                <w:sz w:val="24"/>
                <w:szCs w:val="24"/>
              </w:rPr>
            </w:pPr>
            <w:r>
              <w:rPr>
                <w:rFonts w:ascii="Times New Roman" w:hAnsi="Times New Roman"/>
                <w:sz w:val="24"/>
                <w:szCs w:val="24"/>
              </w:rPr>
              <w:t>240</w:t>
            </w:r>
          </w:p>
        </w:tc>
      </w:tr>
      <w:tr w14:paraId="1B92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9" w:type="dxa"/>
          </w:tcPr>
          <w:p w14:paraId="4CD197FE">
            <w:pPr>
              <w:jc w:val="center"/>
              <w:rPr>
                <w:sz w:val="24"/>
                <w:szCs w:val="24"/>
              </w:rPr>
            </w:pPr>
            <w:r>
              <w:rPr>
                <w:rFonts w:hint="eastAsia"/>
                <w:sz w:val="24"/>
                <w:szCs w:val="24"/>
              </w:rPr>
              <w:t>5</w:t>
            </w:r>
          </w:p>
        </w:tc>
        <w:tc>
          <w:tcPr>
            <w:tcW w:w="1861" w:type="dxa"/>
            <w:vAlign w:val="center"/>
          </w:tcPr>
          <w:p w14:paraId="65D700B0">
            <w:pPr>
              <w:jc w:val="center"/>
              <w:rPr>
                <w:sz w:val="24"/>
                <w:szCs w:val="24"/>
              </w:rPr>
            </w:pPr>
            <w:r>
              <w:rPr>
                <w:rFonts w:hint="eastAsia"/>
                <w:sz w:val="24"/>
                <w:szCs w:val="24"/>
              </w:rPr>
              <w:t>2024年</w:t>
            </w:r>
            <w:r>
              <w:rPr>
                <w:sz w:val="24"/>
                <w:szCs w:val="24"/>
              </w:rPr>
              <w:t>建设</w:t>
            </w:r>
            <w:r>
              <w:rPr>
                <w:rFonts w:hint="eastAsia"/>
                <w:sz w:val="24"/>
                <w:szCs w:val="24"/>
              </w:rPr>
              <w:t>数</w:t>
            </w:r>
          </w:p>
        </w:tc>
        <w:tc>
          <w:tcPr>
            <w:tcW w:w="1419" w:type="dxa"/>
            <w:vAlign w:val="center"/>
          </w:tcPr>
          <w:p w14:paraId="53E3AA2C">
            <w:pPr>
              <w:jc w:val="center"/>
              <w:rPr>
                <w:rFonts w:ascii="Times New Roman" w:hAnsi="Times New Roman"/>
                <w:sz w:val="24"/>
                <w:szCs w:val="24"/>
              </w:rPr>
            </w:pPr>
            <w:r>
              <w:rPr>
                <w:rFonts w:ascii="Times New Roman" w:hAnsi="Times New Roman"/>
                <w:sz w:val="24"/>
                <w:szCs w:val="24"/>
              </w:rPr>
              <w:t>8095</w:t>
            </w:r>
          </w:p>
        </w:tc>
        <w:tc>
          <w:tcPr>
            <w:tcW w:w="1274" w:type="dxa"/>
            <w:vAlign w:val="center"/>
          </w:tcPr>
          <w:p w14:paraId="75382B2C">
            <w:pPr>
              <w:jc w:val="center"/>
              <w:rPr>
                <w:rFonts w:ascii="Times New Roman" w:hAnsi="Times New Roman"/>
                <w:sz w:val="24"/>
                <w:szCs w:val="24"/>
              </w:rPr>
            </w:pPr>
            <w:r>
              <w:rPr>
                <w:rFonts w:ascii="Times New Roman" w:hAnsi="Times New Roman"/>
                <w:sz w:val="24"/>
                <w:szCs w:val="24"/>
              </w:rPr>
              <w:t>945</w:t>
            </w:r>
          </w:p>
        </w:tc>
        <w:tc>
          <w:tcPr>
            <w:tcW w:w="1416" w:type="dxa"/>
            <w:vAlign w:val="center"/>
          </w:tcPr>
          <w:p w14:paraId="07C7BA81">
            <w:pPr>
              <w:jc w:val="center"/>
              <w:rPr>
                <w:rFonts w:ascii="Times New Roman" w:hAnsi="Times New Roman"/>
                <w:sz w:val="24"/>
                <w:szCs w:val="24"/>
              </w:rPr>
            </w:pPr>
            <w:r>
              <w:rPr>
                <w:rFonts w:ascii="Times New Roman" w:hAnsi="Times New Roman"/>
                <w:sz w:val="24"/>
                <w:szCs w:val="24"/>
              </w:rPr>
              <w:t>1200</w:t>
            </w:r>
          </w:p>
        </w:tc>
        <w:tc>
          <w:tcPr>
            <w:tcW w:w="1567" w:type="dxa"/>
            <w:vAlign w:val="center"/>
          </w:tcPr>
          <w:p w14:paraId="7BD2805C">
            <w:pPr>
              <w:jc w:val="center"/>
              <w:rPr>
                <w:rFonts w:ascii="Times New Roman" w:hAnsi="Times New Roman"/>
                <w:sz w:val="24"/>
                <w:szCs w:val="24"/>
              </w:rPr>
            </w:pPr>
            <w:r>
              <w:rPr>
                <w:rFonts w:ascii="Times New Roman" w:hAnsi="Times New Roman"/>
                <w:sz w:val="24"/>
                <w:szCs w:val="24"/>
              </w:rPr>
              <w:t>300</w:t>
            </w:r>
          </w:p>
        </w:tc>
        <w:tc>
          <w:tcPr>
            <w:tcW w:w="1318" w:type="dxa"/>
            <w:vAlign w:val="center"/>
          </w:tcPr>
          <w:p w14:paraId="6569E9AD">
            <w:pPr>
              <w:jc w:val="center"/>
              <w:rPr>
                <w:rFonts w:ascii="Times New Roman" w:hAnsi="Times New Roman"/>
                <w:sz w:val="24"/>
                <w:szCs w:val="24"/>
              </w:rPr>
            </w:pPr>
            <w:r>
              <w:rPr>
                <w:rFonts w:ascii="Times New Roman" w:hAnsi="Times New Roman"/>
                <w:sz w:val="24"/>
                <w:szCs w:val="24"/>
              </w:rPr>
              <w:t>1186</w:t>
            </w:r>
          </w:p>
        </w:tc>
        <w:tc>
          <w:tcPr>
            <w:tcW w:w="1318" w:type="dxa"/>
            <w:vAlign w:val="center"/>
          </w:tcPr>
          <w:p w14:paraId="222699B7">
            <w:pPr>
              <w:jc w:val="center"/>
              <w:rPr>
                <w:rFonts w:ascii="Times New Roman" w:hAnsi="Times New Roman"/>
                <w:sz w:val="24"/>
                <w:szCs w:val="24"/>
              </w:rPr>
            </w:pPr>
            <w:r>
              <w:rPr>
                <w:rFonts w:ascii="Times New Roman" w:hAnsi="Times New Roman"/>
                <w:sz w:val="24"/>
                <w:szCs w:val="24"/>
              </w:rPr>
              <w:t>925</w:t>
            </w:r>
          </w:p>
        </w:tc>
        <w:tc>
          <w:tcPr>
            <w:tcW w:w="1318" w:type="dxa"/>
            <w:vAlign w:val="center"/>
          </w:tcPr>
          <w:p w14:paraId="15655CC9">
            <w:pPr>
              <w:jc w:val="center"/>
              <w:rPr>
                <w:rFonts w:ascii="Times New Roman" w:hAnsi="Times New Roman"/>
                <w:sz w:val="24"/>
                <w:szCs w:val="24"/>
              </w:rPr>
            </w:pPr>
            <w:r>
              <w:rPr>
                <w:rFonts w:ascii="Times New Roman" w:hAnsi="Times New Roman"/>
                <w:sz w:val="24"/>
                <w:szCs w:val="24"/>
              </w:rPr>
              <w:t>3479</w:t>
            </w:r>
          </w:p>
        </w:tc>
        <w:tc>
          <w:tcPr>
            <w:tcW w:w="1321" w:type="dxa"/>
            <w:vAlign w:val="center"/>
          </w:tcPr>
          <w:p w14:paraId="5F9AF4A1">
            <w:pPr>
              <w:jc w:val="center"/>
              <w:rPr>
                <w:rFonts w:ascii="Times New Roman" w:hAnsi="Times New Roman"/>
                <w:sz w:val="24"/>
                <w:szCs w:val="24"/>
              </w:rPr>
            </w:pPr>
            <w:r>
              <w:rPr>
                <w:rFonts w:ascii="Times New Roman" w:hAnsi="Times New Roman"/>
                <w:sz w:val="24"/>
                <w:szCs w:val="24"/>
              </w:rPr>
              <w:t>60</w:t>
            </w:r>
          </w:p>
        </w:tc>
      </w:tr>
      <w:tr w14:paraId="112C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9" w:type="dxa"/>
          </w:tcPr>
          <w:p w14:paraId="29B6F928">
            <w:pPr>
              <w:jc w:val="center"/>
              <w:rPr>
                <w:sz w:val="24"/>
                <w:szCs w:val="24"/>
              </w:rPr>
            </w:pPr>
            <w:r>
              <w:rPr>
                <w:rFonts w:hint="eastAsia"/>
                <w:sz w:val="24"/>
                <w:szCs w:val="24"/>
              </w:rPr>
              <w:t>6</w:t>
            </w:r>
          </w:p>
        </w:tc>
        <w:tc>
          <w:tcPr>
            <w:tcW w:w="1861" w:type="dxa"/>
            <w:vAlign w:val="center"/>
          </w:tcPr>
          <w:p w14:paraId="396CB218">
            <w:pPr>
              <w:jc w:val="center"/>
              <w:rPr>
                <w:sz w:val="24"/>
                <w:szCs w:val="24"/>
              </w:rPr>
            </w:pPr>
            <w:r>
              <w:rPr>
                <w:rFonts w:hint="eastAsia"/>
                <w:sz w:val="24"/>
                <w:szCs w:val="24"/>
              </w:rPr>
              <w:t>2025年</w:t>
            </w:r>
            <w:r>
              <w:rPr>
                <w:sz w:val="24"/>
                <w:szCs w:val="24"/>
              </w:rPr>
              <w:t>建设</w:t>
            </w:r>
            <w:r>
              <w:rPr>
                <w:rFonts w:hint="eastAsia"/>
                <w:sz w:val="24"/>
                <w:szCs w:val="24"/>
              </w:rPr>
              <w:t>数</w:t>
            </w:r>
          </w:p>
        </w:tc>
        <w:tc>
          <w:tcPr>
            <w:tcW w:w="1419" w:type="dxa"/>
            <w:vAlign w:val="center"/>
          </w:tcPr>
          <w:p w14:paraId="1C3905E2">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=SUM(LEFT) </w:instrText>
            </w:r>
            <w:r>
              <w:rPr>
                <w:rFonts w:ascii="Times New Roman" w:hAnsi="Times New Roman"/>
                <w:sz w:val="24"/>
                <w:szCs w:val="24"/>
              </w:rPr>
              <w:fldChar w:fldCharType="separate"/>
            </w:r>
            <w:r>
              <w:rPr>
                <w:rFonts w:ascii="Times New Roman" w:hAnsi="Times New Roman"/>
                <w:sz w:val="24"/>
                <w:szCs w:val="24"/>
              </w:rPr>
              <w:t>25695</w:t>
            </w:r>
            <w:r>
              <w:rPr>
                <w:rFonts w:ascii="Times New Roman" w:hAnsi="Times New Roman"/>
                <w:sz w:val="24"/>
                <w:szCs w:val="24"/>
              </w:rPr>
              <w:fldChar w:fldCharType="end"/>
            </w:r>
          </w:p>
        </w:tc>
        <w:tc>
          <w:tcPr>
            <w:tcW w:w="1274" w:type="dxa"/>
            <w:vAlign w:val="center"/>
          </w:tcPr>
          <w:p w14:paraId="4514E32E">
            <w:pPr>
              <w:jc w:val="center"/>
              <w:rPr>
                <w:rFonts w:ascii="Times New Roman" w:hAnsi="Times New Roman"/>
                <w:sz w:val="24"/>
                <w:szCs w:val="24"/>
              </w:rPr>
            </w:pPr>
            <w:r>
              <w:rPr>
                <w:rFonts w:ascii="Times New Roman" w:hAnsi="Times New Roman"/>
                <w:sz w:val="24"/>
                <w:szCs w:val="24"/>
              </w:rPr>
              <w:t>2868</w:t>
            </w:r>
          </w:p>
        </w:tc>
        <w:tc>
          <w:tcPr>
            <w:tcW w:w="1416" w:type="dxa"/>
            <w:vAlign w:val="center"/>
          </w:tcPr>
          <w:p w14:paraId="429FEE42">
            <w:pPr>
              <w:jc w:val="center"/>
              <w:rPr>
                <w:rFonts w:ascii="Times New Roman" w:hAnsi="Times New Roman"/>
                <w:sz w:val="24"/>
                <w:szCs w:val="24"/>
              </w:rPr>
            </w:pPr>
            <w:r>
              <w:rPr>
                <w:rFonts w:ascii="Times New Roman" w:hAnsi="Times New Roman"/>
                <w:sz w:val="24"/>
                <w:szCs w:val="24"/>
              </w:rPr>
              <w:t>3626</w:t>
            </w:r>
          </w:p>
        </w:tc>
        <w:tc>
          <w:tcPr>
            <w:tcW w:w="1567" w:type="dxa"/>
            <w:vAlign w:val="center"/>
          </w:tcPr>
          <w:p w14:paraId="5B03093B">
            <w:pPr>
              <w:jc w:val="center"/>
              <w:rPr>
                <w:rFonts w:ascii="Times New Roman" w:hAnsi="Times New Roman"/>
                <w:sz w:val="24"/>
                <w:szCs w:val="24"/>
              </w:rPr>
            </w:pPr>
            <w:r>
              <w:rPr>
                <w:rFonts w:ascii="Times New Roman" w:hAnsi="Times New Roman"/>
                <w:sz w:val="24"/>
                <w:szCs w:val="24"/>
              </w:rPr>
              <w:t>918</w:t>
            </w:r>
          </w:p>
        </w:tc>
        <w:tc>
          <w:tcPr>
            <w:tcW w:w="1318" w:type="dxa"/>
            <w:vAlign w:val="center"/>
          </w:tcPr>
          <w:p w14:paraId="3981DD39">
            <w:pPr>
              <w:jc w:val="center"/>
              <w:rPr>
                <w:rFonts w:ascii="Times New Roman" w:hAnsi="Times New Roman"/>
                <w:sz w:val="24"/>
                <w:szCs w:val="24"/>
              </w:rPr>
            </w:pPr>
            <w:r>
              <w:rPr>
                <w:rFonts w:ascii="Times New Roman" w:hAnsi="Times New Roman"/>
                <w:sz w:val="24"/>
                <w:szCs w:val="24"/>
              </w:rPr>
              <w:t>3280</w:t>
            </w:r>
          </w:p>
        </w:tc>
        <w:tc>
          <w:tcPr>
            <w:tcW w:w="1318" w:type="dxa"/>
            <w:vAlign w:val="center"/>
          </w:tcPr>
          <w:p w14:paraId="3232AAB8">
            <w:pPr>
              <w:jc w:val="center"/>
              <w:rPr>
                <w:rFonts w:ascii="Times New Roman" w:hAnsi="Times New Roman"/>
                <w:sz w:val="24"/>
                <w:szCs w:val="24"/>
              </w:rPr>
            </w:pPr>
            <w:r>
              <w:rPr>
                <w:rFonts w:ascii="Times New Roman" w:hAnsi="Times New Roman"/>
                <w:sz w:val="24"/>
                <w:szCs w:val="24"/>
              </w:rPr>
              <w:t>3573</w:t>
            </w:r>
          </w:p>
        </w:tc>
        <w:tc>
          <w:tcPr>
            <w:tcW w:w="1318" w:type="dxa"/>
            <w:vAlign w:val="center"/>
          </w:tcPr>
          <w:p w14:paraId="322FB304">
            <w:pPr>
              <w:jc w:val="center"/>
              <w:rPr>
                <w:rFonts w:ascii="Times New Roman" w:hAnsi="Times New Roman"/>
                <w:sz w:val="24"/>
                <w:szCs w:val="24"/>
              </w:rPr>
            </w:pPr>
            <w:r>
              <w:rPr>
                <w:rFonts w:ascii="Times New Roman" w:hAnsi="Times New Roman"/>
                <w:sz w:val="24"/>
                <w:szCs w:val="24"/>
              </w:rPr>
              <w:t>11250</w:t>
            </w:r>
          </w:p>
        </w:tc>
        <w:tc>
          <w:tcPr>
            <w:tcW w:w="1321" w:type="dxa"/>
            <w:vAlign w:val="center"/>
          </w:tcPr>
          <w:p w14:paraId="37956EC9">
            <w:pPr>
              <w:jc w:val="center"/>
              <w:rPr>
                <w:rFonts w:ascii="Times New Roman" w:hAnsi="Times New Roman"/>
                <w:sz w:val="24"/>
                <w:szCs w:val="24"/>
              </w:rPr>
            </w:pPr>
            <w:r>
              <w:rPr>
                <w:rFonts w:ascii="Times New Roman" w:hAnsi="Times New Roman"/>
                <w:sz w:val="24"/>
                <w:szCs w:val="24"/>
              </w:rPr>
              <w:t>180</w:t>
            </w:r>
          </w:p>
        </w:tc>
      </w:tr>
    </w:tbl>
    <w:p w14:paraId="6F88DC2B">
      <w:pPr>
        <w:widowControl/>
        <w:adjustRightInd w:val="0"/>
        <w:snapToGrid w:val="0"/>
        <w:ind w:left="960" w:hanging="960" w:hangingChars="400"/>
        <w:jc w:val="left"/>
        <w:rPr>
          <w:rFonts w:ascii="Times New Roman" w:hAnsi="Times New Roman" w:eastAsia="仿宋_GB2312"/>
          <w:kern w:val="0"/>
          <w:sz w:val="24"/>
          <w:szCs w:val="24"/>
        </w:rPr>
      </w:pPr>
      <w:r>
        <w:rPr>
          <w:rFonts w:hint="eastAsia" w:ascii="仿宋_GB2312" w:hAnsi="黑体" w:eastAsia="仿宋_GB2312" w:cs="宋体"/>
          <w:kern w:val="0"/>
          <w:sz w:val="24"/>
          <w:szCs w:val="24"/>
        </w:rPr>
        <w:t>说明：</w:t>
      </w:r>
      <w:r>
        <w:rPr>
          <w:rFonts w:ascii="Times New Roman" w:hAnsi="Times New Roman" w:eastAsia="仿宋_GB2312"/>
          <w:kern w:val="0"/>
          <w:sz w:val="24"/>
          <w:szCs w:val="24"/>
        </w:rPr>
        <w:t>1.已建小区是指截目前在既有住宅小区内已建有电动自行车充电设施的小区数；</w:t>
      </w:r>
    </w:p>
    <w:p w14:paraId="2C292265">
      <w:pPr>
        <w:widowControl/>
        <w:adjustRightInd w:val="0"/>
        <w:snapToGrid w:val="0"/>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此项工作在推进过程中，根据省、市工作专班以后下达的既有小区内电动自行车停放充电设施具体任务，建设计划会存在临时调整的可能性；</w:t>
      </w:r>
    </w:p>
    <w:p w14:paraId="081122E7">
      <w:pPr>
        <w:widowControl/>
        <w:adjustRightInd w:val="0"/>
        <w:snapToGrid w:val="0"/>
        <w:ind w:firstLine="720" w:firstLineChars="300"/>
        <w:jc w:val="left"/>
        <w:rPr>
          <w:rFonts w:ascii="仿宋_GB2312" w:hAnsi="仿宋_GB2312" w:eastAsia="仿宋_GB2312" w:cs="仿宋_GB2312"/>
          <w:sz w:val="32"/>
          <w:szCs w:val="32"/>
        </w:rPr>
      </w:pPr>
      <w:r>
        <w:rPr>
          <w:rFonts w:ascii="Times New Roman" w:hAnsi="Times New Roman" w:eastAsia="仿宋_GB2312"/>
          <w:kern w:val="0"/>
          <w:sz w:val="24"/>
          <w:szCs w:val="24"/>
        </w:rPr>
        <w:t>3.计划表是根据各地2024年9月份上报的基础数据进行的测算，工作中会存在根据各地实际临时变化而调整的情况</w:t>
      </w:r>
      <w:r>
        <w:rPr>
          <w:rFonts w:hint="eastAsia" w:ascii="Times New Roman" w:hAnsi="Times New Roman" w:eastAsia="仿宋_GB2312"/>
          <w:kern w:val="0"/>
          <w:sz w:val="24"/>
          <w:szCs w:val="24"/>
        </w:rPr>
        <w:t>；</w:t>
      </w:r>
    </w:p>
    <w:p w14:paraId="1C70BEEE">
      <w:pPr>
        <w:widowControl/>
        <w:adjustRightInd w:val="0"/>
        <w:snapToGrid w:val="0"/>
        <w:ind w:firstLine="720" w:firstLineChars="300"/>
        <w:jc w:val="left"/>
        <w:rPr>
          <w:rFonts w:ascii="仿宋_GB2312" w:hAnsi="仿宋_GB2312" w:eastAsia="仿宋_GB2312" w:cs="仿宋_GB2312"/>
          <w:sz w:val="32"/>
          <w:szCs w:val="32"/>
        </w:rPr>
        <w:sectPr>
          <w:pgSz w:w="16838" w:h="11906" w:orient="landscape"/>
          <w:pgMar w:top="1797" w:right="1440" w:bottom="1797" w:left="1440" w:header="851" w:footer="992" w:gutter="0"/>
          <w:cols w:space="720" w:num="1"/>
          <w:docGrid w:type="linesAndChars" w:linePitch="312" w:charSpace="0"/>
        </w:sectPr>
      </w:pPr>
      <w:r>
        <w:rPr>
          <w:rFonts w:ascii="Times New Roman" w:hAnsi="Times New Roman" w:eastAsia="仿宋_GB2312"/>
          <w:kern w:val="0"/>
          <w:sz w:val="24"/>
          <w:szCs w:val="24"/>
        </w:rPr>
        <w:t>4.各地在开展既有小区电动自行车停放充电设施建设工作时，单个小区电动自行车保有量与充电端口配建比例要达到3:1，不足的应予补建</w:t>
      </w:r>
      <w:r>
        <w:rPr>
          <w:rFonts w:ascii="Times New Roman" w:hAnsi="Times New Roman"/>
        </w:rPr>
        <w:t xml:space="preserve"> 。</w:t>
      </w:r>
    </w:p>
    <w:p w14:paraId="74957E0B">
      <w:pPr>
        <w:pStyle w:val="8"/>
        <w:shd w:val="clear" w:color="auto" w:fill="FFFFFF"/>
        <w:spacing w:before="0" w:beforeAutospacing="0" w:after="0" w:afterAutospacing="0" w:line="360" w:lineRule="auto"/>
        <w:jc w:val="both"/>
        <w:rPr>
          <w:rFonts w:ascii="仿宋_GB2312" w:hAnsi="仿宋_GB2312" w:eastAsia="仿宋_GB2312" w:cs="仿宋_GB2312"/>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2</w:t>
      </w:r>
      <w:r>
        <w:rPr>
          <w:rFonts w:hint="eastAsia" w:ascii="仿宋_GB2312" w:hAnsi="仿宋_GB2312" w:eastAsia="仿宋_GB2312" w:cs="仿宋_GB2312"/>
          <w:sz w:val="32"/>
          <w:szCs w:val="32"/>
        </w:rPr>
        <w:t>：</w:t>
      </w:r>
    </w:p>
    <w:p w14:paraId="7E20FCD6">
      <w:pPr>
        <w:pStyle w:val="3"/>
        <w:spacing w:after="0" w:line="600" w:lineRule="exact"/>
        <w:jc w:val="center"/>
        <w:rPr>
          <w:b/>
          <w:bCs/>
          <w:sz w:val="44"/>
          <w:szCs w:val="44"/>
        </w:rPr>
      </w:pPr>
      <w:r>
        <w:rPr>
          <w:b/>
          <w:bCs/>
          <w:sz w:val="44"/>
          <w:szCs w:val="44"/>
        </w:rPr>
        <w:t>既有住宅小区</w:t>
      </w:r>
      <w:r>
        <w:rPr>
          <w:rFonts w:hint="eastAsia"/>
          <w:b/>
          <w:bCs/>
          <w:sz w:val="44"/>
          <w:szCs w:val="44"/>
        </w:rPr>
        <w:t>内</w:t>
      </w:r>
      <w:r>
        <w:rPr>
          <w:b/>
          <w:bCs/>
          <w:sz w:val="44"/>
          <w:szCs w:val="44"/>
        </w:rPr>
        <w:t>电动自行车停放</w:t>
      </w:r>
    </w:p>
    <w:p w14:paraId="1842EAB5">
      <w:pPr>
        <w:pStyle w:val="3"/>
        <w:spacing w:after="0" w:line="600" w:lineRule="exact"/>
        <w:jc w:val="center"/>
        <w:rPr>
          <w:b/>
          <w:bCs/>
          <w:sz w:val="44"/>
          <w:szCs w:val="44"/>
        </w:rPr>
      </w:pPr>
      <w:r>
        <w:rPr>
          <w:b/>
          <w:bCs/>
          <w:sz w:val="44"/>
          <w:szCs w:val="44"/>
        </w:rPr>
        <w:t>充电场所建设</w:t>
      </w:r>
      <w:r>
        <w:rPr>
          <w:rFonts w:hint="eastAsia"/>
          <w:b/>
          <w:bCs/>
          <w:sz w:val="44"/>
          <w:szCs w:val="44"/>
        </w:rPr>
        <w:t>导引</w:t>
      </w:r>
    </w:p>
    <w:p w14:paraId="435A4828">
      <w:pPr>
        <w:pStyle w:val="2"/>
        <w:spacing w:line="600" w:lineRule="exact"/>
        <w:ind w:firstLine="0" w:firstLineChars="0"/>
        <w:jc w:val="center"/>
        <w:rPr>
          <w:rFonts w:ascii="楷体" w:hAnsi="楷体" w:eastAsia="楷体" w:cs="楷体"/>
          <w:sz w:val="32"/>
          <w:szCs w:val="32"/>
        </w:rPr>
      </w:pPr>
      <w:r>
        <w:rPr>
          <w:rFonts w:hint="eastAsia" w:ascii="楷体" w:hAnsi="楷体" w:eastAsia="楷体" w:cs="楷体"/>
          <w:sz w:val="32"/>
          <w:szCs w:val="32"/>
        </w:rPr>
        <w:t>（试行）</w:t>
      </w:r>
    </w:p>
    <w:p w14:paraId="04E08085">
      <w:pPr>
        <w:snapToGrid w:val="0"/>
        <w:spacing w:line="580" w:lineRule="exact"/>
        <w:ind w:firstLine="640" w:firstLineChars="200"/>
        <w:rPr>
          <w:rFonts w:ascii="Times New Roman" w:hAnsi="Times New Roman" w:eastAsia="黑体"/>
          <w:sz w:val="32"/>
          <w:szCs w:val="32"/>
        </w:rPr>
      </w:pPr>
    </w:p>
    <w:p w14:paraId="2793848B">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一、选址要求</w:t>
      </w:r>
    </w:p>
    <w:p w14:paraId="7A696A94">
      <w:pPr>
        <w:pStyle w:val="3"/>
        <w:snapToGrid w:val="0"/>
        <w:spacing w:after="0" w:line="580" w:lineRule="exact"/>
        <w:ind w:firstLine="640" w:firstLineChars="200"/>
        <w:rPr>
          <w:rFonts w:ascii="仿宋" w:hAnsi="仿宋" w:eastAsia="仿宋" w:cs="仿宋"/>
          <w:sz w:val="32"/>
          <w:szCs w:val="32"/>
        </w:rPr>
      </w:pPr>
      <w:r>
        <w:rPr>
          <w:rFonts w:eastAsia="仿宋_GB2312"/>
          <w:b/>
          <w:bCs/>
          <w:sz w:val="32"/>
          <w:szCs w:val="32"/>
        </w:rPr>
        <w:t>第一条</w:t>
      </w:r>
      <w:r>
        <w:rPr>
          <w:rFonts w:hint="eastAsia" w:eastAsia="仿宋_GB2312"/>
          <w:b/>
          <w:bCs/>
          <w:sz w:val="32"/>
          <w:szCs w:val="32"/>
        </w:rPr>
        <w:t xml:space="preserve"> </w:t>
      </w:r>
      <w:r>
        <w:rPr>
          <w:rFonts w:eastAsia="仿宋_GB2312"/>
          <w:sz w:val="32"/>
          <w:szCs w:val="32"/>
        </w:rPr>
        <w:t>电动自行车停放充电场所应集中布置，设计施工应当符合国家现行法律法规和相关技术标准的要求。优先选择设置在室外或既有的非机动停车场内，采取有效的防雷、排水等措施，采用顶棚结构或其他防雨措施。确需设置在室内位置时，应设置在独立区域，与其他区域进行防火分隔（防火隔墙</w:t>
      </w:r>
      <w:r>
        <w:rPr>
          <w:rFonts w:eastAsia="仿宋_GB2312"/>
          <w:bCs/>
          <w:kern w:val="0"/>
          <w:sz w:val="32"/>
          <w:szCs w:val="32"/>
        </w:rPr>
        <w:t>耐火极限不低于2h，楼板耐火极限不低于1.5h</w:t>
      </w:r>
      <w:r>
        <w:rPr>
          <w:rFonts w:eastAsia="仿宋_GB2312"/>
          <w:sz w:val="32"/>
          <w:szCs w:val="32"/>
        </w:rPr>
        <w:t>）。</w:t>
      </w:r>
    </w:p>
    <w:p w14:paraId="648EBE62">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第二条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电动自行车停放充电场所不得占用建筑的防火间距、消防车道、消防车登高操作场地，不得影响建筑室内外消防设施、安全疏散设施的正常使用。不应与甲、乙类火灾危险性厂房、仓库及托儿所、幼儿园等儿童活动场所和老年人活动场所等贴邻设置。</w:t>
      </w:r>
    </w:p>
    <w:p w14:paraId="3DF70ABC">
      <w:pPr>
        <w:snapToGrid w:val="0"/>
        <w:spacing w:line="580" w:lineRule="exact"/>
        <w:ind w:firstLine="640" w:firstLineChars="200"/>
        <w:rPr>
          <w:rFonts w:ascii="仿宋" w:hAnsi="仿宋" w:eastAsia="仿宋" w:cs="仿宋"/>
          <w:bCs/>
          <w:kern w:val="0"/>
          <w:sz w:val="32"/>
          <w:szCs w:val="32"/>
        </w:rPr>
      </w:pPr>
      <w:r>
        <w:rPr>
          <w:rFonts w:hint="eastAsia" w:ascii="Times New Roman" w:hAnsi="Times New Roman" w:eastAsia="仿宋_GB2312"/>
          <w:b/>
          <w:bCs/>
          <w:sz w:val="32"/>
          <w:szCs w:val="32"/>
        </w:rPr>
        <w:t>第三条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既有住宅小区内已设置的电动自行车停放充电场所，不满足安全要求的，参照增设电动自行车停放充电场所标准进行改建。</w:t>
      </w:r>
    </w:p>
    <w:p w14:paraId="43DE1AB2">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第四条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电动自行车停放充电场所与汽车停车场（库）合用时，应集中划分区域，且采取防火分隔措施。</w:t>
      </w:r>
    </w:p>
    <w:p w14:paraId="52214CBC">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第五条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电动自行车停放充电场所要做到24小时监控全覆盖，出入口应设置不少于2个高清摄像头，监控信号引至小区监控室。监控设备应具有视频存储、查询、回访等功能，视频保存期限不低于1个月。</w:t>
      </w:r>
    </w:p>
    <w:p w14:paraId="13E6C193">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第六条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增设充电设施区域应实现公众移动通信网络信号覆盖，以满足充电桩扫码需求。</w:t>
      </w:r>
    </w:p>
    <w:p w14:paraId="42EA410D">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二、电动自行车地上充电场所建设导引</w:t>
      </w:r>
    </w:p>
    <w:p w14:paraId="470FED37">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第七条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电动自行车地上充电场所钢结构构件应采取防腐、防火处理，并明确各部位钢结构构件的燃烧性能等级和耐火极限要求；场地地面应适当高于室外地坪，可斜坡过渡。</w:t>
      </w:r>
    </w:p>
    <w:p w14:paraId="35E0E11C">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第八条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电动自行车停车场距离外墙不应小于3m，距离建筑安全出口不应小于6m。当建筑为一、二级耐火等级，墙体外保温系统为不燃材料，且距离地面6m内的墙面无门、窗、洞口时，可贴邻设置。</w:t>
      </w:r>
    </w:p>
    <w:p w14:paraId="4706313E">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第九条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电动自行车地上充电场所内的停车位应分组布置，根据地区实际确定每组长度不大于20m，停车位数量30辆，实行划线和分隔管理。组之间应设置一定的防火间距，设置耐火极限不低于2h的隔板进行防火分隔。车棚应使用不燃、难燃材料，不得使用聚苯乙烯、聚氨酯泡沫等燃烧性能低于A级的材料作为隔离保温材料或作为夹芯彩钢板芯材搭建。</w:t>
      </w:r>
    </w:p>
    <w:p w14:paraId="797AF0A3">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上充电场所应安装具有定时充电、电池识别、充电保护、异常自动断电、故障报警等功能的智能充电设施，电动车充电桩配电回路应设置限流式电气防火保护器，车棚内充电线路、照明线路应分路设置并穿管保护，充电设施、插座、配线箱、线缆等严禁敷设在易燃可燃物上，严禁使用大功率照明灯具，严禁私接电线“飞线充电”。充电设施、充电管线应采用不燃、难燃材料。</w:t>
      </w:r>
    </w:p>
    <w:p w14:paraId="73AA2413">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第十一条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上充电场所可以根据环境条件、占地面积等因素和实际需求，因地制宜设置火灾探测报警装置,配置符合现行国家标准《建筑灭火器配置设计规范》GB50140-2005所规定的中危险级灭火器，可选用水基型灭火器。</w:t>
      </w:r>
    </w:p>
    <w:p w14:paraId="057987B4">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三、电动自行车地下车库充电场所建设导引</w:t>
      </w:r>
    </w:p>
    <w:p w14:paraId="16E4329B">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第十二条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电动自行车地下车库充电场所面积应不小于16㎡，其中宽度不应小于8m，长度不应小于2m，且相邻的充电装置间距不得小于1m。充电设施安装区域应实现公众移动通信网络信号覆盖，以满足充电桩扫码需求。</w:t>
      </w:r>
    </w:p>
    <w:p w14:paraId="3C3148B3">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第十三条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下车库充电场所的建筑分类、耐火等级，以及不同耐火等级建筑的允许建筑高度或层数、防火分区最大允许建筑面积和安全疏散的设计，应符合《建筑防火通用规范》GB50037-2022、《建筑设计防火规范》GB50016-2014（2018版）关于一般性公共建筑的相关规定。不能将电动自行车停车库设在地下二层及以下楼层；充电设施安装区域与电动自行车之间应采用耐火极限不低于2h的防火隔墙或乙级防火门进行分隔。</w:t>
      </w:r>
    </w:p>
    <w:p w14:paraId="304F60AA">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电动自行车地下车库充电场所的消防灭火设施应因地制宜，充分利用所在建筑既有的消防系统，并符合下列要求：</w:t>
      </w:r>
    </w:p>
    <w:p w14:paraId="3B0A584A">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（1）充电设施安装区域所在建筑设有自动喷水灭火系统的，应按现行国家标准《自动喷水灭火系统设计规范》GB50084所规定的中危险级Ⅰ级设置自动喷水灭火系统，由既有喷淋系统供水。</w:t>
      </w:r>
    </w:p>
    <w:p w14:paraId="545DC8D2">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充电设施安装区域在建筑仅设有室内消火栓系统的，系统的设计喷水强度不应小于4.0L/(min•㎡)，作用面积不小于100㎡，持续喷水时间不应低于0.5h，最不利点处洒水喷头的工作压力不应低于0.03MPa，并采用快速响应洒水喷头。</w:t>
      </w:r>
    </w:p>
    <w:p w14:paraId="02061785">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（3）充电设施安装区域无室内水灭火消防系统的，应设置消防软管卷盘,设计应符合本条第（2）款的要求，可采用市政供水管网直接供水。</w:t>
      </w:r>
    </w:p>
    <w:p w14:paraId="092E11B3">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sz w:val="32"/>
          <w:szCs w:val="32"/>
        </w:rPr>
        <w:t>（4）充电设施安装区域应配置灭火器。灭火器的配置符合现行国家标准《建筑灭火器配置设计规范》GB50140-2005所规定的中危险级灭火器，可选用水基型灭火器。</w:t>
      </w:r>
    </w:p>
    <w:p w14:paraId="16BF660F">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第十五条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电动自行车地下车库充电场所内应设置消防应急照明和灯光疏散指示标志，且应符合《消防安全标志第1部分：标志》GB 13495.1、《消防应急照明和疏散指示系统》GB 17945、《消防应急照明和疏散指示系统技术标准》GB51309、《民用建筑电气设计标准》GB51348、《消防应急照明和疏散指示系统技术标准》GB51309-2018等现行国家规范。</w:t>
      </w:r>
    </w:p>
    <w:p w14:paraId="33F93A42">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第十六条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电动自行车地下车库充电场所应设置火灾自动报警系统，符合现行国家规范GB50116《火灾自动报警系统设计规范》、GB51348《民用建筑电气设计标准》等其它相关国家标准的规定。</w:t>
      </w:r>
    </w:p>
    <w:p w14:paraId="634741BD">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hint="eastAsia" w:ascii="仿宋" w:hAnsi="仿宋" w:eastAsia="仿宋" w:cs="仿宋"/>
          <w:sz w:val="32"/>
          <w:szCs w:val="32"/>
        </w:rPr>
        <w:t xml:space="preserve"> </w:t>
      </w:r>
      <w:r>
        <w:rPr>
          <w:rFonts w:hint="eastAsia" w:ascii="Times New Roman" w:hAnsi="Times New Roman" w:eastAsia="仿宋_GB2312"/>
          <w:sz w:val="32"/>
          <w:szCs w:val="32"/>
        </w:rPr>
        <w:t>电动自行车地下车库充电场所应设置排烟设施，符合《建筑防烟排烟系统技术标准》GB51251-2017的相关规定。对于大于50㎡的电动自行车地下车库充电场所应设排烟系统，并符合下列要求：</w:t>
      </w:r>
    </w:p>
    <w:p w14:paraId="30CA9070">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sz w:val="32"/>
          <w:szCs w:val="32"/>
        </w:rPr>
        <w:t>不满足自然排烟条件的各类车库，应设置机械排烟设施，排烟量应按不小于60m³/(h•㎡)计算确定，且取值不小于15000m³/h。排烟风机的排烟出口距主要疏散口、住宅的阳台和门窗等最小距离不小于 6m。</w:t>
      </w:r>
    </w:p>
    <w:p w14:paraId="6C896A1F">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第十八条</w:t>
      </w:r>
      <w:r>
        <w:rPr>
          <w:rFonts w:hint="eastAsia" w:ascii="仿宋" w:hAnsi="仿宋" w:eastAsia="仿宋" w:cs="仿宋"/>
          <w:b/>
          <w:bCs/>
          <w:sz w:val="32"/>
          <w:szCs w:val="32"/>
        </w:rPr>
        <w:t xml:space="preserve"> </w:t>
      </w:r>
      <w:r>
        <w:rPr>
          <w:rFonts w:hint="eastAsia" w:ascii="Times New Roman" w:hAnsi="Times New Roman" w:eastAsia="仿宋_GB2312"/>
          <w:sz w:val="32"/>
          <w:szCs w:val="32"/>
        </w:rPr>
        <w:t>安全疏散设计应符合现行国家规范《建筑防火通用规范》GB50037-2022、《建筑设计防火规范》GB50016-2014（2018版）中关于一般性公共建筑的相关规定。</w:t>
      </w:r>
    </w:p>
    <w:p w14:paraId="22EFD36B">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（1）充电设施安装区域应布置在离安全出口5米以外，不能穿越原防火分区的疏散通道。</w:t>
      </w:r>
    </w:p>
    <w:p w14:paraId="638580BE">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sz w:val="32"/>
          <w:szCs w:val="32"/>
        </w:rPr>
        <w:t>（2）充电设施安装区域内任一点至最近安全出口的直线距离不应大于30m，当该区域设置自动喷水灭火系统时，室内任一点至最近安全出口的安全疏散距离可增加25%。</w:t>
      </w:r>
    </w:p>
    <w:p w14:paraId="6272A1CE">
      <w:pPr>
        <w:snapToGrid w:val="0"/>
        <w:spacing w:line="580" w:lineRule="exact"/>
        <w:ind w:firstLine="640" w:firstLineChars="200"/>
        <w:rPr>
          <w:rFonts w:ascii="仿宋" w:hAnsi="仿宋" w:eastAsia="仿宋" w:cs="仿宋"/>
          <w:sz w:val="32"/>
          <w:szCs w:val="32"/>
        </w:rPr>
      </w:pPr>
      <w:r>
        <w:rPr>
          <w:rFonts w:hint="eastAsia" w:ascii="Times New Roman" w:hAnsi="Times New Roman" w:eastAsia="仿宋_GB2312"/>
          <w:b/>
          <w:bCs/>
          <w:sz w:val="32"/>
          <w:szCs w:val="32"/>
        </w:rPr>
        <w:t>第十九条</w:t>
      </w:r>
      <w:r>
        <w:rPr>
          <w:rFonts w:hint="eastAsia" w:ascii="仿宋" w:hAnsi="仿宋" w:eastAsia="仿宋" w:cs="仿宋"/>
          <w:sz w:val="32"/>
          <w:szCs w:val="32"/>
        </w:rPr>
        <w:t xml:space="preserve"> </w:t>
      </w:r>
      <w:r>
        <w:rPr>
          <w:rFonts w:hint="eastAsia" w:ascii="Times New Roman" w:hAnsi="Times New Roman" w:eastAsia="仿宋_GB2312"/>
          <w:sz w:val="32"/>
          <w:szCs w:val="32"/>
        </w:rPr>
        <w:t>半地下车库、地面封闭式车库参照电动自行车地下车库充电场所要求执行。</w:t>
      </w:r>
    </w:p>
    <w:p w14:paraId="73F385BB">
      <w:pPr>
        <w:spacing w:line="600" w:lineRule="exact"/>
        <w:rPr>
          <w:rFonts w:ascii="仿宋" w:hAnsi="仿宋" w:eastAsia="仿宋" w:cs="仿宋"/>
          <w:sz w:val="32"/>
          <w:szCs w:val="32"/>
        </w:rPr>
      </w:pPr>
    </w:p>
    <w:p w14:paraId="239ADC36">
      <w:pPr>
        <w:adjustRightInd w:val="0"/>
        <w:snapToGrid w:val="0"/>
        <w:spacing w:line="600" w:lineRule="exact"/>
        <w:jc w:val="left"/>
        <w:rPr>
          <w:rFonts w:ascii="仿宋" w:hAnsi="仿宋" w:eastAsia="仿宋" w:cs="仿宋"/>
          <w:sz w:val="32"/>
          <w:szCs w:val="32"/>
        </w:rPr>
      </w:pPr>
    </w:p>
    <w:p w14:paraId="5EFC6DCD">
      <w:pPr>
        <w:adjustRightInd w:val="0"/>
        <w:snapToGrid w:val="0"/>
        <w:spacing w:line="600" w:lineRule="exact"/>
        <w:jc w:val="left"/>
        <w:rPr>
          <w:rFonts w:ascii="黑体" w:hAnsi="黑体" w:eastAsia="黑体" w:cs="黑体"/>
          <w:sz w:val="32"/>
          <w:szCs w:val="32"/>
        </w:rPr>
      </w:pPr>
    </w:p>
    <w:p w14:paraId="3059FFBA">
      <w:pPr>
        <w:adjustRightInd w:val="0"/>
        <w:snapToGrid w:val="0"/>
        <w:spacing w:line="600" w:lineRule="exact"/>
        <w:jc w:val="left"/>
        <w:rPr>
          <w:rFonts w:ascii="黑体" w:hAnsi="黑体" w:eastAsia="黑体" w:cs="黑体"/>
          <w:sz w:val="32"/>
          <w:szCs w:val="32"/>
        </w:rPr>
      </w:pPr>
    </w:p>
    <w:p w14:paraId="1A17C35E">
      <w:pPr>
        <w:adjustRightInd w:val="0"/>
        <w:snapToGrid w:val="0"/>
        <w:spacing w:line="600" w:lineRule="exact"/>
        <w:jc w:val="left"/>
        <w:rPr>
          <w:rFonts w:ascii="黑体" w:hAnsi="黑体" w:eastAsia="黑体" w:cs="黑体"/>
          <w:sz w:val="32"/>
          <w:szCs w:val="32"/>
        </w:rPr>
      </w:pPr>
    </w:p>
    <w:p w14:paraId="4146B24E">
      <w:pPr>
        <w:adjustRightInd w:val="0"/>
        <w:snapToGrid w:val="0"/>
        <w:spacing w:line="600" w:lineRule="exact"/>
        <w:jc w:val="left"/>
        <w:rPr>
          <w:rFonts w:ascii="黑体" w:hAnsi="黑体" w:eastAsia="黑体" w:cs="黑体"/>
          <w:sz w:val="32"/>
          <w:szCs w:val="32"/>
        </w:rPr>
      </w:pPr>
    </w:p>
    <w:p w14:paraId="1BF9B27E">
      <w:pPr>
        <w:adjustRightInd w:val="0"/>
        <w:snapToGrid w:val="0"/>
        <w:spacing w:line="600" w:lineRule="exact"/>
        <w:jc w:val="left"/>
        <w:rPr>
          <w:rFonts w:ascii="黑体" w:hAnsi="黑体" w:eastAsia="黑体" w:cs="黑体"/>
          <w:sz w:val="32"/>
          <w:szCs w:val="32"/>
        </w:rPr>
      </w:pPr>
    </w:p>
    <w:p w14:paraId="6B4BA5BC">
      <w:pPr>
        <w:adjustRightInd w:val="0"/>
        <w:snapToGrid w:val="0"/>
        <w:spacing w:line="600" w:lineRule="exact"/>
        <w:jc w:val="left"/>
        <w:rPr>
          <w:rFonts w:ascii="黑体" w:hAnsi="黑体" w:eastAsia="黑体" w:cs="黑体"/>
          <w:sz w:val="32"/>
          <w:szCs w:val="32"/>
        </w:rPr>
      </w:pPr>
    </w:p>
    <w:p w14:paraId="4EDF5454">
      <w:pPr>
        <w:adjustRightInd w:val="0"/>
        <w:snapToGrid w:val="0"/>
        <w:spacing w:line="600" w:lineRule="exact"/>
        <w:jc w:val="left"/>
        <w:rPr>
          <w:rFonts w:ascii="黑体" w:hAnsi="黑体" w:eastAsia="黑体" w:cs="黑体"/>
          <w:sz w:val="32"/>
          <w:szCs w:val="32"/>
        </w:rPr>
      </w:pPr>
    </w:p>
    <w:p w14:paraId="37931DA5">
      <w:pPr>
        <w:adjustRightInd w:val="0"/>
        <w:snapToGrid w:val="0"/>
        <w:spacing w:line="600" w:lineRule="exact"/>
        <w:jc w:val="left"/>
        <w:rPr>
          <w:rFonts w:ascii="黑体" w:hAnsi="黑体" w:eastAsia="黑体" w:cs="黑体"/>
          <w:sz w:val="32"/>
          <w:szCs w:val="32"/>
        </w:rPr>
      </w:pPr>
    </w:p>
    <w:p w14:paraId="6674AB01">
      <w:pPr>
        <w:adjustRightInd w:val="0"/>
        <w:snapToGrid w:val="0"/>
        <w:spacing w:line="600" w:lineRule="exact"/>
        <w:jc w:val="left"/>
        <w:rPr>
          <w:rFonts w:ascii="黑体" w:hAnsi="黑体" w:eastAsia="黑体" w:cs="黑体"/>
          <w:sz w:val="32"/>
          <w:szCs w:val="32"/>
        </w:rPr>
      </w:pPr>
    </w:p>
    <w:p w14:paraId="1D436BA3">
      <w:pPr>
        <w:adjustRightInd w:val="0"/>
        <w:snapToGrid w:val="0"/>
        <w:spacing w:line="600" w:lineRule="exact"/>
        <w:jc w:val="left"/>
        <w:rPr>
          <w:rFonts w:ascii="黑体" w:hAnsi="黑体" w:eastAsia="黑体" w:cs="黑体"/>
          <w:sz w:val="32"/>
          <w:szCs w:val="32"/>
        </w:rPr>
      </w:pPr>
    </w:p>
    <w:p w14:paraId="52E0996B">
      <w:pPr>
        <w:adjustRightInd w:val="0"/>
        <w:snapToGrid w:val="0"/>
        <w:spacing w:line="600" w:lineRule="exact"/>
        <w:jc w:val="left"/>
        <w:rPr>
          <w:rFonts w:ascii="黑体" w:hAnsi="黑体" w:eastAsia="黑体" w:cs="黑体"/>
          <w:sz w:val="32"/>
          <w:szCs w:val="32"/>
        </w:rPr>
      </w:pPr>
    </w:p>
    <w:p w14:paraId="1771E19A">
      <w:pPr>
        <w:adjustRightInd w:val="0"/>
        <w:snapToGrid w:val="0"/>
        <w:spacing w:line="600" w:lineRule="exact"/>
        <w:jc w:val="left"/>
        <w:rPr>
          <w:rFonts w:ascii="黑体" w:hAnsi="黑体" w:eastAsia="黑体" w:cs="黑体"/>
          <w:sz w:val="32"/>
          <w:szCs w:val="32"/>
        </w:rPr>
      </w:pPr>
    </w:p>
    <w:p w14:paraId="1626DAC0">
      <w:pPr>
        <w:adjustRightInd w:val="0"/>
        <w:snapToGrid w:val="0"/>
        <w:spacing w:line="600" w:lineRule="exact"/>
        <w:jc w:val="left"/>
        <w:rPr>
          <w:rFonts w:ascii="黑体" w:hAnsi="黑体" w:eastAsia="黑体" w:cs="黑体"/>
          <w:sz w:val="32"/>
          <w:szCs w:val="32"/>
        </w:rPr>
      </w:pPr>
    </w:p>
    <w:p w14:paraId="45C9189B">
      <w:pPr>
        <w:adjustRightInd w:val="0"/>
        <w:snapToGrid w:val="0"/>
        <w:spacing w:line="600" w:lineRule="exact"/>
        <w:jc w:val="left"/>
        <w:rPr>
          <w:rFonts w:ascii="黑体" w:hAnsi="黑体" w:eastAsia="黑体" w:cs="黑体"/>
          <w:sz w:val="32"/>
          <w:szCs w:val="32"/>
        </w:rPr>
      </w:pPr>
    </w:p>
    <w:p w14:paraId="52829E8E">
      <w:pPr>
        <w:adjustRightInd w:val="0"/>
        <w:snapToGrid w:val="0"/>
        <w:spacing w:line="600" w:lineRule="exact"/>
        <w:jc w:val="left"/>
        <w:rPr>
          <w:rFonts w:ascii="黑体" w:hAnsi="黑体" w:eastAsia="黑体" w:cs="黑体"/>
          <w:sz w:val="32"/>
          <w:szCs w:val="32"/>
        </w:rPr>
      </w:pPr>
    </w:p>
    <w:p w14:paraId="5C214619">
      <w:pPr>
        <w:adjustRightInd w:val="0"/>
        <w:snapToGrid w:val="0"/>
        <w:spacing w:line="600" w:lineRule="exact"/>
        <w:jc w:val="left"/>
        <w:rPr>
          <w:rFonts w:ascii="黑体" w:hAnsi="黑体" w:eastAsia="黑体" w:cs="黑体"/>
          <w:sz w:val="32"/>
          <w:szCs w:val="32"/>
        </w:rPr>
      </w:pPr>
    </w:p>
    <w:p w14:paraId="02A8B89D">
      <w:pPr>
        <w:adjustRightInd w:val="0"/>
        <w:snapToGrid w:val="0"/>
        <w:spacing w:line="600" w:lineRule="exact"/>
        <w:jc w:val="left"/>
        <w:rPr>
          <w:rFonts w:ascii="黑体" w:hAnsi="黑体" w:eastAsia="黑体" w:cs="黑体"/>
          <w:sz w:val="32"/>
          <w:szCs w:val="32"/>
        </w:rPr>
      </w:pPr>
    </w:p>
    <w:p w14:paraId="7CAA7076">
      <w:pPr>
        <w:adjustRightInd w:val="0"/>
        <w:snapToGrid w:val="0"/>
        <w:spacing w:line="600" w:lineRule="exact"/>
        <w:jc w:val="left"/>
        <w:rPr>
          <w:rFonts w:ascii="黑体" w:hAnsi="黑体" w:eastAsia="黑体" w:cs="黑体"/>
          <w:sz w:val="32"/>
          <w:szCs w:val="32"/>
        </w:rPr>
      </w:pPr>
    </w:p>
    <w:p w14:paraId="7FACF612">
      <w:pPr>
        <w:adjustRightInd w:val="0"/>
        <w:snapToGrid w:val="0"/>
        <w:spacing w:line="600" w:lineRule="exact"/>
        <w:jc w:val="left"/>
        <w:rPr>
          <w:rFonts w:ascii="黑体" w:hAnsi="黑体" w:eastAsia="黑体" w:cs="黑体"/>
          <w:sz w:val="32"/>
          <w:szCs w:val="32"/>
        </w:rPr>
      </w:pPr>
    </w:p>
    <w:p w14:paraId="0B613360">
      <w:pPr>
        <w:pStyle w:val="8"/>
        <w:shd w:val="clear" w:color="auto" w:fill="FFFFFF"/>
        <w:spacing w:before="0" w:beforeAutospacing="0" w:after="0" w:afterAutospacing="0" w:line="360" w:lineRule="auto"/>
        <w:jc w:val="both"/>
        <w:rPr>
          <w:rFonts w:ascii="仿宋_GB2312" w:hAnsi="仿宋_GB2312" w:eastAsia="仿宋_GB2312" w:cs="仿宋_GB2312"/>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3</w:t>
      </w:r>
      <w:r>
        <w:rPr>
          <w:rFonts w:hint="eastAsia" w:ascii="仿宋_GB2312" w:hAnsi="仿宋_GB2312" w:eastAsia="仿宋_GB2312" w:cs="仿宋_GB2312"/>
          <w:sz w:val="32"/>
          <w:szCs w:val="32"/>
        </w:rPr>
        <w:t>：</w:t>
      </w:r>
    </w:p>
    <w:p w14:paraId="002A36C6">
      <w:pPr>
        <w:suppressAutoHyphens/>
        <w:spacing w:line="600" w:lineRule="exact"/>
        <w:jc w:val="center"/>
        <w:rPr>
          <w:rFonts w:ascii="宋体" w:hAnsi="宋体" w:eastAsia="宋体"/>
          <w:b/>
          <w:bCs/>
          <w:sz w:val="44"/>
          <w:szCs w:val="44"/>
        </w:rPr>
      </w:pPr>
      <w:r>
        <w:rPr>
          <w:rFonts w:ascii="宋体" w:hAnsi="宋体" w:eastAsia="宋体"/>
          <w:b/>
          <w:bCs/>
          <w:sz w:val="44"/>
          <w:szCs w:val="44"/>
        </w:rPr>
        <w:t>公</w:t>
      </w:r>
      <w:r>
        <w:rPr>
          <w:rFonts w:hint="eastAsia" w:ascii="宋体" w:hAnsi="宋体" w:eastAsia="宋体"/>
          <w:b/>
          <w:bCs/>
          <w:sz w:val="44"/>
          <w:szCs w:val="44"/>
        </w:rPr>
        <w:t>共</w:t>
      </w:r>
      <w:r>
        <w:rPr>
          <w:rFonts w:ascii="宋体" w:hAnsi="宋体" w:eastAsia="宋体"/>
          <w:b/>
          <w:bCs/>
          <w:sz w:val="44"/>
          <w:szCs w:val="44"/>
        </w:rPr>
        <w:t>安全</w:t>
      </w:r>
      <w:r>
        <w:rPr>
          <w:rFonts w:hint="eastAsia" w:ascii="宋体" w:hAnsi="宋体" w:eastAsia="宋体"/>
          <w:b/>
          <w:bCs/>
          <w:sz w:val="44"/>
          <w:szCs w:val="44"/>
        </w:rPr>
        <w:t>技术</w:t>
      </w:r>
      <w:r>
        <w:rPr>
          <w:rFonts w:ascii="宋体" w:hAnsi="宋体" w:eastAsia="宋体"/>
          <w:b/>
          <w:bCs/>
          <w:sz w:val="44"/>
          <w:szCs w:val="44"/>
        </w:rPr>
        <w:t>标准</w:t>
      </w:r>
    </w:p>
    <w:p w14:paraId="6E143CE0">
      <w:pPr>
        <w:adjustRightInd w:val="0"/>
        <w:snapToGrid w:val="0"/>
        <w:spacing w:line="600" w:lineRule="exact"/>
        <w:ind w:firstLine="640" w:firstLineChars="200"/>
        <w:rPr>
          <w:rFonts w:ascii="仿宋_GB2312" w:hAnsi="仿宋_GB2312" w:eastAsia="仿宋_GB2312" w:cs="仿宋_GB2312"/>
          <w:sz w:val="32"/>
          <w:szCs w:val="32"/>
        </w:rPr>
      </w:pPr>
    </w:p>
    <w:p w14:paraId="5F522A4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1.充电桩不得影响车辆和行人通行、不得占用人行道、消防通道和公共道路。</w:t>
      </w:r>
    </w:p>
    <w:p w14:paraId="1E08C85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2.在收费停车场内可以规划建设充电桩。</w:t>
      </w:r>
    </w:p>
    <w:p w14:paraId="56F17219">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3.路口导向车道50米范围内不得在路缘石附近建设充电桩。</w:t>
      </w:r>
    </w:p>
    <w:p w14:paraId="2966DDC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4.地势低洼易积水区域建设充电桩应充分保障安全。</w:t>
      </w:r>
    </w:p>
    <w:p w14:paraId="4CC5687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5.禁止非机动停放区域不要设置充电桩。</w:t>
      </w:r>
    </w:p>
    <w:p w14:paraId="42796B64">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16F8D767">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2856A32A">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5F6AE71A">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7D95363F">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40DAA0E1">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68FCE24F">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62BF410A">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68974FD7">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6B67C5C6">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1D701A35">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77AF541C">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420E022D">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4B79B1E9">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24DDBD7F">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4D409F82">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33DE51D9">
      <w:pPr>
        <w:pStyle w:val="8"/>
        <w:shd w:val="clear" w:color="auto" w:fill="FFFFFF"/>
        <w:spacing w:before="0" w:beforeAutospacing="0" w:after="0" w:afterAutospacing="0" w:line="360" w:lineRule="auto"/>
        <w:jc w:val="both"/>
        <w:rPr>
          <w:rFonts w:hint="eastAsia" w:ascii="仿宋_GB2312" w:hAnsi="仿宋_GB2312" w:eastAsia="仿宋_GB2312" w:cs="仿宋_GB2312"/>
          <w:b/>
          <w:bCs/>
          <w:sz w:val="32"/>
          <w:szCs w:val="32"/>
        </w:rPr>
      </w:pPr>
    </w:p>
    <w:p w14:paraId="13807119">
      <w:pPr>
        <w:pStyle w:val="8"/>
        <w:shd w:val="clear" w:color="auto" w:fill="FFFFFF"/>
        <w:spacing w:before="0" w:beforeAutospacing="0" w:after="0" w:afterAutospacing="0" w:line="360" w:lineRule="auto"/>
        <w:jc w:val="both"/>
        <w:rPr>
          <w:rFonts w:ascii="仿宋_GB2312" w:hAnsi="仿宋_GB2312" w:eastAsia="仿宋_GB2312" w:cs="仿宋_GB2312"/>
          <w:b/>
          <w:bCs/>
          <w:sz w:val="32"/>
          <w:szCs w:val="32"/>
        </w:rPr>
      </w:pPr>
    </w:p>
    <w:p w14:paraId="4AB826EF">
      <w:pPr>
        <w:pStyle w:val="8"/>
        <w:shd w:val="clear" w:color="auto" w:fill="FFFFFF"/>
        <w:spacing w:before="0" w:beforeAutospacing="0" w:after="0" w:afterAutospacing="0" w:line="360" w:lineRule="auto"/>
        <w:jc w:val="both"/>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4</w:t>
      </w:r>
      <w:r>
        <w:rPr>
          <w:rFonts w:hint="eastAsia" w:ascii="黑体" w:hAnsi="黑体" w:eastAsia="黑体" w:cs="黑体"/>
          <w:sz w:val="32"/>
          <w:szCs w:val="32"/>
        </w:rPr>
        <w:t>：</w:t>
      </w:r>
    </w:p>
    <w:p w14:paraId="02D90B4D">
      <w:pPr>
        <w:adjustRightInd w:val="0"/>
        <w:snapToGrid w:val="0"/>
        <w:spacing w:line="600" w:lineRule="exact"/>
        <w:jc w:val="center"/>
        <w:rPr>
          <w:rFonts w:ascii="宋体" w:hAnsi="宋体" w:eastAsia="宋体"/>
          <w:b/>
          <w:bCs/>
          <w:sz w:val="44"/>
          <w:szCs w:val="44"/>
        </w:rPr>
      </w:pPr>
      <w:r>
        <w:rPr>
          <w:rFonts w:hint="eastAsia" w:ascii="宋体" w:hAnsi="宋体" w:eastAsia="宋体"/>
          <w:b/>
          <w:bCs/>
          <w:sz w:val="44"/>
          <w:szCs w:val="44"/>
        </w:rPr>
        <w:t>电动</w:t>
      </w:r>
      <w:r>
        <w:rPr>
          <w:rFonts w:ascii="宋体" w:hAnsi="宋体" w:eastAsia="宋体"/>
          <w:b/>
          <w:bCs/>
          <w:sz w:val="44"/>
          <w:szCs w:val="44"/>
        </w:rPr>
        <w:t>自行车停放充电</w:t>
      </w:r>
      <w:r>
        <w:rPr>
          <w:rFonts w:hint="eastAsia" w:ascii="宋体" w:hAnsi="宋体" w:eastAsia="宋体"/>
          <w:b/>
          <w:bCs/>
          <w:sz w:val="44"/>
          <w:szCs w:val="44"/>
        </w:rPr>
        <w:t>设施</w:t>
      </w:r>
      <w:r>
        <w:rPr>
          <w:rFonts w:ascii="宋体" w:hAnsi="宋体" w:eastAsia="宋体"/>
          <w:b/>
          <w:bCs/>
          <w:sz w:val="44"/>
          <w:szCs w:val="44"/>
        </w:rPr>
        <w:t>规划</w:t>
      </w:r>
      <w:r>
        <w:rPr>
          <w:rFonts w:hint="eastAsia" w:ascii="宋体" w:hAnsi="宋体" w:eastAsia="宋体"/>
          <w:b/>
          <w:bCs/>
          <w:sz w:val="44"/>
          <w:szCs w:val="44"/>
        </w:rPr>
        <w:t>要求</w:t>
      </w:r>
    </w:p>
    <w:p w14:paraId="39D13BB7">
      <w:pPr>
        <w:spacing w:line="600" w:lineRule="exact"/>
        <w:ind w:firstLine="600" w:firstLineChars="200"/>
        <w:rPr>
          <w:rFonts w:ascii="仿宋" w:hAnsi="仿宋" w:eastAsia="仿宋" w:cs="仿宋"/>
          <w:b/>
          <w:bCs/>
          <w:spacing w:val="-10"/>
          <w:sz w:val="32"/>
          <w:szCs w:val="32"/>
        </w:rPr>
      </w:pPr>
    </w:p>
    <w:p w14:paraId="5B11661C">
      <w:pPr>
        <w:spacing w:line="600" w:lineRule="exact"/>
        <w:ind w:firstLine="600" w:firstLineChars="200"/>
        <w:rPr>
          <w:rFonts w:ascii="黑体" w:hAnsi="黑体" w:eastAsia="黑体" w:cs="仿宋"/>
          <w:sz w:val="32"/>
          <w:szCs w:val="32"/>
        </w:rPr>
      </w:pPr>
      <w:r>
        <w:rPr>
          <w:rFonts w:hint="eastAsia" w:ascii="黑体" w:hAnsi="黑体" w:eastAsia="黑体" w:cs="仿宋"/>
          <w:spacing w:val="-10"/>
          <w:sz w:val="32"/>
          <w:szCs w:val="32"/>
        </w:rPr>
        <w:t>一</w:t>
      </w:r>
      <w:r>
        <w:rPr>
          <w:rFonts w:ascii="黑体" w:hAnsi="黑体" w:eastAsia="黑体" w:cs="仿宋"/>
          <w:spacing w:val="-10"/>
          <w:sz w:val="32"/>
          <w:szCs w:val="32"/>
        </w:rPr>
        <w:t>、</w:t>
      </w:r>
      <w:r>
        <w:rPr>
          <w:rFonts w:hint="eastAsia" w:ascii="黑体" w:hAnsi="黑体" w:eastAsia="黑体" w:cs="仿宋"/>
          <w:spacing w:val="-10"/>
          <w:sz w:val="32"/>
          <w:szCs w:val="32"/>
        </w:rPr>
        <w:t>简化既有小区内电动自行车停放场地规划管理</w:t>
      </w:r>
    </w:p>
    <w:p w14:paraId="7B8B9A40">
      <w:pPr>
        <w:spacing w:line="600" w:lineRule="exact"/>
        <w:ind w:firstLine="624" w:firstLineChars="200"/>
        <w:rPr>
          <w:rFonts w:ascii="仿宋_GB2312" w:hAnsi="仿宋" w:eastAsia="仿宋_GB2312" w:cs="仿宋"/>
          <w:sz w:val="32"/>
          <w:szCs w:val="32"/>
        </w:rPr>
      </w:pPr>
      <w:r>
        <w:rPr>
          <w:rFonts w:hint="eastAsia" w:ascii="仿宋_GB2312" w:hAnsi="仿宋" w:eastAsia="仿宋_GB2312" w:cs="仿宋"/>
          <w:spacing w:val="-4"/>
          <w:sz w:val="32"/>
          <w:szCs w:val="32"/>
        </w:rPr>
        <w:t>在既有住宅小区内利用公共空间设置</w:t>
      </w:r>
      <w:r>
        <w:rPr>
          <w:rFonts w:hint="eastAsia" w:ascii="仿宋_GB2312" w:hAnsi="仿宋" w:eastAsia="仿宋_GB2312" w:cs="仿宋"/>
          <w:spacing w:val="-2"/>
          <w:sz w:val="32"/>
          <w:szCs w:val="32"/>
        </w:rPr>
        <w:t>电动自行车停放场地及充电设施，在符合消</w:t>
      </w:r>
      <w:r>
        <w:rPr>
          <w:rFonts w:hint="eastAsia" w:ascii="仿宋_GB2312" w:hAnsi="仿宋" w:eastAsia="仿宋_GB2312" w:cs="仿宋"/>
          <w:spacing w:val="-3"/>
          <w:sz w:val="32"/>
          <w:szCs w:val="32"/>
        </w:rPr>
        <w:t>防等安全要求、保障小区业主相关权益的前提</w:t>
      </w:r>
      <w:r>
        <w:rPr>
          <w:rFonts w:hint="eastAsia" w:ascii="仿宋_GB2312" w:hAnsi="仿宋" w:eastAsia="仿宋_GB2312" w:cs="仿宋"/>
          <w:spacing w:val="-4"/>
          <w:sz w:val="32"/>
          <w:szCs w:val="32"/>
        </w:rPr>
        <w:t>下，</w:t>
      </w:r>
      <w:r>
        <w:rPr>
          <w:rFonts w:hint="eastAsia" w:ascii="仿宋_GB2312" w:hAnsi="仿宋" w:eastAsia="仿宋_GB2312" w:cs="仿宋"/>
          <w:spacing w:val="-2"/>
          <w:sz w:val="32"/>
          <w:szCs w:val="32"/>
        </w:rPr>
        <w:t>按照设备管理，无需办理规划手续。</w:t>
      </w:r>
    </w:p>
    <w:p w14:paraId="62686478">
      <w:pPr>
        <w:spacing w:line="600" w:lineRule="exact"/>
        <w:ind w:firstLine="600" w:firstLineChars="200"/>
        <w:rPr>
          <w:rFonts w:ascii="黑体" w:hAnsi="黑体" w:eastAsia="黑体" w:cs="仿宋"/>
          <w:b/>
          <w:bCs/>
          <w:spacing w:val="-10"/>
          <w:sz w:val="32"/>
          <w:szCs w:val="32"/>
        </w:rPr>
      </w:pPr>
      <w:r>
        <w:rPr>
          <w:rFonts w:hint="eastAsia" w:ascii="黑体" w:hAnsi="黑体" w:eastAsia="黑体" w:cs="仿宋"/>
          <w:spacing w:val="-10"/>
          <w:sz w:val="32"/>
          <w:szCs w:val="32"/>
        </w:rPr>
        <w:t>二</w:t>
      </w:r>
      <w:r>
        <w:rPr>
          <w:rFonts w:ascii="黑体" w:hAnsi="黑体" w:eastAsia="黑体" w:cs="仿宋"/>
          <w:spacing w:val="-10"/>
          <w:sz w:val="32"/>
          <w:szCs w:val="32"/>
        </w:rPr>
        <w:t>、</w:t>
      </w:r>
      <w:r>
        <w:rPr>
          <w:rFonts w:hint="eastAsia" w:ascii="黑体" w:hAnsi="黑体" w:eastAsia="黑体" w:cs="仿宋"/>
          <w:spacing w:val="-10"/>
          <w:sz w:val="32"/>
          <w:szCs w:val="32"/>
        </w:rPr>
        <w:t>合理利用公共开放空间规划建设电动自行车停放场所</w:t>
      </w:r>
    </w:p>
    <w:p w14:paraId="725AFE40">
      <w:pPr>
        <w:spacing w:line="600" w:lineRule="exact"/>
        <w:ind w:firstLine="624" w:firstLineChars="200"/>
        <w:rPr>
          <w:rFonts w:ascii="仿宋" w:hAnsi="仿宋" w:eastAsia="仿宋" w:cs="仿宋"/>
          <w:sz w:val="32"/>
          <w:szCs w:val="32"/>
        </w:rPr>
      </w:pPr>
      <w:r>
        <w:rPr>
          <w:rFonts w:hint="eastAsia" w:ascii="仿宋_GB2312" w:hAnsi="仿宋" w:eastAsia="仿宋_GB2312" w:cs="仿宋"/>
          <w:spacing w:val="-4"/>
          <w:sz w:val="32"/>
          <w:szCs w:val="32"/>
        </w:rPr>
        <w:t>在符合消防等安全要求的前提下，依据详细规划依法依规利用公共开放空间，合理设置电动车停放场所；既有住宅小区内场地资源紧张、无固定停放场所、无电源条件的，可依据详细规划合理利用周边公共开放空间规划设置电动自行车停放场所，但不得改变公共空间属性。</w:t>
      </w:r>
    </w:p>
    <w:p w14:paraId="36EC5ED4">
      <w:pPr>
        <w:spacing w:line="600" w:lineRule="exact"/>
        <w:ind w:firstLine="600" w:firstLineChars="200"/>
        <w:rPr>
          <w:rFonts w:ascii="黑体" w:hAnsi="黑体" w:eastAsia="黑体" w:cs="仿宋"/>
          <w:spacing w:val="-10"/>
          <w:sz w:val="32"/>
          <w:szCs w:val="32"/>
        </w:rPr>
      </w:pPr>
      <w:r>
        <w:rPr>
          <w:rFonts w:hint="eastAsia" w:ascii="黑体" w:hAnsi="黑体" w:eastAsia="黑体" w:cs="仿宋"/>
          <w:spacing w:val="-10"/>
          <w:sz w:val="32"/>
          <w:szCs w:val="32"/>
        </w:rPr>
        <w:t>三、严格新建居住项目电动自行车停放场所规划审批</w:t>
      </w:r>
    </w:p>
    <w:p w14:paraId="2293A85E">
      <w:pPr>
        <w:spacing w:line="600" w:lineRule="exact"/>
        <w:ind w:firstLine="624" w:firstLineChars="200"/>
        <w:jc w:val="left"/>
        <w:rPr>
          <w:rFonts w:ascii="仿宋_GB2312" w:hAnsi="仿宋" w:eastAsia="仿宋_GB2312" w:cs="仿宋"/>
          <w:spacing w:val="-4"/>
          <w:sz w:val="32"/>
          <w:szCs w:val="32"/>
        </w:rPr>
      </w:pPr>
      <w:r>
        <w:rPr>
          <w:rFonts w:hint="eastAsia" w:ascii="仿宋_GB2312" w:hAnsi="仿宋" w:eastAsia="仿宋_GB2312" w:cs="仿宋"/>
          <w:spacing w:val="-4"/>
          <w:sz w:val="32"/>
          <w:szCs w:val="32"/>
        </w:rPr>
        <w:t>规划主管部门在依据详细规划出具规划条件时，要明确电动自行车停放场所的配建和位置要求。建设单位、设计单位要将电动自行车停放场所纳入新建居住项目配套，依照法律法规、相关规划标准和配建要求设计实施。新建居住项目规划设计方案应结合实际，科学设置电动自行车停放充电区域、布局、规模和安全间隔等内容，宜优先独立设置地上停放场所及配套设施，可设置在半地下或地下一层，不得设置在建筑物架空层。半地下或地下电动自行车停放场所应设置相应坡道供电动自行车推行。</w:t>
      </w:r>
    </w:p>
    <w:p w14:paraId="7EB2B23D">
      <w:pPr>
        <w:spacing w:line="600" w:lineRule="exact"/>
        <w:ind w:firstLine="624" w:firstLineChars="200"/>
      </w:pPr>
      <w:r>
        <w:rPr>
          <w:rFonts w:hint="eastAsia" w:ascii="仿宋_GB2312" w:hAnsi="仿宋" w:eastAsia="仿宋_GB2312" w:cs="仿宋"/>
          <w:spacing w:val="-4"/>
          <w:sz w:val="32"/>
          <w:szCs w:val="32"/>
        </w:rPr>
        <w:t>按</w:t>
      </w:r>
      <w:r>
        <w:rPr>
          <w:rFonts w:ascii="仿宋_GB2312" w:hAnsi="仿宋" w:eastAsia="仿宋_GB2312" w:cs="仿宋"/>
          <w:spacing w:val="-4"/>
          <w:sz w:val="32"/>
          <w:szCs w:val="32"/>
        </w:rPr>
        <w:t>上述要求</w:t>
      </w:r>
      <w:r>
        <w:rPr>
          <w:rFonts w:hint="eastAsia" w:ascii="仿宋_GB2312" w:hAnsi="仿宋" w:eastAsia="仿宋_GB2312" w:cs="仿宋"/>
          <w:spacing w:val="-4"/>
          <w:sz w:val="32"/>
          <w:szCs w:val="32"/>
        </w:rPr>
        <w:t>设计</w:t>
      </w:r>
      <w:r>
        <w:rPr>
          <w:rFonts w:ascii="仿宋_GB2312" w:hAnsi="仿宋" w:eastAsia="仿宋_GB2312" w:cs="仿宋"/>
          <w:spacing w:val="-4"/>
          <w:sz w:val="32"/>
          <w:szCs w:val="32"/>
        </w:rPr>
        <w:t>的</w:t>
      </w:r>
      <w:r>
        <w:rPr>
          <w:rFonts w:hint="eastAsia" w:ascii="仿宋_GB2312" w:hAnsi="仿宋" w:eastAsia="仿宋_GB2312" w:cs="仿宋"/>
          <w:spacing w:val="-4"/>
          <w:sz w:val="32"/>
          <w:szCs w:val="32"/>
        </w:rPr>
        <w:t>建设</w:t>
      </w:r>
      <w:r>
        <w:rPr>
          <w:rFonts w:ascii="仿宋_GB2312" w:hAnsi="仿宋" w:eastAsia="仿宋_GB2312" w:cs="仿宋"/>
          <w:spacing w:val="-4"/>
          <w:sz w:val="32"/>
          <w:szCs w:val="32"/>
        </w:rPr>
        <w:t>工程设计方案应经</w:t>
      </w:r>
      <w:r>
        <w:rPr>
          <w:rFonts w:hint="eastAsia" w:ascii="仿宋_GB2312" w:hAnsi="仿宋" w:eastAsia="仿宋_GB2312" w:cs="仿宋"/>
          <w:spacing w:val="-4"/>
          <w:sz w:val="32"/>
          <w:szCs w:val="32"/>
        </w:rPr>
        <w:t>专家审查，并征求属地住建、消防等相关部门意见。电动</w:t>
      </w:r>
      <w:r>
        <w:rPr>
          <w:rFonts w:ascii="仿宋_GB2312" w:hAnsi="仿宋" w:eastAsia="仿宋_GB2312" w:cs="仿宋"/>
          <w:spacing w:val="-4"/>
          <w:sz w:val="32"/>
          <w:szCs w:val="32"/>
        </w:rPr>
        <w:t>自行车停放场所、消防通道等空间布局应符合规划设计标准有关要求，</w:t>
      </w:r>
      <w:r>
        <w:rPr>
          <w:rFonts w:hint="eastAsia" w:ascii="仿宋_GB2312" w:hAnsi="仿宋" w:eastAsia="仿宋_GB2312" w:cs="仿宋"/>
          <w:spacing w:val="-4"/>
          <w:sz w:val="32"/>
          <w:szCs w:val="32"/>
        </w:rPr>
        <w:t>不符合规划设计标准的，不予核发建设工程规划许可。未按建设工程规划许可证要求配建电动自行车停放场所的，不得通过规划核实。</w:t>
      </w:r>
    </w:p>
    <w:sectPr>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0121">
    <w:pPr>
      <w:pStyle w:val="6"/>
      <w:jc w:val="center"/>
    </w:pPr>
    <w:r>
      <w:fldChar w:fldCharType="begin"/>
    </w:r>
    <w:r>
      <w:instrText xml:space="preserve"> PAGE   \* MERGEFORMAT </w:instrText>
    </w:r>
    <w:r>
      <w:fldChar w:fldCharType="separate"/>
    </w:r>
    <w:r>
      <w:rPr>
        <w:lang w:val="zh-CN"/>
      </w:rPr>
      <w:t>1</w:t>
    </w:r>
    <w:r>
      <w:rPr>
        <w:lang w:val="zh-CN"/>
      </w:rPr>
      <w:fldChar w:fldCharType="end"/>
    </w:r>
  </w:p>
  <w:p w14:paraId="54E1891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3801"/>
    </w:sdtPr>
    <w:sdtContent>
      <w:p w14:paraId="70CAF8F0">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14:paraId="0D4D0E7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NDBhZTcwY2IxZDY0MjU4YzFmYzVhNGIxZGFiYTQifQ=="/>
  </w:docVars>
  <w:rsids>
    <w:rsidRoot w:val="00140D06"/>
    <w:rsid w:val="000F2460"/>
    <w:rsid w:val="000F42A5"/>
    <w:rsid w:val="00140D06"/>
    <w:rsid w:val="00193F4A"/>
    <w:rsid w:val="004A78A2"/>
    <w:rsid w:val="00617C65"/>
    <w:rsid w:val="00835125"/>
    <w:rsid w:val="008564FF"/>
    <w:rsid w:val="00886CE9"/>
    <w:rsid w:val="00893E01"/>
    <w:rsid w:val="008D5AD2"/>
    <w:rsid w:val="009C2BC2"/>
    <w:rsid w:val="009D7A90"/>
    <w:rsid w:val="00A70BF2"/>
    <w:rsid w:val="00A764B7"/>
    <w:rsid w:val="00C33B12"/>
    <w:rsid w:val="00C73C49"/>
    <w:rsid w:val="00D62DC4"/>
    <w:rsid w:val="00D70B6B"/>
    <w:rsid w:val="00E13ABF"/>
    <w:rsid w:val="00EA79A8"/>
    <w:rsid w:val="00F161CC"/>
    <w:rsid w:val="234E6FBF"/>
    <w:rsid w:val="238A5C2C"/>
    <w:rsid w:val="2DFD1478"/>
    <w:rsid w:val="48D24F85"/>
    <w:rsid w:val="49E03394"/>
    <w:rsid w:val="562468CA"/>
    <w:rsid w:val="66611E7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qFormat="1" w:uiPriority="39" w:semiHidden="0"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rPr>
  </w:style>
  <w:style w:type="paragraph" w:styleId="3">
    <w:name w:val="Body Text"/>
    <w:basedOn w:val="1"/>
    <w:link w:val="13"/>
    <w:unhideWhenUsed/>
    <w:qFormat/>
    <w:uiPriority w:val="99"/>
    <w:pPr>
      <w:spacing w:after="120"/>
    </w:pPr>
    <w:rPr>
      <w:rFonts w:ascii="Times New Roman" w:hAnsi="Times New Roman" w:eastAsia="宋体"/>
    </w:rPr>
  </w:style>
  <w:style w:type="paragraph" w:styleId="4">
    <w:name w:val="toc 8"/>
    <w:basedOn w:val="1"/>
    <w:next w:val="1"/>
    <w:unhideWhenUsed/>
    <w:qFormat/>
    <w:uiPriority w:val="39"/>
    <w:pPr>
      <w:ind w:left="2940" w:leftChars="1400"/>
    </w:pPr>
  </w:style>
  <w:style w:type="paragraph" w:styleId="5">
    <w:name w:val="Balloon Text"/>
    <w:basedOn w:val="1"/>
    <w:link w:val="14"/>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正文文本 字符"/>
    <w:basedOn w:val="11"/>
    <w:link w:val="3"/>
    <w:qFormat/>
    <w:uiPriority w:val="99"/>
    <w:rPr>
      <w:rFonts w:ascii="Times New Roman" w:hAnsi="Times New Roman" w:eastAsia="宋体" w:cs="Times New Roman"/>
    </w:rPr>
  </w:style>
  <w:style w:type="character" w:customStyle="1" w:styleId="14">
    <w:name w:val="批注框文本 字符"/>
    <w:basedOn w:val="11"/>
    <w:link w:val="5"/>
    <w:semiHidden/>
    <w:qFormat/>
    <w:uiPriority w:val="99"/>
    <w:rPr>
      <w:rFonts w:ascii="等线" w:hAnsi="等线" w:eastAsia="等线"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页眉 字符"/>
    <w:basedOn w:val="11"/>
    <w:link w:val="7"/>
    <w:semiHidden/>
    <w:qFormat/>
    <w:uiPriority w:val="99"/>
    <w:rPr>
      <w:rFonts w:ascii="等线" w:hAnsi="等线" w:eastAsia="等线" w:cs="Times New Roman"/>
      <w:sz w:val="18"/>
      <w:szCs w:val="18"/>
    </w:rPr>
  </w:style>
  <w:style w:type="character" w:customStyle="1" w:styleId="17">
    <w:name w:val="页脚 字符"/>
    <w:basedOn w:val="11"/>
    <w:link w:val="6"/>
    <w:qFormat/>
    <w:uiPriority w:val="99"/>
    <w:rPr>
      <w:rFonts w:ascii="等线" w:hAnsi="等线" w:eastAsia="等线" w:cs="Times New Roman"/>
      <w:sz w:val="18"/>
      <w:szCs w:val="18"/>
    </w:rPr>
  </w:style>
  <w:style w:type="paragraph" w:customStyle="1" w:styleId="18">
    <w:name w:val="Char"/>
    <w:basedOn w:val="1"/>
    <w:qFormat/>
    <w:uiPriority w:val="0"/>
    <w:pPr>
      <w:tabs>
        <w:tab w:val="left" w:pos="360"/>
      </w:tabs>
      <w:spacing w:line="360" w:lineRule="auto"/>
      <w:ind w:firstLine="350" w:firstLineChars="146"/>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5C33A6-86EF-45A0-AEDE-CD5D28D0D145}">
  <ds:schemaRefs/>
</ds:datastoreItem>
</file>

<file path=docProps/app.xml><?xml version="1.0" encoding="utf-8"?>
<Properties xmlns="http://schemas.openxmlformats.org/officeDocument/2006/extended-properties" xmlns:vt="http://schemas.openxmlformats.org/officeDocument/2006/docPropsVTypes">
  <Template>Normal</Template>
  <Company>xpxitongxiazai.com</Company>
  <Pages>17</Pages>
  <Words>6775</Words>
  <Characters>7201</Characters>
  <Lines>52</Lines>
  <Paragraphs>14</Paragraphs>
  <TotalTime>68</TotalTime>
  <ScaleCrop>false</ScaleCrop>
  <LinksUpToDate>false</LinksUpToDate>
  <CharactersWithSpaces>7229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2024-09-23T08:50:00Z</dcterms:created>
  <dc:creator>Administrator</dc:creator>
  <cp:lastModifiedBy>张勇</cp:lastModifiedBy>
  <cp:lastPrinted>2024-09-24T01:52:59Z</cp:lastPrinted>
  <dcterms:modified xsi:type="dcterms:W3CDTF">2024-09-24T02:38:28Z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5407B7DBAC9D435886F0A6FF37FEFA04_13</vt:lpwstr>
  </property>
</Properties>
</file>