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621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rPr>
      </w:pPr>
    </w:p>
    <w:p w14:paraId="7D965701">
      <w:pPr>
        <w:spacing w:after="312" w:afterLines="100" w:line="60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附件1</w:t>
      </w:r>
    </w:p>
    <w:p w14:paraId="081B5CC6">
      <w:pPr>
        <w:pStyle w:val="3"/>
        <w:spacing w:line="600" w:lineRule="exact"/>
        <w:rPr>
          <w:rFonts w:hint="eastAsia"/>
          <w:sz w:val="44"/>
          <w:szCs w:val="44"/>
        </w:rPr>
      </w:pPr>
      <w:r>
        <w:rPr>
          <w:rFonts w:hint="eastAsia"/>
          <w:sz w:val="44"/>
          <w:szCs w:val="44"/>
        </w:rPr>
        <w:t>建平县中心城区及乡镇国有建设用地</w:t>
      </w:r>
    </w:p>
    <w:p w14:paraId="501AA686">
      <w:pPr>
        <w:pStyle w:val="3"/>
        <w:spacing w:line="600" w:lineRule="exact"/>
        <w:rPr>
          <w:rFonts w:ascii="Times New Roman" w:hAnsi="Times New Roman" w:eastAsia="宋体" w:cs="Times New Roman"/>
          <w:b/>
          <w:bCs/>
          <w:szCs w:val="44"/>
        </w:rPr>
      </w:pPr>
      <w:r>
        <w:rPr>
          <w:rFonts w:hint="eastAsia"/>
          <w:sz w:val="44"/>
          <w:szCs w:val="44"/>
        </w:rPr>
        <w:t>基准地价</w:t>
      </w:r>
    </w:p>
    <w:p w14:paraId="7179F1C4">
      <w:pPr>
        <w:spacing w:line="600" w:lineRule="exact"/>
        <w:jc w:val="center"/>
        <w:rPr>
          <w:rFonts w:ascii="Times New Roman" w:hAnsi="Times New Roman" w:eastAsia="黑体" w:cs="Times New Roman"/>
          <w:sz w:val="28"/>
          <w:szCs w:val="28"/>
        </w:rPr>
      </w:pPr>
    </w:p>
    <w:p w14:paraId="5BE08EBD">
      <w:pPr>
        <w:pStyle w:val="4"/>
        <w:spacing w:line="600" w:lineRule="exact"/>
      </w:pPr>
      <w:r>
        <w:rPr>
          <w:rFonts w:hint="eastAsia"/>
        </w:rPr>
        <w:t>一、国有建设用地基准地价</w:t>
      </w:r>
    </w:p>
    <w:p w14:paraId="21CEC5D6">
      <w:pPr>
        <w:pStyle w:val="5"/>
        <w:ind w:firstLine="643"/>
        <w:rPr>
          <w:b w:val="0"/>
          <w:bCs w:val="0"/>
        </w:rPr>
      </w:pPr>
      <w:r>
        <w:rPr>
          <w:rFonts w:hint="eastAsia"/>
          <w:b w:val="0"/>
          <w:bCs w:val="0"/>
        </w:rPr>
        <w:t>（一）中心城区</w:t>
      </w:r>
    </w:p>
    <w:p w14:paraId="6153AF6B">
      <w:pPr>
        <w:pStyle w:val="6"/>
        <w:ind w:firstLine="641"/>
        <w:rPr>
          <w:b w:val="0"/>
          <w:bCs w:val="0"/>
        </w:rPr>
      </w:pPr>
      <w:r>
        <w:rPr>
          <w:rFonts w:hint="eastAsia"/>
          <w:b w:val="0"/>
          <w:bCs w:val="0"/>
        </w:rPr>
        <w:t>1.中心城区国有建设用地基准地价表</w:t>
      </w:r>
    </w:p>
    <w:p w14:paraId="14BB539E">
      <w:pPr>
        <w:spacing w:line="6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商业服务业用地级别与基准地价表</w:t>
      </w:r>
    </w:p>
    <w:p w14:paraId="6A5F358D">
      <w:pPr>
        <w:pStyle w:val="11"/>
        <w:ind w:firstLine="480"/>
        <w:rPr>
          <w:rFonts w:hint="eastAsia" w:ascii="仿宋_GB2312" w:hAnsi="仿宋_GB2312" w:eastAsia="仿宋_GB2312" w:cs="仿宋_GB2312"/>
        </w:rPr>
      </w:pPr>
      <w:r>
        <w:rPr>
          <w:rFonts w:hint="eastAsia" w:ascii="仿宋_GB2312" w:hAnsi="仿宋_GB2312" w:eastAsia="仿宋_GB2312" w:cs="仿宋_GB2312"/>
          <w:sz w:val="24"/>
          <w:szCs w:val="24"/>
        </w:rPr>
        <w:t>单位：元/平方米</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14:paraId="3B8F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0" w:type="pct"/>
            <w:tcBorders>
              <w:top w:val="single" w:color="000000" w:sz="12" w:space="0"/>
              <w:left w:val="nil"/>
              <w:tl2br w:val="nil"/>
            </w:tcBorders>
            <w:shd w:val="clear" w:color="auto" w:fill="FFFFFF"/>
            <w:noWrap w:val="0"/>
            <w:vAlign w:val="center"/>
          </w:tcPr>
          <w:p w14:paraId="28D1B638">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土地级别</w:t>
            </w:r>
          </w:p>
        </w:tc>
        <w:tc>
          <w:tcPr>
            <w:tcW w:w="1250" w:type="pct"/>
            <w:tcBorders>
              <w:top w:val="single" w:color="000000" w:sz="12" w:space="0"/>
            </w:tcBorders>
            <w:shd w:val="clear" w:color="auto" w:fill="FFFFFF"/>
            <w:noWrap/>
            <w:vAlign w:val="center"/>
          </w:tcPr>
          <w:p w14:paraId="005255BD">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地面基准地价</w:t>
            </w:r>
          </w:p>
        </w:tc>
        <w:tc>
          <w:tcPr>
            <w:tcW w:w="1250" w:type="pct"/>
            <w:tcBorders>
              <w:top w:val="single" w:color="000000" w:sz="12" w:space="0"/>
            </w:tcBorders>
            <w:shd w:val="clear" w:color="auto" w:fill="FFFFFF"/>
            <w:noWrap w:val="0"/>
            <w:vAlign w:val="center"/>
          </w:tcPr>
          <w:p w14:paraId="11F2813F">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楼面基准地价</w:t>
            </w:r>
          </w:p>
        </w:tc>
        <w:tc>
          <w:tcPr>
            <w:tcW w:w="1250" w:type="pct"/>
            <w:tcBorders>
              <w:top w:val="single" w:color="000000" w:sz="12" w:space="0"/>
              <w:right w:val="nil"/>
            </w:tcBorders>
            <w:shd w:val="clear" w:color="auto" w:fill="FFFFFF"/>
            <w:noWrap w:val="0"/>
            <w:vAlign w:val="center"/>
          </w:tcPr>
          <w:p w14:paraId="1C2C68CE">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标准容积率</w:t>
            </w:r>
          </w:p>
        </w:tc>
      </w:tr>
      <w:tr w14:paraId="1A5D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51" w:type="dxa"/>
            <w:tcBorders>
              <w:left w:val="nil"/>
            </w:tcBorders>
            <w:shd w:val="clear" w:color="auto" w:fill="FFFFFF"/>
            <w:noWrap w:val="0"/>
            <w:vAlign w:val="center"/>
          </w:tcPr>
          <w:p w14:paraId="12A6109A">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Ⅰ级</w:t>
            </w:r>
          </w:p>
        </w:tc>
        <w:tc>
          <w:tcPr>
            <w:tcW w:w="2251" w:type="dxa"/>
            <w:shd w:val="clear" w:color="auto" w:fill="FFFFFF"/>
            <w:noWrap/>
            <w:vAlign w:val="center"/>
          </w:tcPr>
          <w:p w14:paraId="7CB1B10F">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1450</w:t>
            </w:r>
          </w:p>
        </w:tc>
        <w:tc>
          <w:tcPr>
            <w:tcW w:w="2251" w:type="dxa"/>
            <w:shd w:val="clear" w:color="auto" w:fill="FFFFFF"/>
            <w:noWrap w:val="0"/>
            <w:vAlign w:val="center"/>
          </w:tcPr>
          <w:p w14:paraId="2B1C840C">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806 </w:t>
            </w:r>
          </w:p>
        </w:tc>
        <w:tc>
          <w:tcPr>
            <w:tcW w:w="1250" w:type="pct"/>
            <w:tcBorders>
              <w:right w:val="nil"/>
            </w:tcBorders>
            <w:shd w:val="clear" w:color="auto" w:fill="FFFFFF"/>
            <w:noWrap w:val="0"/>
            <w:vAlign w:val="center"/>
          </w:tcPr>
          <w:p w14:paraId="53ACDC22">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r>
      <w:tr w14:paraId="091C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51" w:type="dxa"/>
            <w:tcBorders>
              <w:left w:val="nil"/>
            </w:tcBorders>
            <w:shd w:val="clear" w:color="auto" w:fill="FFFFFF"/>
            <w:noWrap w:val="0"/>
            <w:vAlign w:val="center"/>
          </w:tcPr>
          <w:p w14:paraId="4A444855">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Ⅱ级</w:t>
            </w:r>
          </w:p>
        </w:tc>
        <w:tc>
          <w:tcPr>
            <w:tcW w:w="2251" w:type="dxa"/>
            <w:shd w:val="clear" w:color="auto" w:fill="FFFFFF"/>
            <w:noWrap/>
            <w:vAlign w:val="center"/>
          </w:tcPr>
          <w:p w14:paraId="3C44155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w:t>
            </w:r>
          </w:p>
        </w:tc>
        <w:tc>
          <w:tcPr>
            <w:tcW w:w="2251" w:type="dxa"/>
            <w:shd w:val="clear" w:color="auto" w:fill="FFFFFF"/>
            <w:noWrap w:val="0"/>
            <w:vAlign w:val="center"/>
          </w:tcPr>
          <w:p w14:paraId="025EB13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667 </w:t>
            </w:r>
          </w:p>
        </w:tc>
        <w:tc>
          <w:tcPr>
            <w:tcW w:w="1250" w:type="pct"/>
            <w:tcBorders>
              <w:right w:val="nil"/>
            </w:tcBorders>
            <w:shd w:val="clear" w:color="auto" w:fill="FFFFFF"/>
            <w:noWrap w:val="0"/>
            <w:vAlign w:val="center"/>
          </w:tcPr>
          <w:p w14:paraId="4CA79F0F">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r>
      <w:tr w14:paraId="3458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51" w:type="dxa"/>
            <w:tcBorders>
              <w:left w:val="nil"/>
            </w:tcBorders>
            <w:shd w:val="clear" w:color="auto" w:fill="FFFFFF"/>
            <w:noWrap w:val="0"/>
            <w:vAlign w:val="center"/>
          </w:tcPr>
          <w:p w14:paraId="11580EBC">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Ⅲ级</w:t>
            </w:r>
          </w:p>
        </w:tc>
        <w:tc>
          <w:tcPr>
            <w:tcW w:w="2251" w:type="dxa"/>
            <w:shd w:val="clear" w:color="auto" w:fill="FFFFFF"/>
            <w:noWrap/>
            <w:vAlign w:val="center"/>
          </w:tcPr>
          <w:p w14:paraId="7457C731">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950</w:t>
            </w:r>
          </w:p>
        </w:tc>
        <w:tc>
          <w:tcPr>
            <w:tcW w:w="2251" w:type="dxa"/>
            <w:shd w:val="clear" w:color="auto" w:fill="FFFFFF"/>
            <w:noWrap w:val="0"/>
            <w:vAlign w:val="center"/>
          </w:tcPr>
          <w:p w14:paraId="35B0F9B7">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528 </w:t>
            </w:r>
          </w:p>
        </w:tc>
        <w:tc>
          <w:tcPr>
            <w:tcW w:w="1250" w:type="pct"/>
            <w:tcBorders>
              <w:right w:val="nil"/>
            </w:tcBorders>
            <w:shd w:val="clear" w:color="auto" w:fill="FFFFFF"/>
            <w:noWrap w:val="0"/>
            <w:vAlign w:val="center"/>
          </w:tcPr>
          <w:p w14:paraId="0E7703FC">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r>
      <w:tr w14:paraId="4E35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51" w:type="dxa"/>
            <w:tcBorders>
              <w:left w:val="nil"/>
            </w:tcBorders>
            <w:shd w:val="clear" w:color="auto" w:fill="FFFFFF"/>
            <w:noWrap w:val="0"/>
            <w:vAlign w:val="center"/>
          </w:tcPr>
          <w:p w14:paraId="48098BCA">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Ⅳ级</w:t>
            </w:r>
          </w:p>
        </w:tc>
        <w:tc>
          <w:tcPr>
            <w:tcW w:w="2251" w:type="dxa"/>
            <w:shd w:val="clear" w:color="auto" w:fill="FFFFFF"/>
            <w:noWrap/>
            <w:vAlign w:val="center"/>
          </w:tcPr>
          <w:p w14:paraId="485A625C">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c>
          <w:tcPr>
            <w:tcW w:w="2251" w:type="dxa"/>
            <w:shd w:val="clear" w:color="auto" w:fill="FFFFFF"/>
            <w:noWrap w:val="0"/>
            <w:vAlign w:val="center"/>
          </w:tcPr>
          <w:p w14:paraId="1954AE9F">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417 </w:t>
            </w:r>
          </w:p>
        </w:tc>
        <w:tc>
          <w:tcPr>
            <w:tcW w:w="1250" w:type="pct"/>
            <w:tcBorders>
              <w:right w:val="nil"/>
            </w:tcBorders>
            <w:shd w:val="clear" w:color="auto" w:fill="FFFFFF"/>
            <w:noWrap w:val="0"/>
            <w:vAlign w:val="center"/>
          </w:tcPr>
          <w:p w14:paraId="540C3AAB">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r>
      <w:tr w14:paraId="3343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51" w:type="dxa"/>
            <w:tcBorders>
              <w:left w:val="nil"/>
            </w:tcBorders>
            <w:shd w:val="clear" w:color="auto" w:fill="FFFFFF"/>
            <w:noWrap w:val="0"/>
            <w:vAlign w:val="center"/>
          </w:tcPr>
          <w:p w14:paraId="55F85C71">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Ⅴ级</w:t>
            </w:r>
          </w:p>
        </w:tc>
        <w:tc>
          <w:tcPr>
            <w:tcW w:w="2251" w:type="dxa"/>
            <w:shd w:val="clear" w:color="auto" w:fill="FFFFFF"/>
            <w:noWrap/>
            <w:vAlign w:val="center"/>
          </w:tcPr>
          <w:p w14:paraId="5B219E44">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c>
          <w:tcPr>
            <w:tcW w:w="2251" w:type="dxa"/>
            <w:shd w:val="clear" w:color="auto" w:fill="FFFFFF"/>
            <w:noWrap w:val="0"/>
            <w:vAlign w:val="center"/>
          </w:tcPr>
          <w:p w14:paraId="33F90E3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306 </w:t>
            </w:r>
          </w:p>
        </w:tc>
        <w:tc>
          <w:tcPr>
            <w:tcW w:w="1250" w:type="pct"/>
            <w:tcBorders>
              <w:right w:val="nil"/>
            </w:tcBorders>
            <w:shd w:val="clear" w:color="auto" w:fill="FFFFFF"/>
            <w:noWrap w:val="0"/>
            <w:vAlign w:val="center"/>
          </w:tcPr>
          <w:p w14:paraId="381ABB7B">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r>
      <w:tr w14:paraId="0A1F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0" w:type="pct"/>
            <w:tcBorders>
              <w:left w:val="nil"/>
              <w:bottom w:val="single" w:color="000000" w:sz="12" w:space="0"/>
            </w:tcBorders>
            <w:shd w:val="clear" w:color="auto" w:fill="FFFFFF"/>
            <w:noWrap w:val="0"/>
            <w:vAlign w:val="center"/>
          </w:tcPr>
          <w:p w14:paraId="76FE305F">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Ⅵ级</w:t>
            </w:r>
          </w:p>
        </w:tc>
        <w:tc>
          <w:tcPr>
            <w:tcW w:w="2251" w:type="dxa"/>
            <w:tcBorders>
              <w:bottom w:val="single" w:color="000000" w:sz="12" w:space="0"/>
            </w:tcBorders>
            <w:shd w:val="clear" w:color="auto" w:fill="FFFFFF"/>
            <w:noWrap/>
            <w:vAlign w:val="center"/>
          </w:tcPr>
          <w:p w14:paraId="47BA415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2251" w:type="dxa"/>
            <w:tcBorders>
              <w:bottom w:val="single" w:color="000000" w:sz="12" w:space="0"/>
            </w:tcBorders>
            <w:shd w:val="clear" w:color="auto" w:fill="FFFFFF"/>
            <w:noWrap w:val="0"/>
            <w:vAlign w:val="center"/>
          </w:tcPr>
          <w:p w14:paraId="58A96026">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222 </w:t>
            </w:r>
          </w:p>
        </w:tc>
        <w:tc>
          <w:tcPr>
            <w:tcW w:w="1250" w:type="pct"/>
            <w:tcBorders>
              <w:bottom w:val="single" w:color="000000" w:sz="12" w:space="0"/>
              <w:right w:val="nil"/>
            </w:tcBorders>
            <w:shd w:val="clear" w:color="auto" w:fill="FFFFFF"/>
            <w:noWrap w:val="0"/>
            <w:vAlign w:val="center"/>
          </w:tcPr>
          <w:p w14:paraId="68DD0C3B">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r>
    </w:tbl>
    <w:p w14:paraId="300845C9">
      <w:pPr>
        <w:pStyle w:val="13"/>
        <w:spacing w:line="600" w:lineRule="exact"/>
        <w:rPr>
          <w:rFonts w:hint="default" w:ascii="Times New Roman" w:hAnsi="Times New Roman" w:cs="Times New Roman"/>
        </w:rPr>
      </w:pPr>
      <w:r>
        <w:rPr>
          <w:rFonts w:hint="default"/>
        </w:rPr>
        <w:t>城镇住宅用地级别与基准地价</w:t>
      </w:r>
      <w:r>
        <w:rPr>
          <w:rFonts w:hint="default" w:ascii="Times New Roman" w:cs="Times New Roman"/>
        </w:rPr>
        <w:t>表</w:t>
      </w:r>
    </w:p>
    <w:p w14:paraId="34794741">
      <w:pPr>
        <w:pStyle w:val="11"/>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单位：元/平方米</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14:paraId="28AA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0" w:type="pct"/>
            <w:tcBorders>
              <w:top w:val="single" w:color="000000" w:sz="12" w:space="0"/>
              <w:left w:val="nil"/>
              <w:tl2br w:val="nil"/>
            </w:tcBorders>
            <w:shd w:val="clear" w:color="auto" w:fill="FFFFFF"/>
            <w:noWrap w:val="0"/>
            <w:vAlign w:val="center"/>
          </w:tcPr>
          <w:p w14:paraId="591853F5">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土地级别</w:t>
            </w:r>
          </w:p>
        </w:tc>
        <w:tc>
          <w:tcPr>
            <w:tcW w:w="1250" w:type="pct"/>
            <w:tcBorders>
              <w:top w:val="single" w:color="000000" w:sz="12" w:space="0"/>
            </w:tcBorders>
            <w:shd w:val="clear" w:color="auto" w:fill="FFFFFF"/>
            <w:noWrap/>
            <w:vAlign w:val="center"/>
          </w:tcPr>
          <w:p w14:paraId="0B54D09A">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地面基准地价</w:t>
            </w:r>
          </w:p>
        </w:tc>
        <w:tc>
          <w:tcPr>
            <w:tcW w:w="1250" w:type="pct"/>
            <w:tcBorders>
              <w:top w:val="single" w:color="000000" w:sz="12" w:space="0"/>
            </w:tcBorders>
            <w:shd w:val="clear" w:color="auto" w:fill="FFFFFF"/>
            <w:noWrap w:val="0"/>
            <w:vAlign w:val="center"/>
          </w:tcPr>
          <w:p w14:paraId="72711F2D">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楼面基准地价</w:t>
            </w:r>
          </w:p>
        </w:tc>
        <w:tc>
          <w:tcPr>
            <w:tcW w:w="1250" w:type="pct"/>
            <w:tcBorders>
              <w:top w:val="single" w:color="000000" w:sz="12" w:space="0"/>
              <w:right w:val="nil"/>
            </w:tcBorders>
            <w:shd w:val="clear" w:color="auto" w:fill="FFFFFF"/>
            <w:noWrap w:val="0"/>
            <w:vAlign w:val="center"/>
          </w:tcPr>
          <w:p w14:paraId="12EBBFEF">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标准容积率</w:t>
            </w:r>
          </w:p>
        </w:tc>
      </w:tr>
      <w:tr w14:paraId="2B6D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51" w:type="dxa"/>
            <w:tcBorders>
              <w:left w:val="nil"/>
            </w:tcBorders>
            <w:shd w:val="clear" w:color="auto" w:fill="FFFFFF"/>
            <w:noWrap w:val="0"/>
            <w:vAlign w:val="center"/>
          </w:tcPr>
          <w:p w14:paraId="3EF13C01">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Ⅰ级</w:t>
            </w:r>
          </w:p>
        </w:tc>
        <w:tc>
          <w:tcPr>
            <w:tcW w:w="2251" w:type="dxa"/>
            <w:shd w:val="clear" w:color="auto" w:fill="FFFFFF"/>
            <w:noWrap/>
            <w:vAlign w:val="center"/>
          </w:tcPr>
          <w:p w14:paraId="2A53E18B">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860</w:t>
            </w:r>
          </w:p>
        </w:tc>
        <w:tc>
          <w:tcPr>
            <w:tcW w:w="2251" w:type="dxa"/>
            <w:shd w:val="clear" w:color="auto" w:fill="FFFFFF"/>
            <w:noWrap w:val="0"/>
            <w:vAlign w:val="center"/>
          </w:tcPr>
          <w:p w14:paraId="4BCE548E">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478 </w:t>
            </w:r>
          </w:p>
        </w:tc>
        <w:tc>
          <w:tcPr>
            <w:tcW w:w="1250" w:type="pct"/>
            <w:tcBorders>
              <w:right w:val="nil"/>
            </w:tcBorders>
            <w:shd w:val="clear" w:color="auto" w:fill="FFFFFF"/>
            <w:noWrap w:val="0"/>
            <w:vAlign w:val="center"/>
          </w:tcPr>
          <w:p w14:paraId="75B09CDE">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r>
      <w:tr w14:paraId="6114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51" w:type="dxa"/>
            <w:tcBorders>
              <w:left w:val="nil"/>
            </w:tcBorders>
            <w:shd w:val="clear" w:color="auto" w:fill="FFFFFF"/>
            <w:noWrap w:val="0"/>
            <w:vAlign w:val="center"/>
          </w:tcPr>
          <w:p w14:paraId="29AE0912">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Ⅱ级</w:t>
            </w:r>
          </w:p>
        </w:tc>
        <w:tc>
          <w:tcPr>
            <w:tcW w:w="2251" w:type="dxa"/>
            <w:shd w:val="clear" w:color="auto" w:fill="FFFFFF"/>
            <w:noWrap/>
            <w:vAlign w:val="center"/>
          </w:tcPr>
          <w:p w14:paraId="1198DA65">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700</w:t>
            </w:r>
          </w:p>
        </w:tc>
        <w:tc>
          <w:tcPr>
            <w:tcW w:w="2251" w:type="dxa"/>
            <w:shd w:val="clear" w:color="auto" w:fill="FFFFFF"/>
            <w:noWrap w:val="0"/>
            <w:vAlign w:val="center"/>
          </w:tcPr>
          <w:p w14:paraId="599DC5F6">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389 </w:t>
            </w:r>
          </w:p>
        </w:tc>
        <w:tc>
          <w:tcPr>
            <w:tcW w:w="1250" w:type="pct"/>
            <w:tcBorders>
              <w:right w:val="nil"/>
            </w:tcBorders>
            <w:shd w:val="clear" w:color="auto" w:fill="FFFFFF"/>
            <w:noWrap w:val="0"/>
            <w:vAlign w:val="center"/>
          </w:tcPr>
          <w:p w14:paraId="3D55FD64">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r>
      <w:tr w14:paraId="3458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51" w:type="dxa"/>
            <w:tcBorders>
              <w:left w:val="nil"/>
            </w:tcBorders>
            <w:shd w:val="clear" w:color="auto" w:fill="FFFFFF"/>
            <w:noWrap w:val="0"/>
            <w:vAlign w:val="center"/>
          </w:tcPr>
          <w:p w14:paraId="58AB0F68">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Ⅲ级</w:t>
            </w:r>
          </w:p>
        </w:tc>
        <w:tc>
          <w:tcPr>
            <w:tcW w:w="2251" w:type="dxa"/>
            <w:shd w:val="clear" w:color="auto" w:fill="FFFFFF"/>
            <w:noWrap/>
            <w:vAlign w:val="center"/>
          </w:tcPr>
          <w:p w14:paraId="19B15D39">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570</w:t>
            </w:r>
          </w:p>
        </w:tc>
        <w:tc>
          <w:tcPr>
            <w:tcW w:w="2251" w:type="dxa"/>
            <w:shd w:val="clear" w:color="auto" w:fill="FFFFFF"/>
            <w:noWrap w:val="0"/>
            <w:vAlign w:val="center"/>
          </w:tcPr>
          <w:p w14:paraId="6FBC36C5">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317 </w:t>
            </w:r>
          </w:p>
        </w:tc>
        <w:tc>
          <w:tcPr>
            <w:tcW w:w="1250" w:type="pct"/>
            <w:tcBorders>
              <w:right w:val="nil"/>
            </w:tcBorders>
            <w:shd w:val="clear" w:color="auto" w:fill="FFFFFF"/>
            <w:noWrap w:val="0"/>
            <w:vAlign w:val="center"/>
          </w:tcPr>
          <w:p w14:paraId="056F4D7E">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r>
      <w:tr w14:paraId="36DB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51" w:type="dxa"/>
            <w:tcBorders>
              <w:left w:val="nil"/>
            </w:tcBorders>
            <w:shd w:val="clear" w:color="auto" w:fill="FFFFFF"/>
            <w:noWrap w:val="0"/>
            <w:vAlign w:val="center"/>
          </w:tcPr>
          <w:p w14:paraId="7BB27C30">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Ⅳ级</w:t>
            </w:r>
          </w:p>
        </w:tc>
        <w:tc>
          <w:tcPr>
            <w:tcW w:w="2251" w:type="dxa"/>
            <w:shd w:val="clear" w:color="auto" w:fill="FFFFFF"/>
            <w:noWrap/>
            <w:vAlign w:val="center"/>
          </w:tcPr>
          <w:p w14:paraId="0051F49C">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c>
          <w:tcPr>
            <w:tcW w:w="2251" w:type="dxa"/>
            <w:shd w:val="clear" w:color="auto" w:fill="FFFFFF"/>
            <w:noWrap w:val="0"/>
            <w:vAlign w:val="center"/>
          </w:tcPr>
          <w:p w14:paraId="70CCE8B2">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250 </w:t>
            </w:r>
          </w:p>
        </w:tc>
        <w:tc>
          <w:tcPr>
            <w:tcW w:w="1250" w:type="pct"/>
            <w:tcBorders>
              <w:right w:val="nil"/>
            </w:tcBorders>
            <w:shd w:val="clear" w:color="auto" w:fill="FFFFFF"/>
            <w:noWrap w:val="0"/>
            <w:vAlign w:val="center"/>
          </w:tcPr>
          <w:p w14:paraId="7D5070F7">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r>
      <w:tr w14:paraId="6F73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51" w:type="dxa"/>
            <w:tcBorders>
              <w:left w:val="nil"/>
              <w:bottom w:val="single" w:color="000000" w:sz="12" w:space="0"/>
            </w:tcBorders>
            <w:shd w:val="clear" w:color="auto" w:fill="FFFFFF"/>
            <w:noWrap w:val="0"/>
            <w:vAlign w:val="center"/>
          </w:tcPr>
          <w:p w14:paraId="4DAD6379">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Ⅴ级</w:t>
            </w:r>
          </w:p>
        </w:tc>
        <w:tc>
          <w:tcPr>
            <w:tcW w:w="2251" w:type="dxa"/>
            <w:tcBorders>
              <w:bottom w:val="single" w:color="000000" w:sz="12" w:space="0"/>
            </w:tcBorders>
            <w:shd w:val="clear" w:color="auto" w:fill="FFFFFF"/>
            <w:noWrap/>
            <w:vAlign w:val="center"/>
          </w:tcPr>
          <w:p w14:paraId="5AE39A10">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360</w:t>
            </w:r>
          </w:p>
        </w:tc>
        <w:tc>
          <w:tcPr>
            <w:tcW w:w="2251" w:type="dxa"/>
            <w:tcBorders>
              <w:bottom w:val="single" w:color="000000" w:sz="12" w:space="0"/>
            </w:tcBorders>
            <w:shd w:val="clear" w:color="auto" w:fill="FFFFFF"/>
            <w:noWrap w:val="0"/>
            <w:vAlign w:val="center"/>
          </w:tcPr>
          <w:p w14:paraId="1EDAC90B">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200 </w:t>
            </w:r>
          </w:p>
        </w:tc>
        <w:tc>
          <w:tcPr>
            <w:tcW w:w="1250" w:type="pct"/>
            <w:tcBorders>
              <w:bottom w:val="single" w:color="000000" w:sz="12" w:space="0"/>
              <w:right w:val="nil"/>
            </w:tcBorders>
            <w:shd w:val="clear" w:color="auto" w:fill="FFFFFF"/>
            <w:noWrap w:val="0"/>
            <w:vAlign w:val="center"/>
          </w:tcPr>
          <w:p w14:paraId="6D371D11">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r>
    </w:tbl>
    <w:p w14:paraId="575CBEA3">
      <w:pPr>
        <w:jc w:val="center"/>
        <w:rPr>
          <w:rFonts w:ascii="Times New Roman" w:cs="Times New Roman"/>
        </w:rPr>
      </w:pPr>
      <w:r>
        <w:rPr>
          <w:rFonts w:ascii="仿宋_GB2312" w:hAnsi="仿宋_GB2312" w:eastAsia="仿宋_GB2312" w:cs="仿宋_GB2312"/>
          <w:b/>
          <w:bCs/>
          <w:sz w:val="28"/>
          <w:szCs w:val="28"/>
        </w:rPr>
        <w:br w:type="page"/>
      </w:r>
      <w:r>
        <w:rPr>
          <w:rFonts w:ascii="仿宋_GB2312" w:hAnsi="仿宋_GB2312" w:eastAsia="仿宋_GB2312" w:cs="仿宋_GB2312"/>
          <w:b/>
          <w:bCs/>
          <w:sz w:val="28"/>
          <w:szCs w:val="28"/>
        </w:rPr>
        <w:t>工业用地级别与基准地价表</w:t>
      </w:r>
    </w:p>
    <w:p w14:paraId="7CD1A63D">
      <w:pPr>
        <w:pStyle w:val="11"/>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单位：元/平方米</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3020"/>
        <w:gridCol w:w="3022"/>
      </w:tblGrid>
      <w:tr w14:paraId="7EF9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665" w:type="pct"/>
            <w:tcBorders>
              <w:top w:val="single" w:color="000000" w:sz="12" w:space="0"/>
              <w:left w:val="nil"/>
              <w:tl2br w:val="nil"/>
            </w:tcBorders>
            <w:shd w:val="clear" w:color="auto" w:fill="FFFFFF"/>
            <w:noWrap w:val="0"/>
            <w:vAlign w:val="center"/>
          </w:tcPr>
          <w:p w14:paraId="7D721E92">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土地级别</w:t>
            </w:r>
          </w:p>
        </w:tc>
        <w:tc>
          <w:tcPr>
            <w:tcW w:w="1666" w:type="pct"/>
            <w:tcBorders>
              <w:top w:val="single" w:color="000000" w:sz="12" w:space="0"/>
            </w:tcBorders>
            <w:shd w:val="clear" w:color="auto" w:fill="FFFFFF"/>
            <w:noWrap/>
            <w:vAlign w:val="center"/>
          </w:tcPr>
          <w:p w14:paraId="374DF4AD">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地面基准地价</w:t>
            </w:r>
          </w:p>
        </w:tc>
        <w:tc>
          <w:tcPr>
            <w:tcW w:w="1667" w:type="pct"/>
            <w:tcBorders>
              <w:top w:val="single" w:color="000000" w:sz="12" w:space="0"/>
              <w:right w:val="nil"/>
            </w:tcBorders>
            <w:shd w:val="clear" w:color="auto" w:fill="FFFFFF"/>
            <w:noWrap w:val="0"/>
            <w:vAlign w:val="center"/>
          </w:tcPr>
          <w:p w14:paraId="0A4A4899">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标准容积率</w:t>
            </w:r>
          </w:p>
        </w:tc>
      </w:tr>
      <w:tr w14:paraId="4865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5" w:type="pct"/>
            <w:tcBorders>
              <w:left w:val="nil"/>
            </w:tcBorders>
            <w:shd w:val="clear" w:color="auto" w:fill="FFFFFF"/>
            <w:noWrap w:val="0"/>
            <w:vAlign w:val="center"/>
          </w:tcPr>
          <w:p w14:paraId="4A7E8EFC">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Ⅰ级</w:t>
            </w:r>
          </w:p>
        </w:tc>
        <w:tc>
          <w:tcPr>
            <w:tcW w:w="3001" w:type="dxa"/>
            <w:shd w:val="clear" w:color="auto" w:fill="FFFFFF"/>
            <w:noWrap/>
            <w:vAlign w:val="center"/>
          </w:tcPr>
          <w:p w14:paraId="63753B75">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1667" w:type="pct"/>
            <w:tcBorders>
              <w:right w:val="nil"/>
            </w:tcBorders>
            <w:shd w:val="clear" w:color="auto" w:fill="FFFFFF"/>
            <w:noWrap w:val="0"/>
            <w:vAlign w:val="center"/>
          </w:tcPr>
          <w:p w14:paraId="000BB408">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7639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5" w:type="pct"/>
            <w:tcBorders>
              <w:left w:val="nil"/>
            </w:tcBorders>
            <w:shd w:val="clear" w:color="auto" w:fill="FFFFFF"/>
            <w:noWrap w:val="0"/>
            <w:vAlign w:val="center"/>
          </w:tcPr>
          <w:p w14:paraId="6B977934">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Ⅱ级</w:t>
            </w:r>
          </w:p>
        </w:tc>
        <w:tc>
          <w:tcPr>
            <w:tcW w:w="3001" w:type="dxa"/>
            <w:shd w:val="clear" w:color="auto" w:fill="FFFFFF"/>
            <w:noWrap/>
            <w:vAlign w:val="center"/>
          </w:tcPr>
          <w:p w14:paraId="6B0D430C">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c>
          <w:tcPr>
            <w:tcW w:w="1667" w:type="pct"/>
            <w:tcBorders>
              <w:right w:val="nil"/>
            </w:tcBorders>
            <w:shd w:val="clear" w:color="auto" w:fill="FFFFFF"/>
            <w:noWrap w:val="0"/>
            <w:vAlign w:val="center"/>
          </w:tcPr>
          <w:p w14:paraId="2D0C9DC2">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29E9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5" w:type="pct"/>
            <w:tcBorders>
              <w:left w:val="nil"/>
            </w:tcBorders>
            <w:shd w:val="clear" w:color="auto" w:fill="FFFFFF"/>
            <w:noWrap w:val="0"/>
            <w:vAlign w:val="center"/>
          </w:tcPr>
          <w:p w14:paraId="21C05B39">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Ⅲ级</w:t>
            </w:r>
          </w:p>
        </w:tc>
        <w:tc>
          <w:tcPr>
            <w:tcW w:w="3001" w:type="dxa"/>
            <w:shd w:val="clear" w:color="auto" w:fill="FFFFFF"/>
            <w:noWrap/>
            <w:vAlign w:val="center"/>
          </w:tcPr>
          <w:p w14:paraId="57B2A72F">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255</w:t>
            </w:r>
          </w:p>
        </w:tc>
        <w:tc>
          <w:tcPr>
            <w:tcW w:w="1667" w:type="pct"/>
            <w:tcBorders>
              <w:right w:val="nil"/>
            </w:tcBorders>
            <w:shd w:val="clear" w:color="auto" w:fill="FFFFFF"/>
            <w:noWrap w:val="0"/>
            <w:vAlign w:val="center"/>
          </w:tcPr>
          <w:p w14:paraId="1A202B9C">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54F7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5" w:type="pct"/>
            <w:tcBorders>
              <w:left w:val="nil"/>
              <w:bottom w:val="single" w:color="000000" w:sz="12" w:space="0"/>
            </w:tcBorders>
            <w:shd w:val="clear" w:color="auto" w:fill="FFFFFF"/>
            <w:noWrap w:val="0"/>
            <w:vAlign w:val="center"/>
          </w:tcPr>
          <w:p w14:paraId="110BBEF7">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Ⅳ级</w:t>
            </w:r>
          </w:p>
        </w:tc>
        <w:tc>
          <w:tcPr>
            <w:tcW w:w="3001" w:type="dxa"/>
            <w:tcBorders>
              <w:bottom w:val="single" w:color="000000" w:sz="12" w:space="0"/>
            </w:tcBorders>
            <w:shd w:val="clear" w:color="auto" w:fill="FFFFFF"/>
            <w:noWrap/>
            <w:vAlign w:val="center"/>
          </w:tcPr>
          <w:p w14:paraId="019AFF42">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1667" w:type="pct"/>
            <w:tcBorders>
              <w:bottom w:val="single" w:color="000000" w:sz="12" w:space="0"/>
              <w:right w:val="nil"/>
            </w:tcBorders>
            <w:shd w:val="clear" w:color="auto" w:fill="FFFFFF"/>
            <w:noWrap w:val="0"/>
            <w:vAlign w:val="center"/>
          </w:tcPr>
          <w:p w14:paraId="15F56440">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88991CF">
      <w:pPr>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公共管理与公共服务用地级别与基准地价表</w:t>
      </w:r>
    </w:p>
    <w:p w14:paraId="3BC392D4">
      <w:pPr>
        <w:pStyle w:val="11"/>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单位：元/平方米</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14:paraId="22F0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Borders>
              <w:top w:val="single" w:color="000000" w:sz="12" w:space="0"/>
              <w:left w:val="nil"/>
              <w:tl2br w:val="nil"/>
            </w:tcBorders>
            <w:shd w:val="clear" w:color="auto" w:fill="FFFFFF"/>
            <w:noWrap w:val="0"/>
            <w:vAlign w:val="center"/>
          </w:tcPr>
          <w:p w14:paraId="66D7E8CC">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土地级别</w:t>
            </w:r>
          </w:p>
        </w:tc>
        <w:tc>
          <w:tcPr>
            <w:tcW w:w="1250" w:type="pct"/>
            <w:tcBorders>
              <w:top w:val="single" w:color="000000" w:sz="12" w:space="0"/>
            </w:tcBorders>
            <w:shd w:val="clear" w:color="auto" w:fill="FFFFFF"/>
            <w:noWrap/>
            <w:vAlign w:val="center"/>
          </w:tcPr>
          <w:p w14:paraId="16A660D5">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地面基准地价</w:t>
            </w:r>
          </w:p>
        </w:tc>
        <w:tc>
          <w:tcPr>
            <w:tcW w:w="1250" w:type="pct"/>
            <w:tcBorders>
              <w:top w:val="single" w:color="000000" w:sz="12" w:space="0"/>
            </w:tcBorders>
            <w:shd w:val="clear" w:color="auto" w:fill="FFFFFF"/>
            <w:noWrap w:val="0"/>
            <w:vAlign w:val="center"/>
          </w:tcPr>
          <w:p w14:paraId="662827AA">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楼面基准地价</w:t>
            </w:r>
          </w:p>
        </w:tc>
        <w:tc>
          <w:tcPr>
            <w:tcW w:w="1250" w:type="pct"/>
            <w:tcBorders>
              <w:top w:val="single" w:color="000000" w:sz="12" w:space="0"/>
              <w:right w:val="nil"/>
            </w:tcBorders>
            <w:shd w:val="clear" w:color="auto" w:fill="FFFFFF"/>
            <w:noWrap w:val="0"/>
            <w:vAlign w:val="center"/>
          </w:tcPr>
          <w:p w14:paraId="7E906DE2">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设定容积率</w:t>
            </w:r>
          </w:p>
        </w:tc>
      </w:tr>
      <w:tr w14:paraId="6D46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Borders>
              <w:left w:val="nil"/>
            </w:tcBorders>
            <w:shd w:val="clear" w:color="auto" w:fill="FFFFFF"/>
            <w:noWrap w:val="0"/>
            <w:vAlign w:val="center"/>
          </w:tcPr>
          <w:p w14:paraId="56E36475">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Ⅰ级</w:t>
            </w:r>
          </w:p>
        </w:tc>
        <w:tc>
          <w:tcPr>
            <w:tcW w:w="2251" w:type="dxa"/>
            <w:shd w:val="clear" w:color="auto" w:fill="FFFFFF"/>
            <w:noWrap/>
            <w:vAlign w:val="center"/>
          </w:tcPr>
          <w:p w14:paraId="28A355B0">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720</w:t>
            </w:r>
          </w:p>
        </w:tc>
        <w:tc>
          <w:tcPr>
            <w:tcW w:w="2251" w:type="dxa"/>
            <w:shd w:val="clear" w:color="auto" w:fill="FFFFFF"/>
            <w:noWrap w:val="0"/>
            <w:vAlign w:val="center"/>
          </w:tcPr>
          <w:p w14:paraId="3E1DFA17">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480 </w:t>
            </w:r>
          </w:p>
        </w:tc>
        <w:tc>
          <w:tcPr>
            <w:tcW w:w="2251" w:type="dxa"/>
            <w:tcBorders>
              <w:right w:val="nil"/>
            </w:tcBorders>
            <w:shd w:val="clear" w:color="auto" w:fill="FFFFFF"/>
            <w:noWrap w:val="0"/>
            <w:vAlign w:val="center"/>
          </w:tcPr>
          <w:p w14:paraId="4432206A">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0177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Borders>
              <w:left w:val="nil"/>
            </w:tcBorders>
            <w:shd w:val="clear" w:color="auto" w:fill="FFFFFF"/>
            <w:noWrap w:val="0"/>
            <w:vAlign w:val="center"/>
          </w:tcPr>
          <w:p w14:paraId="1CCC7D9E">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Ⅱ级</w:t>
            </w:r>
          </w:p>
        </w:tc>
        <w:tc>
          <w:tcPr>
            <w:tcW w:w="2251" w:type="dxa"/>
            <w:shd w:val="clear" w:color="auto" w:fill="FFFFFF"/>
            <w:noWrap/>
            <w:vAlign w:val="center"/>
          </w:tcPr>
          <w:p w14:paraId="6525E344">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590</w:t>
            </w:r>
          </w:p>
        </w:tc>
        <w:tc>
          <w:tcPr>
            <w:tcW w:w="2251" w:type="dxa"/>
            <w:shd w:val="clear" w:color="auto" w:fill="FFFFFF"/>
            <w:noWrap w:val="0"/>
            <w:vAlign w:val="center"/>
          </w:tcPr>
          <w:p w14:paraId="7908C681">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393 </w:t>
            </w:r>
          </w:p>
        </w:tc>
        <w:tc>
          <w:tcPr>
            <w:tcW w:w="2251" w:type="dxa"/>
            <w:tcBorders>
              <w:right w:val="nil"/>
            </w:tcBorders>
            <w:shd w:val="clear" w:color="auto" w:fill="FFFFFF"/>
            <w:noWrap w:val="0"/>
            <w:vAlign w:val="center"/>
          </w:tcPr>
          <w:p w14:paraId="1A7302C8">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1118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Borders>
              <w:left w:val="nil"/>
            </w:tcBorders>
            <w:shd w:val="clear" w:color="auto" w:fill="FFFFFF"/>
            <w:noWrap w:val="0"/>
            <w:vAlign w:val="center"/>
          </w:tcPr>
          <w:p w14:paraId="6AA5C758">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Ⅲ级</w:t>
            </w:r>
          </w:p>
        </w:tc>
        <w:tc>
          <w:tcPr>
            <w:tcW w:w="2251" w:type="dxa"/>
            <w:shd w:val="clear" w:color="auto" w:fill="FFFFFF"/>
            <w:noWrap/>
            <w:vAlign w:val="center"/>
          </w:tcPr>
          <w:p w14:paraId="15B06738">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480</w:t>
            </w:r>
          </w:p>
        </w:tc>
        <w:tc>
          <w:tcPr>
            <w:tcW w:w="2251" w:type="dxa"/>
            <w:shd w:val="clear" w:color="auto" w:fill="FFFFFF"/>
            <w:noWrap w:val="0"/>
            <w:vAlign w:val="center"/>
          </w:tcPr>
          <w:p w14:paraId="1C9D4232">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320 </w:t>
            </w:r>
          </w:p>
        </w:tc>
        <w:tc>
          <w:tcPr>
            <w:tcW w:w="2251" w:type="dxa"/>
            <w:tcBorders>
              <w:right w:val="nil"/>
            </w:tcBorders>
            <w:shd w:val="clear" w:color="auto" w:fill="FFFFFF"/>
            <w:noWrap w:val="0"/>
            <w:vAlign w:val="center"/>
          </w:tcPr>
          <w:p w14:paraId="09B345A7">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0499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Borders>
              <w:left w:val="nil"/>
            </w:tcBorders>
            <w:shd w:val="clear" w:color="auto" w:fill="FFFFFF"/>
            <w:noWrap w:val="0"/>
            <w:vAlign w:val="center"/>
          </w:tcPr>
          <w:p w14:paraId="484E1FEE">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Ⅳ级</w:t>
            </w:r>
          </w:p>
        </w:tc>
        <w:tc>
          <w:tcPr>
            <w:tcW w:w="2251" w:type="dxa"/>
            <w:shd w:val="clear" w:color="auto" w:fill="FFFFFF"/>
            <w:noWrap/>
            <w:vAlign w:val="center"/>
          </w:tcPr>
          <w:p w14:paraId="6F7470E7">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w:t>
            </w:r>
          </w:p>
        </w:tc>
        <w:tc>
          <w:tcPr>
            <w:tcW w:w="2251" w:type="dxa"/>
            <w:shd w:val="clear" w:color="auto" w:fill="FFFFFF"/>
            <w:noWrap w:val="0"/>
            <w:vAlign w:val="center"/>
          </w:tcPr>
          <w:p w14:paraId="28C3E7AC">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253 </w:t>
            </w:r>
          </w:p>
        </w:tc>
        <w:tc>
          <w:tcPr>
            <w:tcW w:w="2251" w:type="dxa"/>
            <w:tcBorders>
              <w:right w:val="nil"/>
            </w:tcBorders>
            <w:shd w:val="clear" w:color="auto" w:fill="FFFFFF"/>
            <w:noWrap w:val="0"/>
            <w:vAlign w:val="center"/>
          </w:tcPr>
          <w:p w14:paraId="35473E5E">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4B3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Borders>
              <w:left w:val="nil"/>
              <w:bottom w:val="single" w:color="000000" w:sz="12" w:space="0"/>
            </w:tcBorders>
            <w:shd w:val="clear" w:color="auto" w:fill="FFFFFF"/>
            <w:noWrap w:val="0"/>
            <w:vAlign w:val="center"/>
          </w:tcPr>
          <w:p w14:paraId="683248A2">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Ⅴ级</w:t>
            </w:r>
          </w:p>
        </w:tc>
        <w:tc>
          <w:tcPr>
            <w:tcW w:w="2251" w:type="dxa"/>
            <w:tcBorders>
              <w:bottom w:val="single" w:color="000000" w:sz="12" w:space="0"/>
            </w:tcBorders>
            <w:shd w:val="clear" w:color="auto" w:fill="FFFFFF"/>
            <w:noWrap/>
            <w:vAlign w:val="center"/>
          </w:tcPr>
          <w:p w14:paraId="75BD846F">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2251" w:type="dxa"/>
            <w:tcBorders>
              <w:bottom w:val="single" w:color="000000" w:sz="12" w:space="0"/>
            </w:tcBorders>
            <w:shd w:val="clear" w:color="auto" w:fill="FFFFFF"/>
            <w:noWrap w:val="0"/>
            <w:vAlign w:val="center"/>
          </w:tcPr>
          <w:p w14:paraId="741EE663">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200 </w:t>
            </w:r>
          </w:p>
        </w:tc>
        <w:tc>
          <w:tcPr>
            <w:tcW w:w="2251" w:type="dxa"/>
            <w:tcBorders>
              <w:bottom w:val="single" w:color="000000" w:sz="12" w:space="0"/>
              <w:right w:val="nil"/>
            </w:tcBorders>
            <w:shd w:val="clear" w:color="auto" w:fill="FFFFFF"/>
            <w:noWrap w:val="0"/>
            <w:vAlign w:val="center"/>
          </w:tcPr>
          <w:p w14:paraId="18000610">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bl>
    <w:p w14:paraId="56587903">
      <w:pPr>
        <w:jc w:val="center"/>
        <w:rPr>
          <w:rFonts w:ascii="Times New Roman" w:cs="Times New Roman"/>
        </w:rPr>
      </w:pPr>
      <w:r>
        <w:rPr>
          <w:rFonts w:hint="eastAsia" w:ascii="仿宋_GB2312" w:hAnsi="仿宋_GB2312" w:eastAsia="仿宋_GB2312" w:cs="仿宋_GB2312"/>
          <w:b/>
          <w:bCs/>
          <w:sz w:val="28"/>
          <w:szCs w:val="28"/>
        </w:rPr>
        <w:t>公用设施</w:t>
      </w:r>
      <w:r>
        <w:rPr>
          <w:rFonts w:ascii="仿宋_GB2312" w:hAnsi="仿宋_GB2312" w:eastAsia="仿宋_GB2312" w:cs="仿宋_GB2312"/>
          <w:b/>
          <w:bCs/>
          <w:sz w:val="28"/>
          <w:szCs w:val="28"/>
        </w:rPr>
        <w:t>用地级别与基准地价表</w:t>
      </w:r>
    </w:p>
    <w:p w14:paraId="53E0D7DC">
      <w:pPr>
        <w:pStyle w:val="11"/>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单位：元/平方米</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3020"/>
        <w:gridCol w:w="3022"/>
      </w:tblGrid>
      <w:tr w14:paraId="29DF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5" w:type="pct"/>
            <w:tcBorders>
              <w:top w:val="single" w:color="000000" w:sz="12" w:space="0"/>
              <w:left w:val="nil"/>
              <w:tl2br w:val="nil"/>
            </w:tcBorders>
            <w:shd w:val="clear" w:color="auto" w:fill="FFFFFF"/>
            <w:noWrap w:val="0"/>
            <w:vAlign w:val="center"/>
          </w:tcPr>
          <w:p w14:paraId="23FBEB21">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土地级别</w:t>
            </w:r>
          </w:p>
        </w:tc>
        <w:tc>
          <w:tcPr>
            <w:tcW w:w="1666" w:type="pct"/>
            <w:tcBorders>
              <w:top w:val="single" w:color="000000" w:sz="12" w:space="0"/>
            </w:tcBorders>
            <w:shd w:val="clear" w:color="auto" w:fill="FFFFFF"/>
            <w:noWrap/>
            <w:vAlign w:val="center"/>
          </w:tcPr>
          <w:p w14:paraId="0B7C61EC">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地面基准地价</w:t>
            </w:r>
          </w:p>
        </w:tc>
        <w:tc>
          <w:tcPr>
            <w:tcW w:w="1667" w:type="pct"/>
            <w:tcBorders>
              <w:top w:val="single" w:color="000000" w:sz="12" w:space="0"/>
              <w:right w:val="nil"/>
            </w:tcBorders>
            <w:shd w:val="clear" w:color="auto" w:fill="FFFFFF"/>
            <w:noWrap w:val="0"/>
            <w:vAlign w:val="center"/>
          </w:tcPr>
          <w:p w14:paraId="029B1C15">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设定容积率</w:t>
            </w:r>
          </w:p>
        </w:tc>
      </w:tr>
      <w:tr w14:paraId="2A9E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5" w:type="pct"/>
            <w:tcBorders>
              <w:left w:val="nil"/>
            </w:tcBorders>
            <w:shd w:val="clear" w:color="auto" w:fill="FFFFFF"/>
            <w:noWrap w:val="0"/>
            <w:vAlign w:val="center"/>
          </w:tcPr>
          <w:p w14:paraId="12BF39AC">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Ⅰ级</w:t>
            </w:r>
          </w:p>
        </w:tc>
        <w:tc>
          <w:tcPr>
            <w:tcW w:w="3001" w:type="dxa"/>
            <w:shd w:val="clear" w:color="auto" w:fill="FFFFFF"/>
            <w:noWrap/>
            <w:vAlign w:val="center"/>
          </w:tcPr>
          <w:p w14:paraId="36FF61F8">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1667" w:type="pct"/>
            <w:tcBorders>
              <w:right w:val="nil"/>
            </w:tcBorders>
            <w:shd w:val="clear" w:color="auto" w:fill="FFFFFF"/>
            <w:noWrap w:val="0"/>
            <w:vAlign w:val="center"/>
          </w:tcPr>
          <w:p w14:paraId="2D67B278">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33D9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5" w:type="pct"/>
            <w:tcBorders>
              <w:left w:val="nil"/>
            </w:tcBorders>
            <w:shd w:val="clear" w:color="auto" w:fill="FFFFFF"/>
            <w:noWrap w:val="0"/>
            <w:vAlign w:val="center"/>
          </w:tcPr>
          <w:p w14:paraId="50D02A1B">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Ⅱ级</w:t>
            </w:r>
          </w:p>
        </w:tc>
        <w:tc>
          <w:tcPr>
            <w:tcW w:w="3001" w:type="dxa"/>
            <w:shd w:val="clear" w:color="auto" w:fill="FFFFFF"/>
            <w:noWrap/>
            <w:vAlign w:val="center"/>
          </w:tcPr>
          <w:p w14:paraId="3D021AF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c>
          <w:tcPr>
            <w:tcW w:w="1667" w:type="pct"/>
            <w:tcBorders>
              <w:right w:val="nil"/>
            </w:tcBorders>
            <w:shd w:val="clear" w:color="auto" w:fill="FFFFFF"/>
            <w:noWrap w:val="0"/>
            <w:vAlign w:val="center"/>
          </w:tcPr>
          <w:p w14:paraId="197DB506">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094D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5" w:type="pct"/>
            <w:tcBorders>
              <w:left w:val="nil"/>
            </w:tcBorders>
            <w:shd w:val="clear" w:color="auto" w:fill="FFFFFF"/>
            <w:noWrap w:val="0"/>
            <w:vAlign w:val="center"/>
          </w:tcPr>
          <w:p w14:paraId="0E47B4F2">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Ⅲ级</w:t>
            </w:r>
          </w:p>
        </w:tc>
        <w:tc>
          <w:tcPr>
            <w:tcW w:w="3001" w:type="dxa"/>
            <w:shd w:val="clear" w:color="auto" w:fill="FFFFFF"/>
            <w:noWrap/>
            <w:vAlign w:val="center"/>
          </w:tcPr>
          <w:p w14:paraId="591857C2">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255</w:t>
            </w:r>
          </w:p>
        </w:tc>
        <w:tc>
          <w:tcPr>
            <w:tcW w:w="1667" w:type="pct"/>
            <w:tcBorders>
              <w:right w:val="nil"/>
            </w:tcBorders>
            <w:shd w:val="clear" w:color="auto" w:fill="FFFFFF"/>
            <w:noWrap w:val="0"/>
            <w:vAlign w:val="center"/>
          </w:tcPr>
          <w:p w14:paraId="5D77A89A">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1C54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5" w:type="pct"/>
            <w:tcBorders>
              <w:left w:val="nil"/>
              <w:bottom w:val="single" w:color="000000" w:sz="12" w:space="0"/>
            </w:tcBorders>
            <w:shd w:val="clear" w:color="auto" w:fill="FFFFFF"/>
            <w:noWrap w:val="0"/>
            <w:vAlign w:val="center"/>
          </w:tcPr>
          <w:p w14:paraId="1AC40B8B">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Ⅳ级</w:t>
            </w:r>
          </w:p>
        </w:tc>
        <w:tc>
          <w:tcPr>
            <w:tcW w:w="3001" w:type="dxa"/>
            <w:tcBorders>
              <w:bottom w:val="single" w:color="000000" w:sz="12" w:space="0"/>
            </w:tcBorders>
            <w:shd w:val="clear" w:color="auto" w:fill="FFFFFF"/>
            <w:noWrap/>
            <w:vAlign w:val="center"/>
          </w:tcPr>
          <w:p w14:paraId="677C7F36">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1667" w:type="pct"/>
            <w:tcBorders>
              <w:bottom w:val="single" w:color="000000" w:sz="12" w:space="0"/>
              <w:right w:val="nil"/>
            </w:tcBorders>
            <w:shd w:val="clear" w:color="auto" w:fill="FFFFFF"/>
            <w:noWrap w:val="0"/>
            <w:vAlign w:val="center"/>
          </w:tcPr>
          <w:p w14:paraId="5C262DAB">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039A2260"/>
    <w:p w14:paraId="16595851">
      <w:pPr>
        <w:pStyle w:val="6"/>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2.中心城区基准地价内涵</w:t>
      </w:r>
    </w:p>
    <w:p w14:paraId="44806B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(1)权利价格：国有出让建设用地使用权完整权利价格。</w:t>
      </w:r>
    </w:p>
    <w:p w14:paraId="201DC5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(2)基准地价的基准日：2025年1月1日。</w:t>
      </w:r>
    </w:p>
    <w:p w14:paraId="6E21AC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(3)土地使用年期：设定为各用途法定最高出让年期，其中商业服务业用地40年；城镇住宅用地70年；工业用地、公共管理与公共服务用地及公用设施用地50年。</w:t>
      </w:r>
    </w:p>
    <w:p w14:paraId="267A28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(4)开发程度</w:t>
      </w:r>
    </w:p>
    <w:p w14:paraId="50894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商业服务业用地一级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五级设定为宗地红线外“六通”（通路、通电、通讯、通供水、通排水、通暖气）及宗地红线内“场地平整”，六级设定为宗地红线外“五通”（通路、通电、通讯、通供水、通排水）及宗地红线内“场地平整”。</w:t>
      </w:r>
    </w:p>
    <w:p w14:paraId="244664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城镇住宅用地及公共管理与公共服务用地一级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四级设定为宗地红线外“六通”（通路、通电、通讯、通供水、通排水、通暖气）及宗地红线内“场地平整”，五级设定为宗地红线外“五通”（通路、通电、通讯、通供水、通排水）及宗地红线内“场地平整”。</w:t>
      </w:r>
    </w:p>
    <w:p w14:paraId="5644D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工业用地及公用设施用地设定为宗地红线外“五通”（通路、通电、通讯、通供水、通排水）及宗地红线内“场地平整”。</w:t>
      </w:r>
    </w:p>
    <w:p w14:paraId="7619FF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(5)标准容积率</w:t>
      </w:r>
    </w:p>
    <w:p w14:paraId="3B0844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商业服务业用地、城镇住宅用地设定为1.8；公共管理与公共服务用地设定为1.5；工业用地、公用设施用地设定为1.0。</w:t>
      </w:r>
    </w:p>
    <w:p w14:paraId="19A425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(6)土地还原率</w:t>
      </w:r>
    </w:p>
    <w:p w14:paraId="6F3262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商业服务业用地设定为6%；城镇住宅用地及公共管理与公共服务用地设定为5.5%；工业用地及公用设施用地设定为5%。</w:t>
      </w:r>
    </w:p>
    <w:p w14:paraId="2CAEA741">
      <w:pPr>
        <w:pStyle w:val="5"/>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cs="Times New Roman"/>
        </w:rPr>
      </w:pPr>
      <w:r>
        <w:rPr>
          <w:rFonts w:ascii="Times New Roman" w:hAnsi="Times New Roman" w:cs="Times New Roman"/>
          <w:b w:val="0"/>
          <w:bCs w:val="0"/>
        </w:rPr>
        <w:t>（二）乡镇</w:t>
      </w:r>
    </w:p>
    <w:p w14:paraId="3331E968">
      <w:pPr>
        <w:pStyle w:val="6"/>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cs="Times New Roman"/>
        </w:rPr>
      </w:pPr>
      <w:r>
        <w:rPr>
          <w:rFonts w:hint="eastAsia" w:ascii="仿宋_GB2312" w:hAnsi="仿宋_GB2312" w:eastAsia="仿宋_GB2312" w:cs="仿宋_GB2312"/>
          <w:b w:val="0"/>
          <w:bCs w:val="0"/>
        </w:rPr>
        <w:t>1.乡镇基准地价结果</w:t>
      </w:r>
    </w:p>
    <w:p w14:paraId="0970AA39">
      <w:pPr>
        <w:pStyle w:val="13"/>
        <w:spacing w:line="600" w:lineRule="exact"/>
        <w:rPr>
          <w:rFonts w:hint="default" w:ascii="Times New Roman" w:cs="Times New Roman"/>
        </w:rPr>
      </w:pPr>
      <w:r>
        <w:rPr>
          <w:rFonts w:hint="default" w:ascii="Times New Roman" w:cs="Times New Roman"/>
        </w:rPr>
        <w:t>乡镇国有建设用地基准地价表</w:t>
      </w:r>
    </w:p>
    <w:p w14:paraId="3D31B837">
      <w:pPr>
        <w:pStyle w:val="11"/>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单位：元/平方米</w:t>
      </w:r>
    </w:p>
    <w:tbl>
      <w:tblPr>
        <w:tblStyle w:val="9"/>
        <w:tblW w:w="4997"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848"/>
        <w:gridCol w:w="1371"/>
        <w:gridCol w:w="1371"/>
        <w:gridCol w:w="1371"/>
        <w:gridCol w:w="1371"/>
        <w:gridCol w:w="1377"/>
      </w:tblGrid>
      <w:tr w14:paraId="21FDAA3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 w:type="pct"/>
            <w:tcBorders>
              <w:top w:val="single" w:color="000000" w:sz="12" w:space="0"/>
              <w:left w:val="nil"/>
              <w:tl2br w:val="nil"/>
            </w:tcBorders>
            <w:shd w:val="clear" w:color="auto" w:fill="FFFFFF"/>
            <w:noWrap w:val="0"/>
            <w:vAlign w:val="center"/>
          </w:tcPr>
          <w:p w14:paraId="7BCC73D2">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土地类</w:t>
            </w:r>
          </w:p>
        </w:tc>
        <w:tc>
          <w:tcPr>
            <w:tcW w:w="467" w:type="pct"/>
            <w:tcBorders>
              <w:top w:val="single" w:color="000000" w:sz="12" w:space="0"/>
            </w:tcBorders>
            <w:shd w:val="clear" w:color="auto" w:fill="FFFFFF"/>
            <w:noWrap w:val="0"/>
            <w:vAlign w:val="center"/>
          </w:tcPr>
          <w:p w14:paraId="5A826720">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级别</w:t>
            </w:r>
          </w:p>
        </w:tc>
        <w:tc>
          <w:tcPr>
            <w:tcW w:w="757" w:type="pct"/>
            <w:tcBorders>
              <w:top w:val="single" w:color="000000" w:sz="12" w:space="0"/>
            </w:tcBorders>
            <w:shd w:val="clear" w:color="auto" w:fill="FFFFFF"/>
            <w:noWrap w:val="0"/>
            <w:vAlign w:val="center"/>
          </w:tcPr>
          <w:p w14:paraId="4E7A890C">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商业服务业用地</w:t>
            </w:r>
          </w:p>
        </w:tc>
        <w:tc>
          <w:tcPr>
            <w:tcW w:w="757" w:type="pct"/>
            <w:tcBorders>
              <w:top w:val="single" w:color="000000" w:sz="12" w:space="0"/>
            </w:tcBorders>
            <w:shd w:val="clear" w:color="auto" w:fill="FFFFFF"/>
            <w:noWrap w:val="0"/>
            <w:vAlign w:val="center"/>
          </w:tcPr>
          <w:p w14:paraId="10256561">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城镇住宅用地</w:t>
            </w:r>
          </w:p>
        </w:tc>
        <w:tc>
          <w:tcPr>
            <w:tcW w:w="757" w:type="pct"/>
            <w:tcBorders>
              <w:top w:val="single" w:color="000000" w:sz="12" w:space="0"/>
            </w:tcBorders>
            <w:shd w:val="clear" w:color="auto" w:fill="FFFFFF"/>
            <w:noWrap w:val="0"/>
            <w:vAlign w:val="center"/>
          </w:tcPr>
          <w:p w14:paraId="54C94F0D">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工业用地</w:t>
            </w:r>
          </w:p>
        </w:tc>
        <w:tc>
          <w:tcPr>
            <w:tcW w:w="757" w:type="pct"/>
            <w:tcBorders>
              <w:top w:val="single" w:color="000000" w:sz="12" w:space="0"/>
            </w:tcBorders>
            <w:shd w:val="clear" w:color="auto" w:fill="FFFFFF"/>
            <w:noWrap w:val="0"/>
            <w:vAlign w:val="center"/>
          </w:tcPr>
          <w:p w14:paraId="79E00028">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公共管理与公共服务用地</w:t>
            </w:r>
          </w:p>
        </w:tc>
        <w:tc>
          <w:tcPr>
            <w:tcW w:w="758" w:type="pct"/>
            <w:tcBorders>
              <w:top w:val="single" w:color="000000" w:sz="12" w:space="0"/>
              <w:right w:val="nil"/>
            </w:tcBorders>
            <w:shd w:val="clear" w:color="auto" w:fill="FFFFFF"/>
            <w:noWrap w:val="0"/>
            <w:vAlign w:val="center"/>
          </w:tcPr>
          <w:p w14:paraId="7870442A">
            <w:pPr>
              <w:pStyle w:val="12"/>
              <w:keepNext w:val="0"/>
              <w:keepLines w:val="0"/>
              <w:spacing w:before="0" w:line="400" w:lineRule="exact"/>
              <w:rPr>
                <w:rFonts w:hint="eastAsia" w:ascii="黑体" w:hAnsi="黑体" w:eastAsia="黑体" w:cs="黑体"/>
                <w:sz w:val="24"/>
                <w:szCs w:val="24"/>
              </w:rPr>
            </w:pPr>
            <w:r>
              <w:rPr>
                <w:rFonts w:hint="eastAsia" w:ascii="黑体" w:hAnsi="黑体" w:eastAsia="黑体" w:cs="黑体"/>
                <w:sz w:val="24"/>
                <w:szCs w:val="24"/>
              </w:rPr>
              <w:t>公用设施用地</w:t>
            </w:r>
          </w:p>
        </w:tc>
      </w:tr>
      <w:tr w14:paraId="3D4A097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pct"/>
            <w:vMerge w:val="restart"/>
            <w:tcBorders>
              <w:left w:val="nil"/>
            </w:tcBorders>
            <w:shd w:val="clear" w:color="auto" w:fill="FFFFFF"/>
            <w:noWrap w:val="0"/>
            <w:vAlign w:val="center"/>
          </w:tcPr>
          <w:p w14:paraId="7560E052">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一类</w:t>
            </w:r>
          </w:p>
        </w:tc>
        <w:tc>
          <w:tcPr>
            <w:tcW w:w="467" w:type="pct"/>
            <w:shd w:val="clear" w:color="auto" w:fill="FFFFFF"/>
            <w:noWrap w:val="0"/>
            <w:vAlign w:val="center"/>
          </w:tcPr>
          <w:p w14:paraId="2F702B78">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Ⅰ级</w:t>
            </w:r>
          </w:p>
        </w:tc>
        <w:tc>
          <w:tcPr>
            <w:tcW w:w="1362" w:type="dxa"/>
            <w:shd w:val="clear" w:color="auto" w:fill="FFFFFF"/>
            <w:noWrap w:val="0"/>
            <w:vAlign w:val="center"/>
          </w:tcPr>
          <w:p w14:paraId="4C462AD7">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362" w:type="dxa"/>
            <w:shd w:val="clear" w:color="auto" w:fill="FFFFFF"/>
            <w:noWrap w:val="0"/>
            <w:vAlign w:val="center"/>
          </w:tcPr>
          <w:p w14:paraId="30E6204B">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1362" w:type="dxa"/>
            <w:shd w:val="clear" w:color="auto" w:fill="FFFFFF"/>
            <w:noWrap w:val="0"/>
            <w:vAlign w:val="center"/>
          </w:tcPr>
          <w:p w14:paraId="531883B0">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c>
          <w:tcPr>
            <w:tcW w:w="1363" w:type="dxa"/>
            <w:shd w:val="clear" w:color="auto" w:fill="FFFFFF"/>
            <w:noWrap w:val="0"/>
            <w:vAlign w:val="center"/>
          </w:tcPr>
          <w:p w14:paraId="6110FE2A">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330</w:t>
            </w:r>
          </w:p>
        </w:tc>
        <w:tc>
          <w:tcPr>
            <w:tcW w:w="1369" w:type="dxa"/>
            <w:tcBorders>
              <w:right w:val="nil"/>
            </w:tcBorders>
            <w:shd w:val="clear" w:color="auto" w:fill="FFFFFF"/>
            <w:noWrap w:val="0"/>
            <w:vAlign w:val="center"/>
          </w:tcPr>
          <w:p w14:paraId="2BF60C54">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14:paraId="7122E12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pct"/>
            <w:vMerge w:val="continue"/>
            <w:tcBorders>
              <w:left w:val="nil"/>
            </w:tcBorders>
            <w:shd w:val="clear" w:color="auto" w:fill="FFFFFF"/>
            <w:noWrap w:val="0"/>
            <w:vAlign w:val="center"/>
          </w:tcPr>
          <w:p w14:paraId="5E2B00BA">
            <w:pPr>
              <w:pStyle w:val="12"/>
              <w:keepNext w:val="0"/>
              <w:keepLines w:val="0"/>
              <w:spacing w:before="0" w:line="400" w:lineRule="exact"/>
              <w:rPr>
                <w:rFonts w:hint="eastAsia" w:ascii="仿宋_GB2312" w:hAnsi="仿宋_GB2312" w:eastAsia="仿宋_GB2312" w:cs="仿宋_GB2312"/>
                <w:sz w:val="24"/>
                <w:szCs w:val="24"/>
              </w:rPr>
            </w:pPr>
          </w:p>
        </w:tc>
        <w:tc>
          <w:tcPr>
            <w:tcW w:w="467" w:type="pct"/>
            <w:shd w:val="clear" w:color="auto" w:fill="FFFFFF"/>
            <w:noWrap w:val="0"/>
            <w:vAlign w:val="center"/>
          </w:tcPr>
          <w:p w14:paraId="7DAF87C0">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Ⅱ级</w:t>
            </w:r>
          </w:p>
        </w:tc>
        <w:tc>
          <w:tcPr>
            <w:tcW w:w="1362" w:type="dxa"/>
            <w:shd w:val="clear" w:color="auto" w:fill="FFFFFF"/>
            <w:noWrap w:val="0"/>
            <w:vAlign w:val="center"/>
          </w:tcPr>
          <w:p w14:paraId="243BA0CC">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w:t>
            </w:r>
          </w:p>
        </w:tc>
        <w:tc>
          <w:tcPr>
            <w:tcW w:w="1362" w:type="dxa"/>
            <w:shd w:val="clear" w:color="auto" w:fill="FFFFFF"/>
            <w:noWrap w:val="0"/>
            <w:vAlign w:val="center"/>
          </w:tcPr>
          <w:p w14:paraId="0F8C84A6">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330</w:t>
            </w:r>
          </w:p>
        </w:tc>
        <w:tc>
          <w:tcPr>
            <w:tcW w:w="1362" w:type="dxa"/>
            <w:shd w:val="clear" w:color="auto" w:fill="FFFFFF"/>
            <w:noWrap w:val="0"/>
            <w:vAlign w:val="center"/>
          </w:tcPr>
          <w:p w14:paraId="3D54A760">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c>
          <w:tcPr>
            <w:tcW w:w="1363" w:type="dxa"/>
            <w:shd w:val="clear" w:color="auto" w:fill="FFFFFF"/>
            <w:noWrap w:val="0"/>
            <w:vAlign w:val="center"/>
          </w:tcPr>
          <w:p w14:paraId="64A8B782">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c>
          <w:tcPr>
            <w:tcW w:w="1369" w:type="dxa"/>
            <w:tcBorders>
              <w:right w:val="nil"/>
            </w:tcBorders>
            <w:shd w:val="clear" w:color="auto" w:fill="FFFFFF"/>
            <w:noWrap w:val="0"/>
            <w:vAlign w:val="center"/>
          </w:tcPr>
          <w:p w14:paraId="006B6B1E">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14:paraId="7423B0E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pct"/>
            <w:vMerge w:val="restart"/>
            <w:tcBorders>
              <w:left w:val="nil"/>
            </w:tcBorders>
            <w:shd w:val="clear" w:color="auto" w:fill="FFFFFF"/>
            <w:noWrap w:val="0"/>
            <w:vAlign w:val="center"/>
          </w:tcPr>
          <w:p w14:paraId="07C54997">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二类</w:t>
            </w:r>
          </w:p>
        </w:tc>
        <w:tc>
          <w:tcPr>
            <w:tcW w:w="467" w:type="pct"/>
            <w:shd w:val="clear" w:color="auto" w:fill="FFFFFF"/>
            <w:noWrap w:val="0"/>
            <w:vAlign w:val="center"/>
          </w:tcPr>
          <w:p w14:paraId="7D4B100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Ⅰ级</w:t>
            </w:r>
          </w:p>
        </w:tc>
        <w:tc>
          <w:tcPr>
            <w:tcW w:w="1362" w:type="dxa"/>
            <w:shd w:val="clear" w:color="auto" w:fill="FFFFFF"/>
            <w:noWrap w:val="0"/>
            <w:vAlign w:val="center"/>
          </w:tcPr>
          <w:p w14:paraId="39D500DC">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c>
          <w:tcPr>
            <w:tcW w:w="1362" w:type="dxa"/>
            <w:shd w:val="clear" w:color="auto" w:fill="FFFFFF"/>
            <w:noWrap w:val="0"/>
            <w:vAlign w:val="center"/>
          </w:tcPr>
          <w:p w14:paraId="4F582689">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c>
          <w:tcPr>
            <w:tcW w:w="1362" w:type="dxa"/>
            <w:shd w:val="clear" w:color="auto" w:fill="FFFFFF"/>
            <w:noWrap w:val="0"/>
            <w:vAlign w:val="center"/>
          </w:tcPr>
          <w:p w14:paraId="1B4955C0">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165</w:t>
            </w:r>
          </w:p>
        </w:tc>
        <w:tc>
          <w:tcPr>
            <w:tcW w:w="1363" w:type="dxa"/>
            <w:shd w:val="clear" w:color="auto" w:fill="FFFFFF"/>
            <w:noWrap w:val="0"/>
            <w:vAlign w:val="center"/>
          </w:tcPr>
          <w:p w14:paraId="417F0890">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c>
          <w:tcPr>
            <w:tcW w:w="1369" w:type="dxa"/>
            <w:tcBorders>
              <w:right w:val="nil"/>
            </w:tcBorders>
            <w:shd w:val="clear" w:color="auto" w:fill="FFFFFF"/>
            <w:noWrap w:val="0"/>
            <w:vAlign w:val="center"/>
          </w:tcPr>
          <w:p w14:paraId="2DF1F129">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165</w:t>
            </w:r>
          </w:p>
        </w:tc>
      </w:tr>
      <w:tr w14:paraId="4205395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pct"/>
            <w:vMerge w:val="continue"/>
            <w:tcBorders>
              <w:left w:val="nil"/>
            </w:tcBorders>
            <w:shd w:val="clear" w:color="auto" w:fill="FFFFFF"/>
            <w:noWrap w:val="0"/>
            <w:vAlign w:val="center"/>
          </w:tcPr>
          <w:p w14:paraId="54A9ED16">
            <w:pPr>
              <w:pStyle w:val="12"/>
              <w:keepNext w:val="0"/>
              <w:keepLines w:val="0"/>
              <w:spacing w:before="0" w:line="400" w:lineRule="exact"/>
              <w:rPr>
                <w:rFonts w:hint="eastAsia" w:ascii="仿宋_GB2312" w:hAnsi="仿宋_GB2312" w:eastAsia="仿宋_GB2312" w:cs="仿宋_GB2312"/>
                <w:sz w:val="24"/>
                <w:szCs w:val="24"/>
              </w:rPr>
            </w:pPr>
          </w:p>
        </w:tc>
        <w:tc>
          <w:tcPr>
            <w:tcW w:w="467" w:type="pct"/>
            <w:shd w:val="clear" w:color="auto" w:fill="FFFFFF"/>
            <w:noWrap w:val="0"/>
            <w:vAlign w:val="center"/>
          </w:tcPr>
          <w:p w14:paraId="54DB74C3">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Ⅱ级</w:t>
            </w:r>
          </w:p>
        </w:tc>
        <w:tc>
          <w:tcPr>
            <w:tcW w:w="1362" w:type="dxa"/>
            <w:shd w:val="clear" w:color="auto" w:fill="FFFFFF"/>
            <w:noWrap w:val="0"/>
            <w:vAlign w:val="center"/>
          </w:tcPr>
          <w:p w14:paraId="23E86F2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w:t>
            </w:r>
          </w:p>
        </w:tc>
        <w:tc>
          <w:tcPr>
            <w:tcW w:w="1362" w:type="dxa"/>
            <w:shd w:val="clear" w:color="auto" w:fill="FFFFFF"/>
            <w:noWrap w:val="0"/>
            <w:vAlign w:val="center"/>
          </w:tcPr>
          <w:p w14:paraId="32A126EE">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c>
          <w:tcPr>
            <w:tcW w:w="1362" w:type="dxa"/>
            <w:shd w:val="clear" w:color="auto" w:fill="FFFFFF"/>
            <w:noWrap w:val="0"/>
            <w:vAlign w:val="center"/>
          </w:tcPr>
          <w:p w14:paraId="296E0F4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w:t>
            </w:r>
          </w:p>
        </w:tc>
        <w:tc>
          <w:tcPr>
            <w:tcW w:w="1363" w:type="dxa"/>
            <w:shd w:val="clear" w:color="auto" w:fill="FFFFFF"/>
            <w:noWrap w:val="0"/>
            <w:vAlign w:val="center"/>
          </w:tcPr>
          <w:p w14:paraId="4480CB81">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230</w:t>
            </w:r>
          </w:p>
        </w:tc>
        <w:tc>
          <w:tcPr>
            <w:tcW w:w="1369" w:type="dxa"/>
            <w:tcBorders>
              <w:right w:val="nil"/>
            </w:tcBorders>
            <w:shd w:val="clear" w:color="auto" w:fill="FFFFFF"/>
            <w:noWrap w:val="0"/>
            <w:vAlign w:val="center"/>
          </w:tcPr>
          <w:p w14:paraId="45ED0CDA">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w:t>
            </w:r>
          </w:p>
        </w:tc>
      </w:tr>
      <w:tr w14:paraId="1323C5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pct"/>
            <w:vMerge w:val="restart"/>
            <w:tcBorders>
              <w:left w:val="nil"/>
            </w:tcBorders>
            <w:shd w:val="clear" w:color="auto" w:fill="FFFFFF"/>
            <w:noWrap w:val="0"/>
            <w:vAlign w:val="center"/>
          </w:tcPr>
          <w:p w14:paraId="19C55E29">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三类</w:t>
            </w:r>
          </w:p>
        </w:tc>
        <w:tc>
          <w:tcPr>
            <w:tcW w:w="467" w:type="pct"/>
            <w:shd w:val="clear" w:color="auto" w:fill="FFFFFF"/>
            <w:noWrap w:val="0"/>
            <w:vAlign w:val="center"/>
          </w:tcPr>
          <w:p w14:paraId="73F37B7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Ⅰ级</w:t>
            </w:r>
          </w:p>
        </w:tc>
        <w:tc>
          <w:tcPr>
            <w:tcW w:w="1362" w:type="dxa"/>
            <w:shd w:val="clear" w:color="auto" w:fill="FFFFFF"/>
            <w:noWrap w:val="0"/>
            <w:vAlign w:val="center"/>
          </w:tcPr>
          <w:p w14:paraId="53A1248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c>
          <w:tcPr>
            <w:tcW w:w="1362" w:type="dxa"/>
            <w:shd w:val="clear" w:color="auto" w:fill="FFFFFF"/>
            <w:noWrap w:val="0"/>
            <w:vAlign w:val="center"/>
          </w:tcPr>
          <w:p w14:paraId="50C665C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1362" w:type="dxa"/>
            <w:shd w:val="clear" w:color="auto" w:fill="FFFFFF"/>
            <w:noWrap w:val="0"/>
            <w:vAlign w:val="center"/>
          </w:tcPr>
          <w:p w14:paraId="09AA810C">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c>
          <w:tcPr>
            <w:tcW w:w="1363" w:type="dxa"/>
            <w:shd w:val="clear" w:color="auto" w:fill="FFFFFF"/>
            <w:noWrap w:val="0"/>
            <w:vAlign w:val="center"/>
          </w:tcPr>
          <w:p w14:paraId="47B85934">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c>
          <w:tcPr>
            <w:tcW w:w="1369" w:type="dxa"/>
            <w:tcBorders>
              <w:right w:val="nil"/>
            </w:tcBorders>
            <w:shd w:val="clear" w:color="auto" w:fill="FFFFFF"/>
            <w:noWrap w:val="0"/>
            <w:vAlign w:val="center"/>
          </w:tcPr>
          <w:p w14:paraId="100F899A">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14:paraId="11F8714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pct"/>
            <w:vMerge w:val="continue"/>
            <w:tcBorders>
              <w:left w:val="nil"/>
            </w:tcBorders>
            <w:shd w:val="clear" w:color="auto" w:fill="FFFFFF"/>
            <w:noWrap w:val="0"/>
            <w:vAlign w:val="center"/>
          </w:tcPr>
          <w:p w14:paraId="2DD39380">
            <w:pPr>
              <w:pStyle w:val="12"/>
              <w:keepNext w:val="0"/>
              <w:keepLines w:val="0"/>
              <w:spacing w:before="0" w:line="400" w:lineRule="exact"/>
              <w:rPr>
                <w:rFonts w:hint="eastAsia" w:ascii="仿宋_GB2312" w:hAnsi="仿宋_GB2312" w:eastAsia="仿宋_GB2312" w:cs="仿宋_GB2312"/>
                <w:sz w:val="24"/>
                <w:szCs w:val="24"/>
              </w:rPr>
            </w:pPr>
          </w:p>
        </w:tc>
        <w:tc>
          <w:tcPr>
            <w:tcW w:w="467" w:type="pct"/>
            <w:shd w:val="clear" w:color="auto" w:fill="FFFFFF"/>
            <w:noWrap w:val="0"/>
            <w:vAlign w:val="center"/>
          </w:tcPr>
          <w:p w14:paraId="43A19B2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Ⅱ级</w:t>
            </w:r>
          </w:p>
        </w:tc>
        <w:tc>
          <w:tcPr>
            <w:tcW w:w="1362" w:type="dxa"/>
            <w:shd w:val="clear" w:color="auto" w:fill="FFFFFF"/>
            <w:noWrap w:val="0"/>
            <w:vAlign w:val="center"/>
          </w:tcPr>
          <w:p w14:paraId="65DC6178">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330</w:t>
            </w:r>
          </w:p>
        </w:tc>
        <w:tc>
          <w:tcPr>
            <w:tcW w:w="1362" w:type="dxa"/>
            <w:shd w:val="clear" w:color="auto" w:fill="FFFFFF"/>
            <w:noWrap w:val="0"/>
            <w:vAlign w:val="center"/>
          </w:tcPr>
          <w:p w14:paraId="6213570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230</w:t>
            </w:r>
          </w:p>
        </w:tc>
        <w:tc>
          <w:tcPr>
            <w:tcW w:w="1362" w:type="dxa"/>
            <w:shd w:val="clear" w:color="auto" w:fill="FFFFFF"/>
            <w:noWrap w:val="0"/>
            <w:vAlign w:val="center"/>
          </w:tcPr>
          <w:p w14:paraId="4F2659C4">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w:t>
            </w:r>
          </w:p>
        </w:tc>
        <w:tc>
          <w:tcPr>
            <w:tcW w:w="1363" w:type="dxa"/>
            <w:shd w:val="clear" w:color="auto" w:fill="FFFFFF"/>
            <w:noWrap w:val="0"/>
            <w:vAlign w:val="center"/>
          </w:tcPr>
          <w:p w14:paraId="6BDEF7A0">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215</w:t>
            </w:r>
          </w:p>
        </w:tc>
        <w:tc>
          <w:tcPr>
            <w:tcW w:w="1369" w:type="dxa"/>
            <w:tcBorders>
              <w:right w:val="nil"/>
            </w:tcBorders>
            <w:shd w:val="clear" w:color="auto" w:fill="FFFFFF"/>
            <w:noWrap w:val="0"/>
            <w:vAlign w:val="center"/>
          </w:tcPr>
          <w:p w14:paraId="6E638C86">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w:t>
            </w:r>
          </w:p>
        </w:tc>
      </w:tr>
      <w:tr w14:paraId="0353D55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2" w:type="pct"/>
            <w:gridSpan w:val="2"/>
            <w:tcBorders>
              <w:left w:val="nil"/>
            </w:tcBorders>
            <w:shd w:val="clear" w:color="auto" w:fill="FFFFFF"/>
            <w:noWrap w:val="0"/>
            <w:vAlign w:val="center"/>
          </w:tcPr>
          <w:p w14:paraId="735C4BA4">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一类乡镇</w:t>
            </w:r>
          </w:p>
        </w:tc>
        <w:tc>
          <w:tcPr>
            <w:tcW w:w="6818" w:type="dxa"/>
            <w:gridSpan w:val="5"/>
            <w:tcBorders>
              <w:right w:val="nil"/>
            </w:tcBorders>
            <w:shd w:val="clear" w:color="auto" w:fill="FFFFFF"/>
            <w:noWrap w:val="0"/>
            <w:vAlign w:val="center"/>
          </w:tcPr>
          <w:p w14:paraId="2B19C4D2">
            <w:pPr>
              <w:pStyle w:val="12"/>
              <w:keepNext w:val="0"/>
              <w:keepLines w:val="0"/>
              <w:spacing w:before="0"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沙海镇、黑水镇、三家蒙古族乡</w:t>
            </w:r>
          </w:p>
        </w:tc>
      </w:tr>
      <w:tr w14:paraId="74E8259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2" w:type="pct"/>
            <w:gridSpan w:val="2"/>
            <w:tcBorders>
              <w:left w:val="nil"/>
            </w:tcBorders>
            <w:shd w:val="clear" w:color="auto" w:fill="FFFFFF"/>
            <w:noWrap w:val="0"/>
            <w:vAlign w:val="center"/>
          </w:tcPr>
          <w:p w14:paraId="1660C4AD">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二类乡镇</w:t>
            </w:r>
          </w:p>
        </w:tc>
        <w:tc>
          <w:tcPr>
            <w:tcW w:w="6818" w:type="dxa"/>
            <w:gridSpan w:val="5"/>
            <w:tcBorders>
              <w:right w:val="nil"/>
            </w:tcBorders>
            <w:shd w:val="clear" w:color="auto" w:fill="FFFFFF"/>
            <w:noWrap w:val="0"/>
            <w:vAlign w:val="center"/>
          </w:tcPr>
          <w:p w14:paraId="18F8326C">
            <w:pPr>
              <w:pStyle w:val="12"/>
              <w:keepNext w:val="0"/>
              <w:keepLines w:val="0"/>
              <w:spacing w:before="0"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朱碌科镇、喀喇沁镇、建平镇、小塘镇、深井镇、青峰山镇、榆树林子镇</w:t>
            </w:r>
          </w:p>
        </w:tc>
      </w:tr>
      <w:tr w14:paraId="6355902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2" w:type="pct"/>
            <w:gridSpan w:val="2"/>
            <w:tcBorders>
              <w:left w:val="nil"/>
            </w:tcBorders>
            <w:shd w:val="clear" w:color="auto" w:fill="FFFFFF"/>
            <w:noWrap w:val="0"/>
            <w:vAlign w:val="center"/>
          </w:tcPr>
          <w:p w14:paraId="0042FF51">
            <w:pPr>
              <w:pStyle w:val="12"/>
              <w:keepNext w:val="0"/>
              <w:keepLines w:val="0"/>
              <w:spacing w:before="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三类乡镇</w:t>
            </w:r>
          </w:p>
        </w:tc>
        <w:tc>
          <w:tcPr>
            <w:tcW w:w="6818" w:type="dxa"/>
            <w:gridSpan w:val="5"/>
            <w:tcBorders>
              <w:right w:val="nil"/>
            </w:tcBorders>
            <w:shd w:val="clear" w:color="auto" w:fill="FFFFFF"/>
            <w:noWrap w:val="0"/>
            <w:vAlign w:val="center"/>
          </w:tcPr>
          <w:p w14:paraId="54025D88">
            <w:pPr>
              <w:pStyle w:val="12"/>
              <w:keepNext w:val="0"/>
              <w:keepLines w:val="0"/>
              <w:spacing w:before="0"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乡镇（老官地镇、太平庄镇、奎德素镇、哈拉道口镇、昌隆镇、北二十家子镇、张家营子镇、马场镇、白山乡、杨树岭乡、青松岭乡、罗福沟乡、义成功乡、烧锅营子乡、国营建平县热水畜牧农场、国营建平县八家农场）</w:t>
            </w:r>
          </w:p>
        </w:tc>
      </w:tr>
      <w:tr w14:paraId="2D8195A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7"/>
            <w:tcBorders>
              <w:left w:val="nil"/>
              <w:bottom w:val="single" w:color="000000" w:sz="12" w:space="0"/>
              <w:right w:val="nil"/>
            </w:tcBorders>
            <w:shd w:val="clear" w:color="auto" w:fill="FFFFFF"/>
            <w:noWrap w:val="0"/>
            <w:vAlign w:val="center"/>
          </w:tcPr>
          <w:p w14:paraId="3EF5267A">
            <w:pPr>
              <w:pStyle w:val="12"/>
              <w:keepNext w:val="0"/>
              <w:keepLines w:val="0"/>
              <w:spacing w:before="0"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说明：1.乡镇基准地价覆盖区域为建平县行政辖区内除中心城区以外的其他区域。</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2.三类乡（镇）政府所在地建成区主干道两侧临路第一宗地为一级，其他为二</w:t>
            </w:r>
            <w:r>
              <w:rPr>
                <w:rFonts w:hint="eastAsia" w:ascii="仿宋_GB2312" w:hAnsi="仿宋_GB2312" w:eastAsia="仿宋_GB2312" w:cs="仿宋_GB2312"/>
                <w:sz w:val="24"/>
                <w:szCs w:val="24"/>
                <w:lang w:val="en-US" w:eastAsia="zh-CN"/>
              </w:rPr>
              <w:t xml:space="preserve">   </w:t>
            </w:r>
          </w:p>
          <w:p w14:paraId="2A429F36">
            <w:pPr>
              <w:pStyle w:val="12"/>
              <w:keepNext w:val="0"/>
              <w:keepLines w:val="0"/>
              <w:spacing w:before="0" w:line="40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级。</w:t>
            </w:r>
          </w:p>
        </w:tc>
      </w:tr>
    </w:tbl>
    <w:p w14:paraId="1B89CFE2">
      <w:pPr>
        <w:pStyle w:val="6"/>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Times New Roman" w:hAnsi="Times New Roman" w:cs="Times New Roman"/>
          <w:sz w:val="32"/>
          <w:szCs w:val="32"/>
        </w:rPr>
      </w:pPr>
      <w:r>
        <w:rPr>
          <w:rFonts w:hint="eastAsia" w:ascii="仿宋_GB2312" w:hAnsi="仿宋_GB2312" w:eastAsia="仿宋_GB2312" w:cs="仿宋_GB2312"/>
          <w:b w:val="0"/>
          <w:bCs w:val="0"/>
          <w:sz w:val="32"/>
          <w:szCs w:val="32"/>
        </w:rPr>
        <w:t>2.乡镇基准地价内涵</w:t>
      </w:r>
    </w:p>
    <w:p w14:paraId="13F18B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(1)权利价格：国有出让建设用地使用权完整权利价格。</w:t>
      </w:r>
    </w:p>
    <w:p w14:paraId="1D3A1D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(2)基准地价的基准日：2025年1月1日。</w:t>
      </w:r>
    </w:p>
    <w:p w14:paraId="357B01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(3)土地使用年期：设定为各用途法定最高出让年期，其中商业服务业用地40年；城镇住宅用地70年；工业用地、公共管理与公共服务用地及公用设施用地50年。</w:t>
      </w:r>
    </w:p>
    <w:p w14:paraId="28AC4D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(4)开发程度</w:t>
      </w:r>
    </w:p>
    <w:p w14:paraId="36A95ED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商业服务业用地、城镇住宅用地及公共管理与公共服务用地设定为宗地红线外“五通”（通路、通电、通讯、通供水、通排水）及宗地红线内“场地平整”。</w:t>
      </w:r>
    </w:p>
    <w:p w14:paraId="4765F0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工业用地、公用设施用地设定为宗地红线外“三通”（通路、通电、通讯）及宗地红线内“场地平整”。</w:t>
      </w:r>
    </w:p>
    <w:p w14:paraId="73F21F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(5)标准容积率</w:t>
      </w:r>
    </w:p>
    <w:p w14:paraId="72B922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商业服务业用地、城镇住宅用地设定为1.5；公共管理与公共服务用地设定为1.2；工业用地及公用设施用地设定为1.0。</w:t>
      </w:r>
    </w:p>
    <w:p w14:paraId="655A76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(6)土地还原率</w:t>
      </w:r>
    </w:p>
    <w:p w14:paraId="203058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商业服务业用地设定为6.0%，城镇住宅用地及公共管理与公共服务用地设定为5.5%，工业用地及公用设施用地设定为5.0%。</w:t>
      </w:r>
    </w:p>
    <w:p w14:paraId="1A42962E">
      <w:pPr>
        <w:pStyle w:val="4"/>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ascii="黑体" w:hAnsi="黑体" w:eastAsia="黑体" w:cs="黑体"/>
          <w:sz w:val="32"/>
          <w:szCs w:val="32"/>
        </w:rPr>
        <w:t>二、地下</w:t>
      </w:r>
      <w:r>
        <w:t>空间国有建设用地使用权价格</w:t>
      </w:r>
    </w:p>
    <w:p w14:paraId="7D31D1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地下空间国有建设用地使用权价格设定为对应级别、对应用途法定最高出让年期的单位楼面地价，即单位建筑面积价格。</w:t>
      </w:r>
    </w:p>
    <w:p w14:paraId="19A5A3C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i层地下空间国有建设用地使用权单位楼面地价=楼面基准地价×i层修正系数×年期修正系数</w:t>
      </w:r>
    </w:p>
    <w:p w14:paraId="679EADC0">
      <w:pPr>
        <w:pStyle w:val="1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r>
        <w:rPr>
          <w:rFonts w:hint="default" w:ascii="Times New Roman" w:hAnsi="Times New Roman" w:cs="Times New Roman"/>
        </w:rPr>
        <w:t>地下空间使用权修正系数表</w:t>
      </w:r>
    </w:p>
    <w:tbl>
      <w:tblPr>
        <w:tblStyle w:val="9"/>
        <w:tblW w:w="8522" w:type="dxa"/>
        <w:jc w:val="center"/>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Layout w:type="fixed"/>
        <w:tblCellMar>
          <w:top w:w="0" w:type="dxa"/>
          <w:left w:w="108" w:type="dxa"/>
          <w:bottom w:w="0" w:type="dxa"/>
          <w:right w:w="108" w:type="dxa"/>
        </w:tblCellMar>
      </w:tblPr>
      <w:tblGrid>
        <w:gridCol w:w="2853"/>
        <w:gridCol w:w="2828"/>
        <w:gridCol w:w="2841"/>
      </w:tblGrid>
      <w:tr w14:paraId="2D4CFE54">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227" w:hRule="atLeast"/>
          <w:jc w:val="center"/>
        </w:trPr>
        <w:tc>
          <w:tcPr>
            <w:tcW w:w="2853" w:type="dxa"/>
            <w:tcBorders>
              <w:top w:val="single" w:color="000000" w:sz="12" w:space="0"/>
              <w:left w:val="nil"/>
              <w:bottom w:val="single" w:color="auto" w:sz="4" w:space="0"/>
              <w:right w:val="single" w:color="auto" w:sz="4" w:space="0"/>
            </w:tcBorders>
            <w:shd w:val="clear" w:color="auto" w:fill="FFFFFF"/>
            <w:noWrap w:val="0"/>
            <w:vAlign w:val="center"/>
          </w:tcPr>
          <w:p w14:paraId="00247122">
            <w:pPr>
              <w:pStyle w:val="12"/>
              <w:keepNext w:val="0"/>
              <w:keepLines w:val="0"/>
              <w:tabs>
                <w:tab w:val="left" w:pos="8016"/>
              </w:tabs>
              <w:spacing w:before="0" w:line="440" w:lineRule="exact"/>
              <w:rPr>
                <w:rFonts w:hint="eastAsia" w:ascii="黑体" w:hAnsi="黑体" w:eastAsia="黑体" w:cs="黑体"/>
                <w:b w:val="0"/>
                <w:bCs w:val="0"/>
                <w:iCs/>
                <w:sz w:val="24"/>
                <w:szCs w:val="24"/>
              </w:rPr>
            </w:pPr>
            <w:r>
              <w:rPr>
                <w:rFonts w:hint="eastAsia" w:ascii="黑体" w:hAnsi="黑体" w:eastAsia="黑体" w:cs="黑体"/>
                <w:b w:val="0"/>
                <w:bCs w:val="0"/>
                <w:iCs/>
                <w:sz w:val="24"/>
                <w:szCs w:val="24"/>
              </w:rPr>
              <w:t>类别</w:t>
            </w:r>
          </w:p>
        </w:tc>
        <w:tc>
          <w:tcPr>
            <w:tcW w:w="2828" w:type="dxa"/>
            <w:tcBorders>
              <w:top w:val="single" w:color="000000" w:sz="12" w:space="0"/>
              <w:left w:val="single" w:color="auto" w:sz="4" w:space="0"/>
              <w:bottom w:val="single" w:color="auto" w:sz="4" w:space="0"/>
              <w:right w:val="single" w:color="auto" w:sz="4" w:space="0"/>
            </w:tcBorders>
            <w:shd w:val="clear" w:color="auto" w:fill="FFFFFF"/>
            <w:noWrap w:val="0"/>
            <w:vAlign w:val="center"/>
          </w:tcPr>
          <w:p w14:paraId="4B3BA7EA">
            <w:pPr>
              <w:pStyle w:val="12"/>
              <w:keepNext w:val="0"/>
              <w:keepLines w:val="0"/>
              <w:tabs>
                <w:tab w:val="left" w:pos="8016"/>
              </w:tabs>
              <w:spacing w:before="0" w:line="440" w:lineRule="exact"/>
              <w:rPr>
                <w:rFonts w:hint="eastAsia" w:ascii="黑体" w:hAnsi="黑体" w:eastAsia="黑体" w:cs="黑体"/>
                <w:b w:val="0"/>
                <w:bCs w:val="0"/>
                <w:iCs/>
                <w:sz w:val="24"/>
                <w:szCs w:val="24"/>
              </w:rPr>
            </w:pPr>
            <w:r>
              <w:rPr>
                <w:rFonts w:hint="eastAsia" w:ascii="黑体" w:hAnsi="黑体" w:eastAsia="黑体" w:cs="黑体"/>
                <w:b w:val="0"/>
                <w:bCs w:val="0"/>
                <w:iCs/>
                <w:sz w:val="24"/>
                <w:szCs w:val="24"/>
              </w:rPr>
              <w:t>层数</w:t>
            </w:r>
          </w:p>
        </w:tc>
        <w:tc>
          <w:tcPr>
            <w:tcW w:w="2841" w:type="dxa"/>
            <w:tcBorders>
              <w:top w:val="single" w:color="000000" w:sz="12" w:space="0"/>
              <w:left w:val="single" w:color="auto" w:sz="4" w:space="0"/>
              <w:bottom w:val="single" w:color="auto" w:sz="4" w:space="0"/>
              <w:right w:val="nil"/>
            </w:tcBorders>
            <w:shd w:val="clear" w:color="auto" w:fill="FFFFFF"/>
            <w:noWrap w:val="0"/>
            <w:vAlign w:val="center"/>
          </w:tcPr>
          <w:p w14:paraId="5785FEDF">
            <w:pPr>
              <w:pStyle w:val="12"/>
              <w:keepNext w:val="0"/>
              <w:keepLines w:val="0"/>
              <w:tabs>
                <w:tab w:val="left" w:pos="8016"/>
              </w:tabs>
              <w:spacing w:before="0" w:line="440" w:lineRule="exact"/>
              <w:rPr>
                <w:rFonts w:hint="eastAsia" w:ascii="黑体" w:hAnsi="黑体" w:eastAsia="黑体" w:cs="黑体"/>
                <w:b w:val="0"/>
                <w:bCs w:val="0"/>
                <w:iCs/>
                <w:sz w:val="24"/>
                <w:szCs w:val="24"/>
              </w:rPr>
            </w:pPr>
            <w:r>
              <w:rPr>
                <w:rFonts w:hint="eastAsia" w:ascii="黑体" w:hAnsi="黑体" w:eastAsia="黑体" w:cs="黑体"/>
                <w:b w:val="0"/>
                <w:bCs w:val="0"/>
                <w:iCs/>
                <w:sz w:val="24"/>
                <w:szCs w:val="24"/>
              </w:rPr>
              <w:t>修正系数</w:t>
            </w:r>
          </w:p>
        </w:tc>
      </w:tr>
      <w:tr w14:paraId="4A37DE09">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227" w:hRule="atLeast"/>
          <w:jc w:val="center"/>
        </w:trPr>
        <w:tc>
          <w:tcPr>
            <w:tcW w:w="2853" w:type="dxa"/>
            <w:vMerge w:val="restart"/>
            <w:tcBorders>
              <w:top w:val="single" w:color="auto" w:sz="4" w:space="0"/>
              <w:left w:val="nil"/>
              <w:bottom w:val="single" w:color="auto" w:sz="4" w:space="0"/>
              <w:right w:val="single" w:color="auto" w:sz="4" w:space="0"/>
            </w:tcBorders>
            <w:shd w:val="clear" w:color="auto" w:fill="FFFFFF"/>
            <w:noWrap w:val="0"/>
            <w:vAlign w:val="center"/>
          </w:tcPr>
          <w:p w14:paraId="2956387B">
            <w:pPr>
              <w:pStyle w:val="12"/>
              <w:keepNext w:val="0"/>
              <w:keepLines w:val="0"/>
              <w:tabs>
                <w:tab w:val="left" w:pos="8016"/>
              </w:tabs>
              <w:spacing w:before="0" w:line="440" w:lineRule="exact"/>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单建、结建</w:t>
            </w:r>
          </w:p>
        </w:tc>
        <w:tc>
          <w:tcPr>
            <w:tcW w:w="28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30BB8E">
            <w:pPr>
              <w:pStyle w:val="12"/>
              <w:keepNext w:val="0"/>
              <w:keepLines w:val="0"/>
              <w:tabs>
                <w:tab w:val="left" w:pos="8016"/>
              </w:tabs>
              <w:spacing w:before="0" w:line="440" w:lineRule="exact"/>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地下1层</w:t>
            </w:r>
          </w:p>
        </w:tc>
        <w:tc>
          <w:tcPr>
            <w:tcW w:w="2841" w:type="dxa"/>
            <w:tcBorders>
              <w:top w:val="single" w:color="auto" w:sz="4" w:space="0"/>
              <w:left w:val="single" w:color="auto" w:sz="4" w:space="0"/>
              <w:bottom w:val="single" w:color="auto" w:sz="4" w:space="0"/>
              <w:right w:val="nil"/>
            </w:tcBorders>
            <w:shd w:val="clear" w:color="auto" w:fill="FFFFFF"/>
            <w:noWrap w:val="0"/>
            <w:vAlign w:val="center"/>
          </w:tcPr>
          <w:p w14:paraId="64687981">
            <w:pPr>
              <w:pStyle w:val="12"/>
              <w:keepNext w:val="0"/>
              <w:keepLines w:val="0"/>
              <w:tabs>
                <w:tab w:val="left" w:pos="8016"/>
              </w:tabs>
              <w:spacing w:before="0" w:line="440" w:lineRule="exact"/>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20%</w:t>
            </w:r>
          </w:p>
        </w:tc>
      </w:tr>
      <w:tr w14:paraId="39E19E3D">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227" w:hRule="atLeast"/>
          <w:jc w:val="center"/>
        </w:trPr>
        <w:tc>
          <w:tcPr>
            <w:tcW w:w="2853" w:type="dxa"/>
            <w:vMerge w:val="continue"/>
            <w:tcBorders>
              <w:top w:val="single" w:color="auto" w:sz="4" w:space="0"/>
              <w:left w:val="nil"/>
              <w:bottom w:val="single" w:color="auto" w:sz="4" w:space="0"/>
              <w:right w:val="single" w:color="auto" w:sz="4" w:space="0"/>
            </w:tcBorders>
            <w:shd w:val="clear" w:color="auto" w:fill="FFFFFF"/>
            <w:noWrap w:val="0"/>
            <w:vAlign w:val="center"/>
          </w:tcPr>
          <w:p w14:paraId="472CD3E3">
            <w:pPr>
              <w:pStyle w:val="12"/>
              <w:keepNext w:val="0"/>
              <w:keepLines w:val="0"/>
              <w:tabs>
                <w:tab w:val="left" w:pos="8016"/>
              </w:tabs>
              <w:spacing w:before="0" w:line="440" w:lineRule="exact"/>
              <w:rPr>
                <w:rFonts w:hint="eastAsia" w:ascii="仿宋_GB2312" w:hAnsi="仿宋_GB2312" w:eastAsia="仿宋_GB2312" w:cs="仿宋_GB2312"/>
                <w:iCs/>
                <w:sz w:val="24"/>
                <w:szCs w:val="24"/>
              </w:rPr>
            </w:pPr>
          </w:p>
        </w:tc>
        <w:tc>
          <w:tcPr>
            <w:tcW w:w="28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FB5B94">
            <w:pPr>
              <w:pStyle w:val="12"/>
              <w:keepNext w:val="0"/>
              <w:keepLines w:val="0"/>
              <w:tabs>
                <w:tab w:val="left" w:pos="8016"/>
              </w:tabs>
              <w:spacing w:before="0" w:line="440" w:lineRule="exact"/>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地下2层</w:t>
            </w:r>
          </w:p>
        </w:tc>
        <w:tc>
          <w:tcPr>
            <w:tcW w:w="2841" w:type="dxa"/>
            <w:tcBorders>
              <w:top w:val="single" w:color="auto" w:sz="4" w:space="0"/>
              <w:left w:val="single" w:color="auto" w:sz="4" w:space="0"/>
              <w:bottom w:val="single" w:color="auto" w:sz="4" w:space="0"/>
              <w:right w:val="nil"/>
            </w:tcBorders>
            <w:shd w:val="clear" w:color="auto" w:fill="FFFFFF"/>
            <w:noWrap w:val="0"/>
            <w:vAlign w:val="center"/>
          </w:tcPr>
          <w:p w14:paraId="2661ABD0">
            <w:pPr>
              <w:pStyle w:val="12"/>
              <w:keepNext w:val="0"/>
              <w:keepLines w:val="0"/>
              <w:tabs>
                <w:tab w:val="left" w:pos="8016"/>
              </w:tabs>
              <w:spacing w:before="0" w:line="440" w:lineRule="exact"/>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10%</w:t>
            </w:r>
          </w:p>
        </w:tc>
      </w:tr>
      <w:tr w14:paraId="59E26CDE">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227" w:hRule="atLeast"/>
          <w:jc w:val="center"/>
        </w:trPr>
        <w:tc>
          <w:tcPr>
            <w:tcW w:w="2853" w:type="dxa"/>
            <w:vMerge w:val="continue"/>
            <w:tcBorders>
              <w:top w:val="single" w:color="auto" w:sz="4" w:space="0"/>
              <w:left w:val="nil"/>
              <w:bottom w:val="single" w:color="000000" w:sz="12" w:space="0"/>
              <w:right w:val="single" w:color="auto" w:sz="4" w:space="0"/>
            </w:tcBorders>
            <w:shd w:val="clear" w:color="auto" w:fill="FFFFFF"/>
            <w:noWrap w:val="0"/>
            <w:vAlign w:val="center"/>
          </w:tcPr>
          <w:p w14:paraId="0FC29E5B">
            <w:pPr>
              <w:pStyle w:val="12"/>
              <w:keepNext w:val="0"/>
              <w:keepLines w:val="0"/>
              <w:tabs>
                <w:tab w:val="left" w:pos="8016"/>
              </w:tabs>
              <w:spacing w:before="0" w:line="440" w:lineRule="exact"/>
              <w:rPr>
                <w:rFonts w:hint="eastAsia" w:ascii="仿宋_GB2312" w:hAnsi="仿宋_GB2312" w:eastAsia="仿宋_GB2312" w:cs="仿宋_GB2312"/>
                <w:iCs/>
                <w:sz w:val="24"/>
                <w:szCs w:val="24"/>
              </w:rPr>
            </w:pPr>
          </w:p>
        </w:tc>
        <w:tc>
          <w:tcPr>
            <w:tcW w:w="2828" w:type="dxa"/>
            <w:tcBorders>
              <w:top w:val="single" w:color="auto" w:sz="4" w:space="0"/>
              <w:left w:val="single" w:color="auto" w:sz="4" w:space="0"/>
              <w:bottom w:val="single" w:color="000000" w:sz="12" w:space="0"/>
              <w:right w:val="single" w:color="auto" w:sz="4" w:space="0"/>
            </w:tcBorders>
            <w:shd w:val="clear" w:color="auto" w:fill="FFFFFF"/>
            <w:noWrap w:val="0"/>
            <w:vAlign w:val="center"/>
          </w:tcPr>
          <w:p w14:paraId="66CD781E">
            <w:pPr>
              <w:pStyle w:val="12"/>
              <w:keepNext w:val="0"/>
              <w:keepLines w:val="0"/>
              <w:tabs>
                <w:tab w:val="left" w:pos="8016"/>
              </w:tabs>
              <w:spacing w:before="0" w:line="440" w:lineRule="exact"/>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地下3层及以下</w:t>
            </w:r>
          </w:p>
        </w:tc>
        <w:tc>
          <w:tcPr>
            <w:tcW w:w="2841" w:type="dxa"/>
            <w:tcBorders>
              <w:top w:val="single" w:color="auto" w:sz="4" w:space="0"/>
              <w:left w:val="single" w:color="auto" w:sz="4" w:space="0"/>
              <w:bottom w:val="single" w:color="000000" w:sz="12" w:space="0"/>
              <w:right w:val="nil"/>
            </w:tcBorders>
            <w:shd w:val="clear" w:color="auto" w:fill="FFFFFF"/>
            <w:noWrap w:val="0"/>
            <w:vAlign w:val="center"/>
          </w:tcPr>
          <w:p w14:paraId="5DBA7D13">
            <w:pPr>
              <w:pStyle w:val="12"/>
              <w:keepNext w:val="0"/>
              <w:keepLines w:val="0"/>
              <w:tabs>
                <w:tab w:val="left" w:pos="8016"/>
              </w:tabs>
              <w:spacing w:before="0" w:line="440" w:lineRule="exact"/>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不收取土地出让金</w:t>
            </w:r>
          </w:p>
        </w:tc>
      </w:tr>
    </w:tbl>
    <w:p w14:paraId="291358A1">
      <w:pPr>
        <w:spacing w:line="560" w:lineRule="exact"/>
        <w:rPr>
          <w:rFonts w:ascii="Times New Roman" w:hAnsi="Times New Roman" w:eastAsia="方正仿宋_GB2312" w:cs="Times New Roman"/>
          <w:sz w:val="28"/>
          <w:szCs w:val="28"/>
        </w:rPr>
        <w:sectPr>
          <w:footerReference r:id="rId3" w:type="default"/>
          <w:pgSz w:w="11906" w:h="16838"/>
          <w:pgMar w:top="2098" w:right="1474" w:bottom="1984" w:left="1587" w:header="851" w:footer="992" w:gutter="0"/>
          <w:pgNumType w:fmt="decimal" w:start="2"/>
          <w:cols w:space="720" w:num="1"/>
          <w:docGrid w:type="lines" w:linePitch="312" w:charSpace="0"/>
        </w:sectPr>
      </w:pPr>
    </w:p>
    <w:p w14:paraId="29C901CC">
      <w:pPr>
        <w:pStyle w:val="4"/>
      </w:pPr>
      <w:r>
        <w:rPr>
          <w:rFonts w:hint="eastAsia"/>
        </w:rPr>
        <w:t>三、</w:t>
      </w:r>
      <w:r>
        <w:t>与《用地用海分类指南》用途衔接修正系数</w:t>
      </w:r>
    </w:p>
    <w:p w14:paraId="15CBB7D5">
      <w:pPr>
        <w:pStyle w:val="13"/>
        <w:spacing w:line="560" w:lineRule="exact"/>
        <w:rPr>
          <w:rFonts w:hint="default" w:ascii="Times New Roman" w:hAnsi="Times New Roman" w:cs="Times New Roman"/>
        </w:rPr>
      </w:pPr>
      <w:r>
        <w:rPr>
          <w:rFonts w:hint="default" w:ascii="Times New Roman" w:hAnsi="Times New Roman" w:cs="Times New Roman"/>
        </w:rPr>
        <w:t>用地用海分类用途衔接修正系数表</w:t>
      </w:r>
    </w:p>
    <w:tbl>
      <w:tblPr>
        <w:tblStyle w:val="9"/>
        <w:tblW w:w="5000"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018"/>
        <w:gridCol w:w="5478"/>
        <w:gridCol w:w="1068"/>
        <w:gridCol w:w="733"/>
      </w:tblGrid>
      <w:tr w14:paraId="0DA9942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421" w:type="pct"/>
            <w:tcBorders>
              <w:top w:val="single" w:color="000000" w:sz="12" w:space="0"/>
              <w:left w:val="nil"/>
            </w:tcBorders>
            <w:shd w:val="clear" w:color="auto" w:fill="FFFFFF"/>
            <w:noWrap w:val="0"/>
            <w:vAlign w:val="center"/>
          </w:tcPr>
          <w:p w14:paraId="5AD08CB9">
            <w:pPr>
              <w:widowControl/>
              <w:spacing w:line="320" w:lineRule="exact"/>
              <w:jc w:val="center"/>
              <w:textAlignment w:val="center"/>
              <w:rPr>
                <w:rFonts w:hint="eastAsia" w:ascii="黑体" w:hAnsi="黑体" w:eastAsia="黑体" w:cs="黑体"/>
                <w:b w:val="0"/>
                <w:bCs/>
                <w:color w:val="000000"/>
                <w:spacing w:val="-6"/>
                <w:szCs w:val="21"/>
              </w:rPr>
            </w:pPr>
            <w:r>
              <w:rPr>
                <w:rFonts w:hint="eastAsia" w:ascii="黑体" w:hAnsi="黑体" w:eastAsia="黑体" w:cs="黑体"/>
                <w:b w:val="0"/>
                <w:bCs/>
                <w:color w:val="000000"/>
                <w:spacing w:val="-6"/>
                <w:kern w:val="0"/>
                <w:szCs w:val="21"/>
              </w:rPr>
              <w:t>代码</w:t>
            </w:r>
          </w:p>
        </w:tc>
        <w:tc>
          <w:tcPr>
            <w:tcW w:w="561" w:type="pct"/>
            <w:tcBorders>
              <w:top w:val="single" w:color="000000" w:sz="12" w:space="0"/>
            </w:tcBorders>
            <w:shd w:val="clear" w:color="auto" w:fill="FFFFFF"/>
            <w:noWrap w:val="0"/>
            <w:vAlign w:val="center"/>
          </w:tcPr>
          <w:p w14:paraId="29334DB3">
            <w:pPr>
              <w:widowControl/>
              <w:spacing w:line="320" w:lineRule="exact"/>
              <w:jc w:val="center"/>
              <w:textAlignment w:val="center"/>
              <w:rPr>
                <w:rFonts w:hint="eastAsia" w:ascii="黑体" w:hAnsi="黑体" w:eastAsia="黑体" w:cs="黑体"/>
                <w:b w:val="0"/>
                <w:bCs/>
                <w:color w:val="000000"/>
                <w:spacing w:val="-6"/>
                <w:szCs w:val="21"/>
              </w:rPr>
            </w:pPr>
            <w:r>
              <w:rPr>
                <w:rFonts w:hint="eastAsia" w:ascii="黑体" w:hAnsi="黑体" w:eastAsia="黑体" w:cs="黑体"/>
                <w:b w:val="0"/>
                <w:bCs/>
                <w:color w:val="000000"/>
                <w:spacing w:val="-6"/>
                <w:kern w:val="0"/>
                <w:szCs w:val="21"/>
              </w:rPr>
              <w:t>用途</w:t>
            </w:r>
          </w:p>
        </w:tc>
        <w:tc>
          <w:tcPr>
            <w:tcW w:w="3021" w:type="pct"/>
            <w:tcBorders>
              <w:top w:val="single" w:color="000000" w:sz="12" w:space="0"/>
            </w:tcBorders>
            <w:shd w:val="clear" w:color="auto" w:fill="FFFFFF"/>
            <w:noWrap w:val="0"/>
            <w:vAlign w:val="center"/>
          </w:tcPr>
          <w:p w14:paraId="5796BD8A">
            <w:pPr>
              <w:widowControl/>
              <w:spacing w:line="320" w:lineRule="exact"/>
              <w:jc w:val="center"/>
              <w:textAlignment w:val="center"/>
              <w:rPr>
                <w:rFonts w:hint="eastAsia" w:ascii="黑体" w:hAnsi="黑体" w:eastAsia="黑体" w:cs="黑体"/>
                <w:b w:val="0"/>
                <w:bCs/>
                <w:color w:val="000000"/>
                <w:spacing w:val="-6"/>
                <w:szCs w:val="21"/>
              </w:rPr>
            </w:pPr>
            <w:r>
              <w:rPr>
                <w:rFonts w:hint="eastAsia" w:ascii="黑体" w:hAnsi="黑体" w:eastAsia="黑体" w:cs="黑体"/>
                <w:b w:val="0"/>
                <w:bCs/>
                <w:color w:val="000000"/>
                <w:spacing w:val="-6"/>
                <w:kern w:val="0"/>
                <w:szCs w:val="21"/>
              </w:rPr>
              <w:t>含义</w:t>
            </w:r>
          </w:p>
        </w:tc>
        <w:tc>
          <w:tcPr>
            <w:tcW w:w="590" w:type="pct"/>
            <w:tcBorders>
              <w:top w:val="single" w:color="000000" w:sz="12" w:space="0"/>
            </w:tcBorders>
            <w:shd w:val="clear" w:color="auto" w:fill="FFFFFF"/>
            <w:noWrap w:val="0"/>
            <w:vAlign w:val="center"/>
          </w:tcPr>
          <w:p w14:paraId="77FD4974">
            <w:pPr>
              <w:widowControl/>
              <w:spacing w:line="320" w:lineRule="exact"/>
              <w:jc w:val="center"/>
              <w:textAlignment w:val="center"/>
              <w:rPr>
                <w:rFonts w:hint="eastAsia" w:ascii="黑体" w:hAnsi="黑体" w:eastAsia="黑体" w:cs="黑体"/>
                <w:b w:val="0"/>
                <w:bCs/>
                <w:color w:val="000000"/>
                <w:spacing w:val="-6"/>
                <w:szCs w:val="21"/>
              </w:rPr>
            </w:pPr>
            <w:r>
              <w:rPr>
                <w:rFonts w:hint="eastAsia" w:ascii="黑体" w:hAnsi="黑体" w:eastAsia="黑体" w:cs="黑体"/>
                <w:b w:val="0"/>
                <w:bCs/>
                <w:color w:val="000000"/>
                <w:spacing w:val="-6"/>
                <w:kern w:val="0"/>
                <w:szCs w:val="21"/>
              </w:rPr>
              <w:t>参照基准地价类型</w:t>
            </w:r>
          </w:p>
        </w:tc>
        <w:tc>
          <w:tcPr>
            <w:tcW w:w="403" w:type="pct"/>
            <w:tcBorders>
              <w:top w:val="single" w:color="000000" w:sz="12" w:space="0"/>
              <w:right w:val="nil"/>
            </w:tcBorders>
            <w:shd w:val="clear" w:color="auto" w:fill="FFFFFF"/>
            <w:noWrap w:val="0"/>
            <w:vAlign w:val="center"/>
          </w:tcPr>
          <w:p w14:paraId="7334726A">
            <w:pPr>
              <w:widowControl/>
              <w:spacing w:line="320" w:lineRule="exact"/>
              <w:jc w:val="center"/>
              <w:textAlignment w:val="center"/>
              <w:rPr>
                <w:rFonts w:hint="eastAsia" w:ascii="黑体" w:hAnsi="黑体" w:eastAsia="黑体" w:cs="黑体"/>
                <w:b w:val="0"/>
                <w:bCs/>
                <w:color w:val="000000"/>
                <w:spacing w:val="-6"/>
                <w:kern w:val="0"/>
                <w:szCs w:val="21"/>
              </w:rPr>
            </w:pPr>
            <w:r>
              <w:rPr>
                <w:rFonts w:hint="eastAsia" w:ascii="黑体" w:hAnsi="黑体" w:eastAsia="黑体" w:cs="黑体"/>
                <w:b w:val="0"/>
                <w:bCs/>
                <w:color w:val="000000"/>
                <w:spacing w:val="-6"/>
                <w:kern w:val="0"/>
                <w:szCs w:val="21"/>
              </w:rPr>
              <w:t>修正</w:t>
            </w:r>
          </w:p>
          <w:p w14:paraId="261105BC">
            <w:pPr>
              <w:widowControl/>
              <w:spacing w:line="320" w:lineRule="exact"/>
              <w:jc w:val="center"/>
              <w:textAlignment w:val="center"/>
              <w:rPr>
                <w:rFonts w:hint="eastAsia" w:ascii="黑体" w:hAnsi="黑体" w:eastAsia="黑体" w:cs="黑体"/>
                <w:b w:val="0"/>
                <w:bCs/>
                <w:color w:val="000000"/>
                <w:spacing w:val="-6"/>
                <w:szCs w:val="21"/>
              </w:rPr>
            </w:pPr>
            <w:r>
              <w:rPr>
                <w:rFonts w:hint="eastAsia" w:ascii="黑体" w:hAnsi="黑体" w:eastAsia="黑体" w:cs="黑体"/>
                <w:b w:val="0"/>
                <w:bCs/>
                <w:color w:val="000000"/>
                <w:spacing w:val="-6"/>
                <w:kern w:val="0"/>
                <w:szCs w:val="21"/>
              </w:rPr>
              <w:t>系数</w:t>
            </w:r>
          </w:p>
        </w:tc>
      </w:tr>
      <w:tr w14:paraId="7989A3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0B3860F9">
            <w:pPr>
              <w:widowControl/>
              <w:spacing w:line="320" w:lineRule="exact"/>
              <w:jc w:val="center"/>
              <w:textAlignment w:val="center"/>
              <w:rPr>
                <w:rFonts w:hint="eastAsia" w:ascii="仿宋_GB2312" w:hAnsi="仿宋_GB2312" w:eastAsia="仿宋_GB2312" w:cs="仿宋_GB2312"/>
                <w:b/>
                <w:color w:val="000000"/>
                <w:spacing w:val="-6"/>
                <w:szCs w:val="21"/>
              </w:rPr>
            </w:pPr>
            <w:r>
              <w:rPr>
                <w:rFonts w:hint="eastAsia" w:ascii="仿宋_GB2312" w:hAnsi="仿宋_GB2312" w:eastAsia="仿宋_GB2312" w:cs="仿宋_GB2312"/>
                <w:b/>
                <w:color w:val="000000"/>
                <w:spacing w:val="-6"/>
                <w:kern w:val="0"/>
                <w:szCs w:val="21"/>
              </w:rPr>
              <w:t>9</w:t>
            </w:r>
          </w:p>
        </w:tc>
        <w:tc>
          <w:tcPr>
            <w:tcW w:w="561" w:type="pct"/>
            <w:shd w:val="clear" w:color="auto" w:fill="FFFFFF"/>
            <w:noWrap w:val="0"/>
            <w:vAlign w:val="center"/>
          </w:tcPr>
          <w:p w14:paraId="726361AB">
            <w:pPr>
              <w:widowControl/>
              <w:spacing w:line="320" w:lineRule="exact"/>
              <w:jc w:val="center"/>
              <w:textAlignment w:val="center"/>
              <w:rPr>
                <w:rFonts w:hint="eastAsia" w:ascii="仿宋_GB2312" w:hAnsi="仿宋_GB2312" w:eastAsia="仿宋_GB2312" w:cs="仿宋_GB2312"/>
                <w:b/>
                <w:color w:val="000000"/>
                <w:spacing w:val="-6"/>
                <w:szCs w:val="21"/>
              </w:rPr>
            </w:pPr>
            <w:r>
              <w:rPr>
                <w:rFonts w:hint="eastAsia" w:ascii="仿宋_GB2312" w:hAnsi="仿宋_GB2312" w:eastAsia="仿宋_GB2312" w:cs="仿宋_GB2312"/>
                <w:b/>
                <w:color w:val="000000"/>
                <w:spacing w:val="-6"/>
                <w:kern w:val="0"/>
                <w:szCs w:val="21"/>
              </w:rPr>
              <w:t>商业服务业用地</w:t>
            </w:r>
          </w:p>
        </w:tc>
        <w:tc>
          <w:tcPr>
            <w:tcW w:w="4016" w:type="pct"/>
            <w:gridSpan w:val="3"/>
            <w:tcBorders>
              <w:right w:val="nil"/>
            </w:tcBorders>
            <w:shd w:val="clear" w:color="auto" w:fill="FFFFFF"/>
            <w:noWrap w:val="0"/>
            <w:vAlign w:val="center"/>
          </w:tcPr>
          <w:p w14:paraId="6FBE4969">
            <w:pPr>
              <w:widowControl/>
              <w:spacing w:line="320" w:lineRule="exact"/>
              <w:textAlignment w:val="center"/>
              <w:rPr>
                <w:rFonts w:hint="eastAsia" w:ascii="仿宋_GB2312" w:hAnsi="仿宋_GB2312" w:eastAsia="仿宋_GB2312" w:cs="仿宋_GB2312"/>
                <w:b/>
                <w:color w:val="000000"/>
                <w:spacing w:val="-6"/>
                <w:szCs w:val="21"/>
              </w:rPr>
            </w:pPr>
            <w:r>
              <w:rPr>
                <w:rFonts w:hint="eastAsia" w:ascii="仿宋_GB2312" w:hAnsi="仿宋_GB2312" w:eastAsia="仿宋_GB2312" w:cs="仿宋_GB2312"/>
                <w:b/>
                <w:color w:val="000000"/>
                <w:spacing w:val="-6"/>
                <w:kern w:val="0"/>
                <w:szCs w:val="21"/>
              </w:rPr>
              <w:t>指商业、商务金融以及娱乐康体等设施用地，不包括农村社区服务设施用地和城镇社区服务设施用地</w:t>
            </w:r>
          </w:p>
        </w:tc>
      </w:tr>
      <w:tr w14:paraId="6E203E4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Merge w:val="restart"/>
            <w:tcBorders>
              <w:left w:val="nil"/>
            </w:tcBorders>
            <w:shd w:val="clear" w:color="auto" w:fill="FFFFFF"/>
            <w:noWrap w:val="0"/>
            <w:vAlign w:val="center"/>
          </w:tcPr>
          <w:p w14:paraId="20C518DB">
            <w:pPr>
              <w:widowControl/>
              <w:spacing w:line="32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901</w:t>
            </w:r>
          </w:p>
        </w:tc>
        <w:tc>
          <w:tcPr>
            <w:tcW w:w="561" w:type="pct"/>
            <w:vMerge w:val="restart"/>
            <w:shd w:val="clear" w:color="auto" w:fill="FFFFFF"/>
            <w:noWrap w:val="0"/>
            <w:vAlign w:val="center"/>
          </w:tcPr>
          <w:p w14:paraId="05A3D460">
            <w:pPr>
              <w:widowControl/>
              <w:spacing w:line="32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商业用地</w:t>
            </w:r>
          </w:p>
        </w:tc>
        <w:tc>
          <w:tcPr>
            <w:tcW w:w="3021" w:type="pct"/>
            <w:shd w:val="clear" w:color="auto" w:fill="FFFFFF"/>
            <w:noWrap w:val="0"/>
            <w:vAlign w:val="center"/>
          </w:tcPr>
          <w:p w14:paraId="510833CE">
            <w:pPr>
              <w:widowControl/>
              <w:spacing w:line="320" w:lineRule="exact"/>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指零售商业、批发市场及餐饮、旅馆及公用设施营业网点等服务业用地</w:t>
            </w:r>
          </w:p>
        </w:tc>
        <w:tc>
          <w:tcPr>
            <w:tcW w:w="590" w:type="pct"/>
            <w:vMerge w:val="restart"/>
            <w:shd w:val="clear" w:color="auto" w:fill="FFFFFF"/>
            <w:noWrap w:val="0"/>
            <w:vAlign w:val="center"/>
          </w:tcPr>
          <w:p w14:paraId="6E55149F">
            <w:pPr>
              <w:widowControl/>
              <w:spacing w:line="32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商业服务业用地</w:t>
            </w:r>
          </w:p>
        </w:tc>
        <w:tc>
          <w:tcPr>
            <w:tcW w:w="403" w:type="pct"/>
            <w:tcBorders>
              <w:right w:val="nil"/>
            </w:tcBorders>
            <w:shd w:val="clear" w:color="auto" w:fill="FFFFFF"/>
            <w:noWrap w:val="0"/>
            <w:vAlign w:val="center"/>
          </w:tcPr>
          <w:p w14:paraId="124078E2">
            <w:pPr>
              <w:widowControl/>
              <w:spacing w:line="32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r>
      <w:tr w14:paraId="2282B74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Merge w:val="continue"/>
            <w:tcBorders>
              <w:left w:val="nil"/>
            </w:tcBorders>
            <w:shd w:val="clear" w:color="auto" w:fill="FFFFFF"/>
            <w:noWrap w:val="0"/>
            <w:vAlign w:val="center"/>
          </w:tcPr>
          <w:p w14:paraId="5A662C2E">
            <w:pPr>
              <w:widowControl/>
              <w:spacing w:line="320" w:lineRule="exact"/>
              <w:jc w:val="center"/>
              <w:rPr>
                <w:rFonts w:hint="eastAsia" w:ascii="仿宋_GB2312" w:hAnsi="仿宋_GB2312" w:eastAsia="仿宋_GB2312" w:cs="仿宋_GB2312"/>
                <w:color w:val="000000"/>
                <w:spacing w:val="-6"/>
                <w:szCs w:val="21"/>
              </w:rPr>
            </w:pPr>
          </w:p>
        </w:tc>
        <w:tc>
          <w:tcPr>
            <w:tcW w:w="561" w:type="pct"/>
            <w:vMerge w:val="continue"/>
            <w:shd w:val="clear" w:color="auto" w:fill="FFFFFF"/>
            <w:noWrap w:val="0"/>
            <w:vAlign w:val="center"/>
          </w:tcPr>
          <w:p w14:paraId="14C04B32">
            <w:pPr>
              <w:widowControl/>
              <w:spacing w:line="320" w:lineRule="exact"/>
              <w:jc w:val="center"/>
              <w:rPr>
                <w:rFonts w:hint="eastAsia" w:ascii="仿宋_GB2312" w:hAnsi="仿宋_GB2312" w:eastAsia="仿宋_GB2312" w:cs="仿宋_GB2312"/>
                <w:color w:val="000000"/>
                <w:spacing w:val="-6"/>
                <w:szCs w:val="21"/>
              </w:rPr>
            </w:pPr>
          </w:p>
        </w:tc>
        <w:tc>
          <w:tcPr>
            <w:tcW w:w="3021" w:type="pct"/>
            <w:shd w:val="clear" w:color="auto" w:fill="FFFFFF"/>
            <w:noWrap w:val="0"/>
            <w:vAlign w:val="center"/>
          </w:tcPr>
          <w:p w14:paraId="13C5B35F">
            <w:pPr>
              <w:widowControl/>
              <w:spacing w:line="320" w:lineRule="exact"/>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其中：批发市场用地（农产品批发市场用地参考工业用地基准地价）</w:t>
            </w:r>
          </w:p>
        </w:tc>
        <w:tc>
          <w:tcPr>
            <w:tcW w:w="590" w:type="pct"/>
            <w:vMerge w:val="continue"/>
            <w:shd w:val="clear" w:color="auto" w:fill="FFFFFF"/>
            <w:noWrap w:val="0"/>
            <w:vAlign w:val="center"/>
          </w:tcPr>
          <w:p w14:paraId="2C4B9131">
            <w:pPr>
              <w:widowControl/>
              <w:spacing w:line="320" w:lineRule="exact"/>
              <w:jc w:val="center"/>
              <w:textAlignment w:val="center"/>
              <w:rPr>
                <w:rFonts w:hint="eastAsia" w:ascii="仿宋_GB2312" w:hAnsi="仿宋_GB2312" w:eastAsia="仿宋_GB2312" w:cs="仿宋_GB2312"/>
                <w:color w:val="000000"/>
                <w:spacing w:val="-6"/>
                <w:szCs w:val="21"/>
              </w:rPr>
            </w:pPr>
          </w:p>
        </w:tc>
        <w:tc>
          <w:tcPr>
            <w:tcW w:w="403" w:type="pct"/>
            <w:tcBorders>
              <w:right w:val="nil"/>
            </w:tcBorders>
            <w:shd w:val="clear" w:color="auto" w:fill="FFFFFF"/>
            <w:noWrap w:val="0"/>
            <w:vAlign w:val="center"/>
          </w:tcPr>
          <w:p w14:paraId="6A0024DC">
            <w:pPr>
              <w:widowControl/>
              <w:spacing w:line="32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70%</w:t>
            </w:r>
          </w:p>
        </w:tc>
      </w:tr>
      <w:tr w14:paraId="5C26402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Merge w:val="continue"/>
            <w:tcBorders>
              <w:left w:val="nil"/>
            </w:tcBorders>
            <w:shd w:val="clear" w:color="auto" w:fill="FFFFFF"/>
            <w:noWrap w:val="0"/>
            <w:vAlign w:val="center"/>
          </w:tcPr>
          <w:p w14:paraId="6D80179B">
            <w:pPr>
              <w:widowControl/>
              <w:spacing w:line="320" w:lineRule="exact"/>
              <w:jc w:val="center"/>
              <w:rPr>
                <w:rFonts w:hint="eastAsia" w:ascii="仿宋_GB2312" w:hAnsi="仿宋_GB2312" w:eastAsia="仿宋_GB2312" w:cs="仿宋_GB2312"/>
                <w:color w:val="000000"/>
                <w:spacing w:val="-6"/>
                <w:szCs w:val="21"/>
              </w:rPr>
            </w:pPr>
          </w:p>
        </w:tc>
        <w:tc>
          <w:tcPr>
            <w:tcW w:w="561" w:type="pct"/>
            <w:vMerge w:val="continue"/>
            <w:shd w:val="clear" w:color="auto" w:fill="FFFFFF"/>
            <w:noWrap w:val="0"/>
            <w:vAlign w:val="center"/>
          </w:tcPr>
          <w:p w14:paraId="536ECE03">
            <w:pPr>
              <w:widowControl/>
              <w:spacing w:line="320" w:lineRule="exact"/>
              <w:jc w:val="center"/>
              <w:rPr>
                <w:rFonts w:hint="eastAsia" w:ascii="仿宋_GB2312" w:hAnsi="仿宋_GB2312" w:eastAsia="仿宋_GB2312" w:cs="仿宋_GB2312"/>
                <w:color w:val="000000"/>
                <w:spacing w:val="-6"/>
                <w:szCs w:val="21"/>
              </w:rPr>
            </w:pPr>
          </w:p>
        </w:tc>
        <w:tc>
          <w:tcPr>
            <w:tcW w:w="3021" w:type="pct"/>
            <w:shd w:val="clear" w:color="auto" w:fill="FFFFFF"/>
            <w:noWrap w:val="0"/>
            <w:vAlign w:val="center"/>
          </w:tcPr>
          <w:p w14:paraId="5FFB18D3">
            <w:pPr>
              <w:widowControl/>
              <w:spacing w:line="320" w:lineRule="exact"/>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加油加气站用地</w:t>
            </w:r>
          </w:p>
        </w:tc>
        <w:tc>
          <w:tcPr>
            <w:tcW w:w="590" w:type="pct"/>
            <w:vMerge w:val="continue"/>
            <w:shd w:val="clear" w:color="auto" w:fill="FFFFFF"/>
            <w:noWrap w:val="0"/>
            <w:vAlign w:val="center"/>
          </w:tcPr>
          <w:p w14:paraId="20E796A3">
            <w:pPr>
              <w:widowControl/>
              <w:spacing w:line="320" w:lineRule="exact"/>
              <w:jc w:val="center"/>
              <w:textAlignment w:val="center"/>
              <w:rPr>
                <w:rFonts w:hint="eastAsia" w:ascii="仿宋_GB2312" w:hAnsi="仿宋_GB2312" w:eastAsia="仿宋_GB2312" w:cs="仿宋_GB2312"/>
                <w:color w:val="000000"/>
                <w:spacing w:val="-6"/>
                <w:szCs w:val="21"/>
              </w:rPr>
            </w:pPr>
          </w:p>
        </w:tc>
        <w:tc>
          <w:tcPr>
            <w:tcW w:w="403" w:type="pct"/>
            <w:tcBorders>
              <w:right w:val="nil"/>
            </w:tcBorders>
            <w:shd w:val="clear" w:color="auto" w:fill="FFFFFF"/>
            <w:noWrap w:val="0"/>
            <w:vAlign w:val="center"/>
          </w:tcPr>
          <w:p w14:paraId="6DAD59A3">
            <w:pPr>
              <w:widowControl/>
              <w:spacing w:line="32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150%</w:t>
            </w:r>
          </w:p>
        </w:tc>
      </w:tr>
      <w:tr w14:paraId="2678DB1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38E26552">
            <w:pPr>
              <w:widowControl/>
              <w:spacing w:line="32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902</w:t>
            </w:r>
          </w:p>
        </w:tc>
        <w:tc>
          <w:tcPr>
            <w:tcW w:w="561" w:type="pct"/>
            <w:shd w:val="clear" w:color="auto" w:fill="FFFFFF"/>
            <w:noWrap w:val="0"/>
            <w:vAlign w:val="center"/>
          </w:tcPr>
          <w:p w14:paraId="42880E2A">
            <w:pPr>
              <w:widowControl/>
              <w:spacing w:line="32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商务金融用地</w:t>
            </w:r>
          </w:p>
        </w:tc>
        <w:tc>
          <w:tcPr>
            <w:tcW w:w="3021" w:type="pct"/>
            <w:shd w:val="clear" w:color="auto" w:fill="FFFFFF"/>
            <w:noWrap w:val="0"/>
            <w:vAlign w:val="center"/>
          </w:tcPr>
          <w:p w14:paraId="7120C68C">
            <w:pPr>
              <w:widowControl/>
              <w:spacing w:line="320" w:lineRule="exact"/>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指金融保险、艺术传媒、设计、技术服务、物流管理中心等综合性办公用地</w:t>
            </w:r>
          </w:p>
        </w:tc>
        <w:tc>
          <w:tcPr>
            <w:tcW w:w="590" w:type="pct"/>
            <w:vMerge w:val="continue"/>
            <w:shd w:val="clear" w:color="auto" w:fill="FFFFFF"/>
            <w:noWrap w:val="0"/>
            <w:vAlign w:val="center"/>
          </w:tcPr>
          <w:p w14:paraId="0EFC4CC6">
            <w:pPr>
              <w:widowControl/>
              <w:spacing w:line="320" w:lineRule="exact"/>
              <w:jc w:val="center"/>
              <w:rPr>
                <w:rFonts w:hint="eastAsia" w:ascii="仿宋_GB2312" w:hAnsi="仿宋_GB2312" w:eastAsia="仿宋_GB2312" w:cs="仿宋_GB2312"/>
                <w:color w:val="000000"/>
                <w:spacing w:val="-6"/>
                <w:szCs w:val="21"/>
              </w:rPr>
            </w:pPr>
          </w:p>
        </w:tc>
        <w:tc>
          <w:tcPr>
            <w:tcW w:w="403" w:type="pct"/>
            <w:tcBorders>
              <w:right w:val="nil"/>
            </w:tcBorders>
            <w:shd w:val="clear" w:color="auto" w:fill="FFFFFF"/>
            <w:noWrap w:val="0"/>
            <w:vAlign w:val="center"/>
          </w:tcPr>
          <w:p w14:paraId="484FC0AF">
            <w:pPr>
              <w:widowControl/>
              <w:spacing w:line="32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80%</w:t>
            </w:r>
          </w:p>
        </w:tc>
      </w:tr>
      <w:tr w14:paraId="66E3477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6D0C4A76">
            <w:pPr>
              <w:widowControl/>
              <w:spacing w:line="32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903</w:t>
            </w:r>
          </w:p>
        </w:tc>
        <w:tc>
          <w:tcPr>
            <w:tcW w:w="561" w:type="pct"/>
            <w:shd w:val="clear" w:color="auto" w:fill="FFFFFF"/>
            <w:noWrap w:val="0"/>
            <w:vAlign w:val="center"/>
          </w:tcPr>
          <w:p w14:paraId="490721C5">
            <w:pPr>
              <w:widowControl/>
              <w:spacing w:line="32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娱乐用地</w:t>
            </w:r>
          </w:p>
        </w:tc>
        <w:tc>
          <w:tcPr>
            <w:tcW w:w="3021" w:type="pct"/>
            <w:shd w:val="clear" w:color="auto" w:fill="FFFFFF"/>
            <w:noWrap w:val="0"/>
            <w:vAlign w:val="center"/>
          </w:tcPr>
          <w:p w14:paraId="32D9C301">
            <w:pPr>
              <w:widowControl/>
              <w:spacing w:line="320" w:lineRule="exact"/>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指剧院、音乐厅、电影院、歌舞厅、网吧以及绿地率小于65%的大型游乐等设施用地</w:t>
            </w:r>
          </w:p>
        </w:tc>
        <w:tc>
          <w:tcPr>
            <w:tcW w:w="590" w:type="pct"/>
            <w:vMerge w:val="continue"/>
            <w:shd w:val="clear" w:color="auto" w:fill="FFFFFF"/>
            <w:noWrap w:val="0"/>
            <w:vAlign w:val="center"/>
          </w:tcPr>
          <w:p w14:paraId="66C48824">
            <w:pPr>
              <w:widowControl/>
              <w:spacing w:line="320" w:lineRule="exact"/>
              <w:jc w:val="center"/>
              <w:rPr>
                <w:rFonts w:hint="eastAsia" w:ascii="仿宋_GB2312" w:hAnsi="仿宋_GB2312" w:eastAsia="仿宋_GB2312" w:cs="仿宋_GB2312"/>
                <w:color w:val="000000"/>
                <w:spacing w:val="-6"/>
                <w:szCs w:val="21"/>
              </w:rPr>
            </w:pPr>
          </w:p>
        </w:tc>
        <w:tc>
          <w:tcPr>
            <w:tcW w:w="403" w:type="pct"/>
            <w:tcBorders>
              <w:right w:val="nil"/>
            </w:tcBorders>
            <w:shd w:val="clear" w:color="auto" w:fill="FFFFFF"/>
            <w:noWrap w:val="0"/>
            <w:vAlign w:val="center"/>
          </w:tcPr>
          <w:p w14:paraId="53920AAE">
            <w:pPr>
              <w:widowControl/>
              <w:spacing w:line="32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80%</w:t>
            </w:r>
          </w:p>
        </w:tc>
      </w:tr>
      <w:tr w14:paraId="6FA8CBE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19A65F98">
            <w:pPr>
              <w:widowControl/>
              <w:spacing w:line="32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904</w:t>
            </w:r>
          </w:p>
        </w:tc>
        <w:tc>
          <w:tcPr>
            <w:tcW w:w="561" w:type="pct"/>
            <w:shd w:val="clear" w:color="auto" w:fill="FFFFFF"/>
            <w:noWrap w:val="0"/>
            <w:vAlign w:val="center"/>
          </w:tcPr>
          <w:p w14:paraId="5B657DB1">
            <w:pPr>
              <w:widowControl/>
              <w:spacing w:line="320" w:lineRule="exact"/>
              <w:jc w:val="center"/>
              <w:textAlignment w:val="center"/>
              <w:rPr>
                <w:rFonts w:hint="eastAsia" w:ascii="仿宋_GB2312" w:hAnsi="仿宋_GB2312" w:eastAsia="仿宋_GB2312" w:cs="仿宋_GB2312"/>
                <w:color w:val="000000"/>
                <w:spacing w:val="-6"/>
                <w:kern w:val="0"/>
                <w:szCs w:val="21"/>
              </w:rPr>
            </w:pPr>
            <w:r>
              <w:rPr>
                <w:rFonts w:hint="eastAsia" w:ascii="仿宋_GB2312" w:hAnsi="仿宋_GB2312" w:eastAsia="仿宋_GB2312" w:cs="仿宋_GB2312"/>
                <w:color w:val="000000"/>
                <w:spacing w:val="-6"/>
                <w:kern w:val="0"/>
                <w:szCs w:val="21"/>
              </w:rPr>
              <w:t>其他商业服务业</w:t>
            </w:r>
          </w:p>
          <w:p w14:paraId="31288B45">
            <w:pPr>
              <w:widowControl/>
              <w:spacing w:line="32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用地</w:t>
            </w:r>
          </w:p>
        </w:tc>
        <w:tc>
          <w:tcPr>
            <w:tcW w:w="3021" w:type="pct"/>
            <w:shd w:val="clear" w:color="auto" w:fill="FFFFFF"/>
            <w:noWrap w:val="0"/>
            <w:vAlign w:val="center"/>
          </w:tcPr>
          <w:p w14:paraId="2C7C34EA">
            <w:pPr>
              <w:widowControl/>
              <w:spacing w:line="320" w:lineRule="exact"/>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指除以上之外的商业服务业用地，包括高尔夫练习场、赛马场、以观光娱乐为目的的直升机停机坪等通用航空、汽车维修站以及宠物医院、洗车场、洗染店、照相馆、理发美容店、洗浴场所、废旧物资回收站、机动车、电子产品和日用产品修理网点、物流营业网点等用地</w:t>
            </w:r>
          </w:p>
        </w:tc>
        <w:tc>
          <w:tcPr>
            <w:tcW w:w="590" w:type="pct"/>
            <w:vMerge w:val="continue"/>
            <w:shd w:val="clear" w:color="auto" w:fill="FFFFFF"/>
            <w:noWrap w:val="0"/>
            <w:vAlign w:val="center"/>
          </w:tcPr>
          <w:p w14:paraId="74561A21">
            <w:pPr>
              <w:widowControl/>
              <w:spacing w:line="320" w:lineRule="exact"/>
              <w:jc w:val="center"/>
              <w:rPr>
                <w:rFonts w:hint="eastAsia" w:ascii="仿宋_GB2312" w:hAnsi="仿宋_GB2312" w:eastAsia="仿宋_GB2312" w:cs="仿宋_GB2312"/>
                <w:color w:val="000000"/>
                <w:spacing w:val="-6"/>
                <w:szCs w:val="21"/>
              </w:rPr>
            </w:pPr>
          </w:p>
        </w:tc>
        <w:tc>
          <w:tcPr>
            <w:tcW w:w="403" w:type="pct"/>
            <w:tcBorders>
              <w:right w:val="nil"/>
            </w:tcBorders>
            <w:shd w:val="clear" w:color="auto" w:fill="FFFFFF"/>
            <w:noWrap w:val="0"/>
            <w:vAlign w:val="center"/>
          </w:tcPr>
          <w:p w14:paraId="47D1DDBC">
            <w:pPr>
              <w:widowControl/>
              <w:spacing w:line="32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r>
      <w:tr w14:paraId="360E9B9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50EAC277">
            <w:pPr>
              <w:widowControl/>
              <w:spacing w:line="320" w:lineRule="exact"/>
              <w:jc w:val="center"/>
              <w:textAlignment w:val="center"/>
              <w:rPr>
                <w:rFonts w:hint="eastAsia" w:ascii="仿宋_GB2312" w:hAnsi="仿宋_GB2312" w:eastAsia="仿宋_GB2312" w:cs="仿宋_GB2312"/>
                <w:b/>
                <w:bCs/>
                <w:color w:val="000000"/>
                <w:spacing w:val="-6"/>
                <w:szCs w:val="21"/>
              </w:rPr>
            </w:pPr>
            <w:r>
              <w:rPr>
                <w:rFonts w:hint="eastAsia" w:ascii="仿宋_GB2312" w:hAnsi="仿宋_GB2312" w:eastAsia="仿宋_GB2312" w:cs="仿宋_GB2312"/>
                <w:b/>
                <w:bCs/>
                <w:color w:val="000000"/>
                <w:spacing w:val="-6"/>
                <w:kern w:val="0"/>
                <w:szCs w:val="21"/>
              </w:rPr>
              <w:t>7</w:t>
            </w:r>
          </w:p>
        </w:tc>
        <w:tc>
          <w:tcPr>
            <w:tcW w:w="561" w:type="pct"/>
            <w:shd w:val="clear" w:color="auto" w:fill="FFFFFF"/>
            <w:noWrap w:val="0"/>
            <w:vAlign w:val="center"/>
          </w:tcPr>
          <w:p w14:paraId="57AA8E00">
            <w:pPr>
              <w:widowControl/>
              <w:spacing w:line="320" w:lineRule="exact"/>
              <w:jc w:val="center"/>
              <w:textAlignment w:val="center"/>
              <w:rPr>
                <w:rFonts w:hint="eastAsia" w:ascii="仿宋_GB2312" w:hAnsi="仿宋_GB2312" w:eastAsia="仿宋_GB2312" w:cs="仿宋_GB2312"/>
                <w:b/>
                <w:bCs/>
                <w:color w:val="000000"/>
                <w:spacing w:val="-6"/>
                <w:szCs w:val="21"/>
              </w:rPr>
            </w:pPr>
            <w:r>
              <w:rPr>
                <w:rFonts w:hint="eastAsia" w:ascii="仿宋_GB2312" w:hAnsi="仿宋_GB2312" w:eastAsia="仿宋_GB2312" w:cs="仿宋_GB2312"/>
                <w:b/>
                <w:bCs/>
                <w:color w:val="000000"/>
                <w:spacing w:val="-6"/>
                <w:kern w:val="0"/>
                <w:szCs w:val="21"/>
              </w:rPr>
              <w:t>居住用地</w:t>
            </w:r>
          </w:p>
        </w:tc>
        <w:tc>
          <w:tcPr>
            <w:tcW w:w="4016" w:type="pct"/>
            <w:gridSpan w:val="3"/>
            <w:tcBorders>
              <w:right w:val="nil"/>
            </w:tcBorders>
            <w:shd w:val="clear" w:color="auto" w:fill="FFFFFF"/>
            <w:noWrap w:val="0"/>
            <w:vAlign w:val="center"/>
          </w:tcPr>
          <w:p w14:paraId="23E4C8AE">
            <w:pPr>
              <w:widowControl/>
              <w:spacing w:line="320" w:lineRule="exact"/>
              <w:textAlignment w:val="center"/>
              <w:rPr>
                <w:rFonts w:hint="eastAsia" w:ascii="仿宋_GB2312" w:hAnsi="仿宋_GB2312" w:eastAsia="仿宋_GB2312" w:cs="仿宋_GB2312"/>
                <w:b/>
                <w:bCs/>
                <w:color w:val="000000"/>
                <w:spacing w:val="-6"/>
                <w:szCs w:val="21"/>
              </w:rPr>
            </w:pPr>
            <w:r>
              <w:rPr>
                <w:rFonts w:hint="eastAsia" w:ascii="仿宋_GB2312" w:hAnsi="仿宋_GB2312" w:eastAsia="仿宋_GB2312" w:cs="仿宋_GB2312"/>
                <w:b/>
                <w:bCs/>
                <w:color w:val="000000"/>
                <w:spacing w:val="-6"/>
                <w:kern w:val="0"/>
                <w:szCs w:val="21"/>
              </w:rPr>
              <w:t>指城乡住宅用地及其居住生活配套的社区服务设施用地</w:t>
            </w:r>
          </w:p>
        </w:tc>
      </w:tr>
      <w:tr w14:paraId="5FCAC56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Merge w:val="restart"/>
            <w:tcBorders>
              <w:left w:val="nil"/>
            </w:tcBorders>
            <w:shd w:val="clear" w:color="auto" w:fill="FFFFFF"/>
            <w:noWrap w:val="0"/>
            <w:vAlign w:val="center"/>
          </w:tcPr>
          <w:p w14:paraId="3DD4C7E3">
            <w:pPr>
              <w:widowControl/>
              <w:spacing w:line="320" w:lineRule="exact"/>
              <w:jc w:val="center"/>
              <w:textAlignment w:val="center"/>
              <w:rPr>
                <w:rFonts w:hint="eastAsia" w:ascii="仿宋_GB2312" w:hAnsi="仿宋_GB2312" w:eastAsia="仿宋_GB2312" w:cs="仿宋_GB2312"/>
                <w:color w:val="000000"/>
                <w:spacing w:val="-6"/>
                <w:kern w:val="0"/>
                <w:szCs w:val="21"/>
              </w:rPr>
            </w:pPr>
            <w:r>
              <w:rPr>
                <w:rFonts w:hint="eastAsia" w:ascii="仿宋_GB2312" w:hAnsi="仿宋_GB2312" w:eastAsia="仿宋_GB2312" w:cs="仿宋_GB2312"/>
                <w:color w:val="000000"/>
                <w:spacing w:val="-6"/>
                <w:kern w:val="0"/>
                <w:szCs w:val="21"/>
              </w:rPr>
              <w:t>701</w:t>
            </w:r>
          </w:p>
        </w:tc>
        <w:tc>
          <w:tcPr>
            <w:tcW w:w="561" w:type="pct"/>
            <w:vMerge w:val="restart"/>
            <w:shd w:val="clear" w:color="auto" w:fill="FFFFFF"/>
            <w:noWrap w:val="0"/>
            <w:vAlign w:val="center"/>
          </w:tcPr>
          <w:p w14:paraId="0B898A7D">
            <w:pPr>
              <w:widowControl/>
              <w:spacing w:line="320" w:lineRule="exact"/>
              <w:jc w:val="center"/>
              <w:textAlignment w:val="center"/>
              <w:rPr>
                <w:rFonts w:hint="eastAsia" w:ascii="仿宋_GB2312" w:hAnsi="仿宋_GB2312" w:eastAsia="仿宋_GB2312" w:cs="仿宋_GB2312"/>
                <w:color w:val="000000"/>
                <w:spacing w:val="-6"/>
                <w:kern w:val="0"/>
                <w:szCs w:val="21"/>
              </w:rPr>
            </w:pPr>
            <w:r>
              <w:rPr>
                <w:rFonts w:hint="eastAsia" w:ascii="仿宋_GB2312" w:hAnsi="仿宋_GB2312" w:eastAsia="仿宋_GB2312" w:cs="仿宋_GB2312"/>
                <w:color w:val="000000"/>
                <w:spacing w:val="-6"/>
                <w:kern w:val="0"/>
                <w:szCs w:val="21"/>
              </w:rPr>
              <w:t>城镇住宅用地</w:t>
            </w:r>
          </w:p>
        </w:tc>
        <w:tc>
          <w:tcPr>
            <w:tcW w:w="3021" w:type="pct"/>
            <w:shd w:val="clear" w:color="auto" w:fill="FFFFFF"/>
            <w:noWrap w:val="0"/>
            <w:vAlign w:val="center"/>
          </w:tcPr>
          <w:p w14:paraId="16A05D44">
            <w:pPr>
              <w:widowControl/>
              <w:spacing w:line="320" w:lineRule="exact"/>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指用于城镇生活居住功能的各类住宅建筑用地及其附属设施用地</w:t>
            </w:r>
          </w:p>
        </w:tc>
        <w:tc>
          <w:tcPr>
            <w:tcW w:w="590" w:type="pct"/>
            <w:vMerge w:val="restart"/>
            <w:shd w:val="clear" w:color="auto" w:fill="FFFFFF"/>
            <w:noWrap w:val="0"/>
            <w:vAlign w:val="center"/>
          </w:tcPr>
          <w:p w14:paraId="783FB427">
            <w:pPr>
              <w:widowControl/>
              <w:spacing w:line="32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城镇住宅用地</w:t>
            </w:r>
          </w:p>
        </w:tc>
        <w:tc>
          <w:tcPr>
            <w:tcW w:w="403" w:type="pct"/>
            <w:tcBorders>
              <w:right w:val="nil"/>
            </w:tcBorders>
            <w:shd w:val="clear" w:color="auto" w:fill="FFFFFF"/>
            <w:noWrap w:val="0"/>
            <w:vAlign w:val="center"/>
          </w:tcPr>
          <w:p w14:paraId="5424657E">
            <w:pPr>
              <w:widowControl/>
              <w:spacing w:line="32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r>
      <w:tr w14:paraId="66E1CC1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Merge w:val="continue"/>
            <w:tcBorders>
              <w:left w:val="nil"/>
            </w:tcBorders>
            <w:shd w:val="clear" w:color="auto" w:fill="FFFFFF"/>
            <w:noWrap w:val="0"/>
            <w:vAlign w:val="center"/>
          </w:tcPr>
          <w:p w14:paraId="3EBD0030">
            <w:pPr>
              <w:widowControl/>
              <w:spacing w:line="320" w:lineRule="exact"/>
              <w:jc w:val="center"/>
              <w:rPr>
                <w:rFonts w:hint="eastAsia" w:ascii="仿宋_GB2312" w:hAnsi="仿宋_GB2312" w:eastAsia="仿宋_GB2312" w:cs="仿宋_GB2312"/>
                <w:color w:val="000000"/>
                <w:spacing w:val="-6"/>
                <w:szCs w:val="21"/>
              </w:rPr>
            </w:pPr>
          </w:p>
        </w:tc>
        <w:tc>
          <w:tcPr>
            <w:tcW w:w="561" w:type="pct"/>
            <w:vMerge w:val="continue"/>
            <w:shd w:val="clear" w:color="auto" w:fill="FFFFFF"/>
            <w:noWrap w:val="0"/>
            <w:vAlign w:val="center"/>
          </w:tcPr>
          <w:p w14:paraId="5FC60386">
            <w:pPr>
              <w:widowControl/>
              <w:spacing w:line="320" w:lineRule="exact"/>
              <w:jc w:val="center"/>
              <w:rPr>
                <w:rFonts w:hint="eastAsia" w:ascii="仿宋_GB2312" w:hAnsi="仿宋_GB2312" w:eastAsia="仿宋_GB2312" w:cs="仿宋_GB2312"/>
                <w:color w:val="000000"/>
                <w:spacing w:val="-6"/>
                <w:szCs w:val="21"/>
              </w:rPr>
            </w:pPr>
          </w:p>
        </w:tc>
        <w:tc>
          <w:tcPr>
            <w:tcW w:w="3021" w:type="pct"/>
            <w:shd w:val="clear" w:color="auto" w:fill="FFFFFF"/>
            <w:noWrap w:val="0"/>
            <w:vAlign w:val="center"/>
          </w:tcPr>
          <w:p w14:paraId="18A3B0A0">
            <w:pPr>
              <w:widowControl/>
              <w:spacing w:line="320" w:lineRule="exact"/>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其中：一类城镇住宅用地（指配套设施齐全、环境良好，以三层及以下住宅为主的住宅建筑用地及其附属道路、附属绿地、停车场等用地）</w:t>
            </w:r>
          </w:p>
        </w:tc>
        <w:tc>
          <w:tcPr>
            <w:tcW w:w="590" w:type="pct"/>
            <w:vMerge w:val="continue"/>
            <w:shd w:val="clear" w:color="auto" w:fill="FFFFFF"/>
            <w:noWrap w:val="0"/>
            <w:vAlign w:val="center"/>
          </w:tcPr>
          <w:p w14:paraId="5724B71D">
            <w:pPr>
              <w:widowControl/>
              <w:spacing w:line="320" w:lineRule="exact"/>
              <w:jc w:val="center"/>
              <w:rPr>
                <w:rFonts w:hint="eastAsia" w:ascii="仿宋_GB2312" w:hAnsi="仿宋_GB2312" w:eastAsia="仿宋_GB2312" w:cs="仿宋_GB2312"/>
                <w:color w:val="000000"/>
                <w:spacing w:val="-6"/>
                <w:szCs w:val="21"/>
              </w:rPr>
            </w:pPr>
          </w:p>
        </w:tc>
        <w:tc>
          <w:tcPr>
            <w:tcW w:w="403" w:type="pct"/>
            <w:tcBorders>
              <w:right w:val="nil"/>
            </w:tcBorders>
            <w:shd w:val="clear" w:color="auto" w:fill="FFFFFF"/>
            <w:noWrap w:val="0"/>
            <w:vAlign w:val="center"/>
          </w:tcPr>
          <w:p w14:paraId="072B5DA8">
            <w:pPr>
              <w:widowControl/>
              <w:spacing w:line="32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120%</w:t>
            </w:r>
          </w:p>
        </w:tc>
      </w:tr>
      <w:tr w14:paraId="5197270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Merge w:val="continue"/>
            <w:tcBorders>
              <w:left w:val="nil"/>
            </w:tcBorders>
            <w:shd w:val="clear" w:color="auto" w:fill="FFFFFF"/>
            <w:noWrap w:val="0"/>
            <w:vAlign w:val="center"/>
          </w:tcPr>
          <w:p w14:paraId="27CB5486">
            <w:pPr>
              <w:widowControl/>
              <w:spacing w:line="320" w:lineRule="exact"/>
              <w:jc w:val="center"/>
              <w:rPr>
                <w:rFonts w:hint="eastAsia" w:ascii="仿宋_GB2312" w:hAnsi="仿宋_GB2312" w:eastAsia="仿宋_GB2312" w:cs="仿宋_GB2312"/>
                <w:color w:val="000000"/>
                <w:spacing w:val="-6"/>
                <w:szCs w:val="21"/>
              </w:rPr>
            </w:pPr>
          </w:p>
        </w:tc>
        <w:tc>
          <w:tcPr>
            <w:tcW w:w="561" w:type="pct"/>
            <w:vMerge w:val="continue"/>
            <w:shd w:val="clear" w:color="auto" w:fill="FFFFFF"/>
            <w:noWrap w:val="0"/>
            <w:vAlign w:val="center"/>
          </w:tcPr>
          <w:p w14:paraId="58C94B97">
            <w:pPr>
              <w:widowControl/>
              <w:spacing w:line="320" w:lineRule="exact"/>
              <w:jc w:val="center"/>
              <w:rPr>
                <w:rFonts w:hint="eastAsia" w:ascii="仿宋_GB2312" w:hAnsi="仿宋_GB2312" w:eastAsia="仿宋_GB2312" w:cs="仿宋_GB2312"/>
                <w:color w:val="000000"/>
                <w:spacing w:val="-6"/>
                <w:szCs w:val="21"/>
              </w:rPr>
            </w:pPr>
          </w:p>
        </w:tc>
        <w:tc>
          <w:tcPr>
            <w:tcW w:w="3021" w:type="pct"/>
            <w:shd w:val="clear" w:color="auto" w:fill="FFFFFF"/>
            <w:noWrap w:val="0"/>
            <w:vAlign w:val="center"/>
          </w:tcPr>
          <w:p w14:paraId="59CB6821">
            <w:pPr>
              <w:widowControl/>
              <w:spacing w:line="320" w:lineRule="exact"/>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二类城镇住宅用地（指配套设施较齐全、环境良好，以四层及以上住宅为主的住宅建筑用地及其附属道路、附属绿地、停车场等用地）</w:t>
            </w:r>
          </w:p>
        </w:tc>
        <w:tc>
          <w:tcPr>
            <w:tcW w:w="590" w:type="pct"/>
            <w:vMerge w:val="continue"/>
            <w:shd w:val="clear" w:color="auto" w:fill="FFFFFF"/>
            <w:noWrap w:val="0"/>
            <w:vAlign w:val="center"/>
          </w:tcPr>
          <w:p w14:paraId="16302E63">
            <w:pPr>
              <w:widowControl/>
              <w:spacing w:line="320" w:lineRule="exact"/>
              <w:jc w:val="center"/>
              <w:rPr>
                <w:rFonts w:hint="eastAsia" w:ascii="仿宋_GB2312" w:hAnsi="仿宋_GB2312" w:eastAsia="仿宋_GB2312" w:cs="仿宋_GB2312"/>
                <w:color w:val="000000"/>
                <w:spacing w:val="-6"/>
                <w:szCs w:val="21"/>
              </w:rPr>
            </w:pPr>
          </w:p>
        </w:tc>
        <w:tc>
          <w:tcPr>
            <w:tcW w:w="403" w:type="pct"/>
            <w:tcBorders>
              <w:right w:val="nil"/>
            </w:tcBorders>
            <w:shd w:val="clear" w:color="auto" w:fill="FFFFFF"/>
            <w:noWrap w:val="0"/>
            <w:vAlign w:val="center"/>
          </w:tcPr>
          <w:p w14:paraId="396EC42E">
            <w:pPr>
              <w:widowControl/>
              <w:spacing w:line="32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r>
      <w:tr w14:paraId="0FBE9F8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Merge w:val="continue"/>
            <w:tcBorders>
              <w:left w:val="nil"/>
              <w:bottom w:val="single" w:color="auto" w:sz="4" w:space="0"/>
            </w:tcBorders>
            <w:shd w:val="clear" w:color="auto" w:fill="FFFFFF"/>
            <w:noWrap w:val="0"/>
            <w:vAlign w:val="center"/>
          </w:tcPr>
          <w:p w14:paraId="69CE4E62">
            <w:pPr>
              <w:widowControl/>
              <w:spacing w:line="320" w:lineRule="exact"/>
              <w:jc w:val="center"/>
              <w:rPr>
                <w:rFonts w:hint="eastAsia" w:ascii="仿宋_GB2312" w:hAnsi="仿宋_GB2312" w:eastAsia="仿宋_GB2312" w:cs="仿宋_GB2312"/>
                <w:color w:val="000000"/>
                <w:spacing w:val="-6"/>
                <w:szCs w:val="21"/>
              </w:rPr>
            </w:pPr>
          </w:p>
        </w:tc>
        <w:tc>
          <w:tcPr>
            <w:tcW w:w="561" w:type="pct"/>
            <w:vMerge w:val="continue"/>
            <w:tcBorders>
              <w:bottom w:val="single" w:color="auto" w:sz="4" w:space="0"/>
            </w:tcBorders>
            <w:shd w:val="clear" w:color="auto" w:fill="FFFFFF"/>
            <w:noWrap w:val="0"/>
            <w:vAlign w:val="center"/>
          </w:tcPr>
          <w:p w14:paraId="7C556ED2">
            <w:pPr>
              <w:widowControl/>
              <w:spacing w:line="320" w:lineRule="exact"/>
              <w:jc w:val="center"/>
              <w:rPr>
                <w:rFonts w:hint="eastAsia" w:ascii="仿宋_GB2312" w:hAnsi="仿宋_GB2312" w:eastAsia="仿宋_GB2312" w:cs="仿宋_GB2312"/>
                <w:color w:val="000000"/>
                <w:spacing w:val="-6"/>
                <w:szCs w:val="21"/>
              </w:rPr>
            </w:pPr>
          </w:p>
        </w:tc>
        <w:tc>
          <w:tcPr>
            <w:tcW w:w="3021" w:type="pct"/>
            <w:tcBorders>
              <w:bottom w:val="single" w:color="auto" w:sz="4" w:space="0"/>
            </w:tcBorders>
            <w:shd w:val="clear" w:color="auto" w:fill="FFFFFF"/>
            <w:noWrap w:val="0"/>
            <w:vAlign w:val="center"/>
          </w:tcPr>
          <w:p w14:paraId="7DE38448">
            <w:pPr>
              <w:widowControl/>
              <w:spacing w:line="320" w:lineRule="exact"/>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三类城镇住宅用地（指配套设施较欠缺、环境较差，以需要加以改造的简陋住宅为主的住宅建筑用地及其附属道路、附属绿地、停车场等用地，包括危房、棚户区、临时住宅等用地）</w:t>
            </w:r>
          </w:p>
        </w:tc>
        <w:tc>
          <w:tcPr>
            <w:tcW w:w="590" w:type="pct"/>
            <w:vMerge w:val="continue"/>
            <w:tcBorders>
              <w:bottom w:val="single" w:color="auto" w:sz="4" w:space="0"/>
            </w:tcBorders>
            <w:shd w:val="clear" w:color="auto" w:fill="FFFFFF"/>
            <w:noWrap w:val="0"/>
            <w:vAlign w:val="center"/>
          </w:tcPr>
          <w:p w14:paraId="6794DF52">
            <w:pPr>
              <w:widowControl/>
              <w:spacing w:line="320" w:lineRule="exact"/>
              <w:jc w:val="center"/>
              <w:rPr>
                <w:rFonts w:hint="eastAsia" w:ascii="仿宋_GB2312" w:hAnsi="仿宋_GB2312" w:eastAsia="仿宋_GB2312" w:cs="仿宋_GB2312"/>
                <w:color w:val="000000"/>
                <w:spacing w:val="-6"/>
                <w:szCs w:val="21"/>
              </w:rPr>
            </w:pPr>
          </w:p>
        </w:tc>
        <w:tc>
          <w:tcPr>
            <w:tcW w:w="403" w:type="pct"/>
            <w:tcBorders>
              <w:bottom w:val="single" w:color="auto" w:sz="4" w:space="0"/>
              <w:right w:val="nil"/>
            </w:tcBorders>
            <w:shd w:val="clear" w:color="auto" w:fill="FFFFFF"/>
            <w:noWrap w:val="0"/>
            <w:vAlign w:val="center"/>
          </w:tcPr>
          <w:p w14:paraId="29DD927F">
            <w:pPr>
              <w:widowControl/>
              <w:spacing w:line="32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80%</w:t>
            </w:r>
          </w:p>
        </w:tc>
      </w:tr>
      <w:tr w14:paraId="6F26A32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top w:val="single" w:color="auto" w:sz="4" w:space="0"/>
              <w:left w:val="nil"/>
              <w:bottom w:val="single" w:color="auto" w:sz="4" w:space="0"/>
            </w:tcBorders>
            <w:shd w:val="clear" w:color="auto" w:fill="FFFFFF"/>
            <w:noWrap w:val="0"/>
            <w:vAlign w:val="center"/>
          </w:tcPr>
          <w:p w14:paraId="0D2C4602">
            <w:pPr>
              <w:widowControl/>
              <w:spacing w:line="32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702</w:t>
            </w:r>
          </w:p>
        </w:tc>
        <w:tc>
          <w:tcPr>
            <w:tcW w:w="561" w:type="pct"/>
            <w:tcBorders>
              <w:top w:val="single" w:color="auto" w:sz="4" w:space="0"/>
              <w:bottom w:val="single" w:color="auto" w:sz="4" w:space="0"/>
            </w:tcBorders>
            <w:shd w:val="clear" w:color="auto" w:fill="FFFFFF"/>
            <w:noWrap w:val="0"/>
            <w:vAlign w:val="center"/>
          </w:tcPr>
          <w:p w14:paraId="48EBDA9F">
            <w:pPr>
              <w:widowControl/>
              <w:spacing w:line="32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城镇社区服务设施用地</w:t>
            </w:r>
          </w:p>
        </w:tc>
        <w:tc>
          <w:tcPr>
            <w:tcW w:w="3021" w:type="pct"/>
            <w:tcBorders>
              <w:top w:val="single" w:color="auto" w:sz="4" w:space="0"/>
              <w:bottom w:val="single" w:color="auto" w:sz="4" w:space="0"/>
            </w:tcBorders>
            <w:shd w:val="clear" w:color="auto" w:fill="FFFFFF"/>
            <w:noWrap w:val="0"/>
            <w:vAlign w:val="center"/>
          </w:tcPr>
          <w:p w14:paraId="330A0C80">
            <w:pPr>
              <w:widowControl/>
              <w:spacing w:line="320" w:lineRule="exact"/>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指为城镇居住生活配套的社区服务设施用地，包括社区服务站以及托儿所、社区卫生服务站、文化活动站、小型综合体育场地、小型超市等用地，以及老年人日间照料中心（托老所）等社区养老服务设施用地，不包括中小学、幼儿园用地</w:t>
            </w:r>
          </w:p>
        </w:tc>
        <w:tc>
          <w:tcPr>
            <w:tcW w:w="590" w:type="pct"/>
            <w:tcBorders>
              <w:top w:val="single" w:color="auto" w:sz="4" w:space="0"/>
              <w:bottom w:val="single" w:color="auto" w:sz="4" w:space="0"/>
            </w:tcBorders>
            <w:shd w:val="clear" w:color="auto" w:fill="FFFFFF"/>
            <w:noWrap w:val="0"/>
            <w:vAlign w:val="center"/>
          </w:tcPr>
          <w:p w14:paraId="02BFC1CE">
            <w:pPr>
              <w:widowControl/>
              <w:spacing w:line="320" w:lineRule="exact"/>
              <w:jc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rPr>
              <w:t>城镇住宅用地</w:t>
            </w:r>
          </w:p>
        </w:tc>
        <w:tc>
          <w:tcPr>
            <w:tcW w:w="403" w:type="pct"/>
            <w:tcBorders>
              <w:top w:val="single" w:color="auto" w:sz="4" w:space="0"/>
              <w:bottom w:val="single" w:color="auto" w:sz="4" w:space="0"/>
              <w:right w:val="nil"/>
            </w:tcBorders>
            <w:shd w:val="clear" w:color="auto" w:fill="FFFFFF"/>
            <w:noWrap w:val="0"/>
            <w:vAlign w:val="center"/>
          </w:tcPr>
          <w:p w14:paraId="01FB4C05">
            <w:pPr>
              <w:widowControl/>
              <w:spacing w:line="32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kern w:val="0"/>
                <w:szCs w:val="21"/>
              </w:rPr>
              <w:t>80%</w:t>
            </w:r>
          </w:p>
        </w:tc>
      </w:tr>
      <w:tr w14:paraId="005616E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top w:val="single" w:color="auto" w:sz="4" w:space="0"/>
              <w:left w:val="nil"/>
            </w:tcBorders>
            <w:shd w:val="clear" w:color="auto" w:fill="FFFFFF"/>
            <w:noWrap w:val="0"/>
            <w:vAlign w:val="center"/>
          </w:tcPr>
          <w:p w14:paraId="513E05F0">
            <w:pPr>
              <w:widowControl/>
              <w:spacing w:line="320" w:lineRule="exact"/>
              <w:jc w:val="center"/>
              <w:textAlignment w:val="center"/>
              <w:rPr>
                <w:rFonts w:hint="eastAsia" w:ascii="仿宋_GB2312" w:hAnsi="仿宋_GB2312" w:eastAsia="仿宋_GB2312" w:cs="仿宋_GB2312"/>
                <w:b/>
                <w:bCs/>
                <w:color w:val="000000"/>
                <w:spacing w:val="-6"/>
                <w:sz w:val="21"/>
                <w:szCs w:val="21"/>
              </w:rPr>
            </w:pPr>
            <w:r>
              <w:rPr>
                <w:rFonts w:hint="eastAsia" w:ascii="仿宋_GB2312" w:hAnsi="仿宋_GB2312" w:eastAsia="仿宋_GB2312" w:cs="仿宋_GB2312"/>
                <w:b/>
                <w:bCs/>
                <w:color w:val="000000"/>
                <w:spacing w:val="-6"/>
                <w:kern w:val="0"/>
                <w:sz w:val="21"/>
                <w:szCs w:val="21"/>
              </w:rPr>
              <w:t>10</w:t>
            </w:r>
          </w:p>
        </w:tc>
        <w:tc>
          <w:tcPr>
            <w:tcW w:w="561" w:type="pct"/>
            <w:tcBorders>
              <w:top w:val="single" w:color="auto" w:sz="4" w:space="0"/>
            </w:tcBorders>
            <w:shd w:val="clear" w:color="auto" w:fill="FFFFFF"/>
            <w:noWrap w:val="0"/>
            <w:vAlign w:val="center"/>
          </w:tcPr>
          <w:p w14:paraId="61EDE1EA">
            <w:pPr>
              <w:widowControl/>
              <w:spacing w:line="320" w:lineRule="exact"/>
              <w:jc w:val="center"/>
              <w:textAlignment w:val="center"/>
              <w:rPr>
                <w:rFonts w:hint="eastAsia" w:ascii="仿宋_GB2312" w:hAnsi="仿宋_GB2312" w:eastAsia="仿宋_GB2312" w:cs="仿宋_GB2312"/>
                <w:b/>
                <w:bCs/>
                <w:color w:val="000000"/>
                <w:spacing w:val="-6"/>
                <w:sz w:val="21"/>
                <w:szCs w:val="21"/>
              </w:rPr>
            </w:pPr>
            <w:r>
              <w:rPr>
                <w:rFonts w:hint="eastAsia" w:ascii="仿宋_GB2312" w:hAnsi="仿宋_GB2312" w:eastAsia="仿宋_GB2312" w:cs="仿宋_GB2312"/>
                <w:b/>
                <w:bCs/>
                <w:color w:val="000000"/>
                <w:spacing w:val="-6"/>
                <w:kern w:val="0"/>
                <w:sz w:val="21"/>
                <w:szCs w:val="21"/>
              </w:rPr>
              <w:t>工矿用地</w:t>
            </w:r>
          </w:p>
        </w:tc>
        <w:tc>
          <w:tcPr>
            <w:tcW w:w="4016" w:type="pct"/>
            <w:gridSpan w:val="3"/>
            <w:tcBorders>
              <w:top w:val="single" w:color="auto" w:sz="4" w:space="0"/>
              <w:right w:val="nil"/>
            </w:tcBorders>
            <w:shd w:val="clear" w:color="auto" w:fill="FFFFFF"/>
            <w:noWrap w:val="0"/>
            <w:vAlign w:val="center"/>
          </w:tcPr>
          <w:p w14:paraId="40E52B5C">
            <w:pPr>
              <w:widowControl/>
              <w:spacing w:line="320" w:lineRule="exact"/>
              <w:textAlignment w:val="center"/>
              <w:rPr>
                <w:rFonts w:hint="eastAsia" w:ascii="仿宋_GB2312" w:hAnsi="仿宋_GB2312" w:eastAsia="仿宋_GB2312" w:cs="仿宋_GB2312"/>
                <w:b/>
                <w:bCs/>
                <w:color w:val="000000"/>
                <w:spacing w:val="-6"/>
                <w:sz w:val="21"/>
                <w:szCs w:val="21"/>
              </w:rPr>
            </w:pPr>
            <w:r>
              <w:rPr>
                <w:rFonts w:hint="eastAsia" w:ascii="仿宋_GB2312" w:hAnsi="仿宋_GB2312" w:eastAsia="仿宋_GB2312" w:cs="仿宋_GB2312"/>
                <w:b/>
                <w:bCs/>
                <w:color w:val="000000"/>
                <w:spacing w:val="-6"/>
                <w:kern w:val="0"/>
                <w:sz w:val="21"/>
                <w:szCs w:val="21"/>
              </w:rPr>
              <w:t>指用于工矿业生产的土地</w:t>
            </w:r>
          </w:p>
        </w:tc>
      </w:tr>
      <w:tr w14:paraId="408CB4B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00FFC9FB">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1001</w:t>
            </w:r>
          </w:p>
        </w:tc>
        <w:tc>
          <w:tcPr>
            <w:tcW w:w="561" w:type="pct"/>
            <w:shd w:val="clear" w:color="auto" w:fill="FFFFFF"/>
            <w:noWrap w:val="0"/>
            <w:vAlign w:val="center"/>
          </w:tcPr>
          <w:p w14:paraId="4D49D78C">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工业用地</w:t>
            </w:r>
          </w:p>
        </w:tc>
        <w:tc>
          <w:tcPr>
            <w:tcW w:w="3021" w:type="pct"/>
            <w:shd w:val="clear" w:color="auto" w:fill="FFFFFF"/>
            <w:noWrap w:val="0"/>
            <w:vAlign w:val="center"/>
          </w:tcPr>
          <w:p w14:paraId="3D7A58C2">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指工矿企业的生产车间、装备修理、自用库房及其附属设施用地，包括专用铁路、码头和附属道路、停车场等用地，包括工业生产必须的研发、设计、测试、中试用地，不包括采矿用地</w:t>
            </w:r>
          </w:p>
        </w:tc>
        <w:tc>
          <w:tcPr>
            <w:tcW w:w="590" w:type="pct"/>
            <w:vMerge w:val="restart"/>
            <w:shd w:val="clear" w:color="auto" w:fill="FFFFFF"/>
            <w:noWrap w:val="0"/>
            <w:vAlign w:val="center"/>
          </w:tcPr>
          <w:p w14:paraId="5DD8B9EA">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工业用地</w:t>
            </w:r>
          </w:p>
        </w:tc>
        <w:tc>
          <w:tcPr>
            <w:tcW w:w="403" w:type="pct"/>
            <w:vMerge w:val="restart"/>
            <w:tcBorders>
              <w:right w:val="nil"/>
            </w:tcBorders>
            <w:shd w:val="clear" w:color="auto" w:fill="FFFFFF"/>
            <w:noWrap w:val="0"/>
            <w:vAlign w:val="center"/>
          </w:tcPr>
          <w:p w14:paraId="20DD24BA">
            <w:pPr>
              <w:widowControl/>
              <w:spacing w:line="32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100%</w:t>
            </w:r>
          </w:p>
        </w:tc>
      </w:tr>
      <w:tr w14:paraId="0AA0A82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1FFBC20B">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1002</w:t>
            </w:r>
          </w:p>
        </w:tc>
        <w:tc>
          <w:tcPr>
            <w:tcW w:w="561" w:type="pct"/>
            <w:shd w:val="clear" w:color="auto" w:fill="FFFFFF"/>
            <w:noWrap w:val="0"/>
            <w:vAlign w:val="center"/>
          </w:tcPr>
          <w:p w14:paraId="038691B2">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采矿用地</w:t>
            </w:r>
          </w:p>
        </w:tc>
        <w:tc>
          <w:tcPr>
            <w:tcW w:w="3021" w:type="pct"/>
            <w:shd w:val="clear" w:color="auto" w:fill="FFFFFF"/>
            <w:noWrap w:val="0"/>
            <w:vAlign w:val="center"/>
          </w:tcPr>
          <w:p w14:paraId="1D66D16F">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指采矿、采石、采砂（沙）场，砖瓦窑等地面生产用地及排土（石）、尾矿堆放用地</w:t>
            </w:r>
          </w:p>
        </w:tc>
        <w:tc>
          <w:tcPr>
            <w:tcW w:w="590" w:type="pct"/>
            <w:vMerge w:val="continue"/>
            <w:shd w:val="clear" w:color="auto" w:fill="FFFFFF"/>
            <w:noWrap w:val="0"/>
            <w:vAlign w:val="center"/>
          </w:tcPr>
          <w:p w14:paraId="526F51E1">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77D2F85A">
            <w:pPr>
              <w:widowControl/>
              <w:spacing w:line="320" w:lineRule="exact"/>
              <w:jc w:val="center"/>
              <w:textAlignment w:val="center"/>
              <w:rPr>
                <w:rFonts w:hint="eastAsia" w:ascii="仿宋_GB2312" w:hAnsi="仿宋_GB2312" w:eastAsia="仿宋_GB2312" w:cs="仿宋_GB2312"/>
                <w:color w:val="000000"/>
                <w:kern w:val="0"/>
                <w:sz w:val="21"/>
                <w:szCs w:val="21"/>
              </w:rPr>
            </w:pPr>
          </w:p>
        </w:tc>
      </w:tr>
      <w:tr w14:paraId="6F4D3FD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18B0E6CE">
            <w:pPr>
              <w:widowControl/>
              <w:spacing w:line="320" w:lineRule="exact"/>
              <w:jc w:val="center"/>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8</w:t>
            </w:r>
          </w:p>
        </w:tc>
        <w:tc>
          <w:tcPr>
            <w:tcW w:w="561" w:type="pct"/>
            <w:shd w:val="clear" w:color="auto" w:fill="FFFFFF"/>
            <w:noWrap w:val="0"/>
            <w:vAlign w:val="center"/>
          </w:tcPr>
          <w:p w14:paraId="264D323B">
            <w:pPr>
              <w:widowControl/>
              <w:spacing w:line="320" w:lineRule="exact"/>
              <w:jc w:val="center"/>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公共管理与公共服务用地</w:t>
            </w:r>
          </w:p>
        </w:tc>
        <w:tc>
          <w:tcPr>
            <w:tcW w:w="4016" w:type="pct"/>
            <w:gridSpan w:val="3"/>
            <w:tcBorders>
              <w:right w:val="nil"/>
            </w:tcBorders>
            <w:shd w:val="clear" w:color="auto" w:fill="FFFFFF"/>
            <w:noWrap w:val="0"/>
            <w:vAlign w:val="center"/>
          </w:tcPr>
          <w:p w14:paraId="495037DB">
            <w:pPr>
              <w:widowControl/>
              <w:spacing w:line="320" w:lineRule="exact"/>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指机关团体、科研、文化、教育、体育、卫生、社会福利等机构和设施的用地，不包括农村社区服务设施用地和城镇社区服务设施用地</w:t>
            </w:r>
          </w:p>
        </w:tc>
      </w:tr>
      <w:tr w14:paraId="4C13C4D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6476AB4D">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801</w:t>
            </w:r>
          </w:p>
        </w:tc>
        <w:tc>
          <w:tcPr>
            <w:tcW w:w="561" w:type="pct"/>
            <w:shd w:val="clear" w:color="auto" w:fill="FFFFFF"/>
            <w:noWrap w:val="0"/>
            <w:vAlign w:val="center"/>
          </w:tcPr>
          <w:p w14:paraId="3C27958E">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机关团体用地</w:t>
            </w:r>
          </w:p>
        </w:tc>
        <w:tc>
          <w:tcPr>
            <w:tcW w:w="3021" w:type="pct"/>
            <w:shd w:val="clear" w:color="auto" w:fill="FFFFFF"/>
            <w:noWrap w:val="0"/>
            <w:vAlign w:val="center"/>
          </w:tcPr>
          <w:p w14:paraId="16E8143C">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指党政机关、人民团体及其相关直属机构、派出机构和直属事业单位的办公及附属设施用地</w:t>
            </w:r>
          </w:p>
        </w:tc>
        <w:tc>
          <w:tcPr>
            <w:tcW w:w="590" w:type="pct"/>
            <w:vMerge w:val="restart"/>
            <w:shd w:val="clear" w:color="auto" w:fill="FFFFFF"/>
            <w:noWrap w:val="0"/>
            <w:vAlign w:val="center"/>
          </w:tcPr>
          <w:p w14:paraId="309EE5CE">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公共管理与公共服务用地</w:t>
            </w:r>
          </w:p>
        </w:tc>
        <w:tc>
          <w:tcPr>
            <w:tcW w:w="403" w:type="pct"/>
            <w:vMerge w:val="restart"/>
            <w:tcBorders>
              <w:right w:val="nil"/>
            </w:tcBorders>
            <w:shd w:val="clear" w:color="auto" w:fill="FFFFFF"/>
            <w:noWrap w:val="0"/>
            <w:vAlign w:val="center"/>
          </w:tcPr>
          <w:p w14:paraId="27A819A6">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kern w:val="0"/>
                <w:sz w:val="21"/>
                <w:szCs w:val="21"/>
              </w:rPr>
              <w:t>100%</w:t>
            </w:r>
          </w:p>
        </w:tc>
      </w:tr>
      <w:tr w14:paraId="79EF1FD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1D8DBDF3">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802</w:t>
            </w:r>
          </w:p>
        </w:tc>
        <w:tc>
          <w:tcPr>
            <w:tcW w:w="561" w:type="pct"/>
            <w:shd w:val="clear" w:color="auto" w:fill="FFFFFF"/>
            <w:noWrap w:val="0"/>
            <w:vAlign w:val="center"/>
          </w:tcPr>
          <w:p w14:paraId="44C212BD">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科研用地</w:t>
            </w:r>
          </w:p>
        </w:tc>
        <w:tc>
          <w:tcPr>
            <w:tcW w:w="3021" w:type="pct"/>
            <w:shd w:val="clear" w:color="auto" w:fill="FFFFFF"/>
            <w:noWrap w:val="0"/>
            <w:vAlign w:val="center"/>
          </w:tcPr>
          <w:p w14:paraId="2526CA54">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指科研机构及其科研设施、企业科学研究和研发设施用地</w:t>
            </w:r>
          </w:p>
        </w:tc>
        <w:tc>
          <w:tcPr>
            <w:tcW w:w="590" w:type="pct"/>
            <w:vMerge w:val="continue"/>
            <w:shd w:val="clear" w:color="auto" w:fill="FFFFFF"/>
            <w:noWrap w:val="0"/>
            <w:vAlign w:val="center"/>
          </w:tcPr>
          <w:p w14:paraId="06462600">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0790885A">
            <w:pPr>
              <w:widowControl/>
              <w:spacing w:line="320" w:lineRule="exact"/>
              <w:jc w:val="center"/>
              <w:rPr>
                <w:rFonts w:hint="eastAsia" w:ascii="仿宋_GB2312" w:hAnsi="仿宋_GB2312" w:eastAsia="仿宋_GB2312" w:cs="仿宋_GB2312"/>
                <w:color w:val="000000"/>
                <w:spacing w:val="-6"/>
                <w:sz w:val="21"/>
                <w:szCs w:val="21"/>
              </w:rPr>
            </w:pPr>
          </w:p>
        </w:tc>
      </w:tr>
      <w:tr w14:paraId="7F84C61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17915116">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803</w:t>
            </w:r>
          </w:p>
        </w:tc>
        <w:tc>
          <w:tcPr>
            <w:tcW w:w="561" w:type="pct"/>
            <w:shd w:val="clear" w:color="auto" w:fill="FFFFFF"/>
            <w:noWrap w:val="0"/>
            <w:vAlign w:val="center"/>
          </w:tcPr>
          <w:p w14:paraId="2BF2A880">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文化用地</w:t>
            </w:r>
          </w:p>
        </w:tc>
        <w:tc>
          <w:tcPr>
            <w:tcW w:w="3021" w:type="pct"/>
            <w:shd w:val="clear" w:color="auto" w:fill="FFFFFF"/>
            <w:noWrap w:val="0"/>
            <w:vAlign w:val="center"/>
          </w:tcPr>
          <w:p w14:paraId="755398A4">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指图书、展览等公共文化活动设施用地</w:t>
            </w:r>
          </w:p>
        </w:tc>
        <w:tc>
          <w:tcPr>
            <w:tcW w:w="590" w:type="pct"/>
            <w:vMerge w:val="continue"/>
            <w:shd w:val="clear" w:color="auto" w:fill="FFFFFF"/>
            <w:noWrap w:val="0"/>
            <w:vAlign w:val="center"/>
          </w:tcPr>
          <w:p w14:paraId="101B13E1">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23DDB2AC">
            <w:pPr>
              <w:widowControl/>
              <w:spacing w:line="320" w:lineRule="exact"/>
              <w:jc w:val="center"/>
              <w:rPr>
                <w:rFonts w:hint="eastAsia" w:ascii="仿宋_GB2312" w:hAnsi="仿宋_GB2312" w:eastAsia="仿宋_GB2312" w:cs="仿宋_GB2312"/>
                <w:color w:val="000000"/>
                <w:spacing w:val="-6"/>
                <w:sz w:val="21"/>
                <w:szCs w:val="21"/>
              </w:rPr>
            </w:pPr>
          </w:p>
        </w:tc>
      </w:tr>
      <w:tr w14:paraId="00CC0B5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76E06D57">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804</w:t>
            </w:r>
          </w:p>
        </w:tc>
        <w:tc>
          <w:tcPr>
            <w:tcW w:w="561" w:type="pct"/>
            <w:shd w:val="clear" w:color="auto" w:fill="FFFFFF"/>
            <w:noWrap w:val="0"/>
            <w:vAlign w:val="center"/>
          </w:tcPr>
          <w:p w14:paraId="7A3AA38B">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教育用地</w:t>
            </w:r>
          </w:p>
        </w:tc>
        <w:tc>
          <w:tcPr>
            <w:tcW w:w="3021" w:type="pct"/>
            <w:shd w:val="clear" w:color="auto" w:fill="FFFFFF"/>
            <w:noWrap w:val="0"/>
            <w:vAlign w:val="center"/>
          </w:tcPr>
          <w:p w14:paraId="558B71C4">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指高等教育、中等职业教育、中小学教育、幼儿园、特殊教育设施等用地，包括为学校配建的独立地段的学生生活用地</w:t>
            </w:r>
          </w:p>
        </w:tc>
        <w:tc>
          <w:tcPr>
            <w:tcW w:w="590" w:type="pct"/>
            <w:vMerge w:val="continue"/>
            <w:shd w:val="clear" w:color="auto" w:fill="FFFFFF"/>
            <w:noWrap w:val="0"/>
            <w:vAlign w:val="center"/>
          </w:tcPr>
          <w:p w14:paraId="44478AFC">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34FB445A">
            <w:pPr>
              <w:widowControl/>
              <w:spacing w:line="320" w:lineRule="exact"/>
              <w:jc w:val="center"/>
              <w:rPr>
                <w:rFonts w:hint="eastAsia" w:ascii="仿宋_GB2312" w:hAnsi="仿宋_GB2312" w:eastAsia="仿宋_GB2312" w:cs="仿宋_GB2312"/>
                <w:color w:val="000000"/>
                <w:spacing w:val="-6"/>
                <w:sz w:val="21"/>
                <w:szCs w:val="21"/>
              </w:rPr>
            </w:pPr>
          </w:p>
        </w:tc>
      </w:tr>
      <w:tr w14:paraId="27D9ACA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09D7C700">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805</w:t>
            </w:r>
          </w:p>
        </w:tc>
        <w:tc>
          <w:tcPr>
            <w:tcW w:w="561" w:type="pct"/>
            <w:shd w:val="clear" w:color="auto" w:fill="FFFFFF"/>
            <w:noWrap w:val="0"/>
            <w:vAlign w:val="center"/>
          </w:tcPr>
          <w:p w14:paraId="584B0C0B">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体育用地</w:t>
            </w:r>
          </w:p>
        </w:tc>
        <w:tc>
          <w:tcPr>
            <w:tcW w:w="3021" w:type="pct"/>
            <w:shd w:val="clear" w:color="auto" w:fill="FFFFFF"/>
            <w:noWrap w:val="0"/>
            <w:vAlign w:val="center"/>
          </w:tcPr>
          <w:p w14:paraId="71B7DFE8">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指体育场馆、体育训练基地、溜冰场、跳伞场、摩托车场、射击场，以及水上运动的陆域部分等用地，不包括学校、企事业、军队等机构内部专用的体育设施用地</w:t>
            </w:r>
          </w:p>
        </w:tc>
        <w:tc>
          <w:tcPr>
            <w:tcW w:w="590" w:type="pct"/>
            <w:vMerge w:val="continue"/>
            <w:shd w:val="clear" w:color="auto" w:fill="FFFFFF"/>
            <w:noWrap w:val="0"/>
            <w:vAlign w:val="center"/>
          </w:tcPr>
          <w:p w14:paraId="25DD7969">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5BC39BE0">
            <w:pPr>
              <w:widowControl/>
              <w:spacing w:line="320" w:lineRule="exact"/>
              <w:jc w:val="center"/>
              <w:rPr>
                <w:rFonts w:hint="eastAsia" w:ascii="仿宋_GB2312" w:hAnsi="仿宋_GB2312" w:eastAsia="仿宋_GB2312" w:cs="仿宋_GB2312"/>
                <w:color w:val="000000"/>
                <w:spacing w:val="-6"/>
                <w:sz w:val="21"/>
                <w:szCs w:val="21"/>
              </w:rPr>
            </w:pPr>
          </w:p>
        </w:tc>
      </w:tr>
      <w:tr w14:paraId="5B0B238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67AA069D">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806</w:t>
            </w:r>
          </w:p>
        </w:tc>
        <w:tc>
          <w:tcPr>
            <w:tcW w:w="561" w:type="pct"/>
            <w:shd w:val="clear" w:color="auto" w:fill="FFFFFF"/>
            <w:noWrap w:val="0"/>
            <w:vAlign w:val="center"/>
          </w:tcPr>
          <w:p w14:paraId="1167FE8A">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医疗卫生用地</w:t>
            </w:r>
          </w:p>
        </w:tc>
        <w:tc>
          <w:tcPr>
            <w:tcW w:w="3021" w:type="pct"/>
            <w:shd w:val="clear" w:color="auto" w:fill="FFFFFF"/>
            <w:noWrap w:val="0"/>
            <w:vAlign w:val="center"/>
          </w:tcPr>
          <w:p w14:paraId="66A063E4">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指医疗、预防、保健、护理、康复、急救、安宁疗护等用地</w:t>
            </w:r>
          </w:p>
        </w:tc>
        <w:tc>
          <w:tcPr>
            <w:tcW w:w="590" w:type="pct"/>
            <w:vMerge w:val="continue"/>
            <w:shd w:val="clear" w:color="auto" w:fill="FFFFFF"/>
            <w:noWrap w:val="0"/>
            <w:vAlign w:val="center"/>
          </w:tcPr>
          <w:p w14:paraId="5C87493E">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27796B1B">
            <w:pPr>
              <w:widowControl/>
              <w:spacing w:line="320" w:lineRule="exact"/>
              <w:jc w:val="center"/>
              <w:rPr>
                <w:rFonts w:hint="eastAsia" w:ascii="仿宋_GB2312" w:hAnsi="仿宋_GB2312" w:eastAsia="仿宋_GB2312" w:cs="仿宋_GB2312"/>
                <w:color w:val="000000"/>
                <w:spacing w:val="-6"/>
                <w:sz w:val="21"/>
                <w:szCs w:val="21"/>
              </w:rPr>
            </w:pPr>
          </w:p>
        </w:tc>
      </w:tr>
      <w:tr w14:paraId="66BAD63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7E3F3713">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807</w:t>
            </w:r>
          </w:p>
        </w:tc>
        <w:tc>
          <w:tcPr>
            <w:tcW w:w="561" w:type="pct"/>
            <w:shd w:val="clear" w:color="auto" w:fill="FFFFFF"/>
            <w:noWrap w:val="0"/>
            <w:vAlign w:val="center"/>
          </w:tcPr>
          <w:p w14:paraId="49A33854">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社会福利用地</w:t>
            </w:r>
          </w:p>
        </w:tc>
        <w:tc>
          <w:tcPr>
            <w:tcW w:w="3021" w:type="pct"/>
            <w:shd w:val="clear" w:color="auto" w:fill="FFFFFF"/>
            <w:noWrap w:val="0"/>
            <w:vAlign w:val="center"/>
          </w:tcPr>
          <w:p w14:paraId="06922254">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指为老年人、儿童及残疾人等提供社会福利和慈善服务的设施用地</w:t>
            </w:r>
          </w:p>
        </w:tc>
        <w:tc>
          <w:tcPr>
            <w:tcW w:w="590" w:type="pct"/>
            <w:vMerge w:val="continue"/>
            <w:shd w:val="clear" w:color="auto" w:fill="FFFFFF"/>
            <w:noWrap w:val="0"/>
            <w:vAlign w:val="center"/>
          </w:tcPr>
          <w:p w14:paraId="489E844E">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tcBorders>
              <w:right w:val="nil"/>
            </w:tcBorders>
            <w:shd w:val="clear" w:color="auto" w:fill="FFFFFF"/>
            <w:noWrap w:val="0"/>
            <w:vAlign w:val="center"/>
          </w:tcPr>
          <w:p w14:paraId="0D9DF3FC">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kern w:val="0"/>
                <w:sz w:val="21"/>
                <w:szCs w:val="21"/>
              </w:rPr>
              <w:t>70%</w:t>
            </w:r>
          </w:p>
        </w:tc>
      </w:tr>
      <w:tr w14:paraId="5512C6A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5E998161">
            <w:pPr>
              <w:widowControl/>
              <w:spacing w:line="320" w:lineRule="exact"/>
              <w:jc w:val="center"/>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13</w:t>
            </w:r>
          </w:p>
        </w:tc>
        <w:tc>
          <w:tcPr>
            <w:tcW w:w="561" w:type="pct"/>
            <w:shd w:val="clear" w:color="auto" w:fill="FFFFFF"/>
            <w:noWrap w:val="0"/>
            <w:vAlign w:val="center"/>
          </w:tcPr>
          <w:p w14:paraId="0EC4A82D">
            <w:pPr>
              <w:widowControl/>
              <w:spacing w:line="320" w:lineRule="exact"/>
              <w:jc w:val="center"/>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公用设施用地</w:t>
            </w:r>
          </w:p>
        </w:tc>
        <w:tc>
          <w:tcPr>
            <w:tcW w:w="4016" w:type="pct"/>
            <w:gridSpan w:val="3"/>
            <w:tcBorders>
              <w:right w:val="nil"/>
            </w:tcBorders>
            <w:shd w:val="clear" w:color="auto" w:fill="FFFFFF"/>
            <w:noWrap w:val="0"/>
            <w:vAlign w:val="center"/>
          </w:tcPr>
          <w:p w14:paraId="19E6E9D4">
            <w:pPr>
              <w:widowControl/>
              <w:spacing w:line="320" w:lineRule="exact"/>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指用于城乡和区域基础设施的供水、排水、供电、供天然气、供热、通信、邮政、广播电视、环卫、消防、水工等设施用地</w:t>
            </w:r>
          </w:p>
        </w:tc>
      </w:tr>
      <w:tr w14:paraId="4434079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77269314">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1301</w:t>
            </w:r>
          </w:p>
        </w:tc>
        <w:tc>
          <w:tcPr>
            <w:tcW w:w="561" w:type="pct"/>
            <w:shd w:val="clear" w:color="auto" w:fill="FFFFFF"/>
            <w:noWrap w:val="0"/>
            <w:vAlign w:val="center"/>
          </w:tcPr>
          <w:p w14:paraId="1ABFCAD1">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供水用地</w:t>
            </w:r>
          </w:p>
        </w:tc>
        <w:tc>
          <w:tcPr>
            <w:tcW w:w="3021" w:type="pct"/>
            <w:shd w:val="clear" w:color="auto" w:fill="FFFFFF"/>
            <w:noWrap w:val="0"/>
            <w:vAlign w:val="center"/>
          </w:tcPr>
          <w:p w14:paraId="7345FCE0">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指取水设施、供水厂、再生水厂、加压泵站、高位水池等设施用地</w:t>
            </w:r>
          </w:p>
        </w:tc>
        <w:tc>
          <w:tcPr>
            <w:tcW w:w="590" w:type="pct"/>
            <w:vMerge w:val="restart"/>
            <w:tcBorders>
              <w:bottom w:val="single" w:color="auto" w:sz="4" w:space="0"/>
            </w:tcBorders>
            <w:shd w:val="clear" w:color="auto" w:fill="FFFFFF"/>
            <w:noWrap w:val="0"/>
            <w:vAlign w:val="center"/>
          </w:tcPr>
          <w:p w14:paraId="60BD3A5C">
            <w:pPr>
              <w:widowControl/>
              <w:spacing w:line="320" w:lineRule="exact"/>
              <w:jc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公用设施用地</w:t>
            </w:r>
          </w:p>
        </w:tc>
        <w:tc>
          <w:tcPr>
            <w:tcW w:w="403" w:type="pct"/>
            <w:vMerge w:val="restart"/>
            <w:tcBorders>
              <w:bottom w:val="single" w:color="auto" w:sz="4" w:space="0"/>
              <w:right w:val="nil"/>
            </w:tcBorders>
            <w:shd w:val="clear" w:color="auto" w:fill="FFFFFF"/>
            <w:noWrap w:val="0"/>
            <w:vAlign w:val="center"/>
          </w:tcPr>
          <w:p w14:paraId="47A3654E">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kern w:val="0"/>
                <w:sz w:val="21"/>
                <w:szCs w:val="21"/>
              </w:rPr>
              <w:t>100%</w:t>
            </w:r>
          </w:p>
        </w:tc>
      </w:tr>
      <w:tr w14:paraId="2DED9DF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198BA7BC">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1302</w:t>
            </w:r>
          </w:p>
        </w:tc>
        <w:tc>
          <w:tcPr>
            <w:tcW w:w="561" w:type="pct"/>
            <w:shd w:val="clear" w:color="auto" w:fill="FFFFFF"/>
            <w:noWrap w:val="0"/>
            <w:vAlign w:val="center"/>
          </w:tcPr>
          <w:p w14:paraId="02B9974C">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排水用地</w:t>
            </w:r>
          </w:p>
        </w:tc>
        <w:tc>
          <w:tcPr>
            <w:tcW w:w="3021" w:type="pct"/>
            <w:shd w:val="clear" w:color="auto" w:fill="FFFFFF"/>
            <w:noWrap w:val="0"/>
            <w:vAlign w:val="center"/>
          </w:tcPr>
          <w:p w14:paraId="050C8EBA">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指雨水泵站、污水泵站、污水处理、污泥处理厂等设施及其附属的构筑物用地，不包括排水河渠用地</w:t>
            </w:r>
          </w:p>
        </w:tc>
        <w:tc>
          <w:tcPr>
            <w:tcW w:w="590" w:type="pct"/>
            <w:vMerge w:val="continue"/>
            <w:tcBorders>
              <w:top w:val="single" w:color="auto" w:sz="4" w:space="0"/>
              <w:bottom w:val="single" w:color="auto" w:sz="4" w:space="0"/>
            </w:tcBorders>
            <w:shd w:val="clear" w:color="auto" w:fill="FFFFFF"/>
            <w:noWrap w:val="0"/>
            <w:vAlign w:val="center"/>
          </w:tcPr>
          <w:p w14:paraId="56952BA4">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top w:val="single" w:color="auto" w:sz="4" w:space="0"/>
              <w:bottom w:val="single" w:color="auto" w:sz="4" w:space="0"/>
              <w:right w:val="nil"/>
            </w:tcBorders>
            <w:shd w:val="clear" w:color="auto" w:fill="FFFFFF"/>
            <w:noWrap w:val="0"/>
            <w:vAlign w:val="center"/>
          </w:tcPr>
          <w:p w14:paraId="745EE72D">
            <w:pPr>
              <w:widowControl/>
              <w:spacing w:line="320" w:lineRule="exact"/>
              <w:jc w:val="center"/>
              <w:rPr>
                <w:rFonts w:hint="eastAsia" w:ascii="仿宋_GB2312" w:hAnsi="仿宋_GB2312" w:eastAsia="仿宋_GB2312" w:cs="仿宋_GB2312"/>
                <w:color w:val="000000"/>
                <w:spacing w:val="-6"/>
                <w:sz w:val="21"/>
                <w:szCs w:val="21"/>
              </w:rPr>
            </w:pPr>
          </w:p>
        </w:tc>
      </w:tr>
      <w:tr w14:paraId="2D266FA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bottom w:val="single" w:color="auto" w:sz="4" w:space="0"/>
            </w:tcBorders>
            <w:shd w:val="clear" w:color="auto" w:fill="FFFFFF"/>
            <w:noWrap w:val="0"/>
            <w:vAlign w:val="center"/>
          </w:tcPr>
          <w:p w14:paraId="4412DDA2">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1303</w:t>
            </w:r>
          </w:p>
        </w:tc>
        <w:tc>
          <w:tcPr>
            <w:tcW w:w="561" w:type="pct"/>
            <w:tcBorders>
              <w:bottom w:val="single" w:color="auto" w:sz="4" w:space="0"/>
            </w:tcBorders>
            <w:shd w:val="clear" w:color="auto" w:fill="FFFFFF"/>
            <w:noWrap w:val="0"/>
            <w:vAlign w:val="center"/>
          </w:tcPr>
          <w:p w14:paraId="2BB0E6A7">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供电用地</w:t>
            </w:r>
          </w:p>
        </w:tc>
        <w:tc>
          <w:tcPr>
            <w:tcW w:w="3021" w:type="pct"/>
            <w:tcBorders>
              <w:bottom w:val="single" w:color="auto" w:sz="4" w:space="0"/>
            </w:tcBorders>
            <w:shd w:val="clear" w:color="auto" w:fill="FFFFFF"/>
            <w:noWrap w:val="0"/>
            <w:vAlign w:val="center"/>
          </w:tcPr>
          <w:p w14:paraId="28657EEC">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指变电站、开关站、环网柜等设施用地，不包括电厂、可再生能源发电等工业用地。高压走廊下规定的控制范围内的用地应按其地面实际用途归类</w:t>
            </w:r>
          </w:p>
        </w:tc>
        <w:tc>
          <w:tcPr>
            <w:tcW w:w="590" w:type="pct"/>
            <w:vMerge w:val="continue"/>
            <w:tcBorders>
              <w:top w:val="single" w:color="auto" w:sz="4" w:space="0"/>
              <w:bottom w:val="single" w:color="auto" w:sz="4" w:space="0"/>
            </w:tcBorders>
            <w:shd w:val="clear" w:color="auto" w:fill="FFFFFF"/>
            <w:noWrap w:val="0"/>
            <w:vAlign w:val="center"/>
          </w:tcPr>
          <w:p w14:paraId="75694C7C">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top w:val="single" w:color="auto" w:sz="4" w:space="0"/>
              <w:bottom w:val="single" w:color="auto" w:sz="4" w:space="0"/>
              <w:right w:val="nil"/>
            </w:tcBorders>
            <w:shd w:val="clear" w:color="auto" w:fill="FFFFFF"/>
            <w:noWrap w:val="0"/>
            <w:vAlign w:val="center"/>
          </w:tcPr>
          <w:p w14:paraId="174DED8A">
            <w:pPr>
              <w:widowControl/>
              <w:spacing w:line="320" w:lineRule="exact"/>
              <w:jc w:val="center"/>
              <w:rPr>
                <w:rFonts w:hint="eastAsia" w:ascii="仿宋_GB2312" w:hAnsi="仿宋_GB2312" w:eastAsia="仿宋_GB2312" w:cs="仿宋_GB2312"/>
                <w:color w:val="000000"/>
                <w:spacing w:val="-6"/>
                <w:sz w:val="21"/>
                <w:szCs w:val="21"/>
              </w:rPr>
            </w:pPr>
          </w:p>
        </w:tc>
      </w:tr>
      <w:tr w14:paraId="10EF37E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top w:val="single" w:color="auto" w:sz="4" w:space="0"/>
              <w:left w:val="nil"/>
            </w:tcBorders>
            <w:shd w:val="clear" w:color="auto" w:fill="FFFFFF"/>
            <w:noWrap w:val="0"/>
            <w:vAlign w:val="center"/>
          </w:tcPr>
          <w:p w14:paraId="4255EB08">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1304</w:t>
            </w:r>
          </w:p>
        </w:tc>
        <w:tc>
          <w:tcPr>
            <w:tcW w:w="561" w:type="pct"/>
            <w:tcBorders>
              <w:top w:val="single" w:color="auto" w:sz="4" w:space="0"/>
            </w:tcBorders>
            <w:shd w:val="clear" w:color="auto" w:fill="FFFFFF"/>
            <w:noWrap w:val="0"/>
            <w:vAlign w:val="center"/>
          </w:tcPr>
          <w:p w14:paraId="38B4F641">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供天然气用地</w:t>
            </w:r>
          </w:p>
        </w:tc>
        <w:tc>
          <w:tcPr>
            <w:tcW w:w="3021" w:type="pct"/>
            <w:tcBorders>
              <w:top w:val="single" w:color="auto" w:sz="4" w:space="0"/>
            </w:tcBorders>
            <w:shd w:val="clear" w:color="auto" w:fill="FFFFFF"/>
            <w:noWrap w:val="0"/>
            <w:vAlign w:val="center"/>
          </w:tcPr>
          <w:p w14:paraId="61CB06FC">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指分输站、调压站、门站、供气站、储配站、气化站、灌瓶站和地面输气管廊等设施用地，不包括制气厂等工业用地</w:t>
            </w:r>
          </w:p>
        </w:tc>
        <w:tc>
          <w:tcPr>
            <w:tcW w:w="590" w:type="pct"/>
            <w:vMerge w:val="continue"/>
            <w:tcBorders>
              <w:top w:val="single" w:color="auto" w:sz="4" w:space="0"/>
              <w:bottom w:val="single" w:color="auto" w:sz="4" w:space="0"/>
            </w:tcBorders>
            <w:shd w:val="clear" w:color="auto" w:fill="FFFFFF"/>
            <w:noWrap w:val="0"/>
            <w:vAlign w:val="center"/>
          </w:tcPr>
          <w:p w14:paraId="3BDEEBB5">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top w:val="single" w:color="auto" w:sz="4" w:space="0"/>
              <w:bottom w:val="single" w:color="auto" w:sz="4" w:space="0"/>
              <w:right w:val="nil"/>
            </w:tcBorders>
            <w:shd w:val="clear" w:color="auto" w:fill="FFFFFF"/>
            <w:noWrap w:val="0"/>
            <w:vAlign w:val="center"/>
          </w:tcPr>
          <w:p w14:paraId="584EB2A9">
            <w:pPr>
              <w:widowControl/>
              <w:spacing w:line="320" w:lineRule="exact"/>
              <w:jc w:val="center"/>
              <w:rPr>
                <w:rFonts w:hint="eastAsia" w:ascii="仿宋_GB2312" w:hAnsi="仿宋_GB2312" w:eastAsia="仿宋_GB2312" w:cs="仿宋_GB2312"/>
                <w:color w:val="000000"/>
                <w:spacing w:val="-6"/>
                <w:sz w:val="21"/>
                <w:szCs w:val="21"/>
              </w:rPr>
            </w:pPr>
          </w:p>
        </w:tc>
      </w:tr>
      <w:tr w14:paraId="7334924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bottom w:val="single" w:color="auto" w:sz="4" w:space="0"/>
            </w:tcBorders>
            <w:shd w:val="clear" w:color="auto" w:fill="FFFFFF"/>
            <w:noWrap w:val="0"/>
            <w:vAlign w:val="center"/>
          </w:tcPr>
          <w:p w14:paraId="4282E100">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1305</w:t>
            </w:r>
          </w:p>
        </w:tc>
        <w:tc>
          <w:tcPr>
            <w:tcW w:w="561" w:type="pct"/>
            <w:tcBorders>
              <w:bottom w:val="single" w:color="auto" w:sz="4" w:space="0"/>
            </w:tcBorders>
            <w:shd w:val="clear" w:color="auto" w:fill="FFFFFF"/>
            <w:noWrap w:val="0"/>
            <w:vAlign w:val="center"/>
          </w:tcPr>
          <w:p w14:paraId="1ADC17F2">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供热用地</w:t>
            </w:r>
          </w:p>
        </w:tc>
        <w:tc>
          <w:tcPr>
            <w:tcW w:w="3021" w:type="pct"/>
            <w:tcBorders>
              <w:bottom w:val="single" w:color="auto" w:sz="4" w:space="0"/>
            </w:tcBorders>
            <w:shd w:val="clear" w:color="auto" w:fill="FFFFFF"/>
            <w:noWrap w:val="0"/>
            <w:vAlign w:val="center"/>
          </w:tcPr>
          <w:p w14:paraId="5B3E109D">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指集中供热厂、换热站、区域能源站、分布式能源站和地面输热管廊等设施用地</w:t>
            </w:r>
          </w:p>
        </w:tc>
        <w:tc>
          <w:tcPr>
            <w:tcW w:w="590" w:type="pct"/>
            <w:vMerge w:val="continue"/>
            <w:tcBorders>
              <w:top w:val="single" w:color="auto" w:sz="4" w:space="0"/>
              <w:bottom w:val="single" w:color="auto" w:sz="4" w:space="0"/>
            </w:tcBorders>
            <w:shd w:val="clear" w:color="auto" w:fill="FFFFFF"/>
            <w:noWrap w:val="0"/>
            <w:vAlign w:val="center"/>
          </w:tcPr>
          <w:p w14:paraId="094C75E7">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top w:val="single" w:color="auto" w:sz="4" w:space="0"/>
              <w:bottom w:val="single" w:color="auto" w:sz="4" w:space="0"/>
              <w:right w:val="nil"/>
            </w:tcBorders>
            <w:shd w:val="clear" w:color="auto" w:fill="FFFFFF"/>
            <w:noWrap w:val="0"/>
            <w:vAlign w:val="center"/>
          </w:tcPr>
          <w:p w14:paraId="4B39C3CF">
            <w:pPr>
              <w:widowControl/>
              <w:spacing w:line="320" w:lineRule="exact"/>
              <w:jc w:val="center"/>
              <w:rPr>
                <w:rFonts w:hint="eastAsia" w:ascii="仿宋_GB2312" w:hAnsi="仿宋_GB2312" w:eastAsia="仿宋_GB2312" w:cs="仿宋_GB2312"/>
                <w:color w:val="000000"/>
                <w:spacing w:val="-6"/>
                <w:sz w:val="21"/>
                <w:szCs w:val="21"/>
              </w:rPr>
            </w:pPr>
          </w:p>
        </w:tc>
      </w:tr>
      <w:tr w14:paraId="7E1701E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top w:val="single" w:color="auto" w:sz="4" w:space="0"/>
              <w:left w:val="nil"/>
            </w:tcBorders>
            <w:shd w:val="clear" w:color="auto" w:fill="FFFFFF"/>
            <w:noWrap w:val="0"/>
            <w:vAlign w:val="center"/>
          </w:tcPr>
          <w:p w14:paraId="74838E1D">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1306</w:t>
            </w:r>
          </w:p>
        </w:tc>
        <w:tc>
          <w:tcPr>
            <w:tcW w:w="561" w:type="pct"/>
            <w:tcBorders>
              <w:top w:val="single" w:color="auto" w:sz="4" w:space="0"/>
            </w:tcBorders>
            <w:shd w:val="clear" w:color="auto" w:fill="FFFFFF"/>
            <w:noWrap w:val="0"/>
            <w:vAlign w:val="center"/>
          </w:tcPr>
          <w:p w14:paraId="234AA55B">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通信用地</w:t>
            </w:r>
          </w:p>
        </w:tc>
        <w:tc>
          <w:tcPr>
            <w:tcW w:w="3021" w:type="pct"/>
            <w:tcBorders>
              <w:top w:val="single" w:color="auto" w:sz="4" w:space="0"/>
            </w:tcBorders>
            <w:shd w:val="clear" w:color="auto" w:fill="FFFFFF"/>
            <w:noWrap w:val="0"/>
            <w:vAlign w:val="center"/>
          </w:tcPr>
          <w:p w14:paraId="2A9BECD5">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指通信铁塔、基站、卫星地球站、海缆登陆站、电信局、微波站、中继站等设施用地</w:t>
            </w:r>
          </w:p>
        </w:tc>
        <w:tc>
          <w:tcPr>
            <w:tcW w:w="590" w:type="pct"/>
            <w:vMerge w:val="restart"/>
            <w:tcBorders>
              <w:top w:val="single" w:color="auto" w:sz="4" w:space="0"/>
              <w:bottom w:val="single" w:color="auto" w:sz="4" w:space="0"/>
            </w:tcBorders>
            <w:shd w:val="clear" w:color="auto" w:fill="FFFFFF"/>
            <w:noWrap w:val="0"/>
            <w:vAlign w:val="center"/>
          </w:tcPr>
          <w:p w14:paraId="44FFAFEE">
            <w:pPr>
              <w:widowControl/>
              <w:spacing w:line="320" w:lineRule="exact"/>
              <w:jc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公用设施用地</w:t>
            </w:r>
          </w:p>
        </w:tc>
        <w:tc>
          <w:tcPr>
            <w:tcW w:w="403" w:type="pct"/>
            <w:vMerge w:val="restart"/>
            <w:tcBorders>
              <w:top w:val="single" w:color="auto" w:sz="4" w:space="0"/>
              <w:bottom w:val="single" w:color="auto" w:sz="4" w:space="0"/>
              <w:right w:val="nil"/>
            </w:tcBorders>
            <w:shd w:val="clear" w:color="auto" w:fill="FFFFFF"/>
            <w:noWrap w:val="0"/>
            <w:vAlign w:val="center"/>
          </w:tcPr>
          <w:p w14:paraId="4E8C39E5">
            <w:pPr>
              <w:widowControl/>
              <w:spacing w:line="320" w:lineRule="exact"/>
              <w:jc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kern w:val="0"/>
                <w:sz w:val="21"/>
                <w:szCs w:val="21"/>
              </w:rPr>
              <w:t>100%</w:t>
            </w:r>
          </w:p>
        </w:tc>
      </w:tr>
      <w:tr w14:paraId="2F1C50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32714A52">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1307</w:t>
            </w:r>
          </w:p>
        </w:tc>
        <w:tc>
          <w:tcPr>
            <w:tcW w:w="561" w:type="pct"/>
            <w:shd w:val="clear" w:color="auto" w:fill="FFFFFF"/>
            <w:noWrap w:val="0"/>
            <w:vAlign w:val="center"/>
          </w:tcPr>
          <w:p w14:paraId="0F20250C">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邮政用地</w:t>
            </w:r>
          </w:p>
        </w:tc>
        <w:tc>
          <w:tcPr>
            <w:tcW w:w="3021" w:type="pct"/>
            <w:shd w:val="clear" w:color="auto" w:fill="FFFFFF"/>
            <w:noWrap w:val="0"/>
            <w:vAlign w:val="center"/>
          </w:tcPr>
          <w:p w14:paraId="36859E3D">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指邮政中心局、邮政支局（所）、邮件处理中心等设施用地</w:t>
            </w:r>
          </w:p>
        </w:tc>
        <w:tc>
          <w:tcPr>
            <w:tcW w:w="590" w:type="pct"/>
            <w:vMerge w:val="continue"/>
            <w:tcBorders>
              <w:top w:val="single" w:color="auto" w:sz="4" w:space="0"/>
              <w:bottom w:val="single" w:color="auto" w:sz="4" w:space="0"/>
            </w:tcBorders>
            <w:shd w:val="clear" w:color="auto" w:fill="FFFFFF"/>
            <w:noWrap w:val="0"/>
            <w:vAlign w:val="center"/>
          </w:tcPr>
          <w:p w14:paraId="488C55D5">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top w:val="single" w:color="auto" w:sz="4" w:space="0"/>
              <w:bottom w:val="single" w:color="auto" w:sz="4" w:space="0"/>
              <w:right w:val="nil"/>
            </w:tcBorders>
            <w:shd w:val="clear" w:color="auto" w:fill="FFFFFF"/>
            <w:noWrap w:val="0"/>
            <w:vAlign w:val="center"/>
          </w:tcPr>
          <w:p w14:paraId="3F976BF4">
            <w:pPr>
              <w:widowControl/>
              <w:spacing w:line="320" w:lineRule="exact"/>
              <w:jc w:val="center"/>
              <w:rPr>
                <w:rFonts w:hint="eastAsia" w:ascii="仿宋_GB2312" w:hAnsi="仿宋_GB2312" w:eastAsia="仿宋_GB2312" w:cs="仿宋_GB2312"/>
                <w:color w:val="000000"/>
                <w:spacing w:val="-6"/>
                <w:sz w:val="21"/>
                <w:szCs w:val="21"/>
              </w:rPr>
            </w:pPr>
          </w:p>
        </w:tc>
      </w:tr>
      <w:tr w14:paraId="1773360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14927488">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1308</w:t>
            </w:r>
          </w:p>
        </w:tc>
        <w:tc>
          <w:tcPr>
            <w:tcW w:w="561" w:type="pct"/>
            <w:shd w:val="clear" w:color="auto" w:fill="FFFFFF"/>
            <w:noWrap w:val="0"/>
            <w:vAlign w:val="center"/>
          </w:tcPr>
          <w:p w14:paraId="55B98FE7">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广播电视设施用地</w:t>
            </w:r>
          </w:p>
        </w:tc>
        <w:tc>
          <w:tcPr>
            <w:tcW w:w="3021" w:type="pct"/>
            <w:shd w:val="clear" w:color="auto" w:fill="FFFFFF"/>
            <w:noWrap w:val="0"/>
            <w:vAlign w:val="center"/>
          </w:tcPr>
          <w:p w14:paraId="119820D0">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指广播电视的发射、传输和监测设施用地，包括无线电收信区、发信区以及广播电视发射台、转播台、差转台、监测站等设施用地</w:t>
            </w:r>
          </w:p>
        </w:tc>
        <w:tc>
          <w:tcPr>
            <w:tcW w:w="590" w:type="pct"/>
            <w:vMerge w:val="continue"/>
            <w:tcBorders>
              <w:top w:val="single" w:color="auto" w:sz="4" w:space="0"/>
              <w:bottom w:val="single" w:color="auto" w:sz="4" w:space="0"/>
            </w:tcBorders>
            <w:shd w:val="clear" w:color="auto" w:fill="FFFFFF"/>
            <w:noWrap w:val="0"/>
            <w:vAlign w:val="center"/>
          </w:tcPr>
          <w:p w14:paraId="3B1E621A">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top w:val="single" w:color="auto" w:sz="4" w:space="0"/>
              <w:bottom w:val="single" w:color="auto" w:sz="4" w:space="0"/>
              <w:right w:val="nil"/>
            </w:tcBorders>
            <w:shd w:val="clear" w:color="auto" w:fill="FFFFFF"/>
            <w:noWrap w:val="0"/>
            <w:vAlign w:val="center"/>
          </w:tcPr>
          <w:p w14:paraId="0F1EF415">
            <w:pPr>
              <w:widowControl/>
              <w:spacing w:line="320" w:lineRule="exact"/>
              <w:jc w:val="center"/>
              <w:rPr>
                <w:rFonts w:hint="eastAsia" w:ascii="仿宋_GB2312" w:hAnsi="仿宋_GB2312" w:eastAsia="仿宋_GB2312" w:cs="仿宋_GB2312"/>
                <w:color w:val="000000"/>
                <w:spacing w:val="-6"/>
                <w:sz w:val="21"/>
                <w:szCs w:val="21"/>
              </w:rPr>
            </w:pPr>
          </w:p>
        </w:tc>
      </w:tr>
      <w:tr w14:paraId="1DCAFAA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6E603752">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1309</w:t>
            </w:r>
          </w:p>
        </w:tc>
        <w:tc>
          <w:tcPr>
            <w:tcW w:w="561" w:type="pct"/>
            <w:shd w:val="clear" w:color="auto" w:fill="FFFFFF"/>
            <w:noWrap w:val="0"/>
            <w:vAlign w:val="center"/>
          </w:tcPr>
          <w:p w14:paraId="2CE1591F">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环卫用地</w:t>
            </w:r>
          </w:p>
        </w:tc>
        <w:tc>
          <w:tcPr>
            <w:tcW w:w="3021" w:type="pct"/>
            <w:shd w:val="clear" w:color="auto" w:fill="FFFFFF"/>
            <w:noWrap w:val="0"/>
            <w:vAlign w:val="center"/>
          </w:tcPr>
          <w:p w14:paraId="2F1BF7AB">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指生活垃圾、医疗垃圾、危险废物处理和处置，以及垃圾转运、公厕、车辆清洗、环卫车辆停放修理等设施用地</w:t>
            </w:r>
          </w:p>
        </w:tc>
        <w:tc>
          <w:tcPr>
            <w:tcW w:w="590" w:type="pct"/>
            <w:vMerge w:val="continue"/>
            <w:tcBorders>
              <w:top w:val="single" w:color="auto" w:sz="4" w:space="0"/>
              <w:bottom w:val="single" w:color="auto" w:sz="4" w:space="0"/>
            </w:tcBorders>
            <w:shd w:val="clear" w:color="auto" w:fill="FFFFFF"/>
            <w:noWrap w:val="0"/>
            <w:vAlign w:val="center"/>
          </w:tcPr>
          <w:p w14:paraId="46B271F6">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top w:val="single" w:color="auto" w:sz="4" w:space="0"/>
              <w:bottom w:val="single" w:color="auto" w:sz="4" w:space="0"/>
              <w:right w:val="nil"/>
            </w:tcBorders>
            <w:shd w:val="clear" w:color="auto" w:fill="FFFFFF"/>
            <w:noWrap w:val="0"/>
            <w:vAlign w:val="center"/>
          </w:tcPr>
          <w:p w14:paraId="30AA18F8">
            <w:pPr>
              <w:widowControl/>
              <w:spacing w:line="320" w:lineRule="exact"/>
              <w:jc w:val="center"/>
              <w:rPr>
                <w:rFonts w:hint="eastAsia" w:ascii="仿宋_GB2312" w:hAnsi="仿宋_GB2312" w:eastAsia="仿宋_GB2312" w:cs="仿宋_GB2312"/>
                <w:color w:val="000000"/>
                <w:spacing w:val="-6"/>
                <w:sz w:val="21"/>
                <w:szCs w:val="21"/>
              </w:rPr>
            </w:pPr>
          </w:p>
        </w:tc>
      </w:tr>
      <w:tr w14:paraId="65AC963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2CE94255">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1310</w:t>
            </w:r>
          </w:p>
        </w:tc>
        <w:tc>
          <w:tcPr>
            <w:tcW w:w="561" w:type="pct"/>
            <w:shd w:val="clear" w:color="auto" w:fill="FFFFFF"/>
            <w:noWrap w:val="0"/>
            <w:vAlign w:val="center"/>
          </w:tcPr>
          <w:p w14:paraId="6DDA7520">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消防用地</w:t>
            </w:r>
          </w:p>
        </w:tc>
        <w:tc>
          <w:tcPr>
            <w:tcW w:w="3021" w:type="pct"/>
            <w:shd w:val="clear" w:color="auto" w:fill="FFFFFF"/>
            <w:noWrap w:val="0"/>
            <w:vAlign w:val="center"/>
          </w:tcPr>
          <w:p w14:paraId="1E2191B1">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指消防站、消防通信及指挥训练中心等设施用地</w:t>
            </w:r>
          </w:p>
        </w:tc>
        <w:tc>
          <w:tcPr>
            <w:tcW w:w="590" w:type="pct"/>
            <w:vMerge w:val="continue"/>
            <w:tcBorders>
              <w:top w:val="single" w:color="auto" w:sz="4" w:space="0"/>
              <w:bottom w:val="single" w:color="auto" w:sz="4" w:space="0"/>
            </w:tcBorders>
            <w:shd w:val="clear" w:color="auto" w:fill="FFFFFF"/>
            <w:noWrap w:val="0"/>
            <w:vAlign w:val="center"/>
          </w:tcPr>
          <w:p w14:paraId="0FA56AF3">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top w:val="single" w:color="auto" w:sz="4" w:space="0"/>
              <w:bottom w:val="single" w:color="auto" w:sz="4" w:space="0"/>
              <w:right w:val="nil"/>
            </w:tcBorders>
            <w:shd w:val="clear" w:color="auto" w:fill="FFFFFF"/>
            <w:noWrap w:val="0"/>
            <w:vAlign w:val="center"/>
          </w:tcPr>
          <w:p w14:paraId="60381661">
            <w:pPr>
              <w:widowControl/>
              <w:spacing w:line="320" w:lineRule="exact"/>
              <w:jc w:val="center"/>
              <w:rPr>
                <w:rFonts w:hint="eastAsia" w:ascii="仿宋_GB2312" w:hAnsi="仿宋_GB2312" w:eastAsia="仿宋_GB2312" w:cs="仿宋_GB2312"/>
                <w:color w:val="000000"/>
                <w:spacing w:val="-6"/>
                <w:sz w:val="21"/>
                <w:szCs w:val="21"/>
              </w:rPr>
            </w:pPr>
          </w:p>
        </w:tc>
      </w:tr>
      <w:tr w14:paraId="53E2F68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5C3E7B43">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1311</w:t>
            </w:r>
          </w:p>
        </w:tc>
        <w:tc>
          <w:tcPr>
            <w:tcW w:w="561" w:type="pct"/>
            <w:shd w:val="clear" w:color="auto" w:fill="FFFFFF"/>
            <w:noWrap w:val="0"/>
            <w:vAlign w:val="center"/>
          </w:tcPr>
          <w:p w14:paraId="6D80BB3D">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水工设施用地</w:t>
            </w:r>
          </w:p>
        </w:tc>
        <w:tc>
          <w:tcPr>
            <w:tcW w:w="3021" w:type="pct"/>
            <w:shd w:val="clear" w:color="auto" w:fill="FFFFFF"/>
            <w:noWrap w:val="0"/>
            <w:vAlign w:val="center"/>
          </w:tcPr>
          <w:p w14:paraId="4849D837">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指人工修建的闸、坝、堤林路、水电厂房、扬水站等常水位岸线以上的建（构）筑物用地，包括防洪堤、防洪枢纽、排洪沟（渠）等设施用地</w:t>
            </w:r>
          </w:p>
        </w:tc>
        <w:tc>
          <w:tcPr>
            <w:tcW w:w="590" w:type="pct"/>
            <w:vMerge w:val="continue"/>
            <w:tcBorders>
              <w:top w:val="single" w:color="auto" w:sz="4" w:space="0"/>
              <w:bottom w:val="single" w:color="auto" w:sz="4" w:space="0"/>
            </w:tcBorders>
            <w:shd w:val="clear" w:color="auto" w:fill="FFFFFF"/>
            <w:noWrap w:val="0"/>
            <w:vAlign w:val="center"/>
          </w:tcPr>
          <w:p w14:paraId="221557F1">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top w:val="single" w:color="auto" w:sz="4" w:space="0"/>
              <w:bottom w:val="single" w:color="auto" w:sz="4" w:space="0"/>
              <w:right w:val="nil"/>
            </w:tcBorders>
            <w:shd w:val="clear" w:color="auto" w:fill="FFFFFF"/>
            <w:noWrap w:val="0"/>
            <w:vAlign w:val="center"/>
          </w:tcPr>
          <w:p w14:paraId="3638656E">
            <w:pPr>
              <w:widowControl/>
              <w:spacing w:line="320" w:lineRule="exact"/>
              <w:jc w:val="center"/>
              <w:rPr>
                <w:rFonts w:hint="eastAsia" w:ascii="仿宋_GB2312" w:hAnsi="仿宋_GB2312" w:eastAsia="仿宋_GB2312" w:cs="仿宋_GB2312"/>
                <w:color w:val="000000"/>
                <w:spacing w:val="-6"/>
                <w:sz w:val="21"/>
                <w:szCs w:val="21"/>
              </w:rPr>
            </w:pPr>
          </w:p>
        </w:tc>
      </w:tr>
      <w:tr w14:paraId="45B38DD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4C49503E">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1312</w:t>
            </w:r>
          </w:p>
        </w:tc>
        <w:tc>
          <w:tcPr>
            <w:tcW w:w="561" w:type="pct"/>
            <w:shd w:val="clear" w:color="auto" w:fill="FFFFFF"/>
            <w:noWrap w:val="0"/>
            <w:vAlign w:val="center"/>
          </w:tcPr>
          <w:p w14:paraId="34585292">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其他公用设施用地</w:t>
            </w:r>
          </w:p>
        </w:tc>
        <w:tc>
          <w:tcPr>
            <w:tcW w:w="3021" w:type="pct"/>
            <w:shd w:val="clear" w:color="auto" w:fill="FFFFFF"/>
            <w:noWrap w:val="0"/>
            <w:vAlign w:val="center"/>
          </w:tcPr>
          <w:p w14:paraId="7D72B8F0">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指除以上之外的公用设施用地，包括施工、养护、维修等设施用地</w:t>
            </w:r>
          </w:p>
        </w:tc>
        <w:tc>
          <w:tcPr>
            <w:tcW w:w="590" w:type="pct"/>
            <w:vMerge w:val="continue"/>
            <w:tcBorders>
              <w:top w:val="single" w:color="auto" w:sz="4" w:space="0"/>
              <w:bottom w:val="single" w:color="auto" w:sz="4" w:space="0"/>
            </w:tcBorders>
            <w:shd w:val="clear" w:color="auto" w:fill="FFFFFF"/>
            <w:noWrap w:val="0"/>
            <w:vAlign w:val="center"/>
          </w:tcPr>
          <w:p w14:paraId="220C6CB4">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top w:val="single" w:color="auto" w:sz="4" w:space="0"/>
              <w:bottom w:val="single" w:color="auto" w:sz="4" w:space="0"/>
              <w:right w:val="nil"/>
            </w:tcBorders>
            <w:shd w:val="clear" w:color="auto" w:fill="FFFFFF"/>
            <w:noWrap w:val="0"/>
            <w:vAlign w:val="center"/>
          </w:tcPr>
          <w:p w14:paraId="473BC05E">
            <w:pPr>
              <w:widowControl/>
              <w:spacing w:line="320" w:lineRule="exact"/>
              <w:jc w:val="center"/>
              <w:rPr>
                <w:rFonts w:hint="eastAsia" w:ascii="仿宋_GB2312" w:hAnsi="仿宋_GB2312" w:eastAsia="仿宋_GB2312" w:cs="仿宋_GB2312"/>
                <w:color w:val="000000"/>
                <w:spacing w:val="-6"/>
                <w:sz w:val="21"/>
                <w:szCs w:val="21"/>
              </w:rPr>
            </w:pPr>
          </w:p>
        </w:tc>
      </w:tr>
      <w:tr w14:paraId="6FCF3C3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5682A3D4">
            <w:pPr>
              <w:widowControl/>
              <w:spacing w:line="320" w:lineRule="exact"/>
              <w:jc w:val="center"/>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11</w:t>
            </w:r>
          </w:p>
        </w:tc>
        <w:tc>
          <w:tcPr>
            <w:tcW w:w="561" w:type="pct"/>
            <w:shd w:val="clear" w:color="auto" w:fill="FFFFFF"/>
            <w:noWrap w:val="0"/>
            <w:vAlign w:val="center"/>
          </w:tcPr>
          <w:p w14:paraId="64D23BE1">
            <w:pPr>
              <w:widowControl/>
              <w:spacing w:line="320" w:lineRule="exact"/>
              <w:jc w:val="center"/>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仓储用地</w:t>
            </w:r>
          </w:p>
        </w:tc>
        <w:tc>
          <w:tcPr>
            <w:tcW w:w="4016" w:type="pct"/>
            <w:gridSpan w:val="3"/>
            <w:tcBorders>
              <w:right w:val="nil"/>
            </w:tcBorders>
            <w:shd w:val="clear" w:color="auto" w:fill="FFFFFF"/>
            <w:noWrap w:val="0"/>
            <w:vAlign w:val="center"/>
          </w:tcPr>
          <w:p w14:paraId="0CC2F5E9">
            <w:pPr>
              <w:widowControl/>
              <w:spacing w:line="320" w:lineRule="exact"/>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指物资存放及物流仓储和战略性物资储备库用地</w:t>
            </w:r>
          </w:p>
        </w:tc>
      </w:tr>
      <w:tr w14:paraId="3CA8EC0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58005FD4">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1101</w:t>
            </w:r>
          </w:p>
        </w:tc>
        <w:tc>
          <w:tcPr>
            <w:tcW w:w="561" w:type="pct"/>
            <w:shd w:val="clear" w:color="auto" w:fill="FFFFFF"/>
            <w:noWrap w:val="0"/>
            <w:vAlign w:val="center"/>
          </w:tcPr>
          <w:p w14:paraId="25291912">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物流仓储</w:t>
            </w:r>
          </w:p>
        </w:tc>
        <w:tc>
          <w:tcPr>
            <w:tcW w:w="3021" w:type="pct"/>
            <w:shd w:val="clear" w:color="auto" w:fill="FFFFFF"/>
            <w:noWrap w:val="0"/>
            <w:vAlign w:val="center"/>
          </w:tcPr>
          <w:p w14:paraId="6347C7E5">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指国家和省级战略性储备库以外，城镇、村庄用于物资存储、中转、配送等设施用地，包括附属设施、道路、停车场等用地</w:t>
            </w:r>
          </w:p>
        </w:tc>
        <w:tc>
          <w:tcPr>
            <w:tcW w:w="590" w:type="pct"/>
            <w:shd w:val="clear" w:color="auto" w:fill="FFFFFF"/>
            <w:noWrap w:val="0"/>
            <w:vAlign w:val="center"/>
          </w:tcPr>
          <w:p w14:paraId="42E7CFEF">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工业用地</w:t>
            </w:r>
          </w:p>
        </w:tc>
        <w:tc>
          <w:tcPr>
            <w:tcW w:w="403" w:type="pct"/>
            <w:tcBorders>
              <w:right w:val="nil"/>
            </w:tcBorders>
            <w:shd w:val="clear" w:color="auto" w:fill="FFFFFF"/>
            <w:noWrap w:val="0"/>
            <w:vAlign w:val="center"/>
          </w:tcPr>
          <w:p w14:paraId="2645422F">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kern w:val="0"/>
                <w:sz w:val="21"/>
                <w:szCs w:val="21"/>
              </w:rPr>
              <w:t>100%</w:t>
            </w:r>
          </w:p>
        </w:tc>
      </w:tr>
      <w:tr w14:paraId="0675474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452CBFCA">
            <w:pPr>
              <w:widowControl/>
              <w:spacing w:line="320" w:lineRule="exact"/>
              <w:jc w:val="center"/>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12</w:t>
            </w:r>
          </w:p>
        </w:tc>
        <w:tc>
          <w:tcPr>
            <w:tcW w:w="561" w:type="pct"/>
            <w:shd w:val="clear" w:color="auto" w:fill="FFFFFF"/>
            <w:noWrap w:val="0"/>
            <w:vAlign w:val="center"/>
          </w:tcPr>
          <w:p w14:paraId="18C32D33">
            <w:pPr>
              <w:widowControl/>
              <w:spacing w:line="320" w:lineRule="exact"/>
              <w:jc w:val="center"/>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交通运输用地</w:t>
            </w:r>
          </w:p>
        </w:tc>
        <w:tc>
          <w:tcPr>
            <w:tcW w:w="4016" w:type="pct"/>
            <w:gridSpan w:val="3"/>
            <w:tcBorders>
              <w:right w:val="nil"/>
            </w:tcBorders>
            <w:shd w:val="clear" w:color="auto" w:fill="FFFFFF"/>
            <w:noWrap w:val="0"/>
            <w:vAlign w:val="center"/>
          </w:tcPr>
          <w:p w14:paraId="048F58E4">
            <w:pPr>
              <w:widowControl/>
              <w:spacing w:line="320" w:lineRule="exact"/>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指铁路、公路、机场、港口码头、管道运输、城市轨道交通、各种道路以及交通场站等交通运输设施及其附属设施用地，不包括其他用地内的附属道路、停车场等用地</w:t>
            </w:r>
          </w:p>
        </w:tc>
      </w:tr>
      <w:tr w14:paraId="3357FBE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46D0127F">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1201</w:t>
            </w:r>
          </w:p>
        </w:tc>
        <w:tc>
          <w:tcPr>
            <w:tcW w:w="561" w:type="pct"/>
            <w:shd w:val="clear" w:color="auto" w:fill="FFFFFF"/>
            <w:noWrap w:val="0"/>
            <w:vAlign w:val="center"/>
          </w:tcPr>
          <w:p w14:paraId="7EA05A64">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铁路用地</w:t>
            </w:r>
          </w:p>
        </w:tc>
        <w:tc>
          <w:tcPr>
            <w:tcW w:w="3021" w:type="pct"/>
            <w:shd w:val="clear" w:color="auto" w:fill="FFFFFF"/>
            <w:noWrap w:val="0"/>
            <w:vAlign w:val="center"/>
          </w:tcPr>
          <w:p w14:paraId="512B162D">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指铁路编组站、轨道线路（含城际轨道）等用地，不包括铁路客货运站等交通场站用地</w:t>
            </w:r>
          </w:p>
        </w:tc>
        <w:tc>
          <w:tcPr>
            <w:tcW w:w="590" w:type="pct"/>
            <w:vMerge w:val="restart"/>
            <w:shd w:val="clear" w:color="auto" w:fill="FFFFFF"/>
            <w:noWrap w:val="0"/>
            <w:vAlign w:val="center"/>
          </w:tcPr>
          <w:p w14:paraId="1E10E7FA">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公用设施用地</w:t>
            </w:r>
          </w:p>
        </w:tc>
        <w:tc>
          <w:tcPr>
            <w:tcW w:w="403" w:type="pct"/>
            <w:vMerge w:val="restart"/>
            <w:tcBorders>
              <w:right w:val="nil"/>
            </w:tcBorders>
            <w:shd w:val="clear" w:color="auto" w:fill="FFFFFF"/>
            <w:noWrap w:val="0"/>
            <w:vAlign w:val="center"/>
          </w:tcPr>
          <w:p w14:paraId="0FAC74D2">
            <w:pPr>
              <w:widowControl/>
              <w:spacing w:line="320" w:lineRule="exact"/>
              <w:jc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kern w:val="0"/>
                <w:sz w:val="21"/>
                <w:szCs w:val="21"/>
              </w:rPr>
              <w:t>100%</w:t>
            </w:r>
          </w:p>
        </w:tc>
      </w:tr>
      <w:tr w14:paraId="7ABD01E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bottom w:val="single" w:color="auto" w:sz="4" w:space="0"/>
            </w:tcBorders>
            <w:shd w:val="clear" w:color="auto" w:fill="FFFFFF"/>
            <w:noWrap w:val="0"/>
            <w:vAlign w:val="center"/>
          </w:tcPr>
          <w:p w14:paraId="079FDA8B">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1202</w:t>
            </w:r>
          </w:p>
        </w:tc>
        <w:tc>
          <w:tcPr>
            <w:tcW w:w="561" w:type="pct"/>
            <w:tcBorders>
              <w:bottom w:val="single" w:color="auto" w:sz="4" w:space="0"/>
            </w:tcBorders>
            <w:shd w:val="clear" w:color="auto" w:fill="FFFFFF"/>
            <w:noWrap w:val="0"/>
            <w:vAlign w:val="center"/>
          </w:tcPr>
          <w:p w14:paraId="766734A3">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公路用地</w:t>
            </w:r>
          </w:p>
        </w:tc>
        <w:tc>
          <w:tcPr>
            <w:tcW w:w="3021" w:type="pct"/>
            <w:tcBorders>
              <w:bottom w:val="single" w:color="auto" w:sz="4" w:space="0"/>
            </w:tcBorders>
            <w:shd w:val="clear" w:color="auto" w:fill="FFFFFF"/>
            <w:noWrap w:val="0"/>
            <w:vAlign w:val="center"/>
          </w:tcPr>
          <w:p w14:paraId="4CFD87D9">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指国道、省道、县道和乡道用地及附属设施用地，不包括已纳入城镇集中连片建成区，发挥城镇内部道路功能的路段，以及公路长途客货运站等交通场站用地</w:t>
            </w:r>
          </w:p>
        </w:tc>
        <w:tc>
          <w:tcPr>
            <w:tcW w:w="590" w:type="pct"/>
            <w:vMerge w:val="continue"/>
            <w:shd w:val="clear" w:color="auto" w:fill="FFFFFF"/>
            <w:noWrap w:val="0"/>
            <w:vAlign w:val="center"/>
          </w:tcPr>
          <w:p w14:paraId="5CF6370B">
            <w:pPr>
              <w:widowControl/>
              <w:spacing w:line="320" w:lineRule="exact"/>
              <w:jc w:val="center"/>
              <w:textAlignment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4356454D">
            <w:pPr>
              <w:widowControl/>
              <w:spacing w:line="320" w:lineRule="exact"/>
              <w:jc w:val="center"/>
              <w:rPr>
                <w:rFonts w:hint="eastAsia" w:ascii="仿宋_GB2312" w:hAnsi="仿宋_GB2312" w:eastAsia="仿宋_GB2312" w:cs="仿宋_GB2312"/>
                <w:color w:val="000000"/>
                <w:spacing w:val="-6"/>
                <w:sz w:val="21"/>
                <w:szCs w:val="21"/>
              </w:rPr>
            </w:pPr>
          </w:p>
        </w:tc>
      </w:tr>
      <w:tr w14:paraId="48556A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top w:val="single" w:color="auto" w:sz="4" w:space="0"/>
              <w:left w:val="nil"/>
              <w:bottom w:val="single" w:color="auto" w:sz="4" w:space="0"/>
            </w:tcBorders>
            <w:shd w:val="clear" w:color="auto" w:fill="FFFFFF"/>
            <w:noWrap w:val="0"/>
            <w:vAlign w:val="center"/>
          </w:tcPr>
          <w:p w14:paraId="25D4F322">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1203</w:t>
            </w:r>
          </w:p>
        </w:tc>
        <w:tc>
          <w:tcPr>
            <w:tcW w:w="561" w:type="pct"/>
            <w:tcBorders>
              <w:top w:val="single" w:color="auto" w:sz="4" w:space="0"/>
              <w:bottom w:val="single" w:color="auto" w:sz="4" w:space="0"/>
            </w:tcBorders>
            <w:shd w:val="clear" w:color="auto" w:fill="FFFFFF"/>
            <w:noWrap w:val="0"/>
            <w:vAlign w:val="center"/>
          </w:tcPr>
          <w:p w14:paraId="2E17276D">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机场用地</w:t>
            </w:r>
          </w:p>
        </w:tc>
        <w:tc>
          <w:tcPr>
            <w:tcW w:w="3021" w:type="pct"/>
            <w:tcBorders>
              <w:top w:val="single" w:color="auto" w:sz="4" w:space="0"/>
              <w:bottom w:val="single" w:color="auto" w:sz="4" w:space="0"/>
            </w:tcBorders>
            <w:shd w:val="clear" w:color="auto" w:fill="FFFFFF"/>
            <w:noWrap w:val="0"/>
            <w:vAlign w:val="center"/>
          </w:tcPr>
          <w:p w14:paraId="621BC491">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指民用及军民合用的机场用地，包括飞行区、航站区等用地，不包括净空控制范围内的其他用地</w:t>
            </w:r>
          </w:p>
        </w:tc>
        <w:tc>
          <w:tcPr>
            <w:tcW w:w="590" w:type="pct"/>
            <w:vMerge w:val="continue"/>
            <w:shd w:val="clear" w:color="auto" w:fill="FFFFFF"/>
            <w:noWrap w:val="0"/>
            <w:vAlign w:val="center"/>
          </w:tcPr>
          <w:p w14:paraId="6364C369">
            <w:pPr>
              <w:widowControl/>
              <w:spacing w:line="320" w:lineRule="exact"/>
              <w:jc w:val="center"/>
              <w:textAlignment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6BDA356B">
            <w:pPr>
              <w:widowControl/>
              <w:spacing w:line="320" w:lineRule="exact"/>
              <w:jc w:val="center"/>
              <w:rPr>
                <w:rFonts w:hint="eastAsia" w:ascii="仿宋_GB2312" w:hAnsi="仿宋_GB2312" w:eastAsia="仿宋_GB2312" w:cs="仿宋_GB2312"/>
                <w:color w:val="000000"/>
                <w:spacing w:val="-6"/>
                <w:sz w:val="21"/>
                <w:szCs w:val="21"/>
              </w:rPr>
            </w:pPr>
          </w:p>
        </w:tc>
      </w:tr>
      <w:tr w14:paraId="1855E96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top w:val="single" w:color="auto" w:sz="4" w:space="0"/>
              <w:left w:val="nil"/>
            </w:tcBorders>
            <w:shd w:val="clear" w:color="auto" w:fill="FFFFFF"/>
            <w:noWrap w:val="0"/>
            <w:vAlign w:val="center"/>
          </w:tcPr>
          <w:p w14:paraId="57836E9C">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1204</w:t>
            </w:r>
          </w:p>
        </w:tc>
        <w:tc>
          <w:tcPr>
            <w:tcW w:w="561" w:type="pct"/>
            <w:tcBorders>
              <w:top w:val="single" w:color="auto" w:sz="4" w:space="0"/>
            </w:tcBorders>
            <w:shd w:val="clear" w:color="auto" w:fill="FFFFFF"/>
            <w:noWrap w:val="0"/>
            <w:vAlign w:val="center"/>
          </w:tcPr>
          <w:p w14:paraId="31A73408">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港口码头用地</w:t>
            </w:r>
          </w:p>
        </w:tc>
        <w:tc>
          <w:tcPr>
            <w:tcW w:w="3021" w:type="pct"/>
            <w:tcBorders>
              <w:top w:val="single" w:color="auto" w:sz="4" w:space="0"/>
            </w:tcBorders>
            <w:shd w:val="clear" w:color="auto" w:fill="FFFFFF"/>
            <w:noWrap w:val="0"/>
            <w:vAlign w:val="center"/>
          </w:tcPr>
          <w:p w14:paraId="4A1AD3E2">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指海港和河港的陆域部分，包括用于堆场、货运码头及其他港口设施的用地，不包括港口客运码头等交通场站用地</w:t>
            </w:r>
          </w:p>
        </w:tc>
        <w:tc>
          <w:tcPr>
            <w:tcW w:w="590" w:type="pct"/>
            <w:vMerge w:val="continue"/>
            <w:shd w:val="clear" w:color="auto" w:fill="FFFFFF"/>
            <w:noWrap w:val="0"/>
            <w:vAlign w:val="center"/>
          </w:tcPr>
          <w:p w14:paraId="56CD2D79">
            <w:pPr>
              <w:widowControl/>
              <w:spacing w:line="320" w:lineRule="exact"/>
              <w:jc w:val="center"/>
              <w:textAlignment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1F4D4EA9">
            <w:pPr>
              <w:widowControl/>
              <w:spacing w:line="320" w:lineRule="exact"/>
              <w:jc w:val="center"/>
              <w:rPr>
                <w:rFonts w:hint="eastAsia" w:ascii="仿宋_GB2312" w:hAnsi="仿宋_GB2312" w:eastAsia="仿宋_GB2312" w:cs="仿宋_GB2312"/>
                <w:color w:val="000000"/>
                <w:spacing w:val="-6"/>
                <w:sz w:val="21"/>
                <w:szCs w:val="21"/>
              </w:rPr>
            </w:pPr>
          </w:p>
        </w:tc>
      </w:tr>
      <w:tr w14:paraId="2E1A1EC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1292D70B">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1205</w:t>
            </w:r>
          </w:p>
        </w:tc>
        <w:tc>
          <w:tcPr>
            <w:tcW w:w="561" w:type="pct"/>
            <w:shd w:val="clear" w:color="auto" w:fill="FFFFFF"/>
            <w:noWrap w:val="0"/>
            <w:vAlign w:val="center"/>
          </w:tcPr>
          <w:p w14:paraId="59BFD908">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管道运输用地</w:t>
            </w:r>
          </w:p>
        </w:tc>
        <w:tc>
          <w:tcPr>
            <w:tcW w:w="3021" w:type="pct"/>
            <w:shd w:val="clear" w:color="auto" w:fill="FFFFFF"/>
            <w:noWrap w:val="0"/>
            <w:vAlign w:val="center"/>
          </w:tcPr>
          <w:p w14:paraId="45AC5AEB">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指运输矿石、石油和天然气等地面管道运输用地，地下管道运输规定的地面控制范围内的用地应按其地面实际用途归类</w:t>
            </w:r>
          </w:p>
        </w:tc>
        <w:tc>
          <w:tcPr>
            <w:tcW w:w="590" w:type="pct"/>
            <w:vMerge w:val="continue"/>
            <w:shd w:val="clear" w:color="auto" w:fill="FFFFFF"/>
            <w:noWrap w:val="0"/>
            <w:vAlign w:val="center"/>
          </w:tcPr>
          <w:p w14:paraId="120A0FFC">
            <w:pPr>
              <w:widowControl/>
              <w:spacing w:line="320" w:lineRule="exact"/>
              <w:jc w:val="center"/>
              <w:textAlignment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666E5782">
            <w:pPr>
              <w:widowControl/>
              <w:spacing w:line="320" w:lineRule="exact"/>
              <w:jc w:val="center"/>
              <w:rPr>
                <w:rFonts w:hint="eastAsia" w:ascii="仿宋_GB2312" w:hAnsi="仿宋_GB2312" w:eastAsia="仿宋_GB2312" w:cs="仿宋_GB2312"/>
                <w:color w:val="000000"/>
                <w:spacing w:val="-6"/>
                <w:sz w:val="21"/>
                <w:szCs w:val="21"/>
              </w:rPr>
            </w:pPr>
          </w:p>
        </w:tc>
      </w:tr>
      <w:tr w14:paraId="6FF634F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61851F1A">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1206</w:t>
            </w:r>
          </w:p>
        </w:tc>
        <w:tc>
          <w:tcPr>
            <w:tcW w:w="561" w:type="pct"/>
            <w:shd w:val="clear" w:color="auto" w:fill="FFFFFF"/>
            <w:noWrap w:val="0"/>
            <w:vAlign w:val="center"/>
          </w:tcPr>
          <w:p w14:paraId="2A4F9B6D">
            <w:pPr>
              <w:widowControl/>
              <w:spacing w:line="32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pacing w:val="0"/>
                <w:w w:val="100"/>
                <w:kern w:val="0"/>
                <w:sz w:val="21"/>
                <w:szCs w:val="21"/>
                <w:fitText w:val="840" w:id="505509643"/>
              </w:rPr>
              <w:t>城市轨道</w:t>
            </w:r>
          </w:p>
          <w:p w14:paraId="081274BD">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0"/>
                <w:w w:val="100"/>
                <w:kern w:val="0"/>
                <w:sz w:val="21"/>
                <w:szCs w:val="21"/>
                <w:fitText w:val="840" w:id="896277312"/>
              </w:rPr>
              <w:t>交通用地</w:t>
            </w:r>
          </w:p>
        </w:tc>
        <w:tc>
          <w:tcPr>
            <w:tcW w:w="3021" w:type="pct"/>
            <w:shd w:val="clear" w:color="auto" w:fill="FFFFFF"/>
            <w:noWrap w:val="0"/>
            <w:vAlign w:val="center"/>
          </w:tcPr>
          <w:p w14:paraId="7C0D4CDD">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指独立占地的城市轨道交通地面以上部分的线路、站点用地</w:t>
            </w:r>
          </w:p>
        </w:tc>
        <w:tc>
          <w:tcPr>
            <w:tcW w:w="590" w:type="pct"/>
            <w:vMerge w:val="continue"/>
            <w:shd w:val="clear" w:color="auto" w:fill="FFFFFF"/>
            <w:noWrap w:val="0"/>
            <w:vAlign w:val="center"/>
          </w:tcPr>
          <w:p w14:paraId="67FCC4B0">
            <w:pPr>
              <w:widowControl/>
              <w:spacing w:line="320" w:lineRule="exact"/>
              <w:jc w:val="center"/>
              <w:textAlignment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43F5A25A">
            <w:pPr>
              <w:widowControl/>
              <w:spacing w:line="320" w:lineRule="exact"/>
              <w:jc w:val="center"/>
              <w:rPr>
                <w:rFonts w:hint="eastAsia" w:ascii="仿宋_GB2312" w:hAnsi="仿宋_GB2312" w:eastAsia="仿宋_GB2312" w:cs="仿宋_GB2312"/>
                <w:color w:val="000000"/>
                <w:spacing w:val="-6"/>
                <w:sz w:val="21"/>
                <w:szCs w:val="21"/>
              </w:rPr>
            </w:pPr>
          </w:p>
        </w:tc>
      </w:tr>
      <w:tr w14:paraId="38FA642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bottom w:val="single" w:color="auto" w:sz="4" w:space="0"/>
            </w:tcBorders>
            <w:shd w:val="clear" w:color="auto" w:fill="FFFFFF"/>
            <w:noWrap w:val="0"/>
            <w:vAlign w:val="center"/>
          </w:tcPr>
          <w:p w14:paraId="2D241C70">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1207</w:t>
            </w:r>
          </w:p>
        </w:tc>
        <w:tc>
          <w:tcPr>
            <w:tcW w:w="561" w:type="pct"/>
            <w:tcBorders>
              <w:bottom w:val="single" w:color="auto" w:sz="4" w:space="0"/>
            </w:tcBorders>
            <w:shd w:val="clear" w:color="auto" w:fill="FFFFFF"/>
            <w:noWrap w:val="0"/>
            <w:vAlign w:val="center"/>
          </w:tcPr>
          <w:p w14:paraId="78B8A5A6">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城镇村道路用地</w:t>
            </w:r>
          </w:p>
        </w:tc>
        <w:tc>
          <w:tcPr>
            <w:tcW w:w="3021" w:type="pct"/>
            <w:tcBorders>
              <w:bottom w:val="single" w:color="auto" w:sz="4" w:space="0"/>
            </w:tcBorders>
            <w:shd w:val="clear" w:color="auto" w:fill="FFFFFF"/>
            <w:noWrap w:val="0"/>
            <w:vAlign w:val="center"/>
          </w:tcPr>
          <w:p w14:paraId="522A0E6B">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指城镇、村庄范围内公用道路及行道树用地，包括快速路、主干路、次干路、支路、专用人行道和非机动车道等用地，包括其交叉口用地</w:t>
            </w:r>
          </w:p>
        </w:tc>
        <w:tc>
          <w:tcPr>
            <w:tcW w:w="590" w:type="pct"/>
            <w:vMerge w:val="continue"/>
            <w:tcBorders>
              <w:bottom w:val="single" w:color="auto" w:sz="4" w:space="0"/>
            </w:tcBorders>
            <w:shd w:val="clear" w:color="auto" w:fill="FFFFFF"/>
            <w:noWrap w:val="0"/>
            <w:vAlign w:val="center"/>
          </w:tcPr>
          <w:p w14:paraId="3E8A9EAD">
            <w:pPr>
              <w:widowControl/>
              <w:spacing w:line="320" w:lineRule="exact"/>
              <w:jc w:val="center"/>
              <w:textAlignment w:val="center"/>
              <w:rPr>
                <w:rFonts w:hint="eastAsia" w:ascii="仿宋_GB2312" w:hAnsi="仿宋_GB2312" w:eastAsia="仿宋_GB2312" w:cs="仿宋_GB2312"/>
                <w:color w:val="000000"/>
                <w:spacing w:val="-6"/>
                <w:sz w:val="21"/>
                <w:szCs w:val="21"/>
              </w:rPr>
            </w:pPr>
          </w:p>
        </w:tc>
        <w:tc>
          <w:tcPr>
            <w:tcW w:w="403" w:type="pct"/>
            <w:vMerge w:val="continue"/>
            <w:tcBorders>
              <w:bottom w:val="single" w:color="auto" w:sz="4" w:space="0"/>
              <w:right w:val="nil"/>
            </w:tcBorders>
            <w:shd w:val="clear" w:color="auto" w:fill="FFFFFF"/>
            <w:noWrap w:val="0"/>
            <w:vAlign w:val="center"/>
          </w:tcPr>
          <w:p w14:paraId="7C246A86">
            <w:pPr>
              <w:widowControl/>
              <w:spacing w:line="320" w:lineRule="exact"/>
              <w:jc w:val="center"/>
              <w:rPr>
                <w:rFonts w:hint="eastAsia" w:ascii="仿宋_GB2312" w:hAnsi="仿宋_GB2312" w:eastAsia="仿宋_GB2312" w:cs="仿宋_GB2312"/>
                <w:color w:val="000000"/>
                <w:spacing w:val="-6"/>
                <w:sz w:val="21"/>
                <w:szCs w:val="21"/>
              </w:rPr>
            </w:pPr>
          </w:p>
        </w:tc>
      </w:tr>
      <w:tr w14:paraId="4B674DA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top w:val="single" w:color="auto" w:sz="4" w:space="0"/>
              <w:left w:val="nil"/>
            </w:tcBorders>
            <w:shd w:val="clear" w:color="auto" w:fill="FFFFFF"/>
            <w:noWrap w:val="0"/>
            <w:vAlign w:val="center"/>
          </w:tcPr>
          <w:p w14:paraId="769091A8">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1208</w:t>
            </w:r>
          </w:p>
        </w:tc>
        <w:tc>
          <w:tcPr>
            <w:tcW w:w="561" w:type="pct"/>
            <w:tcBorders>
              <w:top w:val="single" w:color="auto" w:sz="4" w:space="0"/>
            </w:tcBorders>
            <w:shd w:val="clear" w:color="auto" w:fill="FFFFFF"/>
            <w:noWrap w:val="0"/>
            <w:vAlign w:val="center"/>
          </w:tcPr>
          <w:p w14:paraId="0B3D82AA">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交通场站用地</w:t>
            </w:r>
          </w:p>
        </w:tc>
        <w:tc>
          <w:tcPr>
            <w:tcW w:w="3021" w:type="pct"/>
            <w:tcBorders>
              <w:top w:val="single" w:color="auto" w:sz="4" w:space="0"/>
            </w:tcBorders>
            <w:shd w:val="clear" w:color="auto" w:fill="FFFFFF"/>
            <w:noWrap w:val="0"/>
            <w:vAlign w:val="center"/>
          </w:tcPr>
          <w:p w14:paraId="5C87AD54">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指交通服务设施用地，不包括交通指挥中心、交通队等行政办公设施用地</w:t>
            </w:r>
          </w:p>
        </w:tc>
        <w:tc>
          <w:tcPr>
            <w:tcW w:w="1064" w:type="dxa"/>
            <w:vMerge w:val="restart"/>
            <w:tcBorders>
              <w:top w:val="single" w:color="auto" w:sz="4" w:space="0"/>
            </w:tcBorders>
            <w:shd w:val="clear" w:color="auto" w:fill="FFFFFF"/>
            <w:noWrap w:val="0"/>
            <w:vAlign w:val="center"/>
          </w:tcPr>
          <w:p w14:paraId="67EE754B">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公用设施用地</w:t>
            </w:r>
          </w:p>
        </w:tc>
        <w:tc>
          <w:tcPr>
            <w:tcW w:w="727" w:type="dxa"/>
            <w:vMerge w:val="restart"/>
            <w:tcBorders>
              <w:top w:val="single" w:color="auto" w:sz="4" w:space="0"/>
              <w:right w:val="nil"/>
            </w:tcBorders>
            <w:shd w:val="clear" w:color="auto" w:fill="FFFFFF"/>
            <w:noWrap w:val="0"/>
            <w:vAlign w:val="center"/>
          </w:tcPr>
          <w:p w14:paraId="7B1FEBA1">
            <w:pPr>
              <w:widowControl/>
              <w:spacing w:line="320" w:lineRule="exact"/>
              <w:jc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kern w:val="0"/>
                <w:sz w:val="21"/>
                <w:szCs w:val="21"/>
              </w:rPr>
              <w:t>100%</w:t>
            </w:r>
          </w:p>
        </w:tc>
      </w:tr>
      <w:tr w14:paraId="1917368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194B3000">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1209</w:t>
            </w:r>
          </w:p>
        </w:tc>
        <w:tc>
          <w:tcPr>
            <w:tcW w:w="561" w:type="pct"/>
            <w:shd w:val="clear" w:color="auto" w:fill="FFFFFF"/>
            <w:noWrap w:val="0"/>
            <w:vAlign w:val="center"/>
          </w:tcPr>
          <w:p w14:paraId="2DA7A73E">
            <w:pPr>
              <w:widowControl/>
              <w:spacing w:line="32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pacing w:val="0"/>
                <w:w w:val="100"/>
                <w:kern w:val="0"/>
                <w:sz w:val="21"/>
                <w:szCs w:val="21"/>
                <w:fitText w:val="840" w:id="1777743934"/>
              </w:rPr>
              <w:t>其他交通</w:t>
            </w:r>
          </w:p>
          <w:p w14:paraId="73D3182C">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0"/>
                <w:w w:val="100"/>
                <w:kern w:val="0"/>
                <w:sz w:val="21"/>
                <w:szCs w:val="21"/>
                <w:fitText w:val="840" w:id="293821362"/>
              </w:rPr>
              <w:t>设施用地</w:t>
            </w:r>
          </w:p>
        </w:tc>
        <w:tc>
          <w:tcPr>
            <w:tcW w:w="3021" w:type="pct"/>
            <w:shd w:val="clear" w:color="auto" w:fill="FFFFFF"/>
            <w:noWrap w:val="0"/>
            <w:vAlign w:val="center"/>
          </w:tcPr>
          <w:p w14:paraId="6442D98A">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指铁路客货运站、公路长途客运站、港口客运码头及其附属设施用地</w:t>
            </w:r>
          </w:p>
        </w:tc>
        <w:tc>
          <w:tcPr>
            <w:tcW w:w="590" w:type="pct"/>
            <w:vMerge w:val="continue"/>
            <w:shd w:val="clear" w:color="auto" w:fill="FFFFFF"/>
            <w:noWrap w:val="0"/>
            <w:vAlign w:val="center"/>
          </w:tcPr>
          <w:p w14:paraId="274BA473">
            <w:pPr>
              <w:widowControl/>
              <w:spacing w:line="320" w:lineRule="exact"/>
              <w:jc w:val="center"/>
              <w:textAlignment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4660F98B">
            <w:pPr>
              <w:widowControl/>
              <w:spacing w:line="320" w:lineRule="exact"/>
              <w:jc w:val="center"/>
              <w:rPr>
                <w:rFonts w:hint="eastAsia" w:ascii="仿宋_GB2312" w:hAnsi="仿宋_GB2312" w:eastAsia="仿宋_GB2312" w:cs="仿宋_GB2312"/>
                <w:color w:val="000000"/>
                <w:spacing w:val="-6"/>
                <w:sz w:val="21"/>
                <w:szCs w:val="21"/>
              </w:rPr>
            </w:pPr>
          </w:p>
        </w:tc>
      </w:tr>
      <w:tr w14:paraId="6F84D44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0352E9D5">
            <w:pPr>
              <w:widowControl/>
              <w:spacing w:line="320" w:lineRule="exact"/>
              <w:jc w:val="center"/>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14</w:t>
            </w:r>
          </w:p>
        </w:tc>
        <w:tc>
          <w:tcPr>
            <w:tcW w:w="561" w:type="pct"/>
            <w:shd w:val="clear" w:color="auto" w:fill="FFFFFF"/>
            <w:noWrap w:val="0"/>
            <w:vAlign w:val="center"/>
          </w:tcPr>
          <w:p w14:paraId="2067F257">
            <w:pPr>
              <w:widowControl/>
              <w:spacing w:line="320" w:lineRule="exact"/>
              <w:jc w:val="center"/>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0"/>
                <w:w w:val="82"/>
                <w:kern w:val="0"/>
                <w:sz w:val="21"/>
                <w:szCs w:val="21"/>
                <w:fitText w:val="689" w:id="840708086"/>
              </w:rPr>
              <w:t>绿地与</w:t>
            </w:r>
            <w:r>
              <w:rPr>
                <w:rFonts w:hint="eastAsia" w:ascii="仿宋_GB2312" w:hAnsi="仿宋_GB2312" w:eastAsia="仿宋_GB2312" w:cs="仿宋_GB2312"/>
                <w:b/>
                <w:bCs/>
                <w:color w:val="000000"/>
                <w:spacing w:val="-1"/>
                <w:w w:val="82"/>
                <w:kern w:val="0"/>
                <w:sz w:val="21"/>
                <w:szCs w:val="21"/>
                <w:fitText w:val="689" w:id="840708086"/>
              </w:rPr>
              <w:t>开</w:t>
            </w:r>
            <w:r>
              <w:rPr>
                <w:rFonts w:hint="eastAsia" w:ascii="仿宋_GB2312" w:hAnsi="仿宋_GB2312" w:eastAsia="仿宋_GB2312" w:cs="仿宋_GB2312"/>
                <w:b/>
                <w:bCs/>
                <w:color w:val="000000"/>
                <w:spacing w:val="0"/>
                <w:w w:val="81"/>
                <w:kern w:val="0"/>
                <w:sz w:val="21"/>
                <w:szCs w:val="21"/>
                <w:fitText w:val="857" w:id="905214877"/>
              </w:rPr>
              <w:t>敞空间用地</w:t>
            </w:r>
          </w:p>
        </w:tc>
        <w:tc>
          <w:tcPr>
            <w:tcW w:w="4016" w:type="pct"/>
            <w:gridSpan w:val="3"/>
            <w:tcBorders>
              <w:right w:val="nil"/>
            </w:tcBorders>
            <w:shd w:val="clear" w:color="auto" w:fill="FFFFFF"/>
            <w:noWrap w:val="0"/>
            <w:vAlign w:val="center"/>
          </w:tcPr>
          <w:p w14:paraId="261B2F14">
            <w:pPr>
              <w:widowControl/>
              <w:spacing w:line="320" w:lineRule="exact"/>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指城镇、村庄用地范围内的公园绿地、防护绿地、广场等公共开敞空间用地，不包括其他建设用地中的附属绿地</w:t>
            </w:r>
          </w:p>
        </w:tc>
      </w:tr>
      <w:tr w14:paraId="35A2B1E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6CB4C629">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1401</w:t>
            </w:r>
          </w:p>
        </w:tc>
        <w:tc>
          <w:tcPr>
            <w:tcW w:w="561" w:type="pct"/>
            <w:shd w:val="clear" w:color="auto" w:fill="FFFFFF"/>
            <w:noWrap w:val="0"/>
            <w:vAlign w:val="center"/>
          </w:tcPr>
          <w:p w14:paraId="0EC1FA18">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公园绿地</w:t>
            </w:r>
          </w:p>
        </w:tc>
        <w:tc>
          <w:tcPr>
            <w:tcW w:w="3021" w:type="pct"/>
            <w:shd w:val="clear" w:color="auto" w:fill="FFFFFF"/>
            <w:noWrap w:val="0"/>
            <w:vAlign w:val="center"/>
          </w:tcPr>
          <w:p w14:paraId="22E0E0DC">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指向公众开放，以游憩为主要功能，兼具生态、景观、文教、体育和应急避险等功能，有一定服务设施的公园和绿地，包括综合公园、社区公园、专类公园和游园等</w:t>
            </w:r>
          </w:p>
        </w:tc>
        <w:tc>
          <w:tcPr>
            <w:tcW w:w="590" w:type="pct"/>
            <w:vMerge w:val="restart"/>
            <w:shd w:val="clear" w:color="auto" w:fill="FFFFFF"/>
            <w:noWrap w:val="0"/>
            <w:vAlign w:val="center"/>
          </w:tcPr>
          <w:p w14:paraId="399E9077">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公用设施用地</w:t>
            </w:r>
          </w:p>
        </w:tc>
        <w:tc>
          <w:tcPr>
            <w:tcW w:w="403" w:type="pct"/>
            <w:vMerge w:val="restart"/>
            <w:tcBorders>
              <w:right w:val="nil"/>
            </w:tcBorders>
            <w:shd w:val="clear" w:color="auto" w:fill="FFFFFF"/>
            <w:noWrap w:val="0"/>
            <w:vAlign w:val="center"/>
          </w:tcPr>
          <w:p w14:paraId="4485A28C">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kern w:val="0"/>
                <w:sz w:val="21"/>
                <w:szCs w:val="21"/>
              </w:rPr>
              <w:t>100%</w:t>
            </w:r>
          </w:p>
        </w:tc>
      </w:tr>
      <w:tr w14:paraId="5092524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3DC3C8B3">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1402</w:t>
            </w:r>
          </w:p>
        </w:tc>
        <w:tc>
          <w:tcPr>
            <w:tcW w:w="561" w:type="pct"/>
            <w:shd w:val="clear" w:color="auto" w:fill="FFFFFF"/>
            <w:noWrap w:val="0"/>
            <w:vAlign w:val="center"/>
          </w:tcPr>
          <w:p w14:paraId="496FB8E7">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防护绿地</w:t>
            </w:r>
          </w:p>
        </w:tc>
        <w:tc>
          <w:tcPr>
            <w:tcW w:w="3021" w:type="pct"/>
            <w:shd w:val="clear" w:color="auto" w:fill="FFFFFF"/>
            <w:noWrap w:val="0"/>
            <w:vAlign w:val="center"/>
          </w:tcPr>
          <w:p w14:paraId="55C8A6A5">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指具有卫生、隔离、安全、生态防护功能，游人不宜进入的绿地</w:t>
            </w:r>
          </w:p>
        </w:tc>
        <w:tc>
          <w:tcPr>
            <w:tcW w:w="590" w:type="pct"/>
            <w:vMerge w:val="continue"/>
            <w:shd w:val="clear" w:color="auto" w:fill="FFFFFF"/>
            <w:noWrap w:val="0"/>
            <w:vAlign w:val="center"/>
          </w:tcPr>
          <w:p w14:paraId="3D8FC9FB">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0680F500">
            <w:pPr>
              <w:widowControl/>
              <w:spacing w:line="320" w:lineRule="exact"/>
              <w:jc w:val="center"/>
              <w:rPr>
                <w:rFonts w:hint="eastAsia" w:ascii="仿宋_GB2312" w:hAnsi="仿宋_GB2312" w:eastAsia="仿宋_GB2312" w:cs="仿宋_GB2312"/>
                <w:color w:val="000000"/>
                <w:spacing w:val="-6"/>
                <w:sz w:val="21"/>
                <w:szCs w:val="21"/>
              </w:rPr>
            </w:pPr>
          </w:p>
        </w:tc>
      </w:tr>
      <w:tr w14:paraId="5BA87FB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29264171">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1403</w:t>
            </w:r>
          </w:p>
        </w:tc>
        <w:tc>
          <w:tcPr>
            <w:tcW w:w="561" w:type="pct"/>
            <w:shd w:val="clear" w:color="auto" w:fill="FFFFFF"/>
            <w:noWrap w:val="0"/>
            <w:vAlign w:val="center"/>
          </w:tcPr>
          <w:p w14:paraId="767678CC">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广场用地</w:t>
            </w:r>
          </w:p>
        </w:tc>
        <w:tc>
          <w:tcPr>
            <w:tcW w:w="3021" w:type="pct"/>
            <w:shd w:val="clear" w:color="auto" w:fill="FFFFFF"/>
            <w:noWrap w:val="0"/>
            <w:vAlign w:val="center"/>
          </w:tcPr>
          <w:p w14:paraId="5BECF7A2">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指以游憩、健身、纪念、集会和避险等功能为主的公共活动场地</w:t>
            </w:r>
          </w:p>
        </w:tc>
        <w:tc>
          <w:tcPr>
            <w:tcW w:w="590" w:type="pct"/>
            <w:vMerge w:val="continue"/>
            <w:shd w:val="clear" w:color="auto" w:fill="FFFFFF"/>
            <w:noWrap w:val="0"/>
            <w:vAlign w:val="center"/>
          </w:tcPr>
          <w:p w14:paraId="69977493">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590536EF">
            <w:pPr>
              <w:widowControl/>
              <w:spacing w:line="320" w:lineRule="exact"/>
              <w:jc w:val="center"/>
              <w:rPr>
                <w:rFonts w:hint="eastAsia" w:ascii="仿宋_GB2312" w:hAnsi="仿宋_GB2312" w:eastAsia="仿宋_GB2312" w:cs="仿宋_GB2312"/>
                <w:color w:val="000000"/>
                <w:spacing w:val="-6"/>
                <w:sz w:val="21"/>
                <w:szCs w:val="21"/>
              </w:rPr>
            </w:pPr>
          </w:p>
        </w:tc>
      </w:tr>
      <w:tr w14:paraId="7673D1B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6DB4EDBC">
            <w:pPr>
              <w:widowControl/>
              <w:spacing w:line="320" w:lineRule="exact"/>
              <w:jc w:val="center"/>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15</w:t>
            </w:r>
          </w:p>
        </w:tc>
        <w:tc>
          <w:tcPr>
            <w:tcW w:w="561" w:type="pct"/>
            <w:shd w:val="clear" w:color="auto" w:fill="FFFFFF"/>
            <w:noWrap w:val="0"/>
            <w:vAlign w:val="center"/>
          </w:tcPr>
          <w:p w14:paraId="7EC6C89B">
            <w:pPr>
              <w:widowControl/>
              <w:spacing w:line="320" w:lineRule="exact"/>
              <w:jc w:val="center"/>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特殊用地</w:t>
            </w:r>
          </w:p>
        </w:tc>
        <w:tc>
          <w:tcPr>
            <w:tcW w:w="4016" w:type="pct"/>
            <w:gridSpan w:val="3"/>
            <w:tcBorders>
              <w:right w:val="nil"/>
            </w:tcBorders>
            <w:shd w:val="clear" w:color="auto" w:fill="FFFFFF"/>
            <w:noWrap w:val="0"/>
            <w:vAlign w:val="center"/>
          </w:tcPr>
          <w:p w14:paraId="5107FDA8">
            <w:pPr>
              <w:widowControl/>
              <w:spacing w:line="320" w:lineRule="exact"/>
              <w:textAlignment w:val="center"/>
              <w:rPr>
                <w:rFonts w:hint="eastAsia" w:ascii="仿宋_GB2312" w:hAnsi="仿宋_GB2312" w:eastAsia="仿宋_GB2312" w:cs="仿宋_GB2312"/>
                <w:b/>
                <w:bCs/>
                <w:color w:val="000000"/>
                <w:spacing w:val="-6"/>
                <w:kern w:val="0"/>
                <w:sz w:val="21"/>
                <w:szCs w:val="21"/>
              </w:rPr>
            </w:pPr>
            <w:r>
              <w:rPr>
                <w:rFonts w:hint="eastAsia" w:ascii="仿宋_GB2312" w:hAnsi="仿宋_GB2312" w:eastAsia="仿宋_GB2312" w:cs="仿宋_GB2312"/>
                <w:b/>
                <w:bCs/>
                <w:color w:val="000000"/>
                <w:spacing w:val="-6"/>
                <w:kern w:val="0"/>
                <w:sz w:val="21"/>
                <w:szCs w:val="21"/>
              </w:rPr>
              <w:t>指军事、外事、宗教、安保、殡葬，以及文物古迹等具有特殊性质的用地</w:t>
            </w:r>
          </w:p>
        </w:tc>
      </w:tr>
      <w:tr w14:paraId="09F3E5A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6D4CB965">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1501</w:t>
            </w:r>
          </w:p>
        </w:tc>
        <w:tc>
          <w:tcPr>
            <w:tcW w:w="561" w:type="pct"/>
            <w:shd w:val="clear" w:color="auto" w:fill="FFFFFF"/>
            <w:noWrap w:val="0"/>
            <w:vAlign w:val="center"/>
          </w:tcPr>
          <w:p w14:paraId="74234075">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军事设施用地</w:t>
            </w:r>
          </w:p>
        </w:tc>
        <w:tc>
          <w:tcPr>
            <w:tcW w:w="3021" w:type="pct"/>
            <w:shd w:val="clear" w:color="auto" w:fill="FFFFFF"/>
            <w:noWrap w:val="0"/>
            <w:vAlign w:val="center"/>
          </w:tcPr>
          <w:p w14:paraId="16A279C7">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指直接用于军事目的的设施用地</w:t>
            </w:r>
          </w:p>
        </w:tc>
        <w:tc>
          <w:tcPr>
            <w:tcW w:w="590" w:type="pct"/>
            <w:shd w:val="clear" w:color="auto" w:fill="FFFFFF"/>
            <w:noWrap w:val="0"/>
            <w:vAlign w:val="center"/>
          </w:tcPr>
          <w:p w14:paraId="601C81D9">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sz w:val="21"/>
                <w:szCs w:val="21"/>
              </w:rPr>
              <w:t>按实际用途</w:t>
            </w:r>
          </w:p>
        </w:tc>
        <w:tc>
          <w:tcPr>
            <w:tcW w:w="403" w:type="pct"/>
            <w:tcBorders>
              <w:right w:val="nil"/>
            </w:tcBorders>
            <w:shd w:val="clear" w:color="auto" w:fill="FFFFFF"/>
            <w:noWrap w:val="0"/>
            <w:vAlign w:val="center"/>
          </w:tcPr>
          <w:p w14:paraId="79401C75">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kern w:val="0"/>
                <w:sz w:val="21"/>
                <w:szCs w:val="21"/>
              </w:rPr>
              <w:t>100%</w:t>
            </w:r>
          </w:p>
        </w:tc>
      </w:tr>
      <w:tr w14:paraId="7F106D3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17AF9C33">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1502</w:t>
            </w:r>
          </w:p>
        </w:tc>
        <w:tc>
          <w:tcPr>
            <w:tcW w:w="561" w:type="pct"/>
            <w:shd w:val="clear" w:color="auto" w:fill="FFFFFF"/>
            <w:noWrap w:val="0"/>
            <w:vAlign w:val="center"/>
          </w:tcPr>
          <w:p w14:paraId="68204145">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使领馆用地</w:t>
            </w:r>
          </w:p>
        </w:tc>
        <w:tc>
          <w:tcPr>
            <w:tcW w:w="3021" w:type="pct"/>
            <w:shd w:val="clear" w:color="auto" w:fill="FFFFFF"/>
            <w:noWrap w:val="0"/>
            <w:vAlign w:val="center"/>
          </w:tcPr>
          <w:p w14:paraId="6C54D290">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指外国驻华使领馆、国际机构办事处及其附属设施等用地</w:t>
            </w:r>
          </w:p>
        </w:tc>
        <w:tc>
          <w:tcPr>
            <w:tcW w:w="590" w:type="pct"/>
            <w:vMerge w:val="restart"/>
            <w:shd w:val="clear" w:color="auto" w:fill="FFFFFF"/>
            <w:noWrap w:val="0"/>
            <w:vAlign w:val="center"/>
          </w:tcPr>
          <w:p w14:paraId="045CE3C4">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sz w:val="21"/>
                <w:szCs w:val="21"/>
              </w:rPr>
              <w:t>公共管理与公共服务用地</w:t>
            </w:r>
          </w:p>
        </w:tc>
        <w:tc>
          <w:tcPr>
            <w:tcW w:w="403" w:type="pct"/>
            <w:vMerge w:val="restart"/>
            <w:tcBorders>
              <w:right w:val="nil"/>
            </w:tcBorders>
            <w:shd w:val="clear" w:color="auto" w:fill="FFFFFF"/>
            <w:noWrap w:val="0"/>
            <w:vAlign w:val="center"/>
          </w:tcPr>
          <w:p w14:paraId="46A5650F">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kern w:val="0"/>
                <w:sz w:val="21"/>
                <w:szCs w:val="21"/>
              </w:rPr>
              <w:t>100%</w:t>
            </w:r>
          </w:p>
        </w:tc>
      </w:tr>
      <w:tr w14:paraId="34C6DA5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13CFF72D">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1503</w:t>
            </w:r>
          </w:p>
        </w:tc>
        <w:tc>
          <w:tcPr>
            <w:tcW w:w="561" w:type="pct"/>
            <w:shd w:val="clear" w:color="auto" w:fill="FFFFFF"/>
            <w:noWrap w:val="0"/>
            <w:vAlign w:val="center"/>
          </w:tcPr>
          <w:p w14:paraId="224B830E">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宗教用地</w:t>
            </w:r>
          </w:p>
        </w:tc>
        <w:tc>
          <w:tcPr>
            <w:tcW w:w="3021" w:type="pct"/>
            <w:shd w:val="clear" w:color="auto" w:fill="FFFFFF"/>
            <w:noWrap w:val="0"/>
            <w:vAlign w:val="center"/>
          </w:tcPr>
          <w:p w14:paraId="353C19FC">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指宗教活动场所用地</w:t>
            </w:r>
          </w:p>
        </w:tc>
        <w:tc>
          <w:tcPr>
            <w:tcW w:w="590" w:type="pct"/>
            <w:vMerge w:val="continue"/>
            <w:shd w:val="clear" w:color="auto" w:fill="FFFFFF"/>
            <w:noWrap w:val="0"/>
            <w:vAlign w:val="center"/>
          </w:tcPr>
          <w:p w14:paraId="18BCBAF9">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3927EB66">
            <w:pPr>
              <w:widowControl/>
              <w:spacing w:line="320" w:lineRule="exact"/>
              <w:jc w:val="center"/>
              <w:rPr>
                <w:rFonts w:hint="eastAsia" w:ascii="仿宋_GB2312" w:hAnsi="仿宋_GB2312" w:eastAsia="仿宋_GB2312" w:cs="仿宋_GB2312"/>
                <w:color w:val="000000"/>
                <w:spacing w:val="-6"/>
                <w:sz w:val="21"/>
                <w:szCs w:val="21"/>
              </w:rPr>
            </w:pPr>
          </w:p>
        </w:tc>
      </w:tr>
      <w:tr w14:paraId="7C4C3B9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tcBorders>
            <w:shd w:val="clear" w:color="auto" w:fill="FFFFFF"/>
            <w:noWrap w:val="0"/>
            <w:vAlign w:val="center"/>
          </w:tcPr>
          <w:p w14:paraId="2EEED149">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1504</w:t>
            </w:r>
          </w:p>
        </w:tc>
        <w:tc>
          <w:tcPr>
            <w:tcW w:w="561" w:type="pct"/>
            <w:shd w:val="clear" w:color="auto" w:fill="FFFFFF"/>
            <w:noWrap w:val="0"/>
            <w:vAlign w:val="center"/>
          </w:tcPr>
          <w:p w14:paraId="0999DEF6">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文物古迹用地</w:t>
            </w:r>
          </w:p>
        </w:tc>
        <w:tc>
          <w:tcPr>
            <w:tcW w:w="3021" w:type="pct"/>
            <w:shd w:val="clear" w:color="auto" w:fill="FFFFFF"/>
            <w:noWrap w:val="0"/>
            <w:vAlign w:val="center"/>
          </w:tcPr>
          <w:p w14:paraId="5D7C0654">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指具有保护价值的古遗址、古建筑、古墓葬、石窟寺、近现代史迹及纪念建筑等用地，不包括已作其他用途的文物古迹用地</w:t>
            </w:r>
          </w:p>
        </w:tc>
        <w:tc>
          <w:tcPr>
            <w:tcW w:w="590" w:type="pct"/>
            <w:vMerge w:val="continue"/>
            <w:shd w:val="clear" w:color="auto" w:fill="FFFFFF"/>
            <w:noWrap w:val="0"/>
            <w:vAlign w:val="center"/>
          </w:tcPr>
          <w:p w14:paraId="49917C64">
            <w:pPr>
              <w:widowControl/>
              <w:spacing w:line="320" w:lineRule="exact"/>
              <w:jc w:val="center"/>
              <w:rPr>
                <w:rFonts w:hint="eastAsia" w:ascii="仿宋_GB2312" w:hAnsi="仿宋_GB2312" w:eastAsia="仿宋_GB2312" w:cs="仿宋_GB2312"/>
                <w:color w:val="000000"/>
                <w:spacing w:val="-6"/>
                <w:sz w:val="21"/>
                <w:szCs w:val="21"/>
              </w:rPr>
            </w:pPr>
          </w:p>
        </w:tc>
        <w:tc>
          <w:tcPr>
            <w:tcW w:w="403" w:type="pct"/>
            <w:vMerge w:val="continue"/>
            <w:tcBorders>
              <w:right w:val="nil"/>
            </w:tcBorders>
            <w:shd w:val="clear" w:color="auto" w:fill="FFFFFF"/>
            <w:noWrap w:val="0"/>
            <w:vAlign w:val="center"/>
          </w:tcPr>
          <w:p w14:paraId="049756C4">
            <w:pPr>
              <w:widowControl/>
              <w:spacing w:line="320" w:lineRule="exact"/>
              <w:jc w:val="center"/>
              <w:rPr>
                <w:rFonts w:hint="eastAsia" w:ascii="仿宋_GB2312" w:hAnsi="仿宋_GB2312" w:eastAsia="仿宋_GB2312" w:cs="仿宋_GB2312"/>
                <w:color w:val="000000"/>
                <w:spacing w:val="-6"/>
                <w:sz w:val="21"/>
                <w:szCs w:val="21"/>
              </w:rPr>
            </w:pPr>
          </w:p>
        </w:tc>
      </w:tr>
      <w:tr w14:paraId="71ECB43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tcBorders>
              <w:left w:val="nil"/>
              <w:bottom w:val="single" w:color="auto" w:sz="4" w:space="0"/>
            </w:tcBorders>
            <w:shd w:val="clear" w:color="auto" w:fill="FFFFFF"/>
            <w:noWrap w:val="0"/>
            <w:vAlign w:val="center"/>
          </w:tcPr>
          <w:p w14:paraId="283AE0D8">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1505</w:t>
            </w:r>
          </w:p>
        </w:tc>
        <w:tc>
          <w:tcPr>
            <w:tcW w:w="561" w:type="pct"/>
            <w:tcBorders>
              <w:bottom w:val="single" w:color="auto" w:sz="4" w:space="0"/>
            </w:tcBorders>
            <w:shd w:val="clear" w:color="auto" w:fill="FFFFFF"/>
            <w:noWrap w:val="0"/>
            <w:vAlign w:val="center"/>
          </w:tcPr>
          <w:p w14:paraId="07192D0D">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监教场所用地</w:t>
            </w:r>
          </w:p>
        </w:tc>
        <w:tc>
          <w:tcPr>
            <w:tcW w:w="3021" w:type="pct"/>
            <w:tcBorders>
              <w:bottom w:val="single" w:color="auto" w:sz="4" w:space="0"/>
            </w:tcBorders>
            <w:shd w:val="clear" w:color="auto" w:fill="FFFFFF"/>
            <w:noWrap w:val="0"/>
            <w:vAlign w:val="center"/>
          </w:tcPr>
          <w:p w14:paraId="6B5BA8E7">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指监狱、看守所、劳改场、戒毒所等用地范围内的建设用地，不包括公安局等行政办公设施用地</w:t>
            </w:r>
          </w:p>
        </w:tc>
        <w:tc>
          <w:tcPr>
            <w:tcW w:w="590" w:type="pct"/>
            <w:tcBorders>
              <w:bottom w:val="single" w:color="auto" w:sz="4" w:space="0"/>
            </w:tcBorders>
            <w:shd w:val="clear" w:color="auto" w:fill="FFFFFF"/>
            <w:noWrap w:val="0"/>
            <w:vAlign w:val="center"/>
          </w:tcPr>
          <w:p w14:paraId="2F479B39">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工业用地</w:t>
            </w:r>
          </w:p>
        </w:tc>
        <w:tc>
          <w:tcPr>
            <w:tcW w:w="403" w:type="pct"/>
            <w:tcBorders>
              <w:bottom w:val="single" w:color="auto" w:sz="4" w:space="0"/>
              <w:right w:val="nil"/>
            </w:tcBorders>
            <w:shd w:val="clear" w:color="auto" w:fill="FFFFFF"/>
            <w:noWrap w:val="0"/>
            <w:vAlign w:val="center"/>
          </w:tcPr>
          <w:p w14:paraId="185A5F61">
            <w:pPr>
              <w:widowControl/>
              <w:spacing w:line="32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100%</w:t>
            </w:r>
          </w:p>
        </w:tc>
      </w:tr>
      <w:tr w14:paraId="035A6AD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Merge w:val="restart"/>
            <w:tcBorders>
              <w:top w:val="single" w:color="auto" w:sz="4" w:space="0"/>
              <w:left w:val="nil"/>
            </w:tcBorders>
            <w:shd w:val="clear" w:color="auto" w:fill="FFFFFF"/>
            <w:noWrap w:val="0"/>
            <w:vAlign w:val="center"/>
          </w:tcPr>
          <w:p w14:paraId="715933BF">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1506</w:t>
            </w:r>
          </w:p>
        </w:tc>
        <w:tc>
          <w:tcPr>
            <w:tcW w:w="561" w:type="pct"/>
            <w:vMerge w:val="restart"/>
            <w:tcBorders>
              <w:top w:val="single" w:color="auto" w:sz="4" w:space="0"/>
            </w:tcBorders>
            <w:shd w:val="clear" w:color="auto" w:fill="FFFFFF"/>
            <w:noWrap w:val="0"/>
            <w:vAlign w:val="center"/>
          </w:tcPr>
          <w:p w14:paraId="1DBA2019">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殡葬用地</w:t>
            </w:r>
          </w:p>
        </w:tc>
        <w:tc>
          <w:tcPr>
            <w:tcW w:w="3021" w:type="pct"/>
            <w:tcBorders>
              <w:top w:val="single" w:color="auto" w:sz="4" w:space="0"/>
            </w:tcBorders>
            <w:shd w:val="clear" w:color="auto" w:fill="FFFFFF"/>
            <w:noWrap w:val="0"/>
            <w:vAlign w:val="center"/>
          </w:tcPr>
          <w:p w14:paraId="51ED7F7D">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指殡仪馆、火葬场、骨灰存放处和陵园、墓地等用地</w:t>
            </w:r>
          </w:p>
        </w:tc>
        <w:tc>
          <w:tcPr>
            <w:tcW w:w="590" w:type="pct"/>
            <w:tcBorders>
              <w:top w:val="single" w:color="auto" w:sz="4" w:space="0"/>
            </w:tcBorders>
            <w:shd w:val="clear" w:color="auto" w:fill="FFFFFF"/>
            <w:noWrap w:val="0"/>
            <w:vAlign w:val="center"/>
          </w:tcPr>
          <w:p w14:paraId="25F43ABC">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公共管理与公共服务用地</w:t>
            </w:r>
          </w:p>
        </w:tc>
        <w:tc>
          <w:tcPr>
            <w:tcW w:w="403" w:type="pct"/>
            <w:tcBorders>
              <w:top w:val="single" w:color="auto" w:sz="4" w:space="0"/>
              <w:right w:val="nil"/>
            </w:tcBorders>
            <w:shd w:val="clear" w:color="auto" w:fill="FFFFFF"/>
            <w:noWrap w:val="0"/>
            <w:vAlign w:val="center"/>
          </w:tcPr>
          <w:p w14:paraId="7B0FCF69">
            <w:pPr>
              <w:widowControl/>
              <w:spacing w:line="32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100%</w:t>
            </w:r>
          </w:p>
        </w:tc>
      </w:tr>
      <w:tr w14:paraId="489B605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Merge w:val="continue"/>
            <w:tcBorders>
              <w:left w:val="nil"/>
              <w:bottom w:val="single" w:color="000000" w:sz="12" w:space="0"/>
            </w:tcBorders>
            <w:shd w:val="clear" w:color="auto" w:fill="FFFFFF"/>
            <w:noWrap w:val="0"/>
            <w:vAlign w:val="center"/>
          </w:tcPr>
          <w:p w14:paraId="1FA4D16F">
            <w:pPr>
              <w:widowControl/>
              <w:spacing w:line="320" w:lineRule="exact"/>
              <w:jc w:val="center"/>
              <w:rPr>
                <w:rFonts w:hint="eastAsia" w:ascii="仿宋_GB2312" w:hAnsi="仿宋_GB2312" w:eastAsia="仿宋_GB2312" w:cs="仿宋_GB2312"/>
                <w:color w:val="000000"/>
                <w:spacing w:val="-6"/>
                <w:sz w:val="21"/>
                <w:szCs w:val="21"/>
              </w:rPr>
            </w:pPr>
          </w:p>
        </w:tc>
        <w:tc>
          <w:tcPr>
            <w:tcW w:w="561" w:type="pct"/>
            <w:vMerge w:val="continue"/>
            <w:tcBorders>
              <w:bottom w:val="single" w:color="000000" w:sz="12" w:space="0"/>
            </w:tcBorders>
            <w:shd w:val="clear" w:color="auto" w:fill="FFFFFF"/>
            <w:noWrap w:val="0"/>
            <w:vAlign w:val="center"/>
          </w:tcPr>
          <w:p w14:paraId="1DA3E0D6">
            <w:pPr>
              <w:widowControl/>
              <w:spacing w:line="320" w:lineRule="exact"/>
              <w:jc w:val="center"/>
              <w:rPr>
                <w:rFonts w:hint="eastAsia" w:ascii="仿宋_GB2312" w:hAnsi="仿宋_GB2312" w:eastAsia="仿宋_GB2312" w:cs="仿宋_GB2312"/>
                <w:color w:val="000000"/>
                <w:spacing w:val="-6"/>
                <w:sz w:val="21"/>
                <w:szCs w:val="21"/>
              </w:rPr>
            </w:pPr>
          </w:p>
        </w:tc>
        <w:tc>
          <w:tcPr>
            <w:tcW w:w="3021" w:type="pct"/>
            <w:tcBorders>
              <w:bottom w:val="single" w:color="000000" w:sz="12" w:space="0"/>
            </w:tcBorders>
            <w:shd w:val="clear" w:color="auto" w:fill="FFFFFF"/>
            <w:noWrap w:val="0"/>
            <w:vAlign w:val="center"/>
          </w:tcPr>
          <w:p w14:paraId="0AE26B0A">
            <w:pPr>
              <w:widowControl/>
              <w:spacing w:line="320" w:lineRule="exact"/>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其中：具有商业经营性质的殡葬用地</w:t>
            </w:r>
          </w:p>
        </w:tc>
        <w:tc>
          <w:tcPr>
            <w:tcW w:w="590" w:type="pct"/>
            <w:tcBorders>
              <w:bottom w:val="single" w:color="000000" w:sz="12" w:space="0"/>
            </w:tcBorders>
            <w:shd w:val="clear" w:color="auto" w:fill="FFFFFF"/>
            <w:noWrap w:val="0"/>
            <w:vAlign w:val="center"/>
          </w:tcPr>
          <w:p w14:paraId="777B1179">
            <w:pPr>
              <w:widowControl/>
              <w:spacing w:line="320" w:lineRule="exact"/>
              <w:jc w:val="center"/>
              <w:textAlignment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kern w:val="0"/>
                <w:sz w:val="21"/>
                <w:szCs w:val="21"/>
              </w:rPr>
              <w:t>商业服务业用地</w:t>
            </w:r>
          </w:p>
        </w:tc>
        <w:tc>
          <w:tcPr>
            <w:tcW w:w="403" w:type="pct"/>
            <w:tcBorders>
              <w:bottom w:val="single" w:color="000000" w:sz="12" w:space="0"/>
              <w:right w:val="nil"/>
            </w:tcBorders>
            <w:shd w:val="clear" w:color="auto" w:fill="FFFFFF"/>
            <w:noWrap w:val="0"/>
            <w:vAlign w:val="center"/>
          </w:tcPr>
          <w:p w14:paraId="24F92168">
            <w:pPr>
              <w:widowControl/>
              <w:spacing w:line="32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100%</w:t>
            </w:r>
          </w:p>
        </w:tc>
      </w:tr>
    </w:tbl>
    <w:p w14:paraId="1D8EBA77">
      <w:pPr>
        <w:pStyle w:val="4"/>
        <w:sectPr>
          <w:pgSz w:w="11906" w:h="16838"/>
          <w:pgMar w:top="2098" w:right="1474" w:bottom="1984" w:left="1587" w:header="851" w:footer="992" w:gutter="0"/>
          <w:pgNumType w:fmt="decimal"/>
          <w:cols w:space="720" w:num="1"/>
          <w:docGrid w:type="lines" w:linePitch="312" w:charSpace="0"/>
        </w:sectPr>
      </w:pPr>
    </w:p>
    <w:p w14:paraId="28937FB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方正仿宋_GB2312">
    <w:altName w:val="仿宋"/>
    <w:panose1 w:val="02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9BE0B">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2701290</wp:posOffset>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D85289">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12.7pt;margin-top:-3pt;height:144pt;width:144pt;mso-position-horizontal-relative:margin;mso-wrap-style:none;z-index:251659264;mso-width-relative:page;mso-height-relative:page;" filled="f" stroked="f" coordsize="21600,21600" o:gfxdata="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m0Oaf1wAAAAoBAAAPAAAAAAAAAAEAIAAAACIAAABkcnMvZG93&#10;bnJldi54bWxQSwECFAAUAAAACACHTuJA5KL+z8gBAACZAwAADgAAAAAAAAABACAAAAAmAQAAZHJz&#10;L2Uyb0RvYy54bWxQSwUGAAAAAAYABgBZAQAAYAUAAAAA&#10;">
              <v:path/>
              <v:fill on="f" focussize="0,0"/>
              <v:stroke on="f"/>
              <v:imagedata o:title=""/>
              <o:lock v:ext="edit" aspectratio="f"/>
              <v:textbox inset="0mm,0mm,0mm,0mm" style="mso-fit-shape-to-text:t;">
                <w:txbxContent>
                  <w:p w14:paraId="17D85289">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B52F5"/>
    <w:rsid w:val="75EB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jc w:val="center"/>
      <w:outlineLvl w:val="0"/>
    </w:pPr>
    <w:rPr>
      <w:rFonts w:ascii="方正小标宋简体" w:hAnsi="方正小标宋简体" w:eastAsia="方正小标宋简体" w:cs="方正小标宋简体"/>
      <w:sz w:val="32"/>
      <w:szCs w:val="32"/>
    </w:rPr>
  </w:style>
  <w:style w:type="paragraph" w:styleId="4">
    <w:name w:val="heading 2"/>
    <w:basedOn w:val="1"/>
    <w:next w:val="1"/>
    <w:unhideWhenUsed/>
    <w:qFormat/>
    <w:uiPriority w:val="0"/>
    <w:pPr>
      <w:ind w:firstLine="640" w:firstLineChars="200"/>
      <w:jc w:val="left"/>
      <w:outlineLvl w:val="1"/>
    </w:pPr>
    <w:rPr>
      <w:rFonts w:ascii="黑体" w:hAnsi="黑体" w:eastAsia="黑体" w:cs="黑体"/>
      <w:sz w:val="32"/>
      <w:szCs w:val="32"/>
    </w:rPr>
  </w:style>
  <w:style w:type="paragraph" w:styleId="5">
    <w:name w:val="heading 3"/>
    <w:basedOn w:val="1"/>
    <w:next w:val="1"/>
    <w:unhideWhenUsed/>
    <w:qFormat/>
    <w:uiPriority w:val="0"/>
    <w:pPr>
      <w:spacing w:line="600" w:lineRule="exact"/>
      <w:ind w:firstLine="640" w:firstLineChars="200"/>
      <w:outlineLvl w:val="2"/>
    </w:pPr>
    <w:rPr>
      <w:rFonts w:ascii="楷体_GB2312" w:hAnsi="楷体_GB2312" w:eastAsia="楷体_GB2312" w:cs="楷体_GB2312"/>
      <w:b/>
      <w:bCs/>
      <w:sz w:val="32"/>
      <w:szCs w:val="32"/>
    </w:rPr>
  </w:style>
  <w:style w:type="paragraph" w:styleId="6">
    <w:name w:val="heading 4"/>
    <w:basedOn w:val="1"/>
    <w:next w:val="1"/>
    <w:unhideWhenUsed/>
    <w:qFormat/>
    <w:uiPriority w:val="0"/>
    <w:pPr>
      <w:spacing w:line="600" w:lineRule="exact"/>
      <w:ind w:firstLine="640" w:firstLineChars="200"/>
      <w:outlineLvl w:val="3"/>
    </w:pPr>
    <w:rPr>
      <w:rFonts w:ascii="仿宋_GB2312" w:hAnsi="仿宋_GB2312" w:eastAsia="仿宋_GB2312" w:cs="仿宋_GB2312"/>
      <w:b/>
      <w:bCs/>
      <w:kern w:val="0"/>
      <w:sz w:val="32"/>
      <w:szCs w:val="32"/>
    </w:rPr>
  </w:style>
  <w:style w:type="paragraph" w:styleId="7">
    <w:name w:val="heading 8"/>
    <w:basedOn w:val="1"/>
    <w:next w:val="1"/>
    <w:unhideWhenUsed/>
    <w:qFormat/>
    <w:uiPriority w:val="0"/>
    <w:pPr>
      <w:keepNext/>
      <w:keepLines/>
      <w:spacing w:before="240" w:after="64" w:line="317" w:lineRule="auto"/>
      <w:outlineLvl w:val="7"/>
    </w:pPr>
    <w:rPr>
      <w:rFonts w:ascii="Arial" w:hAnsi="Arial" w:eastAsia="黑体"/>
      <w:sz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0"/>
      <w:sz w:val="32"/>
      <w:szCs w:val="32"/>
    </w:rPr>
  </w:style>
  <w:style w:type="paragraph" w:styleId="8">
    <w:name w:val="footer"/>
    <w:basedOn w:val="1"/>
    <w:unhideWhenUsed/>
    <w:qFormat/>
    <w:uiPriority w:val="99"/>
    <w:pPr>
      <w:tabs>
        <w:tab w:val="center" w:pos="4153"/>
        <w:tab w:val="right" w:pos="8306"/>
      </w:tabs>
      <w:jc w:val="left"/>
    </w:pPr>
    <w:rPr>
      <w:sz w:val="18"/>
      <w:szCs w:val="18"/>
    </w:rPr>
  </w:style>
  <w:style w:type="paragraph" w:customStyle="1" w:styleId="11">
    <w:name w:val="表格单位"/>
    <w:basedOn w:val="1"/>
    <w:qFormat/>
    <w:uiPriority w:val="0"/>
    <w:pPr>
      <w:spacing w:line="600" w:lineRule="exact"/>
      <w:ind w:firstLine="640" w:firstLineChars="200"/>
      <w:jc w:val="right"/>
    </w:pPr>
    <w:rPr>
      <w:rFonts w:eastAsia="仿宋_GB2312"/>
      <w:sz w:val="28"/>
      <w:szCs w:val="28"/>
    </w:rPr>
  </w:style>
  <w:style w:type="paragraph" w:customStyle="1" w:styleId="12">
    <w:name w:val="表格内容1"/>
    <w:basedOn w:val="7"/>
    <w:qFormat/>
    <w:uiPriority w:val="0"/>
    <w:pPr>
      <w:spacing w:after="0" w:line="240" w:lineRule="exact"/>
      <w:jc w:val="center"/>
    </w:pPr>
    <w:rPr>
      <w:rFonts w:ascii="宋体" w:hAnsi="宋体" w:eastAsia="宋体" w:cs="宋体"/>
      <w:color w:val="000000"/>
      <w:sz w:val="21"/>
      <w:szCs w:val="21"/>
    </w:rPr>
  </w:style>
  <w:style w:type="paragraph" w:customStyle="1" w:styleId="13">
    <w:name w:val="表格标题"/>
    <w:basedOn w:val="1"/>
    <w:qFormat/>
    <w:uiPriority w:val="0"/>
    <w:pPr>
      <w:jc w:val="center"/>
    </w:pPr>
    <w:rPr>
      <w:rFonts w:hint="eastAsia" w:ascii="仿宋_GB2312" w:hAnsi="仿宋_GB2312" w:eastAsia="仿宋_GB2312" w:cs="仿宋_GB2312"/>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2025-06-04T01:57:00Z</dcterms:created>
  <dc:creator>v</dc:creator>
  <cp:lastModifiedBy>v</cp:lastModifiedBy>
  <dcterms:modified xsi:type="dcterms:W3CDTF">2025-06-04T01:59:25Z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2102720E6C0545F5AB0595719E4FA340_11</vt:lpwstr>
  </property>
  <property fmtid="{D5CDD505-2E9C-101B-9397-08002B2CF9AE}" pid="4" name="KSOTemplateDocerSaveRecord">
    <vt:lpwstr>eyJoZGlkIjoiZTIzMjExNzNmMTI2NDc1NDM5Y2ExOGE5NTBlMjkwNTYifQ==</vt:lpwstr>
  </property>
</Properties>
</file>