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A104D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sz w:val="44"/>
          <w:szCs w:val="44"/>
          <w:lang w:val="en-US" w:eastAsia="zh-CN"/>
        </w:rPr>
        <w:t>2025</w:t>
      </w:r>
      <w:r>
        <w:rPr>
          <w:rFonts w:hint="eastAsia"/>
          <w:sz w:val="44"/>
          <w:szCs w:val="44"/>
          <w:lang w:val="en-US" w:eastAsia="zh-CN"/>
        </w:rPr>
        <w:t>年转移支付收入及预算安排情况说明</w:t>
      </w:r>
    </w:p>
    <w:p w14:paraId="45606F54">
      <w:pPr>
        <w:rPr>
          <w:rFonts w:hint="eastAsia"/>
          <w:sz w:val="44"/>
          <w:szCs w:val="44"/>
          <w:lang w:val="en-US" w:eastAsia="zh-CN"/>
        </w:rPr>
      </w:pPr>
    </w:p>
    <w:p w14:paraId="2ADEBE32"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2025年预算安排转移支付收入150998万元，其中：返还性收入5905万元，一般性转移支付收入安排145093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万元，专项转移支付收入未作安排。转移支付收入优先安排“三保”支出，并结合本级财力保障基本支出和必需安排的项目支出。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xMDkzMTJjNWI4OThkODM3MGU0YmZjZmM5YmE2NWYifQ=="/>
  </w:docVars>
  <w:rsids>
    <w:rsidRoot w:val="279A7331"/>
    <w:rsid w:val="0DFB7A83"/>
    <w:rsid w:val="1E044E8B"/>
    <w:rsid w:val="257B5228"/>
    <w:rsid w:val="279A7331"/>
    <w:rsid w:val="630753D1"/>
    <w:rsid w:val="7DEB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133</Characters>
  <Lines>0</Lines>
  <Paragraphs>0</Paragraphs>
  <TotalTime>6</TotalTime>
  <ScaleCrop>false</ScaleCrop>
  <LinksUpToDate>false</LinksUpToDate>
  <CharactersWithSpaces>137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2023-12-18T07:46:00Z</dcterms:created>
  <dc:creator>财赢政通</dc:creator>
  <cp:lastModifiedBy>财赢政通</cp:lastModifiedBy>
  <dcterms:modified xsi:type="dcterms:W3CDTF">2025-01-13T07:25:24Z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50A07D7CF5AD453293D5A82459045F2B_13</vt:lpwstr>
  </property>
  <property fmtid="{D5CDD505-2E9C-101B-9397-08002B2CF9AE}" pid="4" name="KSOTemplateDocerSaveRecord">
    <vt:lpwstr>eyJoZGlkIjoiZTkxMDkzMTJjNWI4OThkODM3MGU0YmZjZmM5YmE2NWYiLCJ1c2VySWQiOiI5NzgxMjEzOTIifQ==</vt:lpwstr>
  </property>
</Properties>
</file>