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辽宁省朝阳市喀喇沁左翼蒙古族自治县蒙古族史料整理编纂中心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负责挖掘整理喀左县历史，翻译喀左县蒙文历史档案，搜集整理蒙古族历史文化资料，蒙古族文史资料学习宣传，新闻采访，对外学习交流，编纂出版《喀左文史资料》《蒙古族百年实录》《喀左政协报》等事务性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辽宁省朝阳市喀喇沁左翼蒙古族自治县蒙古族史料整理编纂中心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喀左县蒙古族史料整理编纂中心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22.09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增加22.09万元，上年无此项收入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新设立二级户</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22.09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工资福利支出20.21万元；商品和服务支出1.88万元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增加22.09万元，上年无此项支出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新设立二级户</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增加22.09万元，上年无此项支出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新设立二级户</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103.18</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103.18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2025年度一般公共预算财政拨款支出22.09万元。按支出功能分类科目分，包括：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1.一般公共服务支出17.34万元，具体包括：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（1）一般公共服务支出（类）政协事务（款）事业运行（项）17.34万元，主要是职工工资等支出。完成年初预算的104.84%，决算数与年初预算数存在差异的主要原因是人员工资调整等。</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2.社会保障和就业支出2.15万元，具体包括：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2.15万元，主要是职工养老保险等支出。完成年初预算的94.3%，决算数与年初预算数存在差异的主要原因是养老保险调整等实际支出。</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3.卫生健康支出0.94万元，具体包括：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（1）卫生健康支出（类）行政事业单位医疗（款）事业单位医疗（项）0.94万元，主要是职工医疗保险等支出。完成年初预算的97.92%，决算数与年初预算数存在差异的主要原因是医疗保险调整实际支出。</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4.住房保障支出1.65万元，具体包括：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（1）住房保障支出（类）住房改革支出（款）住房公积金（项）1.65万元，主要是职工住房公积金等支出。完成年初预算的101.23%，决算数与年初预算数存在差异的主要原因是住房公积金调整等。</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无此项支出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无此项预算</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无此项支出</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无此项支出</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22.09</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20.21</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，主要包括基本工资、津贴补贴、奖金、其他社会保障缴费、机关事业单位基本养老保险缴费、住房公积金等；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1.88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，主要包括办公费、印刷费、手续费、邮电费、差旅费、维修（护）费、会议费、培训费、劳务费、工会经费、其他商品和服务支出、办公设备购置等。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无此项预算</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2025年度部门（单位）整体绩效自评结果，总评价得分100分。《部门（单位）整体绩效自评表》见附件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22.09</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17.34</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2.15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0.94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1.65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22.09</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22.09</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22.09</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22.09</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22.09</w:t>
            </w:r>
          </w:p>
        </w:tc>
        <w:tc>
          <w:tcPr>
            <w:tcW w:w="940" w:type="dxa"/>
            <w:vAlign w:val="center"/>
          </w:tcPr>
          <w:p>
            <w:pPr>
              <w:snapToGrid w:val="0"/>
              <w:jc w:val="right"/>
            </w:pPr>
            <w:r>
              <w:rPr>
                <w:rFonts w:ascii="宋体" w:eastAsia="宋体" w:hAnsi="宋体" w:cs="宋体"/>
                <w:b/>
                <w:i w:val="0"/>
                <w:color w:val="262626"/>
                <w:sz w:val="16"/>
              </w:rPr>
              <w:t xml:space="preserve">22.09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20102</w:t>
            </w:r>
          </w:p>
        </w:tc>
        <w:tc>
          <w:tcPr>
            <w:tcW w:w="3760" w:type="dxa"/>
            <w:vAlign w:val="center"/>
          </w:tcPr>
          <w:p>
            <w:pPr>
              <w:snapToGrid w:val="0"/>
              <w:jc w:val="left"/>
            </w:pPr>
            <w:r>
              <w:rPr>
                <w:rFonts w:ascii="宋体" w:eastAsia="宋体" w:hAnsi="宋体" w:cs="宋体"/>
                <w:b w:val="0"/>
                <w:i w:val="0"/>
                <w:color w:val="262626"/>
                <w:sz w:val="16"/>
              </w:rPr>
              <w:t xml:space="preserve">政协事务</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2010250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940" w:type="dxa"/>
            <w:vAlign w:val="center"/>
          </w:tcPr>
          <w:p>
            <w:pPr>
              <w:snapToGrid w:val="0"/>
              <w:jc w:val="right"/>
            </w:pPr>
            <w:r>
              <w:rPr>
                <w:rFonts w:ascii="宋体" w:eastAsia="宋体" w:hAnsi="宋体" w:cs="宋体"/>
                <w:b w:val="0"/>
                <w:i w:val="0"/>
                <w:color w:val="262626"/>
                <w:sz w:val="16"/>
              </w:rPr>
              <w:t xml:space="preserve">17.34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940" w:type="dxa"/>
            <w:vAlign w:val="center"/>
          </w:tcPr>
          <w:p>
            <w:pPr>
              <w:snapToGrid w:val="0"/>
              <w:jc w:val="right"/>
            </w:pPr>
            <w:r>
              <w:rPr>
                <w:rFonts w:ascii="宋体" w:eastAsia="宋体" w:hAnsi="宋体" w:cs="宋体"/>
                <w:b w:val="0"/>
                <w:i w:val="0"/>
                <w:color w:val="262626"/>
                <w:sz w:val="16"/>
              </w:rPr>
              <w:t xml:space="preserve">2.15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940" w:type="dxa"/>
            <w:vAlign w:val="center"/>
          </w:tcPr>
          <w:p>
            <w:pPr>
              <w:snapToGrid w:val="0"/>
              <w:jc w:val="right"/>
            </w:pPr>
            <w:r>
              <w:rPr>
                <w:rFonts w:ascii="宋体" w:eastAsia="宋体" w:hAnsi="宋体" w:cs="宋体"/>
                <w:b w:val="0"/>
                <w:i w:val="0"/>
                <w:color w:val="262626"/>
                <w:sz w:val="16"/>
              </w:rPr>
              <w:t xml:space="preserve">0.94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940" w:type="dxa"/>
            <w:vAlign w:val="center"/>
          </w:tcPr>
          <w:p>
            <w:pPr>
              <w:snapToGrid w:val="0"/>
              <w:jc w:val="right"/>
            </w:pPr>
            <w:r>
              <w:rPr>
                <w:rFonts w:ascii="宋体" w:eastAsia="宋体" w:hAnsi="宋体" w:cs="宋体"/>
                <w:b w:val="0"/>
                <w:i w:val="0"/>
                <w:color w:val="262626"/>
                <w:sz w:val="16"/>
              </w:rPr>
              <w:t xml:space="preserve">1.65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22.09</w:t>
            </w:r>
          </w:p>
        </w:tc>
        <w:tc>
          <w:tcPr>
            <w:tcW w:w="1000" w:type="dxa"/>
            <w:vAlign w:val="center"/>
          </w:tcPr>
          <w:p>
            <w:pPr>
              <w:snapToGrid w:val="0"/>
              <w:jc w:val="right"/>
            </w:pPr>
            <w:r>
              <w:rPr>
                <w:rFonts w:ascii="宋体" w:eastAsia="宋体" w:hAnsi="宋体" w:cs="宋体"/>
                <w:b/>
                <w:i w:val="0"/>
                <w:color w:val="000000"/>
                <w:sz w:val="16"/>
              </w:rPr>
              <w:t xml:space="preserve">22.09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20102</w:t>
            </w:r>
          </w:p>
        </w:tc>
        <w:tc>
          <w:tcPr>
            <w:tcW w:w="3960" w:type="dxa"/>
            <w:vAlign w:val="center"/>
          </w:tcPr>
          <w:p>
            <w:pPr>
              <w:snapToGrid w:val="0"/>
              <w:jc w:val="left"/>
            </w:pPr>
            <w:r>
              <w:rPr>
                <w:rFonts w:ascii="宋体" w:eastAsia="宋体" w:hAnsi="宋体" w:cs="宋体"/>
                <w:b w:val="0"/>
                <w:i w:val="0"/>
                <w:color w:val="000000"/>
                <w:sz w:val="16"/>
              </w:rPr>
              <w:t xml:space="preserve">政协事务</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2010250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pPr>
              <w:snapToGrid w:val="0"/>
              <w:jc w:val="right"/>
            </w:pPr>
            <w:r>
              <w:rPr>
                <w:rFonts w:ascii="宋体" w:eastAsia="宋体" w:hAnsi="宋体" w:cs="宋体"/>
                <w:b w:val="0"/>
                <w:i w:val="0"/>
                <w:color w:val="000000"/>
                <w:sz w:val="16"/>
              </w:rPr>
              <w:t xml:space="preserve">17.34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pPr>
              <w:snapToGrid w:val="0"/>
              <w:jc w:val="right"/>
            </w:pPr>
            <w:r>
              <w:rPr>
                <w:rFonts w:ascii="宋体" w:eastAsia="宋体" w:hAnsi="宋体" w:cs="宋体"/>
                <w:b w:val="0"/>
                <w:i w:val="0"/>
                <w:color w:val="000000"/>
                <w:sz w:val="16"/>
              </w:rPr>
              <w:t xml:space="preserve">2.15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pPr>
              <w:snapToGrid w:val="0"/>
              <w:jc w:val="right"/>
            </w:pPr>
            <w:r>
              <w:rPr>
                <w:rFonts w:ascii="宋体" w:eastAsia="宋体" w:hAnsi="宋体" w:cs="宋体"/>
                <w:b w:val="0"/>
                <w:i w:val="0"/>
                <w:color w:val="000000"/>
                <w:sz w:val="16"/>
              </w:rPr>
              <w:t xml:space="preserve">0.94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pPr>
              <w:snapToGrid w:val="0"/>
              <w:jc w:val="right"/>
            </w:pPr>
            <w:r>
              <w:rPr>
                <w:rFonts w:ascii="宋体" w:eastAsia="宋体" w:hAnsi="宋体" w:cs="宋体"/>
                <w:b w:val="0"/>
                <w:i w:val="0"/>
                <w:color w:val="000000"/>
                <w:sz w:val="16"/>
              </w:rPr>
              <w:t xml:space="preserve">1.65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17.34</w:t>
            </w:r>
          </w:p>
        </w:tc>
        <w:tc>
          <w:tcPr>
            <w:tcW w:w="1060" w:type="dxa"/>
            <w:vAlign w:val="center"/>
          </w:tcPr>
          <w:p>
            <w:pPr>
              <w:snapToGrid w:val="0"/>
              <w:jc w:val="right"/>
            </w:pPr>
            <w:r>
              <w:rPr>
                <w:rFonts w:ascii="宋体" w:eastAsia="宋体" w:hAnsi="宋体" w:cs="宋体"/>
                <w:b w:val="0"/>
                <w:i w:val="0"/>
                <w:color w:val="000000"/>
                <w:sz w:val="13"/>
              </w:rPr>
              <w:t xml:space="preserve">17.34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2.15</w:t>
            </w:r>
          </w:p>
        </w:tc>
        <w:tc>
          <w:tcPr>
            <w:tcW w:w="1060" w:type="dxa"/>
            <w:vAlign w:val="center"/>
          </w:tcPr>
          <w:p>
            <w:pPr>
              <w:snapToGrid w:val="0"/>
              <w:jc w:val="right"/>
            </w:pPr>
            <w:r>
              <w:rPr>
                <w:rFonts w:ascii="宋体" w:eastAsia="宋体" w:hAnsi="宋体" w:cs="宋体"/>
                <w:b w:val="0"/>
                <w:i w:val="0"/>
                <w:color w:val="000000"/>
                <w:sz w:val="13"/>
              </w:rPr>
              <w:t xml:space="preserve">2.15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0.94</w:t>
            </w:r>
          </w:p>
        </w:tc>
        <w:tc>
          <w:tcPr>
            <w:tcW w:w="1060" w:type="dxa"/>
            <w:vAlign w:val="center"/>
          </w:tcPr>
          <w:p>
            <w:pPr>
              <w:snapToGrid w:val="0"/>
              <w:jc w:val="right"/>
            </w:pPr>
            <w:r>
              <w:rPr>
                <w:rFonts w:ascii="宋体" w:eastAsia="宋体" w:hAnsi="宋体" w:cs="宋体"/>
                <w:b w:val="0"/>
                <w:i w:val="0"/>
                <w:color w:val="000000"/>
                <w:sz w:val="13"/>
              </w:rPr>
              <w:t xml:space="preserve">0.94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1.65</w:t>
            </w:r>
          </w:p>
        </w:tc>
        <w:tc>
          <w:tcPr>
            <w:tcW w:w="1060" w:type="dxa"/>
            <w:vAlign w:val="center"/>
          </w:tcPr>
          <w:p>
            <w:pPr>
              <w:snapToGrid w:val="0"/>
              <w:jc w:val="right"/>
            </w:pPr>
            <w:r>
              <w:rPr>
                <w:rFonts w:ascii="宋体" w:eastAsia="宋体" w:hAnsi="宋体" w:cs="宋体"/>
                <w:b w:val="0"/>
                <w:i w:val="0"/>
                <w:color w:val="000000"/>
                <w:sz w:val="13"/>
              </w:rPr>
              <w:t xml:space="preserve">1.65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1060" w:type="dxa"/>
            <w:vAlign w:val="center"/>
          </w:tcPr>
          <w:p>
            <w:pPr>
              <w:snapToGrid w:val="0"/>
              <w:jc w:val="right"/>
            </w:pPr>
            <w:r>
              <w:rPr>
                <w:rFonts w:ascii="宋体" w:eastAsia="宋体" w:hAnsi="宋体" w:cs="宋体"/>
                <w:b w:val="0"/>
                <w:i w:val="0"/>
                <w:color w:val="000000"/>
                <w:sz w:val="13"/>
              </w:rPr>
              <w:t xml:space="preserve">22.09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22.09</w:t>
            </w:r>
          </w:p>
        </w:tc>
        <w:tc>
          <w:tcPr>
            <w:tcW w:w="1820" w:type="dxa"/>
            <w:vAlign w:val="center"/>
          </w:tcPr>
          <w:p>
            <w:pPr>
              <w:snapToGrid w:val="0"/>
              <w:jc w:val="right"/>
            </w:pPr>
            <w:r>
              <w:rPr>
                <w:rFonts w:ascii="宋体" w:eastAsia="宋体" w:hAnsi="宋体" w:cs="宋体"/>
                <w:b/>
                <w:i w:val="0"/>
                <w:color w:val="000000"/>
                <w:sz w:val="18"/>
              </w:rPr>
              <w:t xml:space="preserve">22.09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20102</w:t>
            </w:r>
          </w:p>
        </w:tc>
        <w:tc>
          <w:tcPr>
            <w:tcW w:w="4440" w:type="dxa"/>
            <w:vAlign w:val="center"/>
          </w:tcPr>
          <w:p>
            <w:pPr>
              <w:snapToGrid w:val="0"/>
              <w:jc w:val="left"/>
            </w:pPr>
            <w:r>
              <w:rPr>
                <w:rFonts w:ascii="宋体" w:eastAsia="宋体" w:hAnsi="宋体" w:cs="宋体"/>
                <w:b w:val="0"/>
                <w:i w:val="0"/>
                <w:color w:val="000000"/>
                <w:sz w:val="18"/>
              </w:rPr>
              <w:t xml:space="preserve">政协事务</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2010250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20" w:type="dxa"/>
            <w:vAlign w:val="center"/>
          </w:tcPr>
          <w:p>
            <w:pPr>
              <w:snapToGrid w:val="0"/>
              <w:jc w:val="right"/>
            </w:pPr>
            <w:r>
              <w:rPr>
                <w:rFonts w:ascii="宋体" w:eastAsia="宋体" w:hAnsi="宋体" w:cs="宋体"/>
                <w:b w:val="0"/>
                <w:i w:val="0"/>
                <w:color w:val="000000"/>
                <w:sz w:val="18"/>
              </w:rPr>
              <w:t xml:space="preserve">17.34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20" w:type="dxa"/>
            <w:vAlign w:val="center"/>
          </w:tcPr>
          <w:p>
            <w:pPr>
              <w:snapToGrid w:val="0"/>
              <w:jc w:val="right"/>
            </w:pPr>
            <w:r>
              <w:rPr>
                <w:rFonts w:ascii="宋体" w:eastAsia="宋体" w:hAnsi="宋体" w:cs="宋体"/>
                <w:b w:val="0"/>
                <w:i w:val="0"/>
                <w:color w:val="000000"/>
                <w:sz w:val="18"/>
              </w:rPr>
              <w:t xml:space="preserve">2.15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20" w:type="dxa"/>
            <w:vAlign w:val="center"/>
          </w:tcPr>
          <w:p>
            <w:pPr>
              <w:snapToGrid w:val="0"/>
              <w:jc w:val="right"/>
            </w:pPr>
            <w:r>
              <w:rPr>
                <w:rFonts w:ascii="宋体" w:eastAsia="宋体" w:hAnsi="宋体" w:cs="宋体"/>
                <w:b w:val="0"/>
                <w:i w:val="0"/>
                <w:color w:val="000000"/>
                <w:sz w:val="18"/>
              </w:rPr>
              <w:t xml:space="preserve">0.94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20" w:type="dxa"/>
            <w:vAlign w:val="center"/>
          </w:tcPr>
          <w:p>
            <w:pPr>
              <w:snapToGrid w:val="0"/>
              <w:jc w:val="right"/>
            </w:pPr>
            <w:r>
              <w:rPr>
                <w:rFonts w:ascii="宋体" w:eastAsia="宋体" w:hAnsi="宋体" w:cs="宋体"/>
                <w:b w:val="0"/>
                <w:i w:val="0"/>
                <w:color w:val="000000"/>
                <w:sz w:val="18"/>
              </w:rPr>
              <w:t xml:space="preserve">1.65</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20.21</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1.88</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9.97</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1.18</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4.56</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0.89</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2.15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0.94</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0.27</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0.04</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1.65</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pPr>
              <w:snapToGrid w:val="0"/>
              <w:jc w:val="right"/>
            </w:pPr>
            <w:r>
              <w:rPr>
                <w:rFonts w:ascii="宋体" w:eastAsia="宋体" w:hAnsi="宋体" w:cs="宋体"/>
                <w:b w:val="0"/>
                <w:i w:val="0"/>
                <w:color w:val="262626"/>
                <w:sz w:val="13"/>
              </w:rPr>
              <w:t xml:space="preserve">0.43</w:t>
            </w: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20.21</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1.88</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单位:辽宁省朝阳市喀喇沁左翼蒙古族自治县蒙古族史料整理编纂中心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002002喀左县蒙古族史料整理编纂中心-211324000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21.41</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21.41</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0.32</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0.32</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19.89</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19.88</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1.88</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1.88</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保证工作平稳运行，各项工作顺利开展；保障各类人员的工资保险及时发放，协助政府完成相关工作任务；按要求，按时间完成本年整体目标。</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按要求，按时间完成本年整体目标。</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政治效益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党的建设指标考核工作完成率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维稳问题解决率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经费保障提升率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问题整改落实率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参会人员满意度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参训人员满意度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体制改革成效率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建立预算绩效管理机制</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p>
    <w:sectPr>
      <w:pgSz w:w="16839" w:h="11907" w:orient="landscape"/>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theme" Target="theme/theme1.xml" /><Relationship Id="rId31" Type="http://schemas.openxmlformats.org/officeDocument/2006/relationships/styles" Target="styles.xml" /><Relationship Id="rId32"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23</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