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中国共产主义青年团辽宁省朝阳市喀喇沁左翼蒙古族自治县委员会</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围绕县委工作中心，动员、组织全县各级团组织和广大团员青年积极投身两个文明建设，发挥突击队、生力军作用。抓好“推优”工作，发现和培养各类青年人才，并积极向党政组织和各类管理岗位输送。组织“青年志愿者”、“青年文明号”活动，开展健康有益的青年文化活动，寓教育于活动之中，提高青年的思想、文化、道德素质。负责领导学校共青团工作，注重学生思想品德教育，组织社会实践活动，指导学生会和文化社团工作。发掘、培养、宣传青年典型，组织杰出青年的评选活动，树立青年学习榜样。教育和引导团员青年高举中国特色社会主义伟大旗帜，贯彻落实党的基本路线、方针、政策和决策部署。关心青少年的工作、学习和生活，围绕党政所需、青少年所急、共青团所能，切实服务青少年；积极保护青少年合法权益，有效预防青少年违法犯罪。加强全县团干部队伍建设，推动选好配强各级团的领导班子；落实从严治团，强化团员和团干部教育管理，严格团干部考核监督。完成县委、县政府交办的其他任务。</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中国共产主义青年团辽宁省朝阳市喀喇沁左翼蒙古族自治县委员会</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中国共产主义青年团辽宁省喀喇沁左翼蒙古族自治县委员会</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79.02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79.02</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79.02</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减少7.81万元,下降8.99%</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本年度在职人员变动、工资变动</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79.02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64.41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81.51</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工资福利支出54.64万元；商品和服务支出9.77万元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14.62</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18.50</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主要包括综合性经费、机要经费、办公经费等等业务支出。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减少7.81万元,下降8.99%</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本年度在职人员变动、工资变动</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预算编制精准规范，财政资金执行到位，全年收支平衡，年末无结转结余，与上年持平。</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79.02</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64.41</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14.62</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减少7.81万元，下降8.99%</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年度内在职人员变动、工资变动</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103.51</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84.37</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2025年度一般公共预算财政拨款支出79.02万元。按支出功能分类科目分，包括：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1.一般公共服务支出65.51万元，具体包括：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群众团体事务（款）行政运行（项）50.89万元，主要是人员经费、办公经费等支出。完成年初预算的92.36%，决算数与年初预算数存在差异的主要原因是年度内在职人员变动、工资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群众团体事务（款）一般行政管理事务（项）14.62万元，主要是会议费、人才经费、共青团专项资金等支出。完成年初预算的0.00%，决算数与年初预算数存在差异的主要原因是上级专项资金年初难以精准测算，年终据实发生相关开支，形成预决算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2.社会保障和就业支出5.87万元，具体包括：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5.87万元，主要是单位缴纳在职人员基本养老保险缴费等支出。完成年初预算的85.08%，决算数与年初预算数存在差异的主要原因是年度内在职人员变动、工资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3.卫生健康支出2.91万元，具体包括：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2.91万元，主要是年度内在职人员医疗保险缴费等支出。完成年初预算的89.27%，决算数与年初预算数存在差异的主要原因是年度内人员发生变动、医疗缴费基数调整，造成实际缴费与年初预算存在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4.住房保障支出4.73万元，具体包括：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4.73万元，主要是住房公积金等支出。完成年初预算的42.73%，决算数与年初预算数存在差异的主要原因是年度内人员发生变动、住房公积金缴费基数调整。</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严格执行“三公”经费管理规定，严控经费开支，按照批复预算足额规范执行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本年度未安排因公出国任务，相应经费未发生支出</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本年度未安排因公出国任务，相应经费未发生支出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严格落实公务接待管理办法，本年度未发生公务接待事项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严格落实公务接待管理办法，本年度未发生公务接待事项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本年度未产生相关支出</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本年度未产生相关支出</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64.41</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54.64</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，主要包括基本工资、津贴补贴、奖金、绩效工资、机关事业单位基本养老保险缴费、职业年金缴费、医疗保险缴费、其他社会保障缴费、住房公积金，以及无需等对个人和家庭的补助支出等；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9.77</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，主要包括办公费、邮电费、差旅费、及其他商品和服务支出等。等。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9.77</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比上年增加0.35万元，增长3.72%</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年度内在职人员变动、工资变动</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w:t>
      </w:r>
      <w:r>
        <w:rPr>
          <w:rFonts w:ascii="仿宋_GB2312" w:eastAsia="仿宋_GB2312" w:hAnsi="宋体" w:hint="eastAsia"/>
          <w:sz w:val="32"/>
          <w:szCs w:val="32"/>
        </w:rPr>
        <w:t xml:space="preserve">，其他用车主要是单位业务综合公务用车等</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部门组织对2025年度预算项目支出全面开展绩效自评，共涉及预算支出项目3个（其中：一般公共预算项目3个，政府性基金预算项目0个，国有资本经营预算项目0个），涉及资金14.62万元（其中：一般公共预算资金14.62万元，政府性基金预算资金0万元，国有资本经营预算资金0万元），自评覆盖率（开展绩效自评的项目数/年初批复绩效目标的项目数*100%）达到100%，自评平均分（开展绩效自评的项目分数总和/开展绩效自评的项目数）100分。</w:t>
      </w:r>
    </w:p>
    <w:p>
      <w:pPr>
        <w:spacing w:line="540" w:lineRule="exact"/>
      </w:pPr>
      <w:r>
        <w:rPr>
          <w:rFonts w:ascii="仿宋_GB2312" w:eastAsia="仿宋_GB2312" w:hAnsi="宋体" w:cs="仿宋_GB2312" w:hint="eastAsia"/>
          <w:kern w:val="0.0"/>
          <w:sz w:val="32"/>
          <w:szCs w:val="32"/>
        </w:rPr>
        <w:t xml:space="preserve">    组织对1个单位开展部门（单位）整体绩效自评，涉及资金76.34万元，自评平均分100分。《部门（单位）整体绩效自评表》见附件。</w:t>
      </w:r>
    </w:p>
    <w:p>
      <w:pPr>
        <w:spacing w:line="540" w:lineRule="exact"/>
      </w:pPr>
      <w:r>
        <w:rPr>
          <w:rFonts w:ascii="仿宋_GB2312" w:eastAsia="仿宋_GB2312" w:hAnsi="宋体" w:cs="仿宋_GB2312" w:hint="eastAsia"/>
          <w:kern w:val="0.0"/>
          <w:sz w:val="32"/>
          <w:szCs w:val="32"/>
        </w:rPr>
        <w:t xml:space="preserve">    本部门组织对“会议费”、“人才经费”、“共青团专项资金”等3项目开展了部门评价，涉及资金14.62万元（其中：一般公共预算资金14.62万元，政府性基金预算资金0万元，国有资本经营预算资金0万元）。从评价情况来看本单位按时间按要求完成了本年度绩效目标。</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本部门在2025年度省直部门决算中反映会议费、人才经费、共青团专项资金等3个项目绩效自评结果。</w:t>
      </w:r>
    </w:p>
    <w:p>
      <w:pPr>
        <w:spacing w:line="540" w:lineRule="exact"/>
      </w:pPr>
      <w:r>
        <w:rPr>
          <w:rFonts w:ascii="仿宋_GB2312" w:eastAsia="仿宋_GB2312" w:hAnsi="宋体" w:cs="仿宋_GB2312" w:hint="eastAsia"/>
          <w:kern w:val="0.0"/>
          <w:sz w:val="32"/>
          <w:szCs w:val="32"/>
        </w:rPr>
        <w:t xml:space="preserve">    （1）“会议费”项目自评综述：根据年初设定的绩效目标，项目自评得分100分。项目全年预算数为5.42万元，执行数为5.42万元，完成预算的100%。项目绩效目标完成情况：本单位按时间按要求完成了本年度绩效目标，完成度100%。</w:t>
      </w:r>
    </w:p>
    <w:p>
      <w:pPr>
        <w:spacing w:line="540" w:lineRule="exact"/>
      </w:pPr>
      <w:r>
        <w:rPr>
          <w:rFonts w:ascii="仿宋_GB2312" w:eastAsia="仿宋_GB2312" w:hAnsi="宋体" w:cs="仿宋_GB2312" w:hint="eastAsia"/>
          <w:kern w:val="0.0"/>
          <w:sz w:val="32"/>
          <w:szCs w:val="32"/>
        </w:rPr>
        <w:t xml:space="preserve">    （2）“人才经费”项目自评综述：根据年初设定的绩效目标，项目自评得分100分。项目全年预算数为2.4万元，执行数为2.4万元，完成预算的100%。项目绩效目标完成情况：本单位按时间按要求完成了本年度绩效目标，完成度100%。</w:t>
      </w:r>
    </w:p>
    <w:p>
      <w:pPr>
        <w:spacing w:line="540" w:lineRule="exact"/>
      </w:pPr>
      <w:r>
        <w:rPr>
          <w:rFonts w:ascii="仿宋_GB2312" w:eastAsia="仿宋_GB2312" w:hAnsi="宋体" w:cs="仿宋_GB2312" w:hint="eastAsia"/>
          <w:kern w:val="0.0"/>
          <w:sz w:val="32"/>
          <w:szCs w:val="32"/>
        </w:rPr>
        <w:t xml:space="preserve">    （3）“共青团专项资金”项目自评综述：根据年初设定的绩效目标，项目自评得分100分。项目全年预算数为6.8万元，执行数为6.8万元，完成预算的100%。项目绩效目标完成情况：本单位按时间按要求完成了本年度绩效目标，完成度100%。</w:t>
      </w:r>
    </w:p>
    <w:p>
      <w:pPr>
        <w:spacing w:line="540" w:lineRule="exact"/>
      </w:pPr>
      <w:r>
        <w:rPr>
          <w:rFonts w:ascii="仿宋_GB2312" w:eastAsia="仿宋_GB2312" w:hAnsi="宋体" w:cs="仿宋_GB2312" w:hint="eastAsia"/>
          <w:kern w:val="0.0"/>
          <w:sz w:val="32"/>
          <w:szCs w:val="32"/>
        </w:rPr>
        <w:t xml:space="preserve">    《预算项目（政策）绩效自评表》见附件。</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79.02</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65.51</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5.87</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2.91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4.73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79.02</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79.02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79.02</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79.02</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79.02</w:t>
            </w:r>
          </w:p>
        </w:tc>
        <w:tc>
          <w:tcPr>
            <w:tcW w:w="940" w:type="dxa"/>
            <w:vAlign w:val="center"/>
          </w:tcPr>
          <w:p>
            <w:pPr>
              <w:snapToGrid w:val="0"/>
              <w:jc w:val="right"/>
            </w:pPr>
            <w:r>
              <w:rPr>
                <w:rFonts w:ascii="宋体" w:eastAsia="宋体" w:hAnsi="宋体" w:cs="宋体"/>
                <w:b/>
                <w:i w:val="0"/>
                <w:color w:val="262626"/>
                <w:sz w:val="16"/>
              </w:rPr>
              <w:t xml:space="preserve">79.02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65.51</w:t>
            </w:r>
          </w:p>
        </w:tc>
        <w:tc>
          <w:tcPr>
            <w:tcW w:w="940" w:type="dxa"/>
            <w:vAlign w:val="center"/>
          </w:tcPr>
          <w:p>
            <w:pPr>
              <w:snapToGrid w:val="0"/>
              <w:jc w:val="right"/>
            </w:pPr>
            <w:r>
              <w:rPr>
                <w:rFonts w:ascii="宋体" w:eastAsia="宋体" w:hAnsi="宋体" w:cs="宋体"/>
                <w:b w:val="0"/>
                <w:i w:val="0"/>
                <w:color w:val="262626"/>
                <w:sz w:val="16"/>
              </w:rPr>
              <w:t xml:space="preserve">65.51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20129</w:t>
            </w:r>
          </w:p>
        </w:tc>
        <w:tc>
          <w:tcPr>
            <w:tcW w:w="3760" w:type="dxa"/>
            <w:vAlign w:val="center"/>
          </w:tcPr>
          <w:p>
            <w:pPr>
              <w:snapToGrid w:val="0"/>
              <w:jc w:val="left"/>
            </w:pPr>
            <w:r>
              <w:rPr>
                <w:rFonts w:ascii="宋体" w:eastAsia="宋体" w:hAnsi="宋体" w:cs="宋体"/>
                <w:b w:val="0"/>
                <w:i w:val="0"/>
                <w:color w:val="262626"/>
                <w:sz w:val="16"/>
              </w:rPr>
              <w:t xml:space="preserve">群众团体事务</w:t>
            </w:r>
          </w:p>
        </w:tc>
        <w:tc>
          <w:tcPr>
            <w:tcW w:w="940" w:type="dxa"/>
            <w:vAlign w:val="center"/>
          </w:tcPr>
          <w:p>
            <w:pPr>
              <w:snapToGrid w:val="0"/>
              <w:jc w:val="right"/>
            </w:pPr>
            <w:r>
              <w:rPr>
                <w:rFonts w:ascii="宋体" w:eastAsia="宋体" w:hAnsi="宋体" w:cs="宋体"/>
                <w:b w:val="0"/>
                <w:i w:val="0"/>
                <w:color w:val="262626"/>
                <w:sz w:val="16"/>
              </w:rPr>
              <w:t xml:space="preserve">65.51</w:t>
            </w:r>
          </w:p>
        </w:tc>
        <w:tc>
          <w:tcPr>
            <w:tcW w:w="940" w:type="dxa"/>
            <w:vAlign w:val="center"/>
          </w:tcPr>
          <w:p>
            <w:pPr>
              <w:snapToGrid w:val="0"/>
              <w:jc w:val="right"/>
            </w:pPr>
            <w:r>
              <w:rPr>
                <w:rFonts w:ascii="宋体" w:eastAsia="宋体" w:hAnsi="宋体" w:cs="宋体"/>
                <w:b w:val="0"/>
                <w:i w:val="0"/>
                <w:color w:val="262626"/>
                <w:sz w:val="16"/>
              </w:rPr>
              <w:t xml:space="preserve">65.51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2012901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50.89</w:t>
            </w:r>
          </w:p>
        </w:tc>
        <w:tc>
          <w:tcPr>
            <w:tcW w:w="940" w:type="dxa"/>
            <w:vAlign w:val="center"/>
          </w:tcPr>
          <w:p>
            <w:pPr>
              <w:snapToGrid w:val="0"/>
              <w:jc w:val="right"/>
            </w:pPr>
            <w:r>
              <w:rPr>
                <w:rFonts w:ascii="宋体" w:eastAsia="宋体" w:hAnsi="宋体" w:cs="宋体"/>
                <w:b w:val="0"/>
                <w:i w:val="0"/>
                <w:color w:val="262626"/>
                <w:sz w:val="16"/>
              </w:rPr>
              <w:t xml:space="preserve">50.89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2012902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14.62</w:t>
            </w:r>
          </w:p>
        </w:tc>
        <w:tc>
          <w:tcPr>
            <w:tcW w:w="940" w:type="dxa"/>
            <w:vAlign w:val="center"/>
          </w:tcPr>
          <w:p>
            <w:pPr>
              <w:snapToGrid w:val="0"/>
              <w:jc w:val="right"/>
            </w:pPr>
            <w:r>
              <w:rPr>
                <w:rFonts w:ascii="宋体" w:eastAsia="宋体" w:hAnsi="宋体" w:cs="宋体"/>
                <w:b w:val="0"/>
                <w:i w:val="0"/>
                <w:color w:val="262626"/>
                <w:sz w:val="16"/>
              </w:rPr>
              <w:t xml:space="preserve">14.62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5.87</w:t>
            </w:r>
          </w:p>
        </w:tc>
        <w:tc>
          <w:tcPr>
            <w:tcW w:w="940" w:type="dxa"/>
            <w:vAlign w:val="center"/>
          </w:tcPr>
          <w:p>
            <w:pPr>
              <w:snapToGrid w:val="0"/>
              <w:jc w:val="right"/>
            </w:pPr>
            <w:r>
              <w:rPr>
                <w:rFonts w:ascii="宋体" w:eastAsia="宋体" w:hAnsi="宋体" w:cs="宋体"/>
                <w:b w:val="0"/>
                <w:i w:val="0"/>
                <w:color w:val="262626"/>
                <w:sz w:val="16"/>
              </w:rPr>
              <w:t xml:space="preserve">5.87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5.87</w:t>
            </w:r>
          </w:p>
        </w:tc>
        <w:tc>
          <w:tcPr>
            <w:tcW w:w="940" w:type="dxa"/>
            <w:vAlign w:val="center"/>
          </w:tcPr>
          <w:p>
            <w:pPr>
              <w:snapToGrid w:val="0"/>
              <w:jc w:val="right"/>
            </w:pPr>
            <w:r>
              <w:rPr>
                <w:rFonts w:ascii="宋体" w:eastAsia="宋体" w:hAnsi="宋体" w:cs="宋体"/>
                <w:b w:val="0"/>
                <w:i w:val="0"/>
                <w:color w:val="262626"/>
                <w:sz w:val="16"/>
              </w:rPr>
              <w:t xml:space="preserve">5.87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5.87</w:t>
            </w:r>
          </w:p>
        </w:tc>
        <w:tc>
          <w:tcPr>
            <w:tcW w:w="940" w:type="dxa"/>
            <w:vAlign w:val="center"/>
          </w:tcPr>
          <w:p>
            <w:pPr>
              <w:snapToGrid w:val="0"/>
              <w:jc w:val="right"/>
            </w:pPr>
            <w:r>
              <w:rPr>
                <w:rFonts w:ascii="宋体" w:eastAsia="宋体" w:hAnsi="宋体" w:cs="宋体"/>
                <w:b w:val="0"/>
                <w:i w:val="0"/>
                <w:color w:val="262626"/>
                <w:sz w:val="16"/>
              </w:rPr>
              <w:t xml:space="preserve">5.87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2.91</w:t>
            </w:r>
          </w:p>
        </w:tc>
        <w:tc>
          <w:tcPr>
            <w:tcW w:w="940" w:type="dxa"/>
            <w:vAlign w:val="center"/>
          </w:tcPr>
          <w:p>
            <w:pPr>
              <w:snapToGrid w:val="0"/>
              <w:jc w:val="right"/>
            </w:pPr>
            <w:r>
              <w:rPr>
                <w:rFonts w:ascii="宋体" w:eastAsia="宋体" w:hAnsi="宋体" w:cs="宋体"/>
                <w:b w:val="0"/>
                <w:i w:val="0"/>
                <w:color w:val="262626"/>
                <w:sz w:val="16"/>
              </w:rPr>
              <w:t xml:space="preserve">2.91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2.91</w:t>
            </w:r>
          </w:p>
        </w:tc>
        <w:tc>
          <w:tcPr>
            <w:tcW w:w="940" w:type="dxa"/>
            <w:vAlign w:val="center"/>
          </w:tcPr>
          <w:p>
            <w:pPr>
              <w:snapToGrid w:val="0"/>
              <w:jc w:val="right"/>
            </w:pPr>
            <w:r>
              <w:rPr>
                <w:rFonts w:ascii="宋体" w:eastAsia="宋体" w:hAnsi="宋体" w:cs="宋体"/>
                <w:b w:val="0"/>
                <w:i w:val="0"/>
                <w:color w:val="262626"/>
                <w:sz w:val="16"/>
              </w:rPr>
              <w:t xml:space="preserve">2.91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2.91</w:t>
            </w:r>
          </w:p>
        </w:tc>
        <w:tc>
          <w:tcPr>
            <w:tcW w:w="940" w:type="dxa"/>
            <w:vAlign w:val="center"/>
          </w:tcPr>
          <w:p>
            <w:pPr>
              <w:snapToGrid w:val="0"/>
              <w:jc w:val="right"/>
            </w:pPr>
            <w:r>
              <w:rPr>
                <w:rFonts w:ascii="宋体" w:eastAsia="宋体" w:hAnsi="宋体" w:cs="宋体"/>
                <w:b w:val="0"/>
                <w:i w:val="0"/>
                <w:color w:val="262626"/>
                <w:sz w:val="16"/>
              </w:rPr>
              <w:t xml:space="preserve">2.91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4.73</w:t>
            </w:r>
          </w:p>
        </w:tc>
        <w:tc>
          <w:tcPr>
            <w:tcW w:w="940" w:type="dxa"/>
            <w:vAlign w:val="center"/>
          </w:tcPr>
          <w:p>
            <w:pPr>
              <w:snapToGrid w:val="0"/>
              <w:jc w:val="right"/>
            </w:pPr>
            <w:r>
              <w:rPr>
                <w:rFonts w:ascii="宋体" w:eastAsia="宋体" w:hAnsi="宋体" w:cs="宋体"/>
                <w:b w:val="0"/>
                <w:i w:val="0"/>
                <w:color w:val="262626"/>
                <w:sz w:val="16"/>
              </w:rPr>
              <w:t xml:space="preserve">4.73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4.73</w:t>
            </w:r>
          </w:p>
        </w:tc>
        <w:tc>
          <w:tcPr>
            <w:tcW w:w="940" w:type="dxa"/>
            <w:vAlign w:val="center"/>
          </w:tcPr>
          <w:p>
            <w:pPr>
              <w:snapToGrid w:val="0"/>
              <w:jc w:val="right"/>
            </w:pPr>
            <w:r>
              <w:rPr>
                <w:rFonts w:ascii="宋体" w:eastAsia="宋体" w:hAnsi="宋体" w:cs="宋体"/>
                <w:b w:val="0"/>
                <w:i w:val="0"/>
                <w:color w:val="262626"/>
                <w:sz w:val="16"/>
              </w:rPr>
              <w:t xml:space="preserve">4.73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4.73</w:t>
            </w:r>
          </w:p>
        </w:tc>
        <w:tc>
          <w:tcPr>
            <w:tcW w:w="940" w:type="dxa"/>
            <w:vAlign w:val="center"/>
          </w:tcPr>
          <w:p>
            <w:pPr>
              <w:snapToGrid w:val="0"/>
              <w:jc w:val="right"/>
            </w:pPr>
            <w:r>
              <w:rPr>
                <w:rFonts w:ascii="宋体" w:eastAsia="宋体" w:hAnsi="宋体" w:cs="宋体"/>
                <w:b w:val="0"/>
                <w:i w:val="0"/>
                <w:color w:val="262626"/>
                <w:sz w:val="16"/>
              </w:rPr>
              <w:t xml:space="preserve">4.73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79.02</w:t>
            </w:r>
          </w:p>
        </w:tc>
        <w:tc>
          <w:tcPr>
            <w:tcW w:w="1000" w:type="dxa"/>
            <w:vAlign w:val="center"/>
          </w:tcPr>
          <w:p>
            <w:pPr>
              <w:snapToGrid w:val="0"/>
              <w:jc w:val="right"/>
            </w:pPr>
            <w:r>
              <w:rPr>
                <w:rFonts w:ascii="宋体" w:eastAsia="宋体" w:hAnsi="宋体" w:cs="宋体"/>
                <w:b/>
                <w:i w:val="0"/>
                <w:color w:val="000000"/>
                <w:sz w:val="16"/>
              </w:rPr>
              <w:t xml:space="preserve">64.41</w:t>
            </w:r>
          </w:p>
        </w:tc>
        <w:tc>
          <w:tcPr>
            <w:tcW w:w="1000" w:type="dxa"/>
            <w:vAlign w:val="center"/>
          </w:tcPr>
          <w:p>
            <w:pPr>
              <w:snapToGrid w:val="0"/>
              <w:jc w:val="right"/>
            </w:pPr>
            <w:r>
              <w:rPr>
                <w:rFonts w:ascii="宋体" w:eastAsia="宋体" w:hAnsi="宋体" w:cs="宋体"/>
                <w:b/>
                <w:i w:val="0"/>
                <w:color w:val="000000"/>
                <w:sz w:val="16"/>
              </w:rPr>
              <w:t xml:space="preserve">14.62</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65.51</w:t>
            </w:r>
          </w:p>
        </w:tc>
        <w:tc>
          <w:tcPr>
            <w:tcW w:w="1000" w:type="dxa"/>
            <w:vAlign w:val="center"/>
          </w:tcPr>
          <w:p>
            <w:pPr>
              <w:snapToGrid w:val="0"/>
              <w:jc w:val="right"/>
            </w:pPr>
            <w:r>
              <w:rPr>
                <w:rFonts w:ascii="宋体" w:eastAsia="宋体" w:hAnsi="宋体" w:cs="宋体"/>
                <w:b w:val="0"/>
                <w:i w:val="0"/>
                <w:color w:val="000000"/>
                <w:sz w:val="16"/>
              </w:rPr>
              <w:t xml:space="preserve">50.89</w:t>
            </w:r>
          </w:p>
        </w:tc>
        <w:tc>
          <w:tcPr>
            <w:tcW w:w="1000" w:type="dxa"/>
            <w:vAlign w:val="center"/>
          </w:tcPr>
          <w:p>
            <w:pPr>
              <w:snapToGrid w:val="0"/>
              <w:jc w:val="right"/>
            </w:pPr>
            <w:r>
              <w:rPr>
                <w:rFonts w:ascii="宋体" w:eastAsia="宋体" w:hAnsi="宋体" w:cs="宋体"/>
                <w:b w:val="0"/>
                <w:i w:val="0"/>
                <w:color w:val="000000"/>
                <w:sz w:val="16"/>
              </w:rPr>
              <w:t xml:space="preserve">14.62</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20129</w:t>
            </w:r>
          </w:p>
        </w:tc>
        <w:tc>
          <w:tcPr>
            <w:tcW w:w="3960" w:type="dxa"/>
            <w:vAlign w:val="center"/>
          </w:tcPr>
          <w:p>
            <w:pPr>
              <w:snapToGrid w:val="0"/>
              <w:jc w:val="left"/>
            </w:pPr>
            <w:r>
              <w:rPr>
                <w:rFonts w:ascii="宋体" w:eastAsia="宋体" w:hAnsi="宋体" w:cs="宋体"/>
                <w:b w:val="0"/>
                <w:i w:val="0"/>
                <w:color w:val="000000"/>
                <w:sz w:val="16"/>
              </w:rPr>
              <w:t xml:space="preserve">群众团体事务</w:t>
            </w:r>
          </w:p>
        </w:tc>
        <w:tc>
          <w:tcPr>
            <w:tcW w:w="1000" w:type="dxa"/>
            <w:vAlign w:val="center"/>
          </w:tcPr>
          <w:p>
            <w:pPr>
              <w:snapToGrid w:val="0"/>
              <w:jc w:val="right"/>
            </w:pPr>
            <w:r>
              <w:rPr>
                <w:rFonts w:ascii="宋体" w:eastAsia="宋体" w:hAnsi="宋体" w:cs="宋体"/>
                <w:b w:val="0"/>
                <w:i w:val="0"/>
                <w:color w:val="000000"/>
                <w:sz w:val="16"/>
              </w:rPr>
              <w:t xml:space="preserve">65.51</w:t>
            </w:r>
          </w:p>
        </w:tc>
        <w:tc>
          <w:tcPr>
            <w:tcW w:w="1000" w:type="dxa"/>
            <w:vAlign w:val="center"/>
          </w:tcPr>
          <w:p>
            <w:pPr>
              <w:snapToGrid w:val="0"/>
              <w:jc w:val="right"/>
            </w:pPr>
            <w:r>
              <w:rPr>
                <w:rFonts w:ascii="宋体" w:eastAsia="宋体" w:hAnsi="宋体" w:cs="宋体"/>
                <w:b w:val="0"/>
                <w:i w:val="0"/>
                <w:color w:val="000000"/>
                <w:sz w:val="16"/>
              </w:rPr>
              <w:t xml:space="preserve">50.89</w:t>
            </w:r>
          </w:p>
        </w:tc>
        <w:tc>
          <w:tcPr>
            <w:tcW w:w="1000" w:type="dxa"/>
            <w:vAlign w:val="center"/>
          </w:tcPr>
          <w:p>
            <w:pPr>
              <w:snapToGrid w:val="0"/>
              <w:jc w:val="right"/>
            </w:pPr>
            <w:r>
              <w:rPr>
                <w:rFonts w:ascii="宋体" w:eastAsia="宋体" w:hAnsi="宋体" w:cs="宋体"/>
                <w:b w:val="0"/>
                <w:i w:val="0"/>
                <w:color w:val="000000"/>
                <w:sz w:val="16"/>
              </w:rPr>
              <w:t xml:space="preserve">14.62</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2012901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50.89</w:t>
            </w:r>
          </w:p>
        </w:tc>
        <w:tc>
          <w:tcPr>
            <w:tcW w:w="1000" w:type="dxa"/>
            <w:vAlign w:val="center"/>
          </w:tcPr>
          <w:p>
            <w:pPr>
              <w:snapToGrid w:val="0"/>
              <w:jc w:val="right"/>
            </w:pPr>
            <w:r>
              <w:rPr>
                <w:rFonts w:ascii="宋体" w:eastAsia="宋体" w:hAnsi="宋体" w:cs="宋体"/>
                <w:b w:val="0"/>
                <w:i w:val="0"/>
                <w:color w:val="000000"/>
                <w:sz w:val="16"/>
              </w:rPr>
              <w:t xml:space="preserve">50.89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2012902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14.62</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14.62</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5.87</w:t>
            </w:r>
          </w:p>
        </w:tc>
        <w:tc>
          <w:tcPr>
            <w:tcW w:w="1000" w:type="dxa"/>
            <w:vAlign w:val="center"/>
          </w:tcPr>
          <w:p>
            <w:pPr>
              <w:snapToGrid w:val="0"/>
              <w:jc w:val="right"/>
            </w:pPr>
            <w:r>
              <w:rPr>
                <w:rFonts w:ascii="宋体" w:eastAsia="宋体" w:hAnsi="宋体" w:cs="宋体"/>
                <w:b w:val="0"/>
                <w:i w:val="0"/>
                <w:color w:val="000000"/>
                <w:sz w:val="16"/>
              </w:rPr>
              <w:t xml:space="preserve">5.87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5.87</w:t>
            </w:r>
          </w:p>
        </w:tc>
        <w:tc>
          <w:tcPr>
            <w:tcW w:w="1000" w:type="dxa"/>
            <w:vAlign w:val="center"/>
          </w:tcPr>
          <w:p>
            <w:pPr>
              <w:snapToGrid w:val="0"/>
              <w:jc w:val="right"/>
            </w:pPr>
            <w:r>
              <w:rPr>
                <w:rFonts w:ascii="宋体" w:eastAsia="宋体" w:hAnsi="宋体" w:cs="宋体"/>
                <w:b w:val="0"/>
                <w:i w:val="0"/>
                <w:color w:val="000000"/>
                <w:sz w:val="16"/>
              </w:rPr>
              <w:t xml:space="preserve">5.87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5.87</w:t>
            </w:r>
          </w:p>
        </w:tc>
        <w:tc>
          <w:tcPr>
            <w:tcW w:w="1000" w:type="dxa"/>
            <w:vAlign w:val="center"/>
          </w:tcPr>
          <w:p>
            <w:pPr>
              <w:snapToGrid w:val="0"/>
              <w:jc w:val="right"/>
            </w:pPr>
            <w:r>
              <w:rPr>
                <w:rFonts w:ascii="宋体" w:eastAsia="宋体" w:hAnsi="宋体" w:cs="宋体"/>
                <w:b w:val="0"/>
                <w:i w:val="0"/>
                <w:color w:val="000000"/>
                <w:sz w:val="16"/>
              </w:rPr>
              <w:t xml:space="preserve">5.87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2.91</w:t>
            </w:r>
          </w:p>
        </w:tc>
        <w:tc>
          <w:tcPr>
            <w:tcW w:w="1000" w:type="dxa"/>
            <w:vAlign w:val="center"/>
          </w:tcPr>
          <w:p>
            <w:pPr>
              <w:snapToGrid w:val="0"/>
              <w:jc w:val="right"/>
            </w:pPr>
            <w:r>
              <w:rPr>
                <w:rFonts w:ascii="宋体" w:eastAsia="宋体" w:hAnsi="宋体" w:cs="宋体"/>
                <w:b w:val="0"/>
                <w:i w:val="0"/>
                <w:color w:val="000000"/>
                <w:sz w:val="16"/>
              </w:rPr>
              <w:t xml:space="preserve">2.91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2.91</w:t>
            </w:r>
          </w:p>
        </w:tc>
        <w:tc>
          <w:tcPr>
            <w:tcW w:w="1000" w:type="dxa"/>
            <w:vAlign w:val="center"/>
          </w:tcPr>
          <w:p>
            <w:pPr>
              <w:snapToGrid w:val="0"/>
              <w:jc w:val="right"/>
            </w:pPr>
            <w:r>
              <w:rPr>
                <w:rFonts w:ascii="宋体" w:eastAsia="宋体" w:hAnsi="宋体" w:cs="宋体"/>
                <w:b w:val="0"/>
                <w:i w:val="0"/>
                <w:color w:val="000000"/>
                <w:sz w:val="16"/>
              </w:rPr>
              <w:t xml:space="preserve">2.91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2.91</w:t>
            </w:r>
          </w:p>
        </w:tc>
        <w:tc>
          <w:tcPr>
            <w:tcW w:w="1000" w:type="dxa"/>
            <w:vAlign w:val="center"/>
          </w:tcPr>
          <w:p>
            <w:pPr>
              <w:snapToGrid w:val="0"/>
              <w:jc w:val="right"/>
            </w:pPr>
            <w:r>
              <w:rPr>
                <w:rFonts w:ascii="宋体" w:eastAsia="宋体" w:hAnsi="宋体" w:cs="宋体"/>
                <w:b w:val="0"/>
                <w:i w:val="0"/>
                <w:color w:val="000000"/>
                <w:sz w:val="16"/>
              </w:rPr>
              <w:t xml:space="preserve">2.91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4.73</w:t>
            </w:r>
          </w:p>
        </w:tc>
        <w:tc>
          <w:tcPr>
            <w:tcW w:w="1000" w:type="dxa"/>
            <w:vAlign w:val="center"/>
          </w:tcPr>
          <w:p>
            <w:pPr>
              <w:snapToGrid w:val="0"/>
              <w:jc w:val="right"/>
            </w:pPr>
            <w:r>
              <w:rPr>
                <w:rFonts w:ascii="宋体" w:eastAsia="宋体" w:hAnsi="宋体" w:cs="宋体"/>
                <w:b w:val="0"/>
                <w:i w:val="0"/>
                <w:color w:val="000000"/>
                <w:sz w:val="16"/>
              </w:rPr>
              <w:t xml:space="preserve">4.73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4.73</w:t>
            </w:r>
          </w:p>
        </w:tc>
        <w:tc>
          <w:tcPr>
            <w:tcW w:w="1000" w:type="dxa"/>
            <w:vAlign w:val="center"/>
          </w:tcPr>
          <w:p>
            <w:pPr>
              <w:snapToGrid w:val="0"/>
              <w:jc w:val="right"/>
            </w:pPr>
            <w:r>
              <w:rPr>
                <w:rFonts w:ascii="宋体" w:eastAsia="宋体" w:hAnsi="宋体" w:cs="宋体"/>
                <w:b w:val="0"/>
                <w:i w:val="0"/>
                <w:color w:val="000000"/>
                <w:sz w:val="16"/>
              </w:rPr>
              <w:t xml:space="preserve">4.73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4.73</w:t>
            </w:r>
          </w:p>
        </w:tc>
        <w:tc>
          <w:tcPr>
            <w:tcW w:w="1000" w:type="dxa"/>
            <w:vAlign w:val="center"/>
          </w:tcPr>
          <w:p>
            <w:pPr>
              <w:snapToGrid w:val="0"/>
              <w:jc w:val="right"/>
            </w:pPr>
            <w:r>
              <w:rPr>
                <w:rFonts w:ascii="宋体" w:eastAsia="宋体" w:hAnsi="宋体" w:cs="宋体"/>
                <w:b w:val="0"/>
                <w:i w:val="0"/>
                <w:color w:val="000000"/>
                <w:sz w:val="16"/>
              </w:rPr>
              <w:t xml:space="preserve">4.73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65.51</w:t>
            </w:r>
          </w:p>
        </w:tc>
        <w:tc>
          <w:tcPr>
            <w:tcW w:w="1060" w:type="dxa"/>
            <w:vAlign w:val="center"/>
          </w:tcPr>
          <w:p>
            <w:pPr>
              <w:snapToGrid w:val="0"/>
              <w:jc w:val="right"/>
            </w:pPr>
            <w:r>
              <w:rPr>
                <w:rFonts w:ascii="宋体" w:eastAsia="宋体" w:hAnsi="宋体" w:cs="宋体"/>
                <w:b w:val="0"/>
                <w:i w:val="0"/>
                <w:color w:val="000000"/>
                <w:sz w:val="13"/>
              </w:rPr>
              <w:t xml:space="preserve">65.51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5.87</w:t>
            </w:r>
          </w:p>
        </w:tc>
        <w:tc>
          <w:tcPr>
            <w:tcW w:w="1060" w:type="dxa"/>
            <w:vAlign w:val="center"/>
          </w:tcPr>
          <w:p>
            <w:pPr>
              <w:snapToGrid w:val="0"/>
              <w:jc w:val="right"/>
            </w:pPr>
            <w:r>
              <w:rPr>
                <w:rFonts w:ascii="宋体" w:eastAsia="宋体" w:hAnsi="宋体" w:cs="宋体"/>
                <w:b w:val="0"/>
                <w:i w:val="0"/>
                <w:color w:val="000000"/>
                <w:sz w:val="13"/>
              </w:rPr>
              <w:t xml:space="preserve">5.87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2.91</w:t>
            </w:r>
          </w:p>
        </w:tc>
        <w:tc>
          <w:tcPr>
            <w:tcW w:w="1060" w:type="dxa"/>
            <w:vAlign w:val="center"/>
          </w:tcPr>
          <w:p>
            <w:pPr>
              <w:snapToGrid w:val="0"/>
              <w:jc w:val="right"/>
            </w:pPr>
            <w:r>
              <w:rPr>
                <w:rFonts w:ascii="宋体" w:eastAsia="宋体" w:hAnsi="宋体" w:cs="宋体"/>
                <w:b w:val="0"/>
                <w:i w:val="0"/>
                <w:color w:val="000000"/>
                <w:sz w:val="13"/>
              </w:rPr>
              <w:t xml:space="preserve">2.91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4.73</w:t>
            </w:r>
          </w:p>
        </w:tc>
        <w:tc>
          <w:tcPr>
            <w:tcW w:w="1060" w:type="dxa"/>
            <w:vAlign w:val="center"/>
          </w:tcPr>
          <w:p>
            <w:pPr>
              <w:snapToGrid w:val="0"/>
              <w:jc w:val="right"/>
            </w:pPr>
            <w:r>
              <w:rPr>
                <w:rFonts w:ascii="宋体" w:eastAsia="宋体" w:hAnsi="宋体" w:cs="宋体"/>
                <w:b w:val="0"/>
                <w:i w:val="0"/>
                <w:color w:val="000000"/>
                <w:sz w:val="13"/>
              </w:rPr>
              <w:t xml:space="preserve">4.73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1060" w:type="dxa"/>
            <w:vAlign w:val="center"/>
          </w:tcPr>
          <w:p>
            <w:pPr>
              <w:snapToGrid w:val="0"/>
              <w:jc w:val="right"/>
            </w:pPr>
            <w:r>
              <w:rPr>
                <w:rFonts w:ascii="宋体" w:eastAsia="宋体" w:hAnsi="宋体" w:cs="宋体"/>
                <w:b w:val="0"/>
                <w:i w:val="0"/>
                <w:color w:val="000000"/>
                <w:sz w:val="13"/>
              </w:rPr>
              <w:t xml:space="preserve">79.02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79.02</w:t>
            </w:r>
          </w:p>
        </w:tc>
        <w:tc>
          <w:tcPr>
            <w:tcW w:w="1820" w:type="dxa"/>
            <w:vAlign w:val="center"/>
          </w:tcPr>
          <w:p>
            <w:pPr>
              <w:snapToGrid w:val="0"/>
              <w:jc w:val="right"/>
            </w:pPr>
            <w:r>
              <w:rPr>
                <w:rFonts w:ascii="宋体" w:eastAsia="宋体" w:hAnsi="宋体" w:cs="宋体"/>
                <w:b/>
                <w:i w:val="0"/>
                <w:color w:val="000000"/>
                <w:sz w:val="18"/>
              </w:rPr>
              <w:t xml:space="preserve">64.41</w:t>
            </w:r>
          </w:p>
        </w:tc>
        <w:tc>
          <w:tcPr>
            <w:tcW w:w="1852" w:type="dxa"/>
            <w:vAlign w:val="center"/>
          </w:tcPr>
          <w:p>
            <w:pPr>
              <w:snapToGrid w:val="0"/>
              <w:jc w:val="right"/>
            </w:pPr>
            <w:r>
              <w:rPr>
                <w:rFonts w:ascii="宋体" w:eastAsia="宋体" w:hAnsi="宋体" w:cs="宋体"/>
                <w:b/>
                <w:i w:val="0"/>
                <w:color w:val="000000"/>
                <w:sz w:val="18"/>
              </w:rPr>
              <w:t xml:space="preserve">14.62</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65.51</w:t>
            </w:r>
          </w:p>
        </w:tc>
        <w:tc>
          <w:tcPr>
            <w:tcW w:w="1820" w:type="dxa"/>
            <w:vAlign w:val="center"/>
          </w:tcPr>
          <w:p>
            <w:pPr>
              <w:snapToGrid w:val="0"/>
              <w:jc w:val="right"/>
            </w:pPr>
            <w:r>
              <w:rPr>
                <w:rFonts w:ascii="宋体" w:eastAsia="宋体" w:hAnsi="宋体" w:cs="宋体"/>
                <w:b w:val="0"/>
                <w:i w:val="0"/>
                <w:color w:val="000000"/>
                <w:sz w:val="18"/>
              </w:rPr>
              <w:t xml:space="preserve">50.89</w:t>
            </w:r>
          </w:p>
        </w:tc>
        <w:tc>
          <w:tcPr>
            <w:tcW w:w="1852" w:type="dxa"/>
            <w:vAlign w:val="center"/>
          </w:tcPr>
          <w:p>
            <w:pPr>
              <w:snapToGrid w:val="0"/>
              <w:jc w:val="right"/>
            </w:pPr>
            <w:r>
              <w:rPr>
                <w:rFonts w:ascii="宋体" w:eastAsia="宋体" w:hAnsi="宋体" w:cs="宋体"/>
                <w:b w:val="0"/>
                <w:i w:val="0"/>
                <w:color w:val="000000"/>
                <w:sz w:val="18"/>
              </w:rPr>
              <w:t xml:space="preserve">14.62</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20129</w:t>
            </w:r>
          </w:p>
        </w:tc>
        <w:tc>
          <w:tcPr>
            <w:tcW w:w="4440" w:type="dxa"/>
            <w:vAlign w:val="center"/>
          </w:tcPr>
          <w:p>
            <w:pPr>
              <w:snapToGrid w:val="0"/>
              <w:jc w:val="left"/>
            </w:pPr>
            <w:r>
              <w:rPr>
                <w:rFonts w:ascii="宋体" w:eastAsia="宋体" w:hAnsi="宋体" w:cs="宋体"/>
                <w:b w:val="0"/>
                <w:i w:val="0"/>
                <w:color w:val="000000"/>
                <w:sz w:val="18"/>
              </w:rPr>
              <w:t xml:space="preserve">群众团体事务</w:t>
            </w:r>
          </w:p>
        </w:tc>
        <w:tc>
          <w:tcPr>
            <w:tcW w:w="1820" w:type="dxa"/>
            <w:vAlign w:val="center"/>
          </w:tcPr>
          <w:p>
            <w:pPr>
              <w:snapToGrid w:val="0"/>
              <w:jc w:val="right"/>
            </w:pPr>
            <w:r>
              <w:rPr>
                <w:rFonts w:ascii="宋体" w:eastAsia="宋体" w:hAnsi="宋体" w:cs="宋体"/>
                <w:b w:val="0"/>
                <w:i w:val="0"/>
                <w:color w:val="000000"/>
                <w:sz w:val="18"/>
              </w:rPr>
              <w:t xml:space="preserve">65.51</w:t>
            </w:r>
          </w:p>
        </w:tc>
        <w:tc>
          <w:tcPr>
            <w:tcW w:w="1820" w:type="dxa"/>
            <w:vAlign w:val="center"/>
          </w:tcPr>
          <w:p>
            <w:pPr>
              <w:snapToGrid w:val="0"/>
              <w:jc w:val="right"/>
            </w:pPr>
            <w:r>
              <w:rPr>
                <w:rFonts w:ascii="宋体" w:eastAsia="宋体" w:hAnsi="宋体" w:cs="宋体"/>
                <w:b w:val="0"/>
                <w:i w:val="0"/>
                <w:color w:val="000000"/>
                <w:sz w:val="18"/>
              </w:rPr>
              <w:t xml:space="preserve">50.89</w:t>
            </w:r>
          </w:p>
        </w:tc>
        <w:tc>
          <w:tcPr>
            <w:tcW w:w="1852" w:type="dxa"/>
            <w:vAlign w:val="center"/>
          </w:tcPr>
          <w:p>
            <w:pPr>
              <w:snapToGrid w:val="0"/>
              <w:jc w:val="right"/>
            </w:pPr>
            <w:r>
              <w:rPr>
                <w:rFonts w:ascii="宋体" w:eastAsia="宋体" w:hAnsi="宋体" w:cs="宋体"/>
                <w:b w:val="0"/>
                <w:i w:val="0"/>
                <w:color w:val="000000"/>
                <w:sz w:val="18"/>
              </w:rPr>
              <w:t xml:space="preserve">14.62</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2012901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50.89</w:t>
            </w:r>
          </w:p>
        </w:tc>
        <w:tc>
          <w:tcPr>
            <w:tcW w:w="1820" w:type="dxa"/>
            <w:vAlign w:val="center"/>
          </w:tcPr>
          <w:p>
            <w:pPr>
              <w:snapToGrid w:val="0"/>
              <w:jc w:val="right"/>
            </w:pPr>
            <w:r>
              <w:rPr>
                <w:rFonts w:ascii="宋体" w:eastAsia="宋体" w:hAnsi="宋体" w:cs="宋体"/>
                <w:b w:val="0"/>
                <w:i w:val="0"/>
                <w:color w:val="000000"/>
                <w:sz w:val="18"/>
              </w:rPr>
              <w:t xml:space="preserve">50.89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2012902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14.62</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14.62</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5.87</w:t>
            </w:r>
          </w:p>
        </w:tc>
        <w:tc>
          <w:tcPr>
            <w:tcW w:w="1820" w:type="dxa"/>
            <w:vAlign w:val="center"/>
          </w:tcPr>
          <w:p>
            <w:pPr>
              <w:snapToGrid w:val="0"/>
              <w:jc w:val="right"/>
            </w:pPr>
            <w:r>
              <w:rPr>
                <w:rFonts w:ascii="宋体" w:eastAsia="宋体" w:hAnsi="宋体" w:cs="宋体"/>
                <w:b w:val="0"/>
                <w:i w:val="0"/>
                <w:color w:val="000000"/>
                <w:sz w:val="18"/>
              </w:rPr>
              <w:t xml:space="preserve">5.87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5.87</w:t>
            </w:r>
          </w:p>
        </w:tc>
        <w:tc>
          <w:tcPr>
            <w:tcW w:w="1820" w:type="dxa"/>
            <w:vAlign w:val="center"/>
          </w:tcPr>
          <w:p>
            <w:pPr>
              <w:snapToGrid w:val="0"/>
              <w:jc w:val="right"/>
            </w:pPr>
            <w:r>
              <w:rPr>
                <w:rFonts w:ascii="宋体" w:eastAsia="宋体" w:hAnsi="宋体" w:cs="宋体"/>
                <w:b w:val="0"/>
                <w:i w:val="0"/>
                <w:color w:val="000000"/>
                <w:sz w:val="18"/>
              </w:rPr>
              <w:t xml:space="preserve">5.87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5.87</w:t>
            </w:r>
          </w:p>
        </w:tc>
        <w:tc>
          <w:tcPr>
            <w:tcW w:w="1820" w:type="dxa"/>
            <w:vAlign w:val="center"/>
          </w:tcPr>
          <w:p>
            <w:pPr>
              <w:snapToGrid w:val="0"/>
              <w:jc w:val="right"/>
            </w:pPr>
            <w:r>
              <w:rPr>
                <w:rFonts w:ascii="宋体" w:eastAsia="宋体" w:hAnsi="宋体" w:cs="宋体"/>
                <w:b w:val="0"/>
                <w:i w:val="0"/>
                <w:color w:val="000000"/>
                <w:sz w:val="18"/>
              </w:rPr>
              <w:t xml:space="preserve">5.87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2.91</w:t>
            </w:r>
          </w:p>
        </w:tc>
        <w:tc>
          <w:tcPr>
            <w:tcW w:w="1820" w:type="dxa"/>
            <w:vAlign w:val="center"/>
          </w:tcPr>
          <w:p>
            <w:pPr>
              <w:snapToGrid w:val="0"/>
              <w:jc w:val="right"/>
            </w:pPr>
            <w:r>
              <w:rPr>
                <w:rFonts w:ascii="宋体" w:eastAsia="宋体" w:hAnsi="宋体" w:cs="宋体"/>
                <w:b w:val="0"/>
                <w:i w:val="0"/>
                <w:color w:val="000000"/>
                <w:sz w:val="18"/>
              </w:rPr>
              <w:t xml:space="preserve">2.91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2.91</w:t>
            </w:r>
          </w:p>
        </w:tc>
        <w:tc>
          <w:tcPr>
            <w:tcW w:w="1820" w:type="dxa"/>
            <w:vAlign w:val="center"/>
          </w:tcPr>
          <w:p>
            <w:pPr>
              <w:snapToGrid w:val="0"/>
              <w:jc w:val="right"/>
            </w:pPr>
            <w:r>
              <w:rPr>
                <w:rFonts w:ascii="宋体" w:eastAsia="宋体" w:hAnsi="宋体" w:cs="宋体"/>
                <w:b w:val="0"/>
                <w:i w:val="0"/>
                <w:color w:val="000000"/>
                <w:sz w:val="18"/>
              </w:rPr>
              <w:t xml:space="preserve">2.91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2.91</w:t>
            </w:r>
          </w:p>
        </w:tc>
        <w:tc>
          <w:tcPr>
            <w:tcW w:w="1820" w:type="dxa"/>
            <w:vAlign w:val="center"/>
          </w:tcPr>
          <w:p>
            <w:pPr>
              <w:snapToGrid w:val="0"/>
              <w:jc w:val="right"/>
            </w:pPr>
            <w:r>
              <w:rPr>
                <w:rFonts w:ascii="宋体" w:eastAsia="宋体" w:hAnsi="宋体" w:cs="宋体"/>
                <w:b w:val="0"/>
                <w:i w:val="0"/>
                <w:color w:val="000000"/>
                <w:sz w:val="18"/>
              </w:rPr>
              <w:t xml:space="preserve">2.91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4.73</w:t>
            </w:r>
          </w:p>
        </w:tc>
        <w:tc>
          <w:tcPr>
            <w:tcW w:w="1820" w:type="dxa"/>
            <w:vAlign w:val="center"/>
          </w:tcPr>
          <w:p>
            <w:pPr>
              <w:snapToGrid w:val="0"/>
              <w:jc w:val="right"/>
            </w:pPr>
            <w:r>
              <w:rPr>
                <w:rFonts w:ascii="宋体" w:eastAsia="宋体" w:hAnsi="宋体" w:cs="宋体"/>
                <w:b w:val="0"/>
                <w:i w:val="0"/>
                <w:color w:val="000000"/>
                <w:sz w:val="18"/>
              </w:rPr>
              <w:t xml:space="preserve">4.73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4.73</w:t>
            </w:r>
          </w:p>
        </w:tc>
        <w:tc>
          <w:tcPr>
            <w:tcW w:w="1820" w:type="dxa"/>
            <w:vAlign w:val="center"/>
          </w:tcPr>
          <w:p>
            <w:pPr>
              <w:snapToGrid w:val="0"/>
              <w:jc w:val="right"/>
            </w:pPr>
            <w:r>
              <w:rPr>
                <w:rFonts w:ascii="宋体" w:eastAsia="宋体" w:hAnsi="宋体" w:cs="宋体"/>
                <w:b w:val="0"/>
                <w:i w:val="0"/>
                <w:color w:val="000000"/>
                <w:sz w:val="18"/>
              </w:rPr>
              <w:t xml:space="preserve">4.73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4.73</w:t>
            </w:r>
          </w:p>
        </w:tc>
        <w:tc>
          <w:tcPr>
            <w:tcW w:w="1820" w:type="dxa"/>
            <w:vAlign w:val="center"/>
          </w:tcPr>
          <w:p>
            <w:pPr>
              <w:snapToGrid w:val="0"/>
              <w:jc w:val="right"/>
            </w:pPr>
            <w:r>
              <w:rPr>
                <w:rFonts w:ascii="宋体" w:eastAsia="宋体" w:hAnsi="宋体" w:cs="宋体"/>
                <w:b w:val="0"/>
                <w:i w:val="0"/>
                <w:color w:val="000000"/>
                <w:sz w:val="18"/>
              </w:rPr>
              <w:t xml:space="preserve">4.73</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54.64</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9.77</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24.24</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4.00</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13.62</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3.16</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5.87</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0.10</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2.91</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0.56</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0.11</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4.73</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4.51</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0.60</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54.64</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9.77</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单位:中国共产主义青年团辽宁省朝阳市喀喇沁左翼蒙古族自治县委员会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sectPr>
          <w:footerReference w:type="default" r:id="rId30"/>
          <w:type w:val="nextPage"/>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003005中国共产主义青年团辽宁省喀喇沁左翼蒙古族自治县委员会-211324000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76.3354</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76.3354</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1.60</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1.59</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5.26</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5.26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57.55</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57.54</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保障单位日常运转，确保共青团各项工作高效运转，完成全年工作任务。2.人员工资和保险：确保在职人员和退休人员的工资和保险，协助其他部门完成其他工作任务。</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保障单位日常运转，确保共青团各项工作高效运转，完成全年工作任务。2.人员工资和保险：确保在职人员和退休人员的工资和保险，协助其他部门完成其他工作任务。</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政治效益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选树宣传典型</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名</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参与活动青年满意度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职工群众满意率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服务职工群众内部工作机制建立情况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人才培养机制健全性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创新驱动发展</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建立内控业务流程</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规范管理</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100.00</w:t>
            </w:r>
          </w:p>
        </w:tc>
      </w:tr>
    </w:tbl>
    <w:p>
      <w:pPr>
        <w:sectPr>
          <w:pgSz w:w="16839" w:h="11907" w:orient="landscape"/>
          <w:pgMar w:top="567" w:right="1701" w:bottom="567" w:left="1701" w:header="720" w:footer="720"/>
        </w:sectPr>
      </w:pPr>
    </w:p>
    <w:tbl>
      <w:tblPr>
        <w:tblStyle w:val="NormalTable"/>
        <w:jc w:val="center"/>
        <w:tblLayout w:type="fixed"/>
        <w:tblCellMar>
          <w:left w:w="2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jc w:val="center"/>
          <w:tblLayout w:type="fixed"/>
          <w:tblCellMar>
            <w:left w:w="20" w:type="dxa"/>
            <w:right w:w="20" w:type="dxa"/>
          </w:tblCellMar>
        </w:tblPrEx>
        <w:trPr>
          <w:trHeight w:hRule="exact" w:val="150"/>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0"/>
              </w:rPr>
              <w:t xml:space="preserve">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5012"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8"/>
              </w:rPr>
              <w:t xml:space="preserve">(2025年度)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项目(政策)名称</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人才经费</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主管部门</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中共喀喇沁左翼蒙古族自治县委员会办公室-</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实施单位</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中国共产主义青年团辽宁省喀喇沁左翼蒙古族自治县委员会-</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项目预算金额（万元）</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2.4</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全年执行数（万元）</w:t>
            </w:r>
          </w:p>
        </w:tc>
        <w:tc>
          <w:tcPr>
            <w:tcW w:w="97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2.4</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执行率</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年初设定目标</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全年实际完成情况</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通过开展此项活动，让青年学子深入了解喀左历史文化、民俗风情与发展现状，激发建设家乡的责任感，发挥专业特长助力乡村振兴，促进青年与家乡双向奔赴、共同成长。</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已按要求按时效完成全部任务</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一级指标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二级指标</w:t>
            </w:r>
          </w:p>
        </w:tc>
        <w:tc>
          <w:tcPr>
            <w:tcW w:w="4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三级指标</w:t>
            </w:r>
          </w:p>
        </w:tc>
        <w:tc>
          <w:tcPr>
            <w:tcW w:w="82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年度目标值</w:t>
            </w:r>
          </w:p>
        </w:tc>
        <w:tc>
          <w:tcPr>
            <w:tcW w:w="4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w:t>
            </w:r>
          </w:p>
          <w:p>
            <w:pPr>
              <w:snapToGrid w:val="0"/>
              <w:spacing w:before="0" w:beforeAutospacing="0" w:after="0" w:afterAutospacing="0" w:line="240" w:lineRule="auto"/>
              <w:jc w:val="center"/>
            </w:pPr>
            <w:r>
              <w:rPr>
                <w:rFonts w:ascii="宋体" w:eastAsia="宋体" w:hAnsi="宋体" w:cs="宋体"/>
                <w:b/>
                <w:i w:val="0"/>
                <w:color w:val="000000"/>
                <w:sz w:val="6"/>
              </w:rPr>
              <w:t xml:space="preserve">完成值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完成程度</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分值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得分</w:t>
            </w:r>
          </w:p>
        </w:tc>
        <w:tc>
          <w:tcPr>
            <w:tcW w:w="132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未完成原因分析</w:t>
            </w:r>
          </w:p>
        </w:tc>
        <w:tc>
          <w:tcPr>
            <w:tcW w:w="3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改进措施</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运算</w:t>
            </w:r>
          </w:p>
          <w:p>
            <w:pPr>
              <w:snapToGrid w:val="0"/>
              <w:spacing w:before="0" w:beforeAutospacing="0" w:after="0" w:afterAutospacing="0" w:line="240" w:lineRule="auto"/>
              <w:jc w:val="center"/>
            </w:pPr>
            <w:r>
              <w:rPr>
                <w:rFonts w:ascii="宋体" w:eastAsia="宋体" w:hAnsi="宋体" w:cs="宋体"/>
                <w:b/>
                <w:i w:val="0"/>
                <w:color w:val="000000"/>
                <w:sz w:val="6"/>
              </w:rPr>
              <w:t xml:space="preserve">符号</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内容</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度量</w:t>
            </w:r>
          </w:p>
          <w:p>
            <w:pPr>
              <w:snapToGrid w:val="0"/>
              <w:spacing w:before="0" w:beforeAutospacing="0" w:after="0" w:afterAutospacing="0" w:line="240" w:lineRule="auto"/>
              <w:jc w:val="center"/>
            </w:pPr>
            <w:r>
              <w:rPr>
                <w:rFonts w:ascii="宋体" w:eastAsia="宋体" w:hAnsi="宋体" w:cs="宋体"/>
                <w:b/>
                <w:i w:val="0"/>
                <w:color w:val="000000"/>
                <w:sz w:val="6"/>
              </w:rPr>
              <w:t xml:space="preserve">单位</w:t>
            </w:r>
          </w:p>
        </w:tc>
        <w:tc>
          <w:tcPr>
            <w:tcW w:w="4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经费保障</w:t>
            </w: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制度保障</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人员保障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硬件条件保障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其他</w:t>
            </w: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原因说明</w:t>
            </w:r>
          </w:p>
        </w:tc>
        <w:tc>
          <w:tcPr>
            <w:tcW w:w="3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产出指标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数量指标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培训人才数量</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人</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青年拔尖人才培养支持数量</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人</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质量指标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培训内容与服务人员的实际工作需求适配率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97</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97</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基层人才培训合格率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6.6</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6.6</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时效指标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培训完成及时率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项目实施及时性</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&lt;=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3</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天</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成本指标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执行比例</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97</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97</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项目成本控制率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&lt;=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效益指标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经济效益指标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培训实际收益</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分</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社会服务收益</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2.4</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万元</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2.4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人才发展自主性</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自主发展</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促进青少年发展问题研究深入</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研究深入</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生态效益指标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环境影响管理</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影响良好</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节能环保</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环保</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可持续影响指标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宣贯政策知晓率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提升社会工作服务机构持续运营能力</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稳步提升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服务对象满意度指标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受到影响的群体或个人满意度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服务对象满意度指标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学员满意度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指标自评得分小计</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90</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预算执行率得分</w:t>
            </w:r>
          </w:p>
        </w:tc>
        <w:tc>
          <w:tcPr>
            <w:tcW w:w="39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w:t>
            </w:r>
          </w:p>
        </w:tc>
        <w:tc>
          <w:tcPr>
            <w:tcW w:w="36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减分项</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val="0"/>
                <w:i w:val="0"/>
                <w:color w:val="000000"/>
                <w:sz w:val="6"/>
              </w:rPr>
              <w:t xml:space="preserve">0</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绩效自评总得分</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orient="portrait"/>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sectPr>
          <w:pgSz w:w="11907" w:h="16839" w:orient="portrait"/>
          <w:pgMar w:top="567" w:right="1701" w:bottom="567" w:left="1701" w:header="720" w:footer="720"/>
        </w:sectPr>
      </w:pPr>
    </w:p>
    <w:tbl>
      <w:tblPr>
        <w:tblStyle w:val="NormalTable"/>
        <w:jc w:val="center"/>
        <w:tblLayout w:type="fixed"/>
        <w:tblCellMar>
          <w:left w:w="2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jc w:val="center"/>
          <w:tblLayout w:type="fixed"/>
          <w:tblCellMar>
            <w:left w:w="20" w:type="dxa"/>
            <w:right w:w="20" w:type="dxa"/>
          </w:tblCellMar>
        </w:tblPrEx>
        <w:trPr>
          <w:trHeight w:hRule="exact" w:val="150"/>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0"/>
              </w:rPr>
              <w:t xml:space="preserve">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5012"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8"/>
              </w:rPr>
              <w:t xml:space="preserve">(2025年度)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项目(政策)名称</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会议费</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主管部门</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中共喀喇沁左翼蒙古族自治县委员会办公室-</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实施单位</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中国共产主义青年团辽宁省喀喇沁左翼蒙古族自治县委员会-</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项目预算金额（万元）</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5.42</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全年执行数（万元）</w:t>
            </w:r>
          </w:p>
        </w:tc>
        <w:tc>
          <w:tcPr>
            <w:tcW w:w="97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5.42</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执行率</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年初设定目标</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全年实际完成情况</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经县委同意，召开中国少年先锋队喀左县第三次代表大会。参加会议人数预计143人，其中代表118人，特邀人员5人，工作人员20人。少代会各项工作正在进行，根据预算申请资金</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按时间按要求完成全部任务。</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一级指标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二级指标</w:t>
            </w:r>
          </w:p>
        </w:tc>
        <w:tc>
          <w:tcPr>
            <w:tcW w:w="4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三级指标</w:t>
            </w:r>
          </w:p>
        </w:tc>
        <w:tc>
          <w:tcPr>
            <w:tcW w:w="82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年度目标值</w:t>
            </w:r>
          </w:p>
        </w:tc>
        <w:tc>
          <w:tcPr>
            <w:tcW w:w="4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w:t>
            </w:r>
          </w:p>
          <w:p>
            <w:pPr>
              <w:snapToGrid w:val="0"/>
              <w:spacing w:before="0" w:beforeAutospacing="0" w:after="0" w:afterAutospacing="0" w:line="240" w:lineRule="auto"/>
              <w:jc w:val="center"/>
            </w:pPr>
            <w:r>
              <w:rPr>
                <w:rFonts w:ascii="宋体" w:eastAsia="宋体" w:hAnsi="宋体" w:cs="宋体"/>
                <w:b/>
                <w:i w:val="0"/>
                <w:color w:val="000000"/>
                <w:sz w:val="6"/>
              </w:rPr>
              <w:t xml:space="preserve">完成值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完成程度</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分值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得分</w:t>
            </w:r>
          </w:p>
        </w:tc>
        <w:tc>
          <w:tcPr>
            <w:tcW w:w="132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未完成原因分析</w:t>
            </w:r>
          </w:p>
        </w:tc>
        <w:tc>
          <w:tcPr>
            <w:tcW w:w="3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改进措施</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运算</w:t>
            </w:r>
          </w:p>
          <w:p>
            <w:pPr>
              <w:snapToGrid w:val="0"/>
              <w:spacing w:before="0" w:beforeAutospacing="0" w:after="0" w:afterAutospacing="0" w:line="240" w:lineRule="auto"/>
              <w:jc w:val="center"/>
            </w:pPr>
            <w:r>
              <w:rPr>
                <w:rFonts w:ascii="宋体" w:eastAsia="宋体" w:hAnsi="宋体" w:cs="宋体"/>
                <w:b/>
                <w:i w:val="0"/>
                <w:color w:val="000000"/>
                <w:sz w:val="6"/>
              </w:rPr>
              <w:t xml:space="preserve">符号</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内容</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度量</w:t>
            </w:r>
          </w:p>
          <w:p>
            <w:pPr>
              <w:snapToGrid w:val="0"/>
              <w:spacing w:before="0" w:beforeAutospacing="0" w:after="0" w:afterAutospacing="0" w:line="240" w:lineRule="auto"/>
              <w:jc w:val="center"/>
            </w:pPr>
            <w:r>
              <w:rPr>
                <w:rFonts w:ascii="宋体" w:eastAsia="宋体" w:hAnsi="宋体" w:cs="宋体"/>
                <w:b/>
                <w:i w:val="0"/>
                <w:color w:val="000000"/>
                <w:sz w:val="6"/>
              </w:rPr>
              <w:t xml:space="preserve">单位</w:t>
            </w:r>
          </w:p>
        </w:tc>
        <w:tc>
          <w:tcPr>
            <w:tcW w:w="4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经费保障</w:t>
            </w: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制度保障</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人员保障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硬件条件保障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其他</w:t>
            </w: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原因说明</w:t>
            </w:r>
          </w:p>
        </w:tc>
        <w:tc>
          <w:tcPr>
            <w:tcW w:w="3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产出指标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数量指标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出列席会议人数</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人次</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召开会议次数</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个</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质量指标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会议培训设施功能运转无故障率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展会顺利开展率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6.6</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6.6</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时效指标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召开会议及时率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宣传完成时间</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&lt;=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3</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天</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成本指标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会议培训成本控制</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&lt;=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万元</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召开工作、培训会议费用</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万元</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效益指标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经济效益指标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社会服务收益</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0.1</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万元</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0.1</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网络宣传报道订阅用户增长率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对社会影响力提高程度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正确引导舆论导向</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正确引导</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生态效益指标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环保评估达标率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环境保护</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保护环境</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可持续影响指标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宣贯政策知晓率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项目库建立健全性</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健全</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服务对象满意度指标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主管单位满意度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服务或受益对象满意度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社会公众满意度指标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社会公众满意度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社会公众满意度指标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3.7</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3.7</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指标自评得分小计</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90</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预算执行率得分</w:t>
            </w:r>
          </w:p>
        </w:tc>
        <w:tc>
          <w:tcPr>
            <w:tcW w:w="39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w:t>
            </w:r>
          </w:p>
        </w:tc>
        <w:tc>
          <w:tcPr>
            <w:tcW w:w="36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减分项</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val="0"/>
                <w:i w:val="0"/>
                <w:color w:val="000000"/>
                <w:sz w:val="6"/>
              </w:rPr>
              <w:t xml:space="preserve">0</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绩效自评总得分</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orient="portrait"/>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sectPr>
          <w:pgSz w:w="11907" w:h="16839" w:orient="portrait"/>
          <w:pgMar w:top="567" w:right="1701" w:bottom="567" w:left="1701" w:header="720" w:footer="720"/>
        </w:sectPr>
      </w:pPr>
    </w:p>
    <w:tbl>
      <w:tblPr>
        <w:tblStyle w:val="NormalTable"/>
        <w:jc w:val="center"/>
        <w:tblLayout w:type="fixed"/>
        <w:tblCellMar>
          <w:left w:w="2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jc w:val="center"/>
          <w:tblLayout w:type="fixed"/>
          <w:tblCellMar>
            <w:left w:w="20" w:type="dxa"/>
            <w:right w:w="20" w:type="dxa"/>
          </w:tblCellMar>
        </w:tblPrEx>
        <w:trPr>
          <w:trHeight w:hRule="exact" w:val="150"/>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0"/>
              </w:rPr>
              <w:t xml:space="preserve">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5012"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8"/>
              </w:rPr>
              <w:t xml:space="preserve">(2025年度)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项目(政策)名称</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共青团专项资金</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主管部门</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中共喀喇沁左翼蒙古族自治县委员会办公室-</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实施单位</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中国共产主义青年团辽宁省喀喇沁左翼蒙古族自治县委员会-</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项目预算金额（万元）</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6.8</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全年执行数（万元）</w:t>
            </w:r>
          </w:p>
        </w:tc>
        <w:tc>
          <w:tcPr>
            <w:tcW w:w="97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6.8</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执行率</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年初设定目标</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全年实际完成情况</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进一步加上基层团组织建设，增强团组织凝聚力、号召力和战斗力，为青少年成长提供新助力，加强农村基层基础工作，提高广大青少年法律意识和法律素质，更好的服务青年。深入挖掘和宣传青年典型事迹，树立不同行业和不同领域典型，引导青少年崇尚先进、学习先进、争当先进。</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按时间按要求完成全部任务</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一级指标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二级指标</w:t>
            </w:r>
          </w:p>
        </w:tc>
        <w:tc>
          <w:tcPr>
            <w:tcW w:w="4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三级指标</w:t>
            </w:r>
          </w:p>
        </w:tc>
        <w:tc>
          <w:tcPr>
            <w:tcW w:w="82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年度目标值</w:t>
            </w:r>
          </w:p>
        </w:tc>
        <w:tc>
          <w:tcPr>
            <w:tcW w:w="4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w:t>
            </w:r>
          </w:p>
          <w:p>
            <w:pPr>
              <w:snapToGrid w:val="0"/>
              <w:spacing w:before="0" w:beforeAutospacing="0" w:after="0" w:afterAutospacing="0" w:line="240" w:lineRule="auto"/>
              <w:jc w:val="center"/>
            </w:pPr>
            <w:r>
              <w:rPr>
                <w:rFonts w:ascii="宋体" w:eastAsia="宋体" w:hAnsi="宋体" w:cs="宋体"/>
                <w:b/>
                <w:i w:val="0"/>
                <w:color w:val="000000"/>
                <w:sz w:val="6"/>
              </w:rPr>
              <w:t xml:space="preserve">完成值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完成程度</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分值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得分</w:t>
            </w:r>
          </w:p>
        </w:tc>
        <w:tc>
          <w:tcPr>
            <w:tcW w:w="132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未完成原因分析</w:t>
            </w:r>
          </w:p>
        </w:tc>
        <w:tc>
          <w:tcPr>
            <w:tcW w:w="3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改进措施</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运算</w:t>
            </w:r>
          </w:p>
          <w:p>
            <w:pPr>
              <w:snapToGrid w:val="0"/>
              <w:spacing w:before="0" w:beforeAutospacing="0" w:after="0" w:afterAutospacing="0" w:line="240" w:lineRule="auto"/>
              <w:jc w:val="center"/>
            </w:pPr>
            <w:r>
              <w:rPr>
                <w:rFonts w:ascii="宋体" w:eastAsia="宋体" w:hAnsi="宋体" w:cs="宋体"/>
                <w:b/>
                <w:i w:val="0"/>
                <w:color w:val="000000"/>
                <w:sz w:val="6"/>
              </w:rPr>
              <w:t xml:space="preserve">符号</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内容</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度量</w:t>
            </w:r>
          </w:p>
          <w:p>
            <w:pPr>
              <w:snapToGrid w:val="0"/>
              <w:spacing w:before="0" w:beforeAutospacing="0" w:after="0" w:afterAutospacing="0" w:line="240" w:lineRule="auto"/>
              <w:jc w:val="center"/>
            </w:pPr>
            <w:r>
              <w:rPr>
                <w:rFonts w:ascii="宋体" w:eastAsia="宋体" w:hAnsi="宋体" w:cs="宋体"/>
                <w:b/>
                <w:i w:val="0"/>
                <w:color w:val="000000"/>
                <w:sz w:val="6"/>
              </w:rPr>
              <w:t xml:space="preserve">单位</w:t>
            </w:r>
          </w:p>
        </w:tc>
        <w:tc>
          <w:tcPr>
            <w:tcW w:w="4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经费保障</w:t>
            </w: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制度保障</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人员保障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硬件条件保障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其他</w:t>
            </w: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原因说明</w:t>
            </w:r>
          </w:p>
        </w:tc>
        <w:tc>
          <w:tcPr>
            <w:tcW w:w="3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产出指标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数量指标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培训人才数量</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人</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培训批次、期数</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2</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批次</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6.6</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6.6</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质量指标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会员参加学术交流活动参与率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学术交流、理论研究完成率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时效指标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审核工作完成及时率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项目实施及时率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成本指标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会议及培训费支出成本</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&lt;=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万元</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成本控制率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&lt;=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6.2</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效益指标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经济效益指标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网络宣传报道利润增长率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网络宣传报道订阅用户增长率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帮扶家庭经济困难学生的数量</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97</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97</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提高法治文化宣传活动力度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生态效益指标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改善农村人居环境</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改善环境</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环境保护</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改善环境</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可持续影响指标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宣贯政策知晓率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提升农村师资队伍实力</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提升实力</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服务对象满意度指标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主管单位满意度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服务对象满意度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社会公众满意度指标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受益群体满意度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99</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社会公众满意度指标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服务群众满意度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98</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3.7</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3.7</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指标自评得分小计</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90</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预算执行率得分</w:t>
            </w:r>
          </w:p>
        </w:tc>
        <w:tc>
          <w:tcPr>
            <w:tcW w:w="39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w:t>
            </w:r>
          </w:p>
        </w:tc>
        <w:tc>
          <w:tcPr>
            <w:tcW w:w="36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减分项</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val="0"/>
                <w:i w:val="0"/>
                <w:color w:val="000000"/>
                <w:sz w:val="6"/>
              </w:rPr>
              <w:t xml:space="preserve">0</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绩效自评总得分</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orient="portrait"/>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p>
    <w:sectPr>
      <w:pgSz w:w="11907" w:h="16839" w:orient="portrait"/>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7456"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0518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5408" filled="f" fillcolor="this" stroked="f" strokeweight="0.5pt">
              <v:textbox style="mso-fit-shape-to-text:t" inset="0,0,0,0">
                <w:txbxContent>
                  <w:p>
                    <w:pPr>
                      <w:pStyle w:val="Footer"/>
                    </w:pPr>
                    <w:r>
                      <w:fldChar w:fldCharType="begin"/>
                    </w:r>
                    <w:r>
                      <w:instrText xml:space="preserve"> PAGE  \* MERGEFORMAT </w:instrText>
                    </w:r>
                    <w:r>
                      <w:fldChar w:fldCharType="separate"/>
                    </w:r>
                    <w:r>
                      <w:t xml:space="preserve">-1</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footer" Target="footer7.xml" /><Relationship Id="rId31" Type="http://schemas.openxmlformats.org/officeDocument/2006/relationships/theme" Target="theme/theme1.xml" /><Relationship Id="rId32" Type="http://schemas.openxmlformats.org/officeDocument/2006/relationships/styles" Target="styles.xml" /><Relationship Id="rId33"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35</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