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70081">
      <w:pPr>
        <w:ind w:firstLine="880" w:firstLineChars="200"/>
        <w:jc w:val="center"/>
        <w:rPr>
          <w:rFonts w:hint="eastAsia" w:ascii="黑体" w:hAnsi="黑体" w:eastAsia="黑体" w:cs="黑体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highlight w:val="none"/>
          <w:lang w:val="en-US" w:eastAsia="zh-CN"/>
        </w:rPr>
        <w:t>2025年度政府采购情况说明</w:t>
      </w:r>
    </w:p>
    <w:p w14:paraId="44145F26">
      <w:pPr>
        <w:ind w:firstLine="640" w:firstLineChars="200"/>
        <w:jc w:val="both"/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2025年由于财力等多种因素制约，政府采购预算只编制了部分项目。在后期预算执行过程中，根据实际需要，增加了部分政府采购单位及采购项目。 2025年共实施政府采购项目122个，预算金额19751.29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万元，成交额17642.48万元。其中货物类45个，预算金额7044.79万元，成交额 5382.43万元；工程类50个，预算金额8423.91万元，成交额8273.32万元；服务类27个预算金额4282.58万元，成交额3986.71万元。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175B91"/>
    <w:rsid w:val="15370F31"/>
    <w:rsid w:val="1555138F"/>
    <w:rsid w:val="2C2A3701"/>
    <w:rsid w:val="2DD02B38"/>
    <w:rsid w:val="41CD7C80"/>
    <w:rsid w:val="66F22450"/>
    <w:rsid w:val="7F175B91"/>
    <w:rsid w:val="BD75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331</Words>
  <Characters>425</Characters>
  <Lines>0</Lines>
  <Paragraphs>0</Paragraphs>
  <TotalTime>1</TotalTime>
  <ScaleCrop>false</ScaleCrop>
  <LinksUpToDate>false</LinksUpToDate>
  <CharactersWithSpaces>425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2025-10-09T14:04:00Z</dcterms:created>
  <dc:creator>濯缨</dc:creator>
  <cp:lastModifiedBy>LIAOHE</cp:lastModifiedBy>
  <cp:lastPrinted>2025-10-09T14:04:00Z</cp:lastPrinted>
  <dcterms:modified xsi:type="dcterms:W3CDTF">2026-09-10T14:54:23Z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D2E08A183987E718CC53A26A3214D3CC_43</vt:lpwstr>
  </property>
  <property fmtid="{D5CDD505-2E9C-101B-9397-08002B2CF9AE}" pid="4" name="KSOTemplateDocerSaveRecord">
    <vt:lpwstr>eyJoZGlkIjoiNjM2NTM0OTJmZjNkNTUyYmE0NTI2MDcxODA2NDVlMjYiLCJ1c2VySWQiOiI4OTg0NDY4MzgifQ==</vt:lpwstr>
  </property>
</Properties>
</file>