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bookmarkStart w:id="0" w:name="_GoBack"/>
      <w:r>
        <w:rPr>
          <w:rFonts w:hint="eastAsia" w:ascii="宋体" w:hAnsi="宋体" w:eastAsia="宋体" w:cs="宋体"/>
          <w:b/>
          <w:bCs/>
          <w:sz w:val="36"/>
          <w:szCs w:val="36"/>
          <w:lang w:eastAsia="zh-CN"/>
        </w:rPr>
        <w:t>龙城区召都巴镇2023年政府信息</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公开工作年度报告</w:t>
      </w:r>
      <w:bookmarkEnd w:id="0"/>
    </w:p>
    <w:p>
      <w:pPr>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今年以来，我镇坚持把政务公开工作作为优化政务环境、提升机关效能的一项重要工作来抓，不断加强组织领导，优化工作思路，强化推进措施，狠抓任务落实，较好完成了既定的各项目标任务。</w:t>
      </w:r>
    </w:p>
    <w:p>
      <w:pPr>
        <w:ind w:firstLine="680" w:firstLineChars="200"/>
        <w:rPr>
          <w:rFonts w:hint="eastAsia" w:ascii="黑体" w:hAnsi="黑体" w:eastAsia="黑体" w:cs="黑体"/>
          <w:sz w:val="34"/>
          <w:szCs w:val="34"/>
        </w:rPr>
      </w:pPr>
      <w:r>
        <w:rPr>
          <w:rFonts w:hint="eastAsia" w:ascii="黑体" w:hAnsi="黑体" w:eastAsia="黑体" w:cs="黑体"/>
          <w:sz w:val="34"/>
          <w:szCs w:val="34"/>
          <w:lang w:eastAsia="zh-CN"/>
        </w:rPr>
        <w:t>一、</w:t>
      </w:r>
      <w:r>
        <w:rPr>
          <w:rFonts w:hint="eastAsia" w:ascii="黑体" w:hAnsi="黑体" w:eastAsia="黑体" w:cs="黑体"/>
          <w:sz w:val="34"/>
          <w:szCs w:val="34"/>
        </w:rPr>
        <w:t>总体情况</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（一）主动公开情况。</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政务信息公开是转变政府职能、提高服务效率、提升政府形象的一个重要举措，将政府门户网站作为全区政府信息公开的第一平台，凡涉及群众的政府重大事项、重要决策、文件等，都及时按规定在网上发布，广大群众可以在网站很快捷地获取信息，确保了应当让社会公众广泛知晓或参与的事项第一时间在区政府门户网站公开。</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2.加强领导，明确职责。为加强对政务公开工作的领导，我镇成立了以书记为组长，其他班子成员为副组长，各站办所负责人为成员的领导小组，负责单位政府信息公开的推进、协调、指导、监督工作。</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3.信息公开考核工作。为切实抓好全街信息公开工作，严格实行目标管理，每月对各村的信息报送采用和政务信息公开工作通报一次，将信息报送工作考核结果纳入全镇年终工作考核内容。</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4.完善政务信息公开配套制度，按规章办事。建立健全工作机制，完善了政务信息公开工作制度，修改了原有的公文处理单，做到从文件生成时就界定该文件是否属于主动公开、依申请公开或者不予公开范畴。</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（二）依申请公开情况。</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无</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（三）政府信息管理。</w:t>
      </w:r>
    </w:p>
    <w:p>
      <w:pPr>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对于上报的信息严格按照三审三校制度上传，做到多个人审批，最后由分管领导签字上报。做好信息保密审查工作，对涉密信息严格按照保密制度开展。</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（四）政务公开平台建设情况。</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eastAsia="zh-CN"/>
        </w:rPr>
        <w:t>镇政府</w:t>
      </w:r>
      <w:r>
        <w:rPr>
          <w:rFonts w:hint="eastAsia" w:ascii="仿宋_GB2312" w:hAnsi="仿宋_GB2312" w:eastAsia="仿宋_GB2312" w:cs="仿宋_GB2312"/>
          <w:sz w:val="34"/>
          <w:szCs w:val="34"/>
        </w:rPr>
        <w:t>各部门、各村开展“服务事项高效办”活动。围绕高频办事事项，进一步做好相关事项办事指南、服务标准等解读工作，加大部门职责、工作流程、服务时限、服务承诺等的公开力度，提升企业、群众办事体验感和获得感。</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2.开展“群众难题我来答”活动。梳理群众诉求相对集中的热点难点问题，在活动期间有针对性的进行解答。</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3.积极开展宣传活动。制做宣传单、宣传条幅、展示板，宣传《政府信息公开条例》、解读利企惠民和政府服务事项办理相关政策，促进企业和公众知晓、了解政务公开工作，提升对政务服务事项办理知晓度。</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（五）督察考核与责任追究情况。</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领导重视，高位推进，成立了以</w:t>
      </w:r>
      <w:r>
        <w:rPr>
          <w:rFonts w:hint="eastAsia" w:ascii="仿宋_GB2312" w:hAnsi="仿宋_GB2312" w:eastAsia="仿宋_GB2312" w:cs="仿宋_GB2312"/>
          <w:sz w:val="34"/>
          <w:szCs w:val="34"/>
          <w:lang w:eastAsia="zh-CN"/>
        </w:rPr>
        <w:t>镇长</w:t>
      </w:r>
      <w:r>
        <w:rPr>
          <w:rFonts w:hint="eastAsia" w:ascii="仿宋_GB2312" w:hAnsi="仿宋_GB2312" w:eastAsia="仿宋_GB2312" w:cs="仿宋_GB2312"/>
          <w:sz w:val="34"/>
          <w:szCs w:val="34"/>
        </w:rPr>
        <w:t>为组长的</w:t>
      </w:r>
      <w:r>
        <w:rPr>
          <w:rFonts w:hint="eastAsia" w:ascii="仿宋_GB2312" w:hAnsi="仿宋_GB2312" w:eastAsia="仿宋_GB2312" w:cs="仿宋_GB2312"/>
          <w:sz w:val="34"/>
          <w:szCs w:val="34"/>
          <w:lang w:eastAsia="zh-CN"/>
        </w:rPr>
        <w:t>召都巴镇</w:t>
      </w:r>
      <w:r>
        <w:rPr>
          <w:rFonts w:hint="eastAsia" w:ascii="仿宋_GB2312" w:hAnsi="仿宋_GB2312" w:eastAsia="仿宋_GB2312" w:cs="仿宋_GB2312"/>
          <w:sz w:val="34"/>
          <w:szCs w:val="34"/>
        </w:rPr>
        <w:t>政务公开工作领导小组。多次召开工作会议，分解到</w:t>
      </w:r>
      <w:r>
        <w:rPr>
          <w:rFonts w:hint="eastAsia" w:ascii="仿宋_GB2312" w:hAnsi="仿宋_GB2312" w:eastAsia="仿宋_GB2312" w:cs="仿宋_GB2312"/>
          <w:sz w:val="34"/>
          <w:szCs w:val="34"/>
          <w:lang w:eastAsia="zh-CN"/>
        </w:rPr>
        <w:t>镇政府</w:t>
      </w:r>
      <w:r>
        <w:rPr>
          <w:rFonts w:hint="eastAsia" w:ascii="仿宋_GB2312" w:hAnsi="仿宋_GB2312" w:eastAsia="仿宋_GB2312" w:cs="仿宋_GB2312"/>
          <w:sz w:val="34"/>
          <w:szCs w:val="34"/>
        </w:rPr>
        <w:t>各部门，压实责任，明确责任内容和完成时限。强调政府信息公开工作的重要性，并对如何做好信息公开发布做了培训。在保证数量的同时，务必确保信息质量。建立考核机制，将政府信息公开纳入年底考核，广泛征集民意，对公开工作做的好的，予以表扬。做的不好的，予以通报批评。</w:t>
      </w:r>
    </w:p>
    <w:p>
      <w:pPr>
        <w:ind w:firstLine="680" w:firstLineChars="200"/>
        <w:rPr>
          <w:rFonts w:hint="eastAsia" w:ascii="黑体" w:hAnsi="黑体" w:eastAsia="黑体" w:cs="黑体"/>
          <w:sz w:val="34"/>
          <w:szCs w:val="34"/>
        </w:rPr>
      </w:pPr>
      <w:r>
        <w:rPr>
          <w:rFonts w:hint="eastAsia" w:ascii="黑体" w:hAnsi="黑体" w:eastAsia="黑体" w:cs="黑体"/>
          <w:sz w:val="34"/>
          <w:szCs w:val="34"/>
        </w:rPr>
        <w:t>二、主动公开政府信息情况</w:t>
      </w:r>
    </w:p>
    <w:tbl>
      <w:tblPr>
        <w:tblStyle w:val="3"/>
        <w:tblW w:w="9735" w:type="dxa"/>
        <w:jc w:val="center"/>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0"/>
        <w:gridCol w:w="2430"/>
        <w:gridCol w:w="2430"/>
        <w:gridCol w:w="2445"/>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single" w:color="auto" w:sz="6" w:space="0"/>
              <w:left w:val="single" w:color="auto" w:sz="6" w:space="0"/>
              <w:bottom w:val="single" w:color="000000" w:sz="6" w:space="0"/>
              <w:right w:val="single" w:color="000000" w:sz="6" w:space="0"/>
            </w:tcBorders>
            <w:shd w:val="clear" w:color="auto" w:fill="C6D9F1"/>
            <w:tcMar>
              <w:top w:w="75" w:type="dxa"/>
              <w:left w:w="75" w:type="dxa"/>
              <w:bottom w:w="75" w:type="dxa"/>
              <w:right w:w="75" w:type="dxa"/>
            </w:tcMar>
            <w:vAlign w:val="center"/>
          </w:tcPr>
          <w:p>
            <w:pPr>
              <w:rPr>
                <w:rFonts w:hint="eastAsia"/>
              </w:rPr>
            </w:pPr>
            <w:r>
              <w:rPr>
                <w:rFonts w:hint="eastAsia"/>
                <w:lang w:val="en-US" w:eastAsia="zh-CN"/>
              </w:rPr>
              <w:t>第二十条第（一）项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信息内容</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本年制发件数</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本年废止件数</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现行有效件数</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规章</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行政规范性文件</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c>
          <w:tcPr>
            <w:tcW w:w="243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000000" w:sz="6" w:space="0"/>
              <w:right w:val="single" w:color="000000" w:sz="6" w:space="0"/>
            </w:tcBorders>
            <w:shd w:val="clear" w:color="auto" w:fill="C6D9F1"/>
            <w:tcMar>
              <w:top w:w="75" w:type="dxa"/>
              <w:left w:w="75" w:type="dxa"/>
              <w:bottom w:w="75" w:type="dxa"/>
              <w:right w:w="75" w:type="dxa"/>
            </w:tcMar>
            <w:vAlign w:val="center"/>
          </w:tcPr>
          <w:p>
            <w:pPr>
              <w:rPr>
                <w:rFonts w:hint="eastAsia"/>
              </w:rPr>
            </w:pPr>
            <w:r>
              <w:rPr>
                <w:rFonts w:hint="eastAsia"/>
                <w:lang w:val="en-US" w:eastAsia="zh-CN"/>
              </w:rPr>
              <w:t>第二十条第（五）项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信息内容</w:t>
            </w:r>
          </w:p>
        </w:tc>
        <w:tc>
          <w:tcPr>
            <w:tcW w:w="7305" w:type="dxa"/>
            <w:gridSpan w:val="3"/>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本年处理决定数量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行政许可</w:t>
            </w:r>
          </w:p>
        </w:tc>
        <w:tc>
          <w:tcPr>
            <w:tcW w:w="7305" w:type="dxa"/>
            <w:gridSpan w:val="3"/>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000000" w:sz="6" w:space="0"/>
              <w:right w:val="single" w:color="000000" w:sz="6" w:space="0"/>
            </w:tcBorders>
            <w:shd w:val="clear" w:color="auto" w:fill="C6D9F1"/>
            <w:tcMar>
              <w:top w:w="75" w:type="dxa"/>
              <w:left w:w="75" w:type="dxa"/>
              <w:bottom w:w="75" w:type="dxa"/>
              <w:right w:w="75" w:type="dxa"/>
            </w:tcMar>
            <w:vAlign w:val="center"/>
          </w:tcPr>
          <w:p>
            <w:pPr>
              <w:rPr>
                <w:rFonts w:hint="eastAsia"/>
              </w:rPr>
            </w:pPr>
            <w:r>
              <w:rPr>
                <w:rFonts w:hint="eastAsia"/>
                <w:lang w:val="en-US" w:eastAsia="zh-CN"/>
              </w:rPr>
              <w:t>第二十条第（六）项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信息内容</w:t>
            </w:r>
          </w:p>
        </w:tc>
        <w:tc>
          <w:tcPr>
            <w:tcW w:w="7305" w:type="dxa"/>
            <w:gridSpan w:val="3"/>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本年处理决定数量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行政处罚</w:t>
            </w:r>
          </w:p>
        </w:tc>
        <w:tc>
          <w:tcPr>
            <w:tcW w:w="7305" w:type="dxa"/>
            <w:gridSpan w:val="3"/>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行政强制</w:t>
            </w:r>
          </w:p>
        </w:tc>
        <w:tc>
          <w:tcPr>
            <w:tcW w:w="7305" w:type="dxa"/>
            <w:gridSpan w:val="3"/>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000000" w:sz="6" w:space="0"/>
              <w:right w:val="single" w:color="000000" w:sz="6" w:space="0"/>
            </w:tcBorders>
            <w:shd w:val="clear" w:color="auto" w:fill="C6D9F1"/>
            <w:tcMar>
              <w:top w:w="75" w:type="dxa"/>
              <w:left w:w="75" w:type="dxa"/>
              <w:bottom w:w="75" w:type="dxa"/>
              <w:right w:w="75" w:type="dxa"/>
            </w:tcMar>
            <w:vAlign w:val="center"/>
          </w:tcPr>
          <w:p>
            <w:pPr>
              <w:rPr>
                <w:rFonts w:hint="eastAsia"/>
              </w:rPr>
            </w:pPr>
            <w:r>
              <w:rPr>
                <w:rFonts w:hint="eastAsia"/>
                <w:lang w:val="en-US" w:eastAsia="zh-CN"/>
              </w:rPr>
              <w:t>第二十条第（八）项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信息内容</w:t>
            </w:r>
          </w:p>
        </w:tc>
        <w:tc>
          <w:tcPr>
            <w:tcW w:w="7305" w:type="dxa"/>
            <w:gridSpan w:val="3"/>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本年收费金额（单位：万元）</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行政事业性收费</w:t>
            </w:r>
          </w:p>
        </w:tc>
        <w:tc>
          <w:tcPr>
            <w:tcW w:w="7305" w:type="dxa"/>
            <w:gridSpan w:val="3"/>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eastAsia="zh-CN"/>
              </w:rPr>
            </w:pPr>
            <w:r>
              <w:rPr>
                <w:rFonts w:hint="eastAsia"/>
                <w:lang w:val="en-US" w:eastAsia="zh-CN"/>
              </w:rPr>
              <w:t>0</w:t>
            </w:r>
          </w:p>
        </w:tc>
      </w:tr>
    </w:tbl>
    <w:p>
      <w:pPr>
        <w:ind w:firstLine="680" w:firstLineChars="200"/>
        <w:rPr>
          <w:rFonts w:hint="eastAsia" w:ascii="黑体" w:hAnsi="黑体" w:eastAsia="黑体" w:cs="黑体"/>
          <w:sz w:val="34"/>
          <w:szCs w:val="34"/>
          <w:lang w:eastAsia="zh-CN"/>
        </w:rPr>
      </w:pPr>
      <w:r>
        <w:rPr>
          <w:rFonts w:hint="eastAsia" w:ascii="黑体" w:hAnsi="黑体" w:eastAsia="黑体" w:cs="黑体"/>
          <w:sz w:val="34"/>
          <w:szCs w:val="34"/>
          <w:lang w:eastAsia="zh-CN"/>
        </w:rPr>
        <w:t>三、收到和处理政府信息公开申请情况</w:t>
      </w:r>
    </w:p>
    <w:p>
      <w:pPr>
        <w:rPr>
          <w:rFonts w:hint="eastAsia"/>
          <w:lang w:eastAsia="zh-CN"/>
        </w:rPr>
      </w:pPr>
    </w:p>
    <w:tbl>
      <w:tblPr>
        <w:tblStyle w:val="3"/>
        <w:tblW w:w="9750" w:type="dxa"/>
        <w:jc w:val="center"/>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3"/>
        <w:gridCol w:w="946"/>
        <w:gridCol w:w="3190"/>
        <w:gridCol w:w="693"/>
        <w:gridCol w:w="693"/>
        <w:gridCol w:w="693"/>
        <w:gridCol w:w="693"/>
        <w:gridCol w:w="693"/>
        <w:gridCol w:w="693"/>
        <w:gridCol w:w="693"/>
      </w:tblGrid>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145" w:type="dxa"/>
            <w:gridSpan w:val="3"/>
            <w:vMerge w:val="restart"/>
            <w:tcBorders>
              <w:top w:val="single" w:color="auto" w:sz="6" w:space="0"/>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（本列数据的勾稽关系为：第一项加第二项之和，等于第三项加第四项之和）</w:t>
            </w:r>
          </w:p>
        </w:tc>
        <w:tc>
          <w:tcPr>
            <w:tcW w:w="4995" w:type="dxa"/>
            <w:gridSpan w:val="7"/>
            <w:tcBorders>
              <w:top w:val="single" w:color="auto" w:sz="6" w:space="0"/>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申请人情况</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5" w:type="dxa"/>
            <w:gridSpan w:val="3"/>
            <w:vMerge w:val="continue"/>
            <w:tcBorders>
              <w:top w:val="single" w:color="auto" w:sz="6" w:space="0"/>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720"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自然人</w:t>
            </w:r>
          </w:p>
        </w:tc>
        <w:tc>
          <w:tcPr>
            <w:tcW w:w="3570" w:type="dxa"/>
            <w:gridSpan w:val="5"/>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法人或其他组织</w:t>
            </w:r>
          </w:p>
        </w:tc>
        <w:tc>
          <w:tcPr>
            <w:tcW w:w="720"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总计</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5" w:type="dxa"/>
            <w:gridSpan w:val="3"/>
            <w:vMerge w:val="continue"/>
            <w:tcBorders>
              <w:top w:val="single" w:color="auto" w:sz="6" w:space="0"/>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72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商业企业</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科研机构</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社会公益组织</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法律服务机构</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其他</w:t>
            </w:r>
          </w:p>
        </w:tc>
        <w:tc>
          <w:tcPr>
            <w:tcW w:w="72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5" w:type="dxa"/>
            <w:gridSpan w:val="3"/>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一、本年新收政府信息公开申请数量</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5" w:type="dxa"/>
            <w:gridSpan w:val="3"/>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二、上年结转政府信息公开申请数量</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restart"/>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三、本年度办理结果</w:t>
            </w:r>
          </w:p>
        </w:tc>
        <w:tc>
          <w:tcPr>
            <w:tcW w:w="436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（一）予以公开</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436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（二）部分公开（区分处理的，只计这一情形，不计其他情形）</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（三）不予公开</w:t>
            </w: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1.属于国家秘密</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2.其他法律行政法规禁止公开</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3.危及“三安全一稳定”</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4.保护第三方合法权益</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5.属于三类内部事务信息</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6.属于四类过程性信息</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7.属于行政执法案卷</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8.属于行政查询事项</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default"/>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（四）无法提供</w:t>
            </w: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1.本机关不掌握相关政府信息</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2.没有现成信息需要另行制作</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3.补正后申请内容仍不明确</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（五）不予处理</w:t>
            </w: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1.信访举报投诉类申请</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2.重复申请</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3.要求提供公开出版物</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4.无正当理由大量反复申请</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5.要求行政机关确认或重新出具已获取信息</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（六）其他处理</w:t>
            </w: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1.申请人无正当理由逾期不补正、行政机关不再处理其政府信息公开申请</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2.申请人逾期未按收费通知要求缴纳费用、行政机关不再处理其政府信息公开申请</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960"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340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3.其他</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4365" w:type="dxa"/>
            <w:gridSpan w:val="2"/>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（七）总计</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lang w:val="en-US" w:eastAsia="zh-CN"/>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top"/>
          </w:tcPr>
          <w:p>
            <w:pPr>
              <w:rPr>
                <w:rFonts w:hint="eastAsia"/>
              </w:rPr>
            </w:pPr>
            <w:r>
              <w:rPr>
                <w:rFonts w:hint="eastAsia"/>
                <w:lang w:val="en-US" w:eastAsia="zh-CN"/>
              </w:rPr>
              <w:t>0</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5" w:type="dxa"/>
            <w:gridSpan w:val="3"/>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四、结转下年度继续办理</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720"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bl>
    <w:p>
      <w:pPr>
        <w:ind w:firstLine="680" w:firstLineChars="200"/>
        <w:rPr>
          <w:rFonts w:hint="eastAsia" w:ascii="黑体" w:hAnsi="黑体" w:eastAsia="黑体" w:cs="黑体"/>
          <w:sz w:val="34"/>
          <w:szCs w:val="34"/>
        </w:rPr>
      </w:pPr>
      <w:r>
        <w:rPr>
          <w:rFonts w:hint="eastAsia" w:ascii="黑体" w:hAnsi="黑体" w:eastAsia="黑体" w:cs="黑体"/>
          <w:sz w:val="34"/>
          <w:szCs w:val="34"/>
          <w:lang w:eastAsia="zh-CN"/>
        </w:rPr>
        <w:t>四、政府信息公开行政复议、行政诉讼情况</w:t>
      </w:r>
    </w:p>
    <w:tbl>
      <w:tblPr>
        <w:tblStyle w:val="3"/>
        <w:tblW w:w="9750" w:type="dxa"/>
        <w:jc w:val="center"/>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210" w:type="dxa"/>
            <w:gridSpan w:val="5"/>
            <w:tcBorders>
              <w:top w:val="single" w:color="auto" w:sz="6" w:space="0"/>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行政复议</w:t>
            </w:r>
          </w:p>
        </w:tc>
        <w:tc>
          <w:tcPr>
            <w:tcW w:w="6435" w:type="dxa"/>
            <w:gridSpan w:val="10"/>
            <w:tcBorders>
              <w:top w:val="single" w:color="auto" w:sz="6" w:space="0"/>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行政诉讼</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5" w:type="dxa"/>
            <w:vMerge w:val="restart"/>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结果维持</w:t>
            </w:r>
          </w:p>
        </w:tc>
        <w:tc>
          <w:tcPr>
            <w:tcW w:w="645"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结果纠正</w:t>
            </w:r>
          </w:p>
        </w:tc>
        <w:tc>
          <w:tcPr>
            <w:tcW w:w="645"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其他结果</w:t>
            </w:r>
          </w:p>
        </w:tc>
        <w:tc>
          <w:tcPr>
            <w:tcW w:w="645"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尚未审结</w:t>
            </w:r>
          </w:p>
        </w:tc>
        <w:tc>
          <w:tcPr>
            <w:tcW w:w="645" w:type="dxa"/>
            <w:vMerge w:val="restart"/>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总计</w:t>
            </w:r>
          </w:p>
        </w:tc>
        <w:tc>
          <w:tcPr>
            <w:tcW w:w="3210" w:type="dxa"/>
            <w:gridSpan w:val="5"/>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未经复议直接起诉</w:t>
            </w:r>
          </w:p>
        </w:tc>
        <w:tc>
          <w:tcPr>
            <w:tcW w:w="3210" w:type="dxa"/>
            <w:gridSpan w:val="5"/>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复议后起诉</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5" w:type="dxa"/>
            <w:vMerge w:val="continue"/>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64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64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64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645" w:type="dxa"/>
            <w:vMerge w:val="continue"/>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结果维持</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结果纠正</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其他结果</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尚未审结</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总计</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结果维持</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结果纠正</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其他结果</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尚未审结</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总计</w:t>
            </w:r>
          </w:p>
        </w:tc>
      </w:tr>
      <w:tr>
        <w:tblPrEx>
          <w:tblBorders>
            <w:top w:val="single" w:color="000000" w:sz="6" w:space="0"/>
            <w:left w:val="single" w:color="000000"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45" w:type="dxa"/>
            <w:tcBorders>
              <w:top w:val="nil"/>
              <w:left w:val="single" w:color="auto"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c>
          <w:tcPr>
            <w:tcW w:w="645" w:type="dxa"/>
            <w:tcBorders>
              <w:top w:val="nil"/>
              <w:left w:val="nil"/>
              <w:bottom w:val="single" w:color="000000" w:sz="6" w:space="0"/>
              <w:right w:val="single" w:color="000000" w:sz="6" w:space="0"/>
            </w:tcBorders>
            <w:shd w:val="clear" w:color="auto" w:fill="FFFFFF"/>
            <w:tcMar>
              <w:top w:w="75" w:type="dxa"/>
              <w:left w:w="75" w:type="dxa"/>
              <w:bottom w:w="75" w:type="dxa"/>
              <w:right w:w="75" w:type="dxa"/>
            </w:tcMar>
            <w:vAlign w:val="center"/>
          </w:tcPr>
          <w:p>
            <w:pPr>
              <w:rPr>
                <w:rFonts w:hint="eastAsia"/>
              </w:rPr>
            </w:pPr>
            <w:r>
              <w:rPr>
                <w:rFonts w:hint="eastAsia"/>
                <w:lang w:val="en-US" w:eastAsia="zh-CN"/>
              </w:rPr>
              <w:t>0</w:t>
            </w:r>
          </w:p>
        </w:tc>
      </w:tr>
    </w:tbl>
    <w:p>
      <w:pPr>
        <w:numPr>
          <w:ilvl w:val="0"/>
          <w:numId w:val="0"/>
        </w:numPr>
        <w:ind w:firstLine="683" w:firstLineChars="200"/>
        <w:rPr>
          <w:rFonts w:hint="eastAsia" w:ascii="黑体" w:hAnsi="黑体" w:eastAsia="黑体" w:cs="黑体"/>
          <w:b/>
          <w:bCs/>
          <w:sz w:val="34"/>
          <w:szCs w:val="34"/>
        </w:rPr>
      </w:pPr>
      <w:r>
        <w:rPr>
          <w:rFonts w:hint="eastAsia" w:ascii="黑体" w:hAnsi="黑体" w:eastAsia="黑体" w:cs="黑体"/>
          <w:b/>
          <w:bCs/>
          <w:sz w:val="34"/>
          <w:szCs w:val="34"/>
          <w:lang w:eastAsia="zh-CN"/>
        </w:rPr>
        <w:t>五、</w:t>
      </w:r>
      <w:r>
        <w:rPr>
          <w:rFonts w:hint="eastAsia" w:ascii="黑体" w:hAnsi="黑体" w:eastAsia="黑体" w:cs="黑体"/>
          <w:b/>
          <w:bCs/>
          <w:sz w:val="34"/>
          <w:szCs w:val="34"/>
        </w:rPr>
        <w:t>存在问题及改进情况</w:t>
      </w:r>
    </w:p>
    <w:p>
      <w:pPr>
        <w:numPr>
          <w:ilvl w:val="0"/>
          <w:numId w:val="0"/>
        </w:num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（一）存在的问题</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eastAsia="zh-CN"/>
        </w:rPr>
        <w:t>召都巴镇</w:t>
      </w:r>
      <w:r>
        <w:rPr>
          <w:rFonts w:hint="eastAsia" w:ascii="仿宋_GB2312" w:hAnsi="仿宋_GB2312" w:eastAsia="仿宋_GB2312" w:cs="仿宋_GB2312"/>
          <w:sz w:val="34"/>
          <w:szCs w:val="34"/>
        </w:rPr>
        <w:t>政府信息公开工作取得了明显成效，但仍存在队伍建设滞后、公开手段和形式不够丰富、公开时间不够及时等问题。</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（二）改进情况</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深化公开内容。完善信息发布体系，向社会公开公众关注度高、涉及面广的相关的</w:t>
      </w:r>
      <w:r>
        <w:rPr>
          <w:rFonts w:hint="eastAsia" w:ascii="仿宋_GB2312" w:hAnsi="仿宋_GB2312" w:eastAsia="仿宋_GB2312" w:cs="仿宋_GB2312"/>
          <w:sz w:val="34"/>
          <w:szCs w:val="34"/>
          <w:lang w:eastAsia="zh-CN"/>
        </w:rPr>
        <w:t>政策</w:t>
      </w:r>
      <w:r>
        <w:rPr>
          <w:rFonts w:hint="eastAsia" w:ascii="仿宋_GB2312" w:hAnsi="仿宋_GB2312" w:eastAsia="仿宋_GB2312" w:cs="仿宋_GB2312"/>
          <w:sz w:val="34"/>
          <w:szCs w:val="34"/>
        </w:rPr>
        <w:t>以及国家出台的新政策等政府信息。</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2.强化网络建设。进一步加强网络建设，加强《政府信息公开条例》的学习、宣传力度，加强对信息发布人员的业务培训，确保主动公开、依申请公开和不公开的信息分类清楚、准确，发布及时。</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3.完善监督检查。进一步完善监督检查机制，对信息公开内容以及公开效果、群众满意度、群众建议和投诉处理的落实情况等进行监督检查。</w:t>
      </w:r>
    </w:p>
    <w:p>
      <w:pPr>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4.加强制度建设。加强长效管理、确保工作落到实处，深化主动公开内容，优化信息公开服务，为政府信息公开工作的规范化奠定坚实基础</w:t>
      </w:r>
      <w:r>
        <w:rPr>
          <w:rFonts w:hint="eastAsia" w:ascii="仿宋_GB2312" w:hAnsi="仿宋_GB2312" w:eastAsia="仿宋_GB2312" w:cs="仿宋_GB2312"/>
          <w:sz w:val="34"/>
          <w:szCs w:val="34"/>
          <w:lang w:eastAsia="zh-CN"/>
        </w:rPr>
        <w:t>。</w:t>
      </w:r>
    </w:p>
    <w:p>
      <w:pPr>
        <w:ind w:firstLine="680" w:firstLineChars="200"/>
        <w:rPr>
          <w:rFonts w:hint="eastAsia" w:ascii="黑体" w:hAnsi="黑体" w:eastAsia="黑体" w:cs="黑体"/>
          <w:sz w:val="34"/>
          <w:szCs w:val="34"/>
        </w:rPr>
      </w:pPr>
      <w:r>
        <w:rPr>
          <w:rFonts w:hint="eastAsia" w:ascii="黑体" w:hAnsi="黑体" w:eastAsia="黑体" w:cs="黑体"/>
          <w:sz w:val="34"/>
          <w:szCs w:val="34"/>
        </w:rPr>
        <w:t>六、其他需要报告的事项</w:t>
      </w:r>
    </w:p>
    <w:p>
      <w:pPr>
        <w:ind w:firstLine="683" w:firstLineChars="200"/>
        <w:rPr>
          <w:rFonts w:hint="eastAsia" w:ascii="楷体_GB2312" w:hAnsi="楷体_GB2312" w:eastAsia="楷体_GB2312" w:cs="楷体_GB2312"/>
          <w:b/>
          <w:bCs/>
          <w:sz w:val="34"/>
          <w:szCs w:val="34"/>
          <w:lang w:val="en-US" w:eastAsia="zh-CN"/>
        </w:rPr>
      </w:pPr>
      <w:r>
        <w:rPr>
          <w:rFonts w:hint="eastAsia" w:ascii="楷体_GB2312" w:hAnsi="楷体_GB2312" w:eastAsia="楷体_GB2312" w:cs="楷体_GB2312"/>
          <w:b/>
          <w:bCs/>
          <w:sz w:val="34"/>
          <w:szCs w:val="34"/>
          <w:lang w:val="en-US" w:eastAsia="zh-CN"/>
        </w:rPr>
        <w:t>（一)收取信息处理费0元。</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（二）开展5·15政务公开日系列宣传活动。</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了增强活动的互动性和实效性，确保政务公开日活动取得实际效果，镇党政办公室在总结去年活动经验的基础上精心策划、统一部署。各部门、各村加强协调，把统一活动和各自开展活动相结合；形成了既有统一组织又有自身特色的宣传特点，解读利企惠民和政府服务事项办理相关政策，促进企业和公众知晓、了解政务公开工作，提升对政务服务事项办理知晓度。本次政务公开活动主要宣传《中华人民共和国政府信息公开条例》及公开政府相关部门办事流程和工作职责、工作动态等，进一步加大各部门推行政务公开力度，营造全镇政务公开工作良好的氛围，通过政务公开日活动，增强政务公开的意识，推进政务公开工作深入开展。</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val="en-US" w:eastAsia="zh-CN"/>
        </w:rPr>
        <w:t>（三）基层政务公开标准化规范化工作情况</w:t>
      </w:r>
      <w:r>
        <w:rPr>
          <w:rFonts w:hint="eastAsia" w:ascii="楷体_GB2312" w:hAnsi="楷体_GB2312" w:eastAsia="楷体_GB2312" w:cs="楷体_GB2312"/>
          <w:b/>
          <w:bCs/>
          <w:sz w:val="34"/>
          <w:szCs w:val="34"/>
          <w:lang w:eastAsia="zh-CN"/>
        </w:rPr>
        <w:t>。</w:t>
      </w:r>
    </w:p>
    <w:p>
      <w:pPr>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按照全国统一的基层政务公开标准体系，确保政务公开覆盖全街，行政权力运行全流程和政务服务全过程，基层政务公开标准化规范化水平大幅提高，基层政务公开工作机制、公开平合、专业队伍进一步健全完善，政务公开的能力和水平显著提升。</w:t>
      </w:r>
    </w:p>
    <w:p>
      <w:pPr>
        <w:ind w:firstLine="683" w:firstLineChars="200"/>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（四）开展新闻发布会、利民热线访谈活动。</w:t>
      </w:r>
    </w:p>
    <w:p>
      <w:pPr>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无</w:t>
      </w:r>
    </w:p>
    <w:p>
      <w:pPr>
        <w:ind w:firstLine="683" w:firstLineChars="200"/>
        <w:rPr>
          <w:rFonts w:hint="eastAsia" w:ascii="楷体_GB2312" w:hAnsi="楷体_GB2312" w:eastAsia="楷体_GB2312" w:cs="楷体_GB2312"/>
          <w:b/>
          <w:bCs/>
          <w:sz w:val="34"/>
          <w:szCs w:val="34"/>
          <w:lang w:val="en-US" w:eastAsia="zh-CN"/>
        </w:rPr>
      </w:pPr>
      <w:r>
        <w:rPr>
          <w:rFonts w:hint="eastAsia" w:ascii="楷体_GB2312" w:hAnsi="楷体_GB2312" w:eastAsia="楷体_GB2312" w:cs="楷体_GB2312"/>
          <w:b/>
          <w:bCs/>
          <w:sz w:val="34"/>
          <w:szCs w:val="34"/>
          <w:lang w:val="en-US" w:eastAsia="zh-CN"/>
        </w:rPr>
        <w:t>（五）创新情况。</w:t>
      </w:r>
    </w:p>
    <w:p>
      <w:pPr>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YTcxNDFjY2Y2N2EwM2QzODhhMzU3MDM1Y2VlY2MifQ=="/>
    <w:docVar w:name="KSO_WPS_MARK_KEY" w:val="c506597d-5cfd-4e6f-b728-53a769506d75"/>
  </w:docVars>
  <w:rsids>
    <w:rsidRoot w:val="5FB002AC"/>
    <w:rsid w:val="09816BD9"/>
    <w:rsid w:val="0AD15735"/>
    <w:rsid w:val="19BD0274"/>
    <w:rsid w:val="2E8508C1"/>
    <w:rsid w:val="32BA12BD"/>
    <w:rsid w:val="527C553A"/>
    <w:rsid w:val="5FB002AC"/>
    <w:rsid w:val="69222A42"/>
    <w:rsid w:val="6B30297D"/>
    <w:rsid w:val="74BA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2791</Words>
  <Characters>2828</Characters>
  <Lines>0</Lines>
  <Paragraphs>0</Paragraphs>
  <TotalTime>22</TotalTime>
  <ScaleCrop>false</ScaleCrop>
  <LinksUpToDate>false</LinksUpToDate>
  <CharactersWithSpaces>2828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2024-01-12T02:06:00Z</dcterms:created>
  <dc:creator>隔三差五想起你</dc:creator>
  <cp:lastModifiedBy>464883486</cp:lastModifiedBy>
  <dcterms:modified xsi:type="dcterms:W3CDTF">2024-01-23T06:34:22Z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EAF1DE0E73C74C58A8867A2D25C7C7AD_13</vt:lpwstr>
  </property>
</Properties>
</file>