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themeColor="text1"/>
          <w:sz w:val="48"/>
          <w:szCs w:val="4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themeColor="text1"/>
          <w:sz w:val="48"/>
          <w:szCs w:val="48"/>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8"/>
          <w:szCs w:val="48"/>
          <w:highlight w:val="none"/>
          <w:lang w:val="en-US" w:eastAsia="zh-CN"/>
          <w14:textFill>
            <w14:solidFill>
              <w14:schemeClr w14:val="tx1"/>
            </w14:solidFill>
          </w14:textFill>
        </w:rPr>
        <w:t>朝阳市龙城区中介服务业发展规划</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themeColor="text1"/>
          <w:sz w:val="48"/>
          <w:szCs w:val="4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themeColor="text1"/>
          <w:sz w:val="48"/>
          <w:szCs w:val="48"/>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8"/>
          <w:szCs w:val="48"/>
          <w:highlight w:val="none"/>
          <w14:textFill>
            <w14:solidFill>
              <w14:schemeClr w14:val="tx1"/>
            </w14:solidFill>
          </w14:textFill>
        </w:rPr>
        <w:t>（2024-2028年）</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themeColor="text1"/>
          <w:sz w:val="48"/>
          <w:szCs w:val="4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themeColor="text1"/>
          <w:sz w:val="48"/>
          <w:szCs w:val="48"/>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8"/>
          <w:szCs w:val="48"/>
          <w:highlight w:val="none"/>
          <w:lang w:val="en-US" w:eastAsia="zh-CN"/>
          <w14:textFill>
            <w14:solidFill>
              <w14:schemeClr w14:val="tx1"/>
            </w14:solidFill>
          </w14:textFill>
        </w:rPr>
        <w:t>（征求意见稿）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i w:val="0"/>
          <w:iCs w:val="0"/>
          <w:caps w:val="0"/>
          <w:color w:val="000000" w:themeColor="text1"/>
          <w:spacing w:val="0"/>
          <w:sz w:val="32"/>
          <w:szCs w:val="32"/>
          <w:highlight w:val="none"/>
          <w:shd w:val="clear" w:fill="FFFFFF"/>
          <w:lang w:val="en-US"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i w:val="0"/>
          <w:iCs w:val="0"/>
          <w:caps w:val="0"/>
          <w:color w:val="000000" w:themeColor="text1"/>
          <w:spacing w:val="0"/>
          <w:sz w:val="32"/>
          <w:szCs w:val="32"/>
          <w:highlight w:val="none"/>
          <w:shd w:val="clear" w:fill="FFFFFF"/>
          <w:lang w:val="en-US"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i w:val="0"/>
          <w:iCs w:val="0"/>
          <w:caps w:val="0"/>
          <w:color w:val="000000" w:themeColor="text1"/>
          <w:spacing w:val="0"/>
          <w:sz w:val="32"/>
          <w:szCs w:val="32"/>
          <w:highlight w:val="none"/>
          <w:shd w:val="clear" w:fill="FFFFFF"/>
          <w:lang w:val="en-US"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i w:val="0"/>
          <w:iCs w:val="0"/>
          <w:caps w:val="0"/>
          <w:color w:val="000000" w:themeColor="text1"/>
          <w:spacing w:val="0"/>
          <w:sz w:val="32"/>
          <w:szCs w:val="32"/>
          <w:highlight w:val="none"/>
          <w:shd w:val="clear" w:fill="FFFFFF"/>
          <w:lang w:val="en-US"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i w:val="0"/>
          <w:iCs w:val="0"/>
          <w:caps w:val="0"/>
          <w:color w:val="000000" w:themeColor="text1"/>
          <w:spacing w:val="0"/>
          <w:sz w:val="32"/>
          <w:szCs w:val="32"/>
          <w:highlight w:val="none"/>
          <w:shd w:val="clear" w:fill="FFFFFF"/>
          <w:lang w:val="en-US"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i w:val="0"/>
          <w:iCs w:val="0"/>
          <w:caps w:val="0"/>
          <w:color w:val="000000" w:themeColor="text1"/>
          <w:spacing w:val="0"/>
          <w:sz w:val="32"/>
          <w:szCs w:val="32"/>
          <w:highlight w:val="none"/>
          <w:shd w:val="clear" w:fill="FFFFFF"/>
          <w:lang w:val="en-US"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i w:val="0"/>
          <w:iCs w:val="0"/>
          <w:caps w:val="0"/>
          <w:color w:val="000000" w:themeColor="text1"/>
          <w:spacing w:val="0"/>
          <w:sz w:val="32"/>
          <w:szCs w:val="32"/>
          <w:highlight w:val="none"/>
          <w:shd w:val="clear" w:fill="FFFFFF"/>
          <w:lang w:val="en-US"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i w:val="0"/>
          <w:iCs w:val="0"/>
          <w:caps w:val="0"/>
          <w:color w:val="000000" w:themeColor="text1"/>
          <w:spacing w:val="0"/>
          <w:sz w:val="32"/>
          <w:szCs w:val="32"/>
          <w:highlight w:val="none"/>
          <w:shd w:val="clear" w:fill="FFFFFF"/>
          <w:lang w:val="en-US"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i w:val="0"/>
          <w:iCs w:val="0"/>
          <w:caps w:val="0"/>
          <w:color w:val="000000" w:themeColor="text1"/>
          <w:spacing w:val="0"/>
          <w:sz w:val="32"/>
          <w:szCs w:val="32"/>
          <w:highlight w:val="none"/>
          <w:shd w:val="clear" w:fill="FFFFFF"/>
          <w:lang w:val="en-US"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i w:val="0"/>
          <w:iCs w:val="0"/>
          <w:caps w:val="0"/>
          <w:color w:val="000000" w:themeColor="text1"/>
          <w:spacing w:val="0"/>
          <w:sz w:val="32"/>
          <w:szCs w:val="32"/>
          <w:highlight w:val="none"/>
          <w:shd w:val="clear" w:fill="FFFFFF"/>
          <w:lang w:val="en-US"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firstLineChars="0"/>
        <w:jc w:val="center"/>
        <w:textAlignment w:val="auto"/>
        <w:outlineLvl w:val="9"/>
        <w:rPr>
          <w:rFonts w:hint="eastAsia" w:ascii="黑体" w:hAnsi="黑体" w:eastAsia="黑体" w:cs="黑体"/>
          <w:b/>
          <w:bCs/>
          <w:i w:val="0"/>
          <w:iCs w:val="0"/>
          <w:caps w:val="0"/>
          <w:color w:val="000000" w:themeColor="text1"/>
          <w:spacing w:val="0"/>
          <w:sz w:val="32"/>
          <w:szCs w:val="32"/>
          <w:highlight w:val="none"/>
          <w:shd w:val="clear" w:fill="FFFFFF"/>
          <w:lang w:val="en-US"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textAlignment w:val="auto"/>
        <w:outlineLvl w:val="9"/>
        <w:rPr>
          <w:rFonts w:hint="eastAsia" w:ascii="黑体" w:hAnsi="黑体" w:eastAsia="黑体" w:cs="黑体"/>
          <w:b w:val="0"/>
          <w:bCs w:val="0"/>
          <w:i w:val="0"/>
          <w:iCs w:val="0"/>
          <w:caps w:val="0"/>
          <w:color w:val="000000" w:themeColor="text1"/>
          <w:spacing w:val="0"/>
          <w:sz w:val="32"/>
          <w:szCs w:val="32"/>
          <w:highlight w:val="none"/>
          <w:shd w:val="clear"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sdt>
      <w:sdtPr>
        <w:rPr>
          <w:rFonts w:hint="eastAsia" w:ascii="楷体" w:hAnsi="楷体" w:eastAsia="楷体" w:cs="楷体"/>
          <w:color w:val="000000" w:themeColor="text1"/>
          <w:kern w:val="2"/>
          <w:sz w:val="21"/>
          <w:szCs w:val="24"/>
          <w:highlight w:val="none"/>
          <w:lang w:val="en-US" w:eastAsia="zh-CN" w:bidi="ar-SA"/>
          <w14:textFill>
            <w14:solidFill>
              <w14:schemeClr w14:val="tx1"/>
            </w14:solidFill>
          </w14:textFill>
        </w:rPr>
        <w:id w:val="147467806"/>
        <w15:color w:val="DBDBDB"/>
        <w:docPartObj>
          <w:docPartGallery w:val="Table of Contents"/>
          <w:docPartUnique/>
        </w:docPartObj>
      </w:sdtPr>
      <w:sdtEndPr>
        <w:rPr>
          <w:rFonts w:hint="eastAsia" w:ascii="仿宋_GB2312" w:hAnsi="仿宋_GB2312" w:eastAsia="仿宋_GB2312" w:cs="仿宋_GB2312"/>
          <w:color w:val="000000" w:themeColor="text1"/>
          <w:kern w:val="2"/>
          <w:sz w:val="21"/>
          <w:szCs w:val="40"/>
          <w:highlight w:val="none"/>
          <w:lang w:val="en-US" w:eastAsia="zh-CN" w:bidi="ar-SA"/>
          <w14:textFill>
            <w14:solidFill>
              <w14:schemeClr w14:val="tx1"/>
            </w14:solidFill>
          </w14:textFill>
        </w:rPr>
      </w:sdtEndPr>
      <w:sdtContent>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0" w:firstLineChars="0"/>
            <w:jc w:val="center"/>
            <w:textAlignment w:val="auto"/>
            <w:rPr>
              <w:rFonts w:hint="eastAsia" w:ascii="楷体" w:hAnsi="楷体" w:eastAsia="楷体" w:cs="楷体"/>
              <w:color w:val="000000" w:themeColor="text1"/>
              <w:sz w:val="52"/>
              <w:szCs w:val="72"/>
              <w:highlight w:val="none"/>
              <w14:textFill>
                <w14:solidFill>
                  <w14:schemeClr w14:val="tx1"/>
                </w14:solidFill>
              </w14:textFill>
            </w:rPr>
          </w:pPr>
          <w:r>
            <w:rPr>
              <w:rFonts w:hint="eastAsia" w:ascii="楷体" w:hAnsi="楷体" w:eastAsia="楷体" w:cs="楷体"/>
              <w:color w:val="000000" w:themeColor="text1"/>
              <w:sz w:val="52"/>
              <w:szCs w:val="72"/>
              <w:highlight w:val="none"/>
              <w14:textFill>
                <w14:solidFill>
                  <w14:schemeClr w14:val="tx1"/>
                </w14:solidFill>
              </w14:textFill>
            </w:rPr>
            <w:t>目</w:t>
          </w:r>
          <w:r>
            <w:rPr>
              <w:rFonts w:hint="eastAsia" w:ascii="楷体" w:hAnsi="楷体" w:eastAsia="楷体" w:cs="楷体"/>
              <w:color w:val="000000" w:themeColor="text1"/>
              <w:sz w:val="52"/>
              <w:szCs w:val="72"/>
              <w:highlight w:val="none"/>
              <w:lang w:val="en-US" w:eastAsia="zh-CN"/>
              <w14:textFill>
                <w14:solidFill>
                  <w14:schemeClr w14:val="tx1"/>
                </w14:solidFill>
              </w14:textFill>
            </w:rPr>
            <w:t xml:space="preserve">  </w:t>
          </w:r>
          <w:r>
            <w:rPr>
              <w:rFonts w:hint="eastAsia" w:ascii="楷体" w:hAnsi="楷体" w:eastAsia="楷体" w:cs="楷体"/>
              <w:color w:val="000000" w:themeColor="text1"/>
              <w:sz w:val="52"/>
              <w:szCs w:val="72"/>
              <w:highlight w:val="none"/>
              <w14:textFill>
                <w14:solidFill>
                  <w14:schemeClr w14:val="tx1"/>
                </w14:solidFill>
              </w14:textFill>
            </w:rPr>
            <w:t>录</w:t>
          </w:r>
        </w:p>
        <w:p>
          <w:pPr>
            <w:pStyle w:val="7"/>
            <w:tabs>
              <w:tab w:val="right" w:leader="dot" w:pos="8306"/>
            </w:tabs>
          </w:pPr>
          <w:r>
            <w:rPr>
              <w:rFonts w:hint="eastAsia" w:ascii="楷体" w:hAnsi="楷体" w:eastAsia="楷体" w:cs="楷体"/>
              <w:color w:val="000000" w:themeColor="text1"/>
              <w:sz w:val="32"/>
              <w:szCs w:val="32"/>
              <w:highlight w:val="none"/>
              <w:lang w:val="en-US" w:eastAsia="zh-CN"/>
              <w14:textFill>
                <w14:solidFill>
                  <w14:schemeClr w14:val="tx1"/>
                </w14:solidFill>
              </w14:textFill>
            </w:rPr>
            <w:fldChar w:fldCharType="begin"/>
          </w:r>
          <w:r>
            <w:rPr>
              <w:rFonts w:hint="eastAsia" w:ascii="楷体" w:hAnsi="楷体" w:eastAsia="楷体" w:cs="楷体"/>
              <w:color w:val="000000" w:themeColor="text1"/>
              <w:sz w:val="32"/>
              <w:szCs w:val="32"/>
              <w:highlight w:val="none"/>
              <w:lang w:val="en-US" w:eastAsia="zh-CN"/>
              <w14:textFill>
                <w14:solidFill>
                  <w14:schemeClr w14:val="tx1"/>
                </w14:solidFill>
              </w14:textFill>
            </w:rPr>
            <w:instrText xml:space="preserve">TOC \o "1-3" \h \u </w:instrText>
          </w:r>
          <w:r>
            <w:rPr>
              <w:rFonts w:hint="eastAsia" w:ascii="楷体" w:hAnsi="楷体" w:eastAsia="楷体" w:cs="楷体"/>
              <w:color w:val="000000" w:themeColor="text1"/>
              <w:sz w:val="32"/>
              <w:szCs w:val="32"/>
              <w:highlight w:val="none"/>
              <w:lang w:val="en-US" w:eastAsia="zh-CN"/>
              <w14:textFill>
                <w14:solidFill>
                  <w14:schemeClr w14:val="tx1"/>
                </w14:solidFill>
              </w14:textFill>
            </w:rPr>
            <w:fldChar w:fldCharType="separate"/>
          </w:r>
          <w:r>
            <w:rPr>
              <w:rFonts w:hint="eastAsia" w:ascii="黑体" w:hAnsi="黑体" w:eastAsia="黑体" w:cs="黑体"/>
              <w:color w:val="000000" w:themeColor="text1"/>
              <w:sz w:val="28"/>
              <w:szCs w:val="28"/>
              <w:highlight w:val="none"/>
              <w:lang w:val="en-US" w:eastAsia="zh-CN"/>
              <w14:textFill>
                <w14:solidFill>
                  <w14:schemeClr w14:val="tx1"/>
                </w14:solidFill>
              </w14:textFill>
            </w:rPr>
            <w:fldChar w:fldCharType="begin"/>
          </w:r>
          <w:r>
            <w:rPr>
              <w:rFonts w:hint="eastAsia" w:ascii="黑体" w:hAnsi="黑体" w:eastAsia="黑体" w:cs="黑体"/>
              <w:sz w:val="28"/>
              <w:szCs w:val="28"/>
              <w:highlight w:val="none"/>
              <w:lang w:val="en-US" w:eastAsia="zh-CN"/>
            </w:rPr>
            <w:instrText xml:space="preserve"> HYPERLINK \l _Toc12537 </w:instrText>
          </w:r>
          <w:r>
            <w:rPr>
              <w:rFonts w:hint="eastAsia" w:ascii="黑体" w:hAnsi="黑体" w:eastAsia="黑体" w:cs="黑体"/>
              <w:sz w:val="28"/>
              <w:szCs w:val="28"/>
              <w:highlight w:val="none"/>
              <w:lang w:val="en-US" w:eastAsia="zh-CN"/>
            </w:rPr>
            <w:fldChar w:fldCharType="separate"/>
          </w:r>
          <w:r>
            <w:rPr>
              <w:rFonts w:hint="eastAsia" w:ascii="黑体" w:hAnsi="黑体" w:eastAsia="黑体" w:cs="黑体"/>
              <w:bCs w:val="0"/>
              <w:i w:val="0"/>
              <w:iCs w:val="0"/>
              <w:caps w:val="0"/>
              <w:spacing w:val="0"/>
              <w:sz w:val="28"/>
              <w:szCs w:val="28"/>
            </w:rPr>
            <w:t xml:space="preserve">一、 </w:t>
          </w:r>
          <w:r>
            <w:rPr>
              <w:rFonts w:hint="eastAsia" w:ascii="黑体" w:hAnsi="黑体" w:eastAsia="黑体" w:cs="黑体"/>
              <w:bCs w:val="0"/>
              <w:i w:val="0"/>
              <w:iCs w:val="0"/>
              <w:caps w:val="0"/>
              <w:spacing w:val="0"/>
              <w:sz w:val="28"/>
              <w:szCs w:val="28"/>
              <w:highlight w:val="none"/>
              <w:shd w:val="clear" w:fill="FFFFFF"/>
            </w:rPr>
            <w:t>规划背景与现实基础</w:t>
          </w:r>
          <w:r>
            <w:rPr>
              <w:rFonts w:hint="eastAsia" w:ascii="黑体" w:hAnsi="黑体" w:eastAsia="黑体" w:cs="黑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_Toc12537 \h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黑体" w:hAnsi="黑体" w:eastAsia="黑体" w:cs="黑体"/>
              <w:color w:val="000000" w:themeColor="text1"/>
              <w:sz w:val="28"/>
              <w:szCs w:val="28"/>
              <w:highlight w:val="none"/>
              <w:lang w:val="en-US" w:eastAsia="zh-CN"/>
              <w14:textFill>
                <w14:solidFill>
                  <w14:schemeClr w14:val="tx1"/>
                </w14:solidFill>
              </w14:textFill>
            </w:rPr>
            <w:fldChar w:fldCharType="end"/>
          </w:r>
        </w:p>
        <w:p>
          <w:pPr>
            <w:pStyle w:val="8"/>
            <w:tabs>
              <w:tab w:val="right" w:leader="dot" w:pos="8306"/>
            </w:tabs>
            <w:rPr>
              <w:rFonts w:hint="eastAsia" w:ascii="楷体" w:hAnsi="楷体" w:eastAsia="楷体" w:cs="楷体"/>
              <w:sz w:val="28"/>
              <w:szCs w:val="28"/>
            </w:rPr>
          </w:pP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begin"/>
          </w:r>
          <w:r>
            <w:rPr>
              <w:rFonts w:hint="eastAsia" w:ascii="楷体" w:hAnsi="楷体" w:eastAsia="楷体" w:cs="楷体"/>
              <w:sz w:val="28"/>
              <w:szCs w:val="28"/>
              <w:highlight w:val="none"/>
              <w:lang w:val="en-US" w:eastAsia="zh-CN"/>
            </w:rPr>
            <w:instrText xml:space="preserve"> HYPERLINK \l _Toc18461 </w:instrText>
          </w:r>
          <w:r>
            <w:rPr>
              <w:rFonts w:hint="eastAsia" w:ascii="楷体" w:hAnsi="楷体" w:eastAsia="楷体" w:cs="楷体"/>
              <w:sz w:val="28"/>
              <w:szCs w:val="28"/>
              <w:highlight w:val="none"/>
              <w:lang w:val="en-US" w:eastAsia="zh-CN"/>
            </w:rPr>
            <w:fldChar w:fldCharType="separate"/>
          </w:r>
          <w:r>
            <w:rPr>
              <w:rFonts w:hint="eastAsia" w:ascii="楷体" w:hAnsi="楷体" w:eastAsia="楷体" w:cs="楷体"/>
              <w:sz w:val="28"/>
              <w:szCs w:val="28"/>
              <w:lang w:val="en-US" w:eastAsia="zh-CN"/>
            </w:rPr>
            <w:t xml:space="preserve">（一） </w:t>
          </w:r>
          <w:r>
            <w:rPr>
              <w:rFonts w:hint="eastAsia" w:ascii="楷体" w:hAnsi="楷体" w:eastAsia="楷体" w:cs="楷体"/>
              <w:sz w:val="28"/>
              <w:szCs w:val="28"/>
              <w:highlight w:val="none"/>
              <w:lang w:val="en-US" w:eastAsia="zh-CN"/>
            </w:rPr>
            <w:t>规划背景</w:t>
          </w:r>
          <w:r>
            <w:rPr>
              <w:rFonts w:hint="eastAsia" w:ascii="楷体" w:hAnsi="楷体" w:eastAsia="楷体" w:cs="楷体"/>
              <w:sz w:val="28"/>
              <w:szCs w:val="28"/>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_Toc18461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1</w:t>
          </w:r>
          <w:r>
            <w:rPr>
              <w:rFonts w:hint="eastAsia" w:ascii="楷体" w:hAnsi="楷体" w:eastAsia="楷体" w:cs="楷体"/>
              <w:kern w:val="2"/>
              <w:sz w:val="28"/>
              <w:szCs w:val="28"/>
              <w:lang w:val="en-US" w:eastAsia="zh-CN" w:bidi="ar-SA"/>
            </w:rPr>
            <w:fldChar w:fldCharType="end"/>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end"/>
          </w:r>
        </w:p>
        <w:p>
          <w:pPr>
            <w:pStyle w:val="8"/>
            <w:tabs>
              <w:tab w:val="right" w:leader="dot" w:pos="8306"/>
            </w:tabs>
            <w:rPr>
              <w:rFonts w:hint="eastAsia" w:ascii="楷体" w:hAnsi="楷体" w:eastAsia="楷体" w:cs="楷体"/>
              <w:sz w:val="28"/>
              <w:szCs w:val="28"/>
            </w:rPr>
          </w:pP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begin"/>
          </w:r>
          <w:r>
            <w:rPr>
              <w:rFonts w:hint="eastAsia" w:ascii="楷体" w:hAnsi="楷体" w:eastAsia="楷体" w:cs="楷体"/>
              <w:sz w:val="28"/>
              <w:szCs w:val="28"/>
              <w:highlight w:val="none"/>
              <w:lang w:val="en-US" w:eastAsia="zh-CN"/>
            </w:rPr>
            <w:instrText xml:space="preserve"> HYPERLINK \l _Toc1740 </w:instrText>
          </w:r>
          <w:r>
            <w:rPr>
              <w:rFonts w:hint="eastAsia" w:ascii="楷体" w:hAnsi="楷体" w:eastAsia="楷体" w:cs="楷体"/>
              <w:sz w:val="28"/>
              <w:szCs w:val="28"/>
              <w:highlight w:val="none"/>
              <w:lang w:val="en-US" w:eastAsia="zh-CN"/>
            </w:rPr>
            <w:fldChar w:fldCharType="separate"/>
          </w:r>
          <w:r>
            <w:rPr>
              <w:rFonts w:hint="eastAsia" w:ascii="楷体" w:hAnsi="楷体" w:eastAsia="楷体" w:cs="楷体"/>
              <w:sz w:val="28"/>
              <w:szCs w:val="28"/>
              <w:lang w:val="en-US" w:eastAsia="zh-CN"/>
            </w:rPr>
            <w:t xml:space="preserve">（二） </w:t>
          </w:r>
          <w:r>
            <w:rPr>
              <w:rFonts w:hint="eastAsia" w:ascii="楷体" w:hAnsi="楷体" w:eastAsia="楷体" w:cs="楷体"/>
              <w:sz w:val="28"/>
              <w:szCs w:val="28"/>
              <w:highlight w:val="none"/>
              <w:lang w:val="en-US" w:eastAsia="zh-CN"/>
            </w:rPr>
            <w:t>现实基础</w:t>
          </w:r>
          <w:r>
            <w:rPr>
              <w:rFonts w:hint="eastAsia" w:ascii="楷体" w:hAnsi="楷体" w:eastAsia="楷体" w:cs="楷体"/>
              <w:sz w:val="28"/>
              <w:szCs w:val="28"/>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_Toc1740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2</w:t>
          </w:r>
          <w:r>
            <w:rPr>
              <w:rFonts w:hint="eastAsia" w:ascii="楷体" w:hAnsi="楷体" w:eastAsia="楷体" w:cs="楷体"/>
              <w:kern w:val="2"/>
              <w:sz w:val="28"/>
              <w:szCs w:val="28"/>
              <w:lang w:val="en-US" w:eastAsia="zh-CN" w:bidi="ar-SA"/>
            </w:rPr>
            <w:fldChar w:fldCharType="end"/>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end"/>
          </w:r>
        </w:p>
        <w:p>
          <w:pPr>
            <w:pStyle w:val="7"/>
            <w:tabs>
              <w:tab w:val="right" w:leader="dot" w:pos="8306"/>
            </w:tabs>
            <w:rPr>
              <w:rFonts w:hint="eastAsia"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fldChar w:fldCharType="begin"/>
          </w:r>
          <w:r>
            <w:rPr>
              <w:rFonts w:hint="eastAsia" w:ascii="黑体" w:hAnsi="黑体" w:eastAsia="黑体" w:cs="黑体"/>
              <w:color w:val="000000" w:themeColor="text1"/>
              <w:sz w:val="28"/>
              <w:szCs w:val="28"/>
              <w:highlight w:val="none"/>
              <w:lang w:val="en-US" w:eastAsia="zh-CN"/>
              <w14:textFill>
                <w14:solidFill>
                  <w14:schemeClr w14:val="tx1"/>
                </w14:solidFill>
              </w14:textFill>
            </w:rPr>
            <w:instrText xml:space="preserve"> HYPERLINK \l _Toc9182 </w:instrText>
          </w:r>
          <w:r>
            <w:rPr>
              <w:rFonts w:hint="eastAsia" w:ascii="黑体" w:hAnsi="黑体" w:eastAsia="黑体" w:cs="黑体"/>
              <w:color w:val="000000" w:themeColor="text1"/>
              <w:sz w:val="28"/>
              <w:szCs w:val="28"/>
              <w:highlight w:val="none"/>
              <w:lang w:val="en-US" w:eastAsia="zh-CN"/>
              <w14:textFill>
                <w14:solidFill>
                  <w14:schemeClr w14:val="tx1"/>
                </w14:solidFill>
              </w14:textFill>
            </w:rPr>
            <w:fldChar w:fldCharType="separate"/>
          </w:r>
          <w:r>
            <w:rPr>
              <w:rFonts w:hint="eastAsia" w:ascii="黑体" w:hAnsi="黑体" w:eastAsia="黑体" w:cs="黑体"/>
              <w:color w:val="000000" w:themeColor="text1"/>
              <w:sz w:val="28"/>
              <w:szCs w:val="28"/>
              <w:highlight w:val="none"/>
              <w:lang w:val="en-US" w:eastAsia="zh-CN"/>
              <w14:textFill>
                <w14:solidFill>
                  <w14:schemeClr w14:val="tx1"/>
                </w14:solidFill>
              </w14:textFill>
            </w:rPr>
            <w:t>二、 总体要求</w:t>
          </w:r>
          <w:r>
            <w:rPr>
              <w:rFonts w:hint="eastAsia" w:ascii="黑体" w:hAnsi="黑体" w:eastAsia="黑体" w:cs="黑体"/>
              <w:color w:val="000000" w:themeColor="text1"/>
              <w:sz w:val="28"/>
              <w:szCs w:val="28"/>
              <w:highlight w:val="none"/>
              <w:lang w:val="en-US" w:eastAsia="zh-CN"/>
              <w14:textFill>
                <w14:solidFill>
                  <w14:schemeClr w14:val="tx1"/>
                </w14:solidFill>
              </w14:textFill>
            </w:rPr>
            <w:tab/>
          </w:r>
          <w:r>
            <w:rPr>
              <w:rFonts w:hint="eastAsia" w:ascii="楷体" w:hAnsi="楷体" w:eastAsia="楷体" w:cs="楷体"/>
              <w:sz w:val="28"/>
              <w:szCs w:val="28"/>
              <w:lang w:val="en-US" w:eastAsia="zh-CN"/>
            </w:rPr>
            <w:fldChar w:fldCharType="begin"/>
          </w:r>
          <w:r>
            <w:rPr>
              <w:rFonts w:hint="eastAsia" w:ascii="楷体" w:hAnsi="楷体" w:eastAsia="楷体" w:cs="楷体"/>
              <w:sz w:val="28"/>
              <w:szCs w:val="28"/>
              <w:lang w:val="en-US" w:eastAsia="zh-CN"/>
            </w:rPr>
            <w:instrText xml:space="preserve"> PAGEREF _Toc9182 \h </w:instrText>
          </w:r>
          <w:r>
            <w:rPr>
              <w:rFonts w:hint="eastAsia" w:ascii="楷体" w:hAnsi="楷体" w:eastAsia="楷体" w:cs="楷体"/>
              <w:sz w:val="28"/>
              <w:szCs w:val="28"/>
              <w:lang w:val="en-US" w:eastAsia="zh-CN"/>
            </w:rPr>
            <w:fldChar w:fldCharType="separate"/>
          </w:r>
          <w:r>
            <w:rPr>
              <w:rFonts w:hint="eastAsia" w:ascii="楷体" w:hAnsi="楷体" w:eastAsia="楷体" w:cs="楷体"/>
              <w:sz w:val="28"/>
              <w:szCs w:val="28"/>
              <w:lang w:val="en-US" w:eastAsia="zh-CN"/>
            </w:rPr>
            <w:t>4</w:t>
          </w:r>
          <w:r>
            <w:rPr>
              <w:rFonts w:hint="eastAsia" w:ascii="楷体" w:hAnsi="楷体" w:eastAsia="楷体" w:cs="楷体"/>
              <w:sz w:val="28"/>
              <w:szCs w:val="28"/>
              <w:lang w:val="en-US" w:eastAsia="zh-CN"/>
            </w:rPr>
            <w:fldChar w:fldCharType="end"/>
          </w:r>
          <w:r>
            <w:rPr>
              <w:rFonts w:hint="eastAsia" w:ascii="黑体" w:hAnsi="黑体" w:eastAsia="黑体" w:cs="黑体"/>
              <w:color w:val="000000" w:themeColor="text1"/>
              <w:sz w:val="28"/>
              <w:szCs w:val="28"/>
              <w:highlight w:val="none"/>
              <w:lang w:val="en-US" w:eastAsia="zh-CN"/>
              <w14:textFill>
                <w14:solidFill>
                  <w14:schemeClr w14:val="tx1"/>
                </w14:solidFill>
              </w14:textFill>
            </w:rPr>
            <w:fldChar w:fldCharType="end"/>
          </w:r>
        </w:p>
        <w:p>
          <w:pPr>
            <w:pStyle w:val="8"/>
            <w:tabs>
              <w:tab w:val="right" w:leader="dot" w:pos="8306"/>
            </w:tabs>
            <w:rPr>
              <w:rFonts w:hint="eastAsia" w:ascii="楷体" w:hAnsi="楷体" w:eastAsia="楷体" w:cs="楷体"/>
              <w:color w:val="000000" w:themeColor="text1"/>
              <w:sz w:val="28"/>
              <w:szCs w:val="28"/>
              <w:highlight w:val="none"/>
              <w:lang w:val="en-US" w:eastAsia="zh-CN"/>
              <w14:textFill>
                <w14:solidFill>
                  <w14:schemeClr w14:val="tx1"/>
                </w14:solidFill>
              </w14:textFill>
            </w:rPr>
          </w:pP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begin"/>
          </w:r>
          <w:r>
            <w:rPr>
              <w:rFonts w:hint="eastAsia" w:ascii="楷体" w:hAnsi="楷体" w:eastAsia="楷体" w:cs="楷体"/>
              <w:color w:val="000000" w:themeColor="text1"/>
              <w:sz w:val="28"/>
              <w:szCs w:val="28"/>
              <w:highlight w:val="none"/>
              <w:lang w:val="en-US" w:eastAsia="zh-CN"/>
              <w14:textFill>
                <w14:solidFill>
                  <w14:schemeClr w14:val="tx1"/>
                </w14:solidFill>
              </w14:textFill>
            </w:rPr>
            <w:instrText xml:space="preserve"> HYPERLINK \l _Toc20729 </w:instrText>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separate"/>
          </w:r>
          <w:r>
            <w:rPr>
              <w:rFonts w:hint="eastAsia" w:ascii="楷体" w:hAnsi="楷体" w:eastAsia="楷体" w:cs="楷体"/>
              <w:color w:val="000000" w:themeColor="text1"/>
              <w:sz w:val="28"/>
              <w:szCs w:val="28"/>
              <w:highlight w:val="none"/>
              <w:lang w:val="en-US" w:eastAsia="zh-CN"/>
              <w14:textFill>
                <w14:solidFill>
                  <w14:schemeClr w14:val="tx1"/>
                </w14:solidFill>
              </w14:textFill>
            </w:rPr>
            <w:t>（一） 指导思想</w:t>
          </w:r>
          <w:r>
            <w:rPr>
              <w:rFonts w:hint="eastAsia" w:ascii="楷体" w:hAnsi="楷体" w:eastAsia="楷体" w:cs="楷体"/>
              <w:color w:val="000000" w:themeColor="text1"/>
              <w:sz w:val="28"/>
              <w:szCs w:val="28"/>
              <w:highlight w:val="none"/>
              <w:lang w:val="en-US" w:eastAsia="zh-CN"/>
              <w14:textFill>
                <w14:solidFill>
                  <w14:schemeClr w14:val="tx1"/>
                </w14:solidFill>
              </w14:textFill>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_Toc20729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4</w:t>
          </w:r>
          <w:r>
            <w:rPr>
              <w:rFonts w:hint="eastAsia" w:ascii="楷体" w:hAnsi="楷体" w:eastAsia="楷体" w:cs="楷体"/>
              <w:kern w:val="2"/>
              <w:sz w:val="28"/>
              <w:szCs w:val="28"/>
              <w:lang w:val="en-US" w:eastAsia="zh-CN" w:bidi="ar-SA"/>
            </w:rPr>
            <w:fldChar w:fldCharType="end"/>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end"/>
          </w:r>
        </w:p>
        <w:p>
          <w:pPr>
            <w:pStyle w:val="8"/>
            <w:tabs>
              <w:tab w:val="right" w:leader="dot" w:pos="8306"/>
            </w:tabs>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HYPERLINK \l _Toc19881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（二） 基本原则</w:t>
          </w:r>
          <w:r>
            <w:rPr>
              <w:rFonts w:hint="eastAsia" w:ascii="楷体" w:hAnsi="楷体" w:eastAsia="楷体" w:cs="楷体"/>
              <w:kern w:val="2"/>
              <w:sz w:val="28"/>
              <w:szCs w:val="28"/>
              <w:lang w:val="en-US" w:eastAsia="zh-CN" w:bidi="ar-SA"/>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_Toc19881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4</w:t>
          </w:r>
          <w:r>
            <w:rPr>
              <w:rFonts w:hint="eastAsia" w:ascii="楷体" w:hAnsi="楷体" w:eastAsia="楷体" w:cs="楷体"/>
              <w:kern w:val="2"/>
              <w:sz w:val="28"/>
              <w:szCs w:val="28"/>
              <w:lang w:val="en-US" w:eastAsia="zh-CN" w:bidi="ar-SA"/>
            </w:rPr>
            <w:fldChar w:fldCharType="end"/>
          </w:r>
          <w:r>
            <w:rPr>
              <w:rFonts w:hint="eastAsia" w:ascii="楷体" w:hAnsi="楷体" w:eastAsia="楷体" w:cs="楷体"/>
              <w:kern w:val="2"/>
              <w:sz w:val="28"/>
              <w:szCs w:val="28"/>
              <w:lang w:val="en-US" w:eastAsia="zh-CN" w:bidi="ar-SA"/>
            </w:rPr>
            <w:fldChar w:fldCharType="end"/>
          </w:r>
        </w:p>
        <w:p>
          <w:pPr>
            <w:pStyle w:val="8"/>
            <w:tabs>
              <w:tab w:val="right" w:leader="dot" w:pos="8306"/>
            </w:tabs>
            <w:rPr>
              <w:rFonts w:hint="eastAsia" w:ascii="楷体" w:hAnsi="楷体" w:eastAsia="楷体" w:cs="楷体"/>
              <w:color w:val="000000" w:themeColor="text1"/>
              <w:sz w:val="28"/>
              <w:szCs w:val="28"/>
              <w:highlight w:val="none"/>
              <w:lang w:val="en-US" w:eastAsia="zh-CN"/>
              <w14:textFill>
                <w14:solidFill>
                  <w14:schemeClr w14:val="tx1"/>
                </w14:solidFill>
              </w14:textFill>
            </w:rPr>
          </w:pP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begin"/>
          </w:r>
          <w:r>
            <w:rPr>
              <w:rFonts w:hint="eastAsia" w:ascii="楷体" w:hAnsi="楷体" w:eastAsia="楷体" w:cs="楷体"/>
              <w:color w:val="000000" w:themeColor="text1"/>
              <w:sz w:val="28"/>
              <w:szCs w:val="28"/>
              <w:highlight w:val="none"/>
              <w:lang w:val="en-US" w:eastAsia="zh-CN"/>
              <w14:textFill>
                <w14:solidFill>
                  <w14:schemeClr w14:val="tx1"/>
                </w14:solidFill>
              </w14:textFill>
            </w:rPr>
            <w:instrText xml:space="preserve"> HYPERLINK \l _Toc22724 </w:instrText>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separate"/>
          </w:r>
          <w:r>
            <w:rPr>
              <w:rFonts w:hint="eastAsia" w:ascii="楷体" w:hAnsi="楷体" w:eastAsia="楷体" w:cs="楷体"/>
              <w:color w:val="000000" w:themeColor="text1"/>
              <w:sz w:val="28"/>
              <w:szCs w:val="28"/>
              <w:highlight w:val="none"/>
              <w:lang w:val="en-US" w:eastAsia="zh-CN"/>
              <w14:textFill>
                <w14:solidFill>
                  <w14:schemeClr w14:val="tx1"/>
                </w14:solidFill>
              </w14:textFill>
            </w:rPr>
            <w:t>（三） 发展目标</w:t>
          </w:r>
          <w:r>
            <w:rPr>
              <w:rFonts w:hint="eastAsia" w:ascii="楷体" w:hAnsi="楷体" w:eastAsia="楷体" w:cs="楷体"/>
              <w:color w:val="000000" w:themeColor="text1"/>
              <w:sz w:val="28"/>
              <w:szCs w:val="28"/>
              <w:highlight w:val="none"/>
              <w:lang w:val="en-US" w:eastAsia="zh-CN"/>
              <w14:textFill>
                <w14:solidFill>
                  <w14:schemeClr w14:val="tx1"/>
                </w14:solidFill>
              </w14:textFill>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_Toc22724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5</w:t>
          </w:r>
          <w:r>
            <w:rPr>
              <w:rFonts w:hint="eastAsia" w:ascii="楷体" w:hAnsi="楷体" w:eastAsia="楷体" w:cs="楷体"/>
              <w:kern w:val="2"/>
              <w:sz w:val="28"/>
              <w:szCs w:val="28"/>
              <w:lang w:val="en-US" w:eastAsia="zh-CN" w:bidi="ar-SA"/>
            </w:rPr>
            <w:fldChar w:fldCharType="end"/>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end"/>
          </w:r>
        </w:p>
        <w:p>
          <w:pPr>
            <w:pStyle w:val="7"/>
            <w:tabs>
              <w:tab w:val="right" w:leader="dot" w:pos="8306"/>
            </w:tabs>
            <w:rPr>
              <w:rFonts w:hint="eastAsia" w:ascii="黑体" w:hAnsi="黑体" w:eastAsia="黑体" w:cs="黑体"/>
              <w:sz w:val="28"/>
              <w:szCs w:val="28"/>
            </w:rPr>
          </w:pPr>
          <w:r>
            <w:rPr>
              <w:rFonts w:hint="eastAsia" w:ascii="黑体" w:hAnsi="黑体" w:eastAsia="黑体" w:cs="黑体"/>
              <w:sz w:val="28"/>
              <w:szCs w:val="28"/>
              <w:lang w:val="en-US" w:eastAsia="zh-CN"/>
            </w:rPr>
            <w:fldChar w:fldCharType="begin"/>
          </w:r>
          <w:r>
            <w:rPr>
              <w:rFonts w:hint="eastAsia" w:ascii="黑体" w:hAnsi="黑体" w:eastAsia="黑体" w:cs="黑体"/>
              <w:sz w:val="28"/>
              <w:szCs w:val="28"/>
              <w:lang w:val="en-US" w:eastAsia="zh-CN"/>
            </w:rPr>
            <w:instrText xml:space="preserve"> HYPERLINK \l _Toc19554 </w:instrText>
          </w:r>
          <w:r>
            <w:rPr>
              <w:rFonts w:hint="eastAsia" w:ascii="黑体" w:hAnsi="黑体" w:eastAsia="黑体" w:cs="黑体"/>
              <w:sz w:val="28"/>
              <w:szCs w:val="28"/>
              <w:lang w:val="en-US" w:eastAsia="zh-CN"/>
            </w:rPr>
            <w:fldChar w:fldCharType="separate"/>
          </w:r>
          <w:r>
            <w:rPr>
              <w:rFonts w:hint="eastAsia" w:ascii="黑体" w:hAnsi="黑体" w:eastAsia="黑体" w:cs="黑体"/>
              <w:sz w:val="28"/>
              <w:szCs w:val="28"/>
              <w:lang w:val="en-US" w:eastAsia="zh-CN"/>
            </w:rPr>
            <w:t>三、 发展重点</w:t>
          </w:r>
          <w:r>
            <w:rPr>
              <w:rFonts w:hint="eastAsia" w:ascii="黑体" w:hAnsi="黑体" w:eastAsia="黑体" w:cs="黑体"/>
              <w:sz w:val="28"/>
              <w:szCs w:val="28"/>
              <w:lang w:val="en-US" w:eastAsia="zh-CN"/>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_Toc19554 \h </w:instrText>
          </w:r>
          <w:r>
            <w:rPr>
              <w:rFonts w:hint="eastAsia" w:ascii="楷体" w:hAnsi="楷体" w:eastAsia="楷体" w:cs="楷体"/>
              <w:sz w:val="28"/>
              <w:szCs w:val="28"/>
            </w:rPr>
            <w:fldChar w:fldCharType="separate"/>
          </w:r>
          <w:r>
            <w:rPr>
              <w:rFonts w:hint="eastAsia" w:ascii="楷体" w:hAnsi="楷体" w:eastAsia="楷体" w:cs="楷体"/>
              <w:sz w:val="28"/>
              <w:szCs w:val="28"/>
            </w:rPr>
            <w:t>7</w:t>
          </w:r>
          <w:r>
            <w:rPr>
              <w:rFonts w:hint="eastAsia" w:ascii="楷体" w:hAnsi="楷体" w:eastAsia="楷体" w:cs="楷体"/>
              <w:sz w:val="28"/>
              <w:szCs w:val="28"/>
            </w:rPr>
            <w:fldChar w:fldCharType="end"/>
          </w:r>
          <w:r>
            <w:rPr>
              <w:rFonts w:hint="eastAsia" w:ascii="黑体" w:hAnsi="黑体" w:eastAsia="黑体" w:cs="黑体"/>
              <w:sz w:val="28"/>
              <w:szCs w:val="28"/>
              <w:lang w:val="en-US" w:eastAsia="zh-CN"/>
            </w:rPr>
            <w:fldChar w:fldCharType="end"/>
          </w:r>
        </w:p>
        <w:p>
          <w:pPr>
            <w:pStyle w:val="8"/>
            <w:tabs>
              <w:tab w:val="right" w:leader="dot" w:pos="8306"/>
            </w:tabs>
            <w:rPr>
              <w:rFonts w:hint="eastAsia" w:ascii="楷体" w:hAnsi="楷体" w:eastAsia="楷体" w:cs="楷体"/>
              <w:color w:val="000000" w:themeColor="text1"/>
              <w:sz w:val="28"/>
              <w:szCs w:val="28"/>
              <w:highlight w:val="none"/>
              <w:lang w:val="en-US" w:eastAsia="zh-CN"/>
              <w14:textFill>
                <w14:solidFill>
                  <w14:schemeClr w14:val="tx1"/>
                </w14:solidFill>
              </w14:textFill>
            </w:rPr>
          </w:pP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begin"/>
          </w:r>
          <w:r>
            <w:rPr>
              <w:rFonts w:hint="eastAsia" w:ascii="楷体" w:hAnsi="楷体" w:eastAsia="楷体" w:cs="楷体"/>
              <w:color w:val="000000" w:themeColor="text1"/>
              <w:sz w:val="28"/>
              <w:szCs w:val="28"/>
              <w:highlight w:val="none"/>
              <w:lang w:val="en-US" w:eastAsia="zh-CN"/>
              <w14:textFill>
                <w14:solidFill>
                  <w14:schemeClr w14:val="tx1"/>
                </w14:solidFill>
              </w14:textFill>
            </w:rPr>
            <w:instrText xml:space="preserve"> HYPERLINK \l _Toc10606 </w:instrText>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separate"/>
          </w:r>
          <w:r>
            <w:rPr>
              <w:rFonts w:hint="eastAsia" w:ascii="楷体" w:hAnsi="楷体" w:eastAsia="楷体" w:cs="楷体"/>
              <w:color w:val="000000" w:themeColor="text1"/>
              <w:sz w:val="28"/>
              <w:szCs w:val="28"/>
              <w:highlight w:val="none"/>
              <w:lang w:val="en-US" w:eastAsia="zh-CN"/>
              <w14:textFill>
                <w14:solidFill>
                  <w14:schemeClr w14:val="tx1"/>
                </w14:solidFill>
              </w14:textFill>
            </w:rPr>
            <w:t>（一） 围绕重点产业集群发展生产性中介服务</w:t>
          </w:r>
          <w:r>
            <w:rPr>
              <w:rFonts w:hint="eastAsia" w:ascii="楷体" w:hAnsi="楷体" w:eastAsia="楷体" w:cs="楷体"/>
              <w:color w:val="000000" w:themeColor="text1"/>
              <w:sz w:val="28"/>
              <w:szCs w:val="28"/>
              <w:highlight w:val="none"/>
              <w:lang w:val="en-US" w:eastAsia="zh-CN"/>
              <w14:textFill>
                <w14:solidFill>
                  <w14:schemeClr w14:val="tx1"/>
                </w14:solidFill>
              </w14:textFill>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_Toc10606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7</w:t>
          </w:r>
          <w:r>
            <w:rPr>
              <w:rFonts w:hint="eastAsia" w:ascii="楷体" w:hAnsi="楷体" w:eastAsia="楷体" w:cs="楷体"/>
              <w:kern w:val="2"/>
              <w:sz w:val="28"/>
              <w:szCs w:val="28"/>
              <w:lang w:val="en-US" w:eastAsia="zh-CN" w:bidi="ar-SA"/>
            </w:rPr>
            <w:fldChar w:fldCharType="end"/>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sz w:val="28"/>
              <w:szCs w:val="28"/>
              <w:highlight w:val="none"/>
              <w:lang w:val="en-US" w:eastAsia="zh-CN"/>
            </w:rPr>
            <w:instrText xml:space="preserve"> HYPERLINK \l _Toc18054 </w:instrText>
          </w:r>
          <w:r>
            <w:rPr>
              <w:rFonts w:hint="eastAsia" w:ascii="仿宋_GB2312" w:hAnsi="仿宋_GB2312" w:eastAsia="仿宋_GB2312" w:cs="仿宋_GB2312"/>
              <w:sz w:val="28"/>
              <w:szCs w:val="28"/>
              <w:highlight w:val="none"/>
              <w:lang w:val="en-US" w:eastAsia="zh-CN"/>
            </w:rPr>
            <w:fldChar w:fldCharType="separate"/>
          </w:r>
          <w:r>
            <w:rPr>
              <w:rFonts w:hint="eastAsia" w:ascii="仿宋_GB2312" w:hAnsi="仿宋_GB2312" w:eastAsia="仿宋_GB2312" w:cs="仿宋_GB2312"/>
              <w:sz w:val="28"/>
              <w:szCs w:val="28"/>
              <w:lang w:val="en-US" w:eastAsia="zh-CN"/>
            </w:rPr>
            <w:t xml:space="preserve">1. </w:t>
          </w:r>
          <w:r>
            <w:rPr>
              <w:rFonts w:hint="eastAsia" w:ascii="仿宋_GB2312" w:hAnsi="仿宋_GB2312" w:eastAsia="仿宋_GB2312" w:cs="仿宋_GB2312"/>
              <w:sz w:val="28"/>
              <w:szCs w:val="28"/>
              <w:highlight w:val="none"/>
              <w:lang w:val="en-US" w:eastAsia="zh-CN"/>
            </w:rPr>
            <w:t>现代冶金</w:t>
          </w:r>
          <w:r>
            <w:rPr>
              <w:rFonts w:hint="eastAsia" w:ascii="仿宋_GB2312" w:hAnsi="仿宋_GB2312" w:eastAsia="仿宋_GB2312" w:cs="仿宋_GB2312"/>
              <w:sz w:val="28"/>
              <w:szCs w:val="28"/>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_Toc18054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7</w:t>
          </w:r>
          <w:r>
            <w:rPr>
              <w:rFonts w:hint="eastAsia" w:ascii="楷体" w:hAnsi="楷体" w:eastAsia="楷体" w:cs="楷体"/>
              <w:kern w:val="2"/>
              <w:sz w:val="28"/>
              <w:szCs w:val="28"/>
              <w:lang w:val="en-US" w:eastAsia="zh-CN" w:bidi="ar-SA"/>
            </w:rPr>
            <w:fldChar w:fldCharType="end"/>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sz w:val="28"/>
              <w:szCs w:val="28"/>
              <w:highlight w:val="none"/>
              <w:lang w:val="en-US" w:eastAsia="zh-CN"/>
            </w:rPr>
            <w:instrText xml:space="preserve"> HYPERLINK \l _Toc32438 </w:instrText>
          </w:r>
          <w:r>
            <w:rPr>
              <w:rFonts w:hint="eastAsia" w:ascii="仿宋_GB2312" w:hAnsi="仿宋_GB2312" w:eastAsia="仿宋_GB2312" w:cs="仿宋_GB2312"/>
              <w:sz w:val="28"/>
              <w:szCs w:val="28"/>
              <w:highlight w:val="none"/>
              <w:lang w:val="en-US" w:eastAsia="zh-CN"/>
            </w:rPr>
            <w:fldChar w:fldCharType="separate"/>
          </w:r>
          <w:r>
            <w:rPr>
              <w:rFonts w:hint="eastAsia" w:ascii="仿宋_GB2312" w:hAnsi="仿宋_GB2312" w:eastAsia="仿宋_GB2312" w:cs="仿宋_GB2312"/>
              <w:sz w:val="28"/>
              <w:szCs w:val="28"/>
              <w:lang w:val="en-US" w:eastAsia="zh-CN"/>
            </w:rPr>
            <w:t xml:space="preserve">2. </w:t>
          </w:r>
          <w:r>
            <w:rPr>
              <w:rFonts w:hint="eastAsia" w:ascii="仿宋_GB2312" w:hAnsi="仿宋_GB2312" w:eastAsia="仿宋_GB2312" w:cs="仿宋_GB2312"/>
              <w:sz w:val="28"/>
              <w:szCs w:val="28"/>
              <w:highlight w:val="none"/>
              <w:lang w:val="en-US" w:eastAsia="zh-CN"/>
            </w:rPr>
            <w:t>绿色农产品精深加工</w:t>
          </w:r>
          <w:r>
            <w:rPr>
              <w:rFonts w:hint="eastAsia" w:ascii="仿宋_GB2312" w:hAnsi="仿宋_GB2312" w:eastAsia="仿宋_GB2312" w:cs="仿宋_GB2312"/>
              <w:sz w:val="28"/>
              <w:szCs w:val="28"/>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_Toc32438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8</w:t>
          </w:r>
          <w:r>
            <w:rPr>
              <w:rFonts w:hint="eastAsia" w:ascii="楷体" w:hAnsi="楷体" w:eastAsia="楷体" w:cs="楷体"/>
              <w:kern w:val="2"/>
              <w:sz w:val="28"/>
              <w:szCs w:val="28"/>
              <w:lang w:val="en-US" w:eastAsia="zh-CN" w:bidi="ar-SA"/>
            </w:rPr>
            <w:fldChar w:fldCharType="end"/>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sz w:val="28"/>
              <w:szCs w:val="28"/>
              <w:highlight w:val="none"/>
              <w:lang w:val="en-US" w:eastAsia="zh-CN"/>
            </w:rPr>
            <w:instrText xml:space="preserve"> HYPERLINK \l _Toc25389 </w:instrText>
          </w:r>
          <w:r>
            <w:rPr>
              <w:rFonts w:hint="eastAsia" w:ascii="仿宋_GB2312" w:hAnsi="仿宋_GB2312" w:eastAsia="仿宋_GB2312" w:cs="仿宋_GB2312"/>
              <w:sz w:val="28"/>
              <w:szCs w:val="28"/>
              <w:highlight w:val="none"/>
              <w:lang w:val="en-US" w:eastAsia="zh-CN"/>
            </w:rPr>
            <w:fldChar w:fldCharType="separate"/>
          </w:r>
          <w:r>
            <w:rPr>
              <w:rFonts w:hint="eastAsia" w:ascii="仿宋_GB2312" w:hAnsi="仿宋_GB2312" w:eastAsia="仿宋_GB2312" w:cs="仿宋_GB2312"/>
              <w:bCs w:val="0"/>
              <w:sz w:val="28"/>
              <w:szCs w:val="28"/>
              <w:lang w:val="en-US" w:eastAsia="zh-CN"/>
            </w:rPr>
            <w:t xml:space="preserve">3. </w:t>
          </w:r>
          <w:r>
            <w:rPr>
              <w:rFonts w:hint="eastAsia" w:ascii="仿宋_GB2312" w:hAnsi="仿宋_GB2312" w:eastAsia="仿宋_GB2312" w:cs="仿宋_GB2312"/>
              <w:bCs w:val="0"/>
              <w:sz w:val="28"/>
              <w:szCs w:val="28"/>
              <w:highlight w:val="none"/>
              <w:lang w:val="en-US" w:eastAsia="zh-CN"/>
            </w:rPr>
            <w:t>橡胶轮胎</w:t>
          </w:r>
          <w:r>
            <w:rPr>
              <w:rFonts w:hint="eastAsia" w:ascii="仿宋_GB2312" w:hAnsi="仿宋_GB2312" w:eastAsia="仿宋_GB2312" w:cs="仿宋_GB2312"/>
              <w:sz w:val="28"/>
              <w:szCs w:val="28"/>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_Toc25389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9</w:t>
          </w:r>
          <w:r>
            <w:rPr>
              <w:rFonts w:hint="eastAsia" w:ascii="楷体" w:hAnsi="楷体" w:eastAsia="楷体" w:cs="楷体"/>
              <w:kern w:val="2"/>
              <w:sz w:val="28"/>
              <w:szCs w:val="28"/>
              <w:lang w:val="en-US" w:eastAsia="zh-CN" w:bidi="ar-SA"/>
            </w:rPr>
            <w:fldChar w:fldCharType="end"/>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sz w:val="28"/>
              <w:szCs w:val="28"/>
              <w:highlight w:val="none"/>
              <w:lang w:val="en-US" w:eastAsia="zh-CN"/>
            </w:rPr>
            <w:instrText xml:space="preserve"> HYPERLINK \l _Toc7266 </w:instrText>
          </w:r>
          <w:r>
            <w:rPr>
              <w:rFonts w:hint="eastAsia" w:ascii="仿宋_GB2312" w:hAnsi="仿宋_GB2312" w:eastAsia="仿宋_GB2312" w:cs="仿宋_GB2312"/>
              <w:sz w:val="28"/>
              <w:szCs w:val="28"/>
              <w:highlight w:val="none"/>
              <w:lang w:val="en-US" w:eastAsia="zh-CN"/>
            </w:rPr>
            <w:fldChar w:fldCharType="separate"/>
          </w:r>
          <w:r>
            <w:rPr>
              <w:rFonts w:hint="eastAsia" w:ascii="仿宋_GB2312" w:hAnsi="仿宋_GB2312" w:eastAsia="仿宋_GB2312" w:cs="仿宋_GB2312"/>
              <w:bCs w:val="0"/>
              <w:sz w:val="28"/>
              <w:szCs w:val="28"/>
              <w:lang w:val="en-US" w:eastAsia="zh-CN"/>
            </w:rPr>
            <w:t xml:space="preserve">4. </w:t>
          </w:r>
          <w:r>
            <w:rPr>
              <w:rFonts w:hint="eastAsia" w:ascii="仿宋_GB2312" w:hAnsi="仿宋_GB2312" w:eastAsia="仿宋_GB2312" w:cs="仿宋_GB2312"/>
              <w:bCs w:val="0"/>
              <w:sz w:val="28"/>
              <w:szCs w:val="28"/>
              <w:highlight w:val="none"/>
              <w:lang w:val="en-US" w:eastAsia="zh-CN"/>
            </w:rPr>
            <w:t>先进装备制造</w:t>
          </w:r>
          <w:r>
            <w:rPr>
              <w:rFonts w:hint="eastAsia" w:ascii="仿宋_GB2312" w:hAnsi="仿宋_GB2312" w:eastAsia="仿宋_GB2312" w:cs="仿宋_GB2312"/>
              <w:sz w:val="28"/>
              <w:szCs w:val="28"/>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_Toc7266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10</w:t>
          </w:r>
          <w:r>
            <w:rPr>
              <w:rFonts w:hint="eastAsia" w:ascii="楷体" w:hAnsi="楷体" w:eastAsia="楷体" w:cs="楷体"/>
              <w:kern w:val="2"/>
              <w:sz w:val="28"/>
              <w:szCs w:val="28"/>
              <w:lang w:val="en-US" w:eastAsia="zh-CN" w:bidi="ar-SA"/>
            </w:rPr>
            <w:fldChar w:fldCharType="end"/>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sz w:val="28"/>
              <w:szCs w:val="28"/>
              <w:highlight w:val="none"/>
              <w:lang w:val="en-US" w:eastAsia="zh-CN"/>
            </w:rPr>
            <w:instrText xml:space="preserve"> HYPERLINK \l _Toc21479 </w:instrText>
          </w:r>
          <w:r>
            <w:rPr>
              <w:rFonts w:hint="eastAsia" w:ascii="仿宋_GB2312" w:hAnsi="仿宋_GB2312" w:eastAsia="仿宋_GB2312" w:cs="仿宋_GB2312"/>
              <w:sz w:val="28"/>
              <w:szCs w:val="28"/>
              <w:highlight w:val="none"/>
              <w:lang w:val="en-US" w:eastAsia="zh-CN"/>
            </w:rPr>
            <w:fldChar w:fldCharType="separate"/>
          </w:r>
          <w:r>
            <w:rPr>
              <w:rFonts w:hint="eastAsia" w:ascii="仿宋_GB2312" w:hAnsi="仿宋_GB2312" w:eastAsia="仿宋_GB2312" w:cs="仿宋_GB2312"/>
              <w:bCs w:val="0"/>
              <w:sz w:val="28"/>
              <w:szCs w:val="28"/>
              <w:lang w:val="en-US" w:eastAsia="zh-CN"/>
            </w:rPr>
            <w:t xml:space="preserve">5. </w:t>
          </w:r>
          <w:r>
            <w:rPr>
              <w:rFonts w:hint="eastAsia" w:ascii="仿宋_GB2312" w:hAnsi="仿宋_GB2312" w:eastAsia="仿宋_GB2312" w:cs="仿宋_GB2312"/>
              <w:bCs w:val="0"/>
              <w:sz w:val="28"/>
              <w:szCs w:val="28"/>
              <w:highlight w:val="none"/>
              <w:lang w:val="en-US" w:eastAsia="zh-CN"/>
            </w:rPr>
            <w:t>清洁能源</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_Toc21479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sz w:val="28"/>
              <w:szCs w:val="28"/>
              <w:highlight w:val="none"/>
              <w:lang w:val="en-US" w:eastAsia="zh-CN"/>
            </w:rPr>
            <w:instrText xml:space="preserve"> HYPERLINK \l _Toc32538 </w:instrText>
          </w:r>
          <w:r>
            <w:rPr>
              <w:rFonts w:hint="eastAsia" w:ascii="仿宋_GB2312" w:hAnsi="仿宋_GB2312" w:eastAsia="仿宋_GB2312" w:cs="仿宋_GB2312"/>
              <w:sz w:val="28"/>
              <w:szCs w:val="28"/>
              <w:highlight w:val="none"/>
              <w:lang w:val="en-US" w:eastAsia="zh-CN"/>
            </w:rPr>
            <w:fldChar w:fldCharType="separate"/>
          </w:r>
          <w:r>
            <w:rPr>
              <w:rFonts w:hint="eastAsia" w:ascii="仿宋_GB2312" w:hAnsi="仿宋_GB2312" w:eastAsia="仿宋_GB2312" w:cs="仿宋_GB2312"/>
              <w:sz w:val="28"/>
              <w:szCs w:val="28"/>
              <w:lang w:val="en-US" w:eastAsia="zh-CN"/>
            </w:rPr>
            <w:t xml:space="preserve">6. </w:t>
          </w:r>
          <w:r>
            <w:rPr>
              <w:rFonts w:hint="eastAsia" w:ascii="仿宋_GB2312" w:hAnsi="仿宋_GB2312" w:eastAsia="仿宋_GB2312" w:cs="仿宋_GB2312"/>
              <w:sz w:val="28"/>
              <w:szCs w:val="28"/>
              <w:highlight w:val="none"/>
              <w:lang w:val="en-US" w:eastAsia="zh-CN"/>
            </w:rPr>
            <w:t>电子信息</w:t>
          </w:r>
          <w:r>
            <w:rPr>
              <w:rFonts w:hint="eastAsia" w:ascii="仿宋_GB2312" w:hAnsi="仿宋_GB2312" w:eastAsia="仿宋_GB2312" w:cs="仿宋_GB2312"/>
              <w:sz w:val="28"/>
              <w:szCs w:val="28"/>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_Toc32538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12</w:t>
          </w:r>
          <w:r>
            <w:rPr>
              <w:rFonts w:hint="eastAsia" w:ascii="楷体" w:hAnsi="楷体" w:eastAsia="楷体" w:cs="楷体"/>
              <w:kern w:val="2"/>
              <w:sz w:val="28"/>
              <w:szCs w:val="28"/>
              <w:lang w:val="en-US" w:eastAsia="zh-CN" w:bidi="ar-SA"/>
            </w:rPr>
            <w:fldChar w:fldCharType="end"/>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sz w:val="28"/>
              <w:szCs w:val="28"/>
              <w:highlight w:val="none"/>
              <w:lang w:val="en-US" w:eastAsia="zh-CN"/>
            </w:rPr>
            <w:instrText xml:space="preserve"> HYPERLINK \l _Toc22189 </w:instrText>
          </w:r>
          <w:r>
            <w:rPr>
              <w:rFonts w:hint="eastAsia" w:ascii="仿宋_GB2312" w:hAnsi="仿宋_GB2312" w:eastAsia="仿宋_GB2312" w:cs="仿宋_GB2312"/>
              <w:sz w:val="28"/>
              <w:szCs w:val="28"/>
              <w:highlight w:val="none"/>
              <w:lang w:val="en-US" w:eastAsia="zh-CN"/>
            </w:rPr>
            <w:fldChar w:fldCharType="separate"/>
          </w:r>
          <w:r>
            <w:rPr>
              <w:rFonts w:hint="eastAsia" w:ascii="仿宋_GB2312" w:hAnsi="仿宋_GB2312" w:eastAsia="仿宋_GB2312" w:cs="仿宋_GB2312"/>
              <w:bCs/>
              <w:sz w:val="28"/>
              <w:szCs w:val="28"/>
              <w:lang w:val="en-US" w:eastAsia="zh-CN"/>
            </w:rPr>
            <w:t xml:space="preserve">7. </w:t>
          </w:r>
          <w:r>
            <w:rPr>
              <w:rFonts w:hint="eastAsia" w:ascii="仿宋_GB2312" w:hAnsi="仿宋_GB2312" w:eastAsia="仿宋_GB2312" w:cs="仿宋_GB2312"/>
              <w:bCs/>
              <w:sz w:val="28"/>
              <w:szCs w:val="28"/>
              <w:highlight w:val="none"/>
              <w:lang w:val="en-US" w:eastAsia="zh-CN"/>
            </w:rPr>
            <w:t>数字经济</w:t>
          </w:r>
          <w:r>
            <w:rPr>
              <w:rFonts w:hint="eastAsia" w:ascii="仿宋_GB2312" w:hAnsi="仿宋_GB2312" w:eastAsia="仿宋_GB2312" w:cs="仿宋_GB2312"/>
              <w:sz w:val="28"/>
              <w:szCs w:val="28"/>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_Toc22189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13</w:t>
          </w:r>
          <w:r>
            <w:rPr>
              <w:rFonts w:hint="eastAsia" w:ascii="楷体" w:hAnsi="楷体" w:eastAsia="楷体" w:cs="楷体"/>
              <w:kern w:val="2"/>
              <w:sz w:val="28"/>
              <w:szCs w:val="28"/>
              <w:lang w:val="en-US" w:eastAsia="zh-CN" w:bidi="ar-SA"/>
            </w:rPr>
            <w:fldChar w:fldCharType="end"/>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sz w:val="28"/>
              <w:szCs w:val="28"/>
              <w:highlight w:val="none"/>
              <w:lang w:val="en-US" w:eastAsia="zh-CN"/>
            </w:rPr>
            <w:instrText xml:space="preserve"> HYPERLINK \l _Toc6430 </w:instrText>
          </w:r>
          <w:r>
            <w:rPr>
              <w:rFonts w:hint="eastAsia" w:ascii="仿宋_GB2312" w:hAnsi="仿宋_GB2312" w:eastAsia="仿宋_GB2312" w:cs="仿宋_GB2312"/>
              <w:sz w:val="28"/>
              <w:szCs w:val="28"/>
              <w:highlight w:val="none"/>
              <w:lang w:val="en-US" w:eastAsia="zh-CN"/>
            </w:rPr>
            <w:fldChar w:fldCharType="separate"/>
          </w:r>
          <w:r>
            <w:rPr>
              <w:rFonts w:hint="eastAsia" w:ascii="仿宋_GB2312" w:hAnsi="仿宋_GB2312" w:eastAsia="仿宋_GB2312" w:cs="仿宋_GB2312"/>
              <w:sz w:val="28"/>
              <w:szCs w:val="28"/>
              <w:lang w:val="en-US" w:eastAsia="zh-CN"/>
            </w:rPr>
            <w:t xml:space="preserve">8. </w:t>
          </w:r>
          <w:r>
            <w:rPr>
              <w:rFonts w:hint="eastAsia" w:ascii="仿宋_GB2312" w:hAnsi="仿宋_GB2312" w:eastAsia="仿宋_GB2312" w:cs="仿宋_GB2312"/>
              <w:sz w:val="28"/>
              <w:szCs w:val="28"/>
              <w:highlight w:val="none"/>
              <w:lang w:val="en-US" w:eastAsia="zh-CN"/>
            </w:rPr>
            <w:t>精细化工</w:t>
          </w:r>
          <w:r>
            <w:rPr>
              <w:rFonts w:hint="eastAsia" w:ascii="仿宋_GB2312" w:hAnsi="仿宋_GB2312" w:eastAsia="仿宋_GB2312" w:cs="仿宋_GB2312"/>
              <w:sz w:val="28"/>
              <w:szCs w:val="28"/>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_Toc6430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15</w:t>
          </w:r>
          <w:r>
            <w:rPr>
              <w:rFonts w:hint="eastAsia" w:ascii="楷体" w:hAnsi="楷体" w:eastAsia="楷体" w:cs="楷体"/>
              <w:kern w:val="2"/>
              <w:sz w:val="28"/>
              <w:szCs w:val="28"/>
              <w:lang w:val="en-US" w:eastAsia="zh-CN" w:bidi="ar-SA"/>
            </w:rPr>
            <w:fldChar w:fldCharType="end"/>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end"/>
          </w:r>
        </w:p>
        <w:p>
          <w:pPr>
            <w:pStyle w:val="4"/>
            <w:tabs>
              <w:tab w:val="right" w:leader="dot" w:pos="8306"/>
            </w:tabs>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sz w:val="28"/>
              <w:szCs w:val="28"/>
              <w:highlight w:val="none"/>
              <w:lang w:val="en-US" w:eastAsia="zh-CN"/>
            </w:rPr>
            <w:instrText xml:space="preserve"> HYPERLINK \l _Toc14404 </w:instrText>
          </w:r>
          <w:r>
            <w:rPr>
              <w:rFonts w:hint="eastAsia" w:ascii="仿宋_GB2312" w:hAnsi="仿宋_GB2312" w:eastAsia="仿宋_GB2312" w:cs="仿宋_GB2312"/>
              <w:sz w:val="28"/>
              <w:szCs w:val="28"/>
              <w:highlight w:val="none"/>
              <w:lang w:val="en-US" w:eastAsia="zh-CN"/>
            </w:rPr>
            <w:fldChar w:fldCharType="separate"/>
          </w:r>
          <w:r>
            <w:rPr>
              <w:rFonts w:hint="eastAsia" w:ascii="仿宋_GB2312" w:hAnsi="仿宋_GB2312" w:eastAsia="仿宋_GB2312" w:cs="仿宋_GB2312"/>
              <w:sz w:val="28"/>
              <w:szCs w:val="28"/>
              <w:lang w:val="en-US" w:eastAsia="zh-CN"/>
            </w:rPr>
            <w:t xml:space="preserve">9. </w:t>
          </w:r>
          <w:r>
            <w:rPr>
              <w:rFonts w:hint="eastAsia" w:ascii="仿宋_GB2312" w:hAnsi="仿宋_GB2312" w:eastAsia="仿宋_GB2312" w:cs="仿宋_GB2312"/>
              <w:sz w:val="28"/>
              <w:szCs w:val="28"/>
              <w:highlight w:val="none"/>
              <w:lang w:val="en-US" w:eastAsia="zh-CN"/>
            </w:rPr>
            <w:t>生物医药及先进医疗装备</w:t>
          </w:r>
          <w:r>
            <w:rPr>
              <w:rFonts w:hint="eastAsia" w:ascii="仿宋_GB2312" w:hAnsi="仿宋_GB2312" w:eastAsia="仿宋_GB2312" w:cs="仿宋_GB2312"/>
              <w:sz w:val="28"/>
              <w:szCs w:val="28"/>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_Toc14404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16</w:t>
          </w:r>
          <w:r>
            <w:rPr>
              <w:rFonts w:hint="eastAsia" w:ascii="楷体" w:hAnsi="楷体" w:eastAsia="楷体" w:cs="楷体"/>
              <w:kern w:val="2"/>
              <w:sz w:val="28"/>
              <w:szCs w:val="28"/>
              <w:lang w:val="en-US" w:eastAsia="zh-CN" w:bidi="ar-SA"/>
            </w:rPr>
            <w:fldChar w:fldCharType="end"/>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end"/>
          </w:r>
        </w:p>
        <w:p>
          <w:pPr>
            <w:pStyle w:val="8"/>
            <w:tabs>
              <w:tab w:val="right" w:leader="dot" w:pos="8306"/>
            </w:tabs>
            <w:rPr>
              <w:rFonts w:hint="eastAsia" w:ascii="楷体" w:hAnsi="楷体" w:eastAsia="楷体" w:cs="楷体"/>
              <w:color w:val="000000" w:themeColor="text1"/>
              <w:sz w:val="28"/>
              <w:szCs w:val="28"/>
              <w:highlight w:val="none"/>
              <w:lang w:val="en-US" w:eastAsia="zh-CN"/>
              <w14:textFill>
                <w14:solidFill>
                  <w14:schemeClr w14:val="tx1"/>
                </w14:solidFill>
              </w14:textFill>
            </w:rPr>
          </w:pP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begin"/>
          </w:r>
          <w:r>
            <w:rPr>
              <w:rFonts w:hint="eastAsia" w:ascii="楷体" w:hAnsi="楷体" w:eastAsia="楷体" w:cs="楷体"/>
              <w:color w:val="000000" w:themeColor="text1"/>
              <w:sz w:val="28"/>
              <w:szCs w:val="28"/>
              <w:highlight w:val="none"/>
              <w:lang w:val="en-US" w:eastAsia="zh-CN"/>
              <w14:textFill>
                <w14:solidFill>
                  <w14:schemeClr w14:val="tx1"/>
                </w14:solidFill>
              </w14:textFill>
            </w:rPr>
            <w:instrText xml:space="preserve"> HYPERLINK \l _Toc8598 </w:instrText>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separate"/>
          </w:r>
          <w:r>
            <w:rPr>
              <w:rFonts w:hint="eastAsia" w:ascii="楷体" w:hAnsi="楷体" w:eastAsia="楷体" w:cs="楷体"/>
              <w:color w:val="000000" w:themeColor="text1"/>
              <w:sz w:val="28"/>
              <w:szCs w:val="28"/>
              <w:highlight w:val="none"/>
              <w:lang w:val="en-US" w:eastAsia="zh-CN"/>
              <w14:textFill>
                <w14:solidFill>
                  <w14:schemeClr w14:val="tx1"/>
                </w14:solidFill>
              </w14:textFill>
            </w:rPr>
            <w:t>（二） 围绕民生福祉发展生活性中介服务</w:t>
          </w:r>
          <w:r>
            <w:rPr>
              <w:rFonts w:hint="eastAsia" w:ascii="楷体" w:hAnsi="楷体" w:eastAsia="楷体" w:cs="楷体"/>
              <w:color w:val="000000" w:themeColor="text1"/>
              <w:sz w:val="28"/>
              <w:szCs w:val="28"/>
              <w:highlight w:val="none"/>
              <w:lang w:val="en-US" w:eastAsia="zh-CN"/>
              <w14:textFill>
                <w14:solidFill>
                  <w14:schemeClr w14:val="tx1"/>
                </w14:solidFill>
              </w14:textFill>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_Toc8598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16</w:t>
          </w:r>
          <w:r>
            <w:rPr>
              <w:rFonts w:hint="eastAsia" w:ascii="楷体" w:hAnsi="楷体" w:eastAsia="楷体" w:cs="楷体"/>
              <w:kern w:val="2"/>
              <w:sz w:val="28"/>
              <w:szCs w:val="28"/>
              <w:lang w:val="en-US" w:eastAsia="zh-CN" w:bidi="ar-SA"/>
            </w:rPr>
            <w:fldChar w:fldCharType="end"/>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end"/>
          </w:r>
        </w:p>
        <w:p>
          <w:pPr>
            <w:pStyle w:val="4"/>
            <w:tabs>
              <w:tab w:val="right" w:leader="dot" w:pos="8306"/>
            </w:tabs>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instrText xml:space="preserve"> HYPERLINK \l _Toc25278 </w:instrTex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separate"/>
          </w:r>
          <w:r>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1.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养老</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_Toc25278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16</w:t>
          </w:r>
          <w:r>
            <w:rPr>
              <w:rFonts w:hint="eastAsia" w:ascii="楷体" w:hAnsi="楷体" w:eastAsia="楷体" w:cs="楷体"/>
              <w:kern w:val="2"/>
              <w:sz w:val="28"/>
              <w:szCs w:val="28"/>
              <w:lang w:val="en-US" w:eastAsia="zh-CN" w:bidi="ar-SA"/>
            </w:rPr>
            <w:fldChar w:fldCharType="end"/>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end"/>
          </w:r>
        </w:p>
        <w:p>
          <w:pPr>
            <w:pStyle w:val="4"/>
            <w:tabs>
              <w:tab w:val="right" w:leader="dot" w:pos="8306"/>
            </w:tabs>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instrText xml:space="preserve"> HYPERLINK \l _Toc29594 </w:instrTex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separate"/>
          </w:r>
          <w:r>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2.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教育</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_Toc29594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17</w:t>
          </w:r>
          <w:r>
            <w:rPr>
              <w:rFonts w:hint="eastAsia" w:ascii="楷体" w:hAnsi="楷体" w:eastAsia="楷体" w:cs="楷体"/>
              <w:kern w:val="2"/>
              <w:sz w:val="28"/>
              <w:szCs w:val="28"/>
              <w:lang w:val="en-US" w:eastAsia="zh-CN" w:bidi="ar-SA"/>
            </w:rPr>
            <w:fldChar w:fldCharType="end"/>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end"/>
          </w:r>
        </w:p>
        <w:p>
          <w:pPr>
            <w:pStyle w:val="4"/>
            <w:tabs>
              <w:tab w:val="right" w:leader="dot" w:pos="8306"/>
            </w:tabs>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instrText xml:space="preserve"> HYPERLINK \l _Toc8447 </w:instrTex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separate"/>
          </w:r>
          <w:r>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3.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医疗</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_Toc8447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17</w:t>
          </w:r>
          <w:r>
            <w:rPr>
              <w:rFonts w:hint="eastAsia" w:ascii="楷体" w:hAnsi="楷体" w:eastAsia="楷体" w:cs="楷体"/>
              <w:kern w:val="2"/>
              <w:sz w:val="28"/>
              <w:szCs w:val="28"/>
              <w:lang w:val="en-US" w:eastAsia="zh-CN" w:bidi="ar-SA"/>
            </w:rPr>
            <w:fldChar w:fldCharType="end"/>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end"/>
          </w:r>
        </w:p>
        <w:p>
          <w:pPr>
            <w:pStyle w:val="4"/>
            <w:tabs>
              <w:tab w:val="right" w:leader="dot" w:pos="8306"/>
            </w:tabs>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instrText xml:space="preserve"> HYPERLINK \l _Toc8725 </w:instrTex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separate"/>
          </w:r>
          <w:r>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4.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健康</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_Toc8725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18</w:t>
          </w:r>
          <w:r>
            <w:rPr>
              <w:rFonts w:hint="eastAsia" w:ascii="楷体" w:hAnsi="楷体" w:eastAsia="楷体" w:cs="楷体"/>
              <w:kern w:val="2"/>
              <w:sz w:val="28"/>
              <w:szCs w:val="28"/>
              <w:lang w:val="en-US" w:eastAsia="zh-CN" w:bidi="ar-SA"/>
            </w:rPr>
            <w:fldChar w:fldCharType="end"/>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end"/>
          </w:r>
        </w:p>
        <w:p>
          <w:pPr>
            <w:pStyle w:val="4"/>
            <w:tabs>
              <w:tab w:val="right" w:leader="dot" w:pos="8306"/>
            </w:tabs>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instrText xml:space="preserve"> HYPERLINK \l _Toc18289 </w:instrTex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separate"/>
          </w:r>
          <w:r>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5.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文化体育</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_Toc18289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19</w:t>
          </w:r>
          <w:r>
            <w:rPr>
              <w:rFonts w:hint="eastAsia" w:ascii="楷体" w:hAnsi="楷体" w:eastAsia="楷体" w:cs="楷体"/>
              <w:kern w:val="2"/>
              <w:sz w:val="28"/>
              <w:szCs w:val="28"/>
              <w:lang w:val="en-US" w:eastAsia="zh-CN" w:bidi="ar-SA"/>
            </w:rPr>
            <w:fldChar w:fldCharType="end"/>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end"/>
          </w:r>
        </w:p>
        <w:p>
          <w:pPr>
            <w:pStyle w:val="4"/>
            <w:tabs>
              <w:tab w:val="right" w:leader="dot" w:pos="8306"/>
            </w:tabs>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instrText xml:space="preserve"> HYPERLINK \l _Toc20535 </w:instrTex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separate"/>
          </w:r>
          <w:r>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6.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旅游</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_Toc20535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19</w:t>
          </w:r>
          <w:r>
            <w:rPr>
              <w:rFonts w:hint="eastAsia" w:ascii="楷体" w:hAnsi="楷体" w:eastAsia="楷体" w:cs="楷体"/>
              <w:kern w:val="2"/>
              <w:sz w:val="28"/>
              <w:szCs w:val="28"/>
              <w:lang w:val="en-US" w:eastAsia="zh-CN" w:bidi="ar-SA"/>
            </w:rPr>
            <w:fldChar w:fldCharType="end"/>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end"/>
          </w:r>
        </w:p>
        <w:p>
          <w:pPr>
            <w:pStyle w:val="4"/>
            <w:tabs>
              <w:tab w:val="right" w:leader="dot" w:pos="8306"/>
            </w:tabs>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instrText xml:space="preserve"> HYPERLINK \l _Toc13128 </w:instrTex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separate"/>
          </w:r>
          <w:r>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7.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家政</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_Toc13128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20</w:t>
          </w:r>
          <w:r>
            <w:rPr>
              <w:rFonts w:hint="eastAsia" w:ascii="楷体" w:hAnsi="楷体" w:eastAsia="楷体" w:cs="楷体"/>
              <w:kern w:val="2"/>
              <w:sz w:val="28"/>
              <w:szCs w:val="28"/>
              <w:lang w:val="en-US" w:eastAsia="zh-CN" w:bidi="ar-SA"/>
            </w:rPr>
            <w:fldChar w:fldCharType="end"/>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end"/>
          </w:r>
        </w:p>
        <w:p>
          <w:pPr>
            <w:pStyle w:val="4"/>
            <w:tabs>
              <w:tab w:val="right" w:leader="dot" w:pos="8306"/>
            </w:tabs>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instrText xml:space="preserve"> HYPERLINK \l _Toc6681 </w:instrTex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separate"/>
          </w:r>
          <w:r>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8.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就业创业</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_Toc6681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21</w:t>
          </w:r>
          <w:r>
            <w:rPr>
              <w:rFonts w:hint="eastAsia" w:ascii="楷体" w:hAnsi="楷体" w:eastAsia="楷体" w:cs="楷体"/>
              <w:kern w:val="2"/>
              <w:sz w:val="28"/>
              <w:szCs w:val="28"/>
              <w:lang w:val="en-US" w:eastAsia="zh-CN" w:bidi="ar-SA"/>
            </w:rPr>
            <w:fldChar w:fldCharType="end"/>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fldChar w:fldCharType="end"/>
          </w:r>
        </w:p>
        <w:p>
          <w:pPr>
            <w:pStyle w:val="7"/>
            <w:tabs>
              <w:tab w:val="right" w:leader="dot" w:pos="8306"/>
            </w:tabs>
          </w:pPr>
          <w:r>
            <w:rPr>
              <w:rFonts w:hint="eastAsia" w:ascii="楷体" w:hAnsi="楷体" w:eastAsia="楷体" w:cs="楷体"/>
              <w:color w:val="000000" w:themeColor="text1"/>
              <w:szCs w:val="32"/>
              <w:highlight w:val="none"/>
              <w:lang w:val="en-US" w:eastAsia="zh-CN"/>
              <w14:textFill>
                <w14:solidFill>
                  <w14:schemeClr w14:val="tx1"/>
                </w14:solidFill>
              </w14:textFill>
            </w:rPr>
            <w:fldChar w:fldCharType="begin"/>
          </w:r>
          <w:r>
            <w:rPr>
              <w:rFonts w:hint="eastAsia" w:ascii="楷体" w:hAnsi="楷体" w:eastAsia="楷体" w:cs="楷体"/>
              <w:szCs w:val="32"/>
              <w:highlight w:val="none"/>
              <w:lang w:val="en-US" w:eastAsia="zh-CN"/>
            </w:rPr>
            <w:instrText xml:space="preserve"> HYPERLINK \l _Toc23819 </w:instrText>
          </w:r>
          <w:r>
            <w:rPr>
              <w:rFonts w:hint="eastAsia" w:ascii="楷体" w:hAnsi="楷体" w:eastAsia="楷体" w:cs="楷体"/>
              <w:szCs w:val="32"/>
              <w:highlight w:val="none"/>
              <w:lang w:val="en-US" w:eastAsia="zh-CN"/>
            </w:rPr>
            <w:fldChar w:fldCharType="separate"/>
          </w:r>
          <w:r>
            <w:rPr>
              <w:rFonts w:hint="eastAsia" w:ascii="黑体" w:hAnsi="黑体" w:eastAsia="黑体" w:cs="黑体"/>
              <w:color w:val="000000" w:themeColor="text1"/>
              <w:sz w:val="28"/>
              <w:szCs w:val="28"/>
              <w:highlight w:val="none"/>
              <w:lang w:val="en-US" w:eastAsia="zh-CN"/>
              <w14:textFill>
                <w14:solidFill>
                  <w14:schemeClr w14:val="tx1"/>
                </w14:solidFill>
              </w14:textFill>
            </w:rPr>
            <w:t>四、 主要任务</w:t>
          </w:r>
          <w:r>
            <w:rPr>
              <w:rFonts w:hint="eastAsia" w:ascii="黑体" w:hAnsi="黑体" w:eastAsia="黑体" w:cs="黑体"/>
              <w:color w:val="000000" w:themeColor="text1"/>
              <w:sz w:val="28"/>
              <w:szCs w:val="28"/>
              <w:highlight w:val="none"/>
              <w:lang w:val="en-US" w:eastAsia="zh-CN"/>
              <w14:textFill>
                <w14:solidFill>
                  <w14:schemeClr w14:val="tx1"/>
                </w14:solidFill>
              </w14:textFill>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_Toc23819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22</w:t>
          </w:r>
          <w:r>
            <w:rPr>
              <w:rFonts w:hint="eastAsia" w:ascii="楷体" w:hAnsi="楷体" w:eastAsia="楷体" w:cs="楷体"/>
              <w:kern w:val="2"/>
              <w:sz w:val="28"/>
              <w:szCs w:val="28"/>
              <w:lang w:val="en-US" w:eastAsia="zh-CN" w:bidi="ar-SA"/>
            </w:rPr>
            <w:fldChar w:fldCharType="end"/>
          </w:r>
          <w:r>
            <w:rPr>
              <w:rFonts w:hint="eastAsia" w:ascii="楷体" w:hAnsi="楷体" w:eastAsia="楷体" w:cs="楷体"/>
              <w:color w:val="000000" w:themeColor="text1"/>
              <w:szCs w:val="32"/>
              <w:highlight w:val="none"/>
              <w:lang w:val="en-US" w:eastAsia="zh-CN"/>
              <w14:textFill>
                <w14:solidFill>
                  <w14:schemeClr w14:val="tx1"/>
                </w14:solidFill>
              </w14:textFill>
            </w:rPr>
            <w:fldChar w:fldCharType="end"/>
          </w:r>
        </w:p>
        <w:p>
          <w:pPr>
            <w:pStyle w:val="8"/>
            <w:tabs>
              <w:tab w:val="right" w:leader="dot" w:pos="8306"/>
            </w:tabs>
            <w:rPr>
              <w:rFonts w:hint="eastAsia" w:ascii="楷体" w:hAnsi="楷体" w:eastAsia="楷体" w:cs="楷体"/>
              <w:color w:val="000000" w:themeColor="text1"/>
              <w:sz w:val="28"/>
              <w:szCs w:val="28"/>
              <w:highlight w:val="none"/>
              <w:lang w:val="en-US" w:eastAsia="zh-CN"/>
              <w14:textFill>
                <w14:solidFill>
                  <w14:schemeClr w14:val="tx1"/>
                </w14:solidFill>
              </w14:textFill>
            </w:rPr>
          </w:pP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begin"/>
          </w:r>
          <w:r>
            <w:rPr>
              <w:rFonts w:hint="eastAsia" w:ascii="楷体" w:hAnsi="楷体" w:eastAsia="楷体" w:cs="楷体"/>
              <w:color w:val="000000" w:themeColor="text1"/>
              <w:sz w:val="28"/>
              <w:szCs w:val="28"/>
              <w:highlight w:val="none"/>
              <w:lang w:val="en-US" w:eastAsia="zh-CN"/>
              <w14:textFill>
                <w14:solidFill>
                  <w14:schemeClr w14:val="tx1"/>
                </w14:solidFill>
              </w14:textFill>
            </w:rPr>
            <w:instrText xml:space="preserve"> HYPERLINK \l _Toc30640 </w:instrText>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separate"/>
          </w:r>
          <w:r>
            <w:rPr>
              <w:rFonts w:hint="eastAsia" w:ascii="楷体" w:hAnsi="楷体" w:eastAsia="楷体" w:cs="楷体"/>
              <w:color w:val="000000" w:themeColor="text1"/>
              <w:sz w:val="28"/>
              <w:szCs w:val="28"/>
              <w:highlight w:val="none"/>
              <w:lang w:val="en-US" w:eastAsia="zh-CN"/>
              <w14:textFill>
                <w14:solidFill>
                  <w14:schemeClr w14:val="tx1"/>
                </w14:solidFill>
              </w14:textFill>
            </w:rPr>
            <w:t>（一） 放宽行业准入</w:t>
          </w:r>
          <w:r>
            <w:rPr>
              <w:rFonts w:hint="eastAsia" w:ascii="楷体" w:hAnsi="楷体" w:eastAsia="楷体" w:cs="楷体"/>
              <w:color w:val="000000" w:themeColor="text1"/>
              <w:sz w:val="28"/>
              <w:szCs w:val="28"/>
              <w:highlight w:val="none"/>
              <w:lang w:val="en-US" w:eastAsia="zh-CN"/>
              <w14:textFill>
                <w14:solidFill>
                  <w14:schemeClr w14:val="tx1"/>
                </w14:solidFill>
              </w14:textFill>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_Toc30640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22</w:t>
          </w:r>
          <w:r>
            <w:rPr>
              <w:rFonts w:hint="eastAsia" w:ascii="楷体" w:hAnsi="楷体" w:eastAsia="楷体" w:cs="楷体"/>
              <w:kern w:val="2"/>
              <w:sz w:val="28"/>
              <w:szCs w:val="28"/>
              <w:lang w:val="en-US" w:eastAsia="zh-CN" w:bidi="ar-SA"/>
            </w:rPr>
            <w:fldChar w:fldCharType="end"/>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end"/>
          </w:r>
        </w:p>
        <w:p>
          <w:pPr>
            <w:pStyle w:val="8"/>
            <w:tabs>
              <w:tab w:val="right" w:leader="dot" w:pos="8306"/>
            </w:tabs>
            <w:rPr>
              <w:rFonts w:hint="eastAsia" w:ascii="楷体" w:hAnsi="楷体" w:eastAsia="楷体" w:cs="楷体"/>
              <w:color w:val="000000" w:themeColor="text1"/>
              <w:sz w:val="28"/>
              <w:szCs w:val="28"/>
              <w:highlight w:val="none"/>
              <w:lang w:val="en-US" w:eastAsia="zh-CN"/>
              <w14:textFill>
                <w14:solidFill>
                  <w14:schemeClr w14:val="tx1"/>
                </w14:solidFill>
              </w14:textFill>
            </w:rPr>
          </w:pP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begin"/>
          </w:r>
          <w:r>
            <w:rPr>
              <w:rFonts w:hint="eastAsia" w:ascii="楷体" w:hAnsi="楷体" w:eastAsia="楷体" w:cs="楷体"/>
              <w:color w:val="000000" w:themeColor="text1"/>
              <w:sz w:val="28"/>
              <w:szCs w:val="28"/>
              <w:highlight w:val="none"/>
              <w:lang w:val="en-US" w:eastAsia="zh-CN"/>
              <w14:textFill>
                <w14:solidFill>
                  <w14:schemeClr w14:val="tx1"/>
                </w14:solidFill>
              </w14:textFill>
            </w:rPr>
            <w:instrText xml:space="preserve"> HYPERLINK \l _Toc24638 </w:instrText>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separate"/>
          </w:r>
          <w:r>
            <w:rPr>
              <w:rFonts w:hint="eastAsia" w:ascii="楷体" w:hAnsi="楷体" w:eastAsia="楷体" w:cs="楷体"/>
              <w:color w:val="000000" w:themeColor="text1"/>
              <w:sz w:val="28"/>
              <w:szCs w:val="28"/>
              <w:highlight w:val="none"/>
              <w:lang w:val="en-US" w:eastAsia="zh-CN"/>
              <w14:textFill>
                <w14:solidFill>
                  <w14:schemeClr w14:val="tx1"/>
                </w14:solidFill>
              </w14:textFill>
            </w:rPr>
            <w:t>（二） 注重市场培育</w:t>
          </w:r>
          <w:r>
            <w:rPr>
              <w:rFonts w:hint="eastAsia" w:ascii="楷体" w:hAnsi="楷体" w:eastAsia="楷体" w:cs="楷体"/>
              <w:color w:val="000000" w:themeColor="text1"/>
              <w:sz w:val="28"/>
              <w:szCs w:val="28"/>
              <w:highlight w:val="none"/>
              <w:lang w:val="en-US" w:eastAsia="zh-CN"/>
              <w14:textFill>
                <w14:solidFill>
                  <w14:schemeClr w14:val="tx1"/>
                </w14:solidFill>
              </w14:textFill>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_Toc24638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24</w:t>
          </w:r>
          <w:r>
            <w:rPr>
              <w:rFonts w:hint="eastAsia" w:ascii="楷体" w:hAnsi="楷体" w:eastAsia="楷体" w:cs="楷体"/>
              <w:kern w:val="2"/>
              <w:sz w:val="28"/>
              <w:szCs w:val="28"/>
              <w:lang w:val="en-US" w:eastAsia="zh-CN" w:bidi="ar-SA"/>
            </w:rPr>
            <w:fldChar w:fldCharType="end"/>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end"/>
          </w:r>
        </w:p>
        <w:p>
          <w:pPr>
            <w:pStyle w:val="8"/>
            <w:tabs>
              <w:tab w:val="right" w:leader="dot" w:pos="8306"/>
            </w:tabs>
            <w:rPr>
              <w:rFonts w:hint="eastAsia" w:ascii="楷体" w:hAnsi="楷体" w:eastAsia="楷体" w:cs="楷体"/>
              <w:color w:val="000000" w:themeColor="text1"/>
              <w:sz w:val="28"/>
              <w:szCs w:val="28"/>
              <w:highlight w:val="none"/>
              <w:lang w:val="en-US" w:eastAsia="zh-CN"/>
              <w14:textFill>
                <w14:solidFill>
                  <w14:schemeClr w14:val="tx1"/>
                </w14:solidFill>
              </w14:textFill>
            </w:rPr>
          </w:pP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begin"/>
          </w:r>
          <w:r>
            <w:rPr>
              <w:rFonts w:hint="eastAsia" w:ascii="楷体" w:hAnsi="楷体" w:eastAsia="楷体" w:cs="楷体"/>
              <w:color w:val="000000" w:themeColor="text1"/>
              <w:sz w:val="28"/>
              <w:szCs w:val="28"/>
              <w:highlight w:val="none"/>
              <w:lang w:val="en-US" w:eastAsia="zh-CN"/>
              <w14:textFill>
                <w14:solidFill>
                  <w14:schemeClr w14:val="tx1"/>
                </w14:solidFill>
              </w14:textFill>
            </w:rPr>
            <w:instrText xml:space="preserve"> HYPERLINK \l _Toc5202 </w:instrText>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separate"/>
          </w:r>
          <w:r>
            <w:rPr>
              <w:rFonts w:hint="eastAsia" w:ascii="楷体" w:hAnsi="楷体" w:eastAsia="楷体" w:cs="楷体"/>
              <w:color w:val="000000" w:themeColor="text1"/>
              <w:sz w:val="28"/>
              <w:szCs w:val="28"/>
              <w:highlight w:val="none"/>
              <w:lang w:val="en-US" w:eastAsia="zh-CN"/>
              <w14:textFill>
                <w14:solidFill>
                  <w14:schemeClr w14:val="tx1"/>
                </w14:solidFill>
              </w14:textFill>
            </w:rPr>
            <w:t>（三） 支持产业集聚</w:t>
          </w:r>
          <w:r>
            <w:rPr>
              <w:rFonts w:hint="eastAsia" w:ascii="楷体" w:hAnsi="楷体" w:eastAsia="楷体" w:cs="楷体"/>
              <w:color w:val="000000" w:themeColor="text1"/>
              <w:sz w:val="28"/>
              <w:szCs w:val="28"/>
              <w:highlight w:val="none"/>
              <w:lang w:val="en-US" w:eastAsia="zh-CN"/>
              <w14:textFill>
                <w14:solidFill>
                  <w14:schemeClr w14:val="tx1"/>
                </w14:solidFill>
              </w14:textFill>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_Toc5202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27</w:t>
          </w:r>
          <w:r>
            <w:rPr>
              <w:rFonts w:hint="eastAsia" w:ascii="楷体" w:hAnsi="楷体" w:eastAsia="楷体" w:cs="楷体"/>
              <w:kern w:val="2"/>
              <w:sz w:val="28"/>
              <w:szCs w:val="28"/>
              <w:lang w:val="en-US" w:eastAsia="zh-CN" w:bidi="ar-SA"/>
            </w:rPr>
            <w:fldChar w:fldCharType="end"/>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end"/>
          </w:r>
        </w:p>
        <w:p>
          <w:pPr>
            <w:pStyle w:val="8"/>
            <w:tabs>
              <w:tab w:val="right" w:leader="dot" w:pos="8306"/>
            </w:tabs>
            <w:rPr>
              <w:rFonts w:hint="eastAsia" w:ascii="楷体" w:hAnsi="楷体" w:eastAsia="楷体" w:cs="楷体"/>
              <w:color w:val="000000" w:themeColor="text1"/>
              <w:sz w:val="28"/>
              <w:szCs w:val="28"/>
              <w:highlight w:val="none"/>
              <w:lang w:val="en-US" w:eastAsia="zh-CN"/>
              <w14:textFill>
                <w14:solidFill>
                  <w14:schemeClr w14:val="tx1"/>
                </w14:solidFill>
              </w14:textFill>
            </w:rPr>
          </w:pP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begin"/>
          </w:r>
          <w:r>
            <w:rPr>
              <w:rFonts w:hint="eastAsia" w:ascii="楷体" w:hAnsi="楷体" w:eastAsia="楷体" w:cs="楷体"/>
              <w:color w:val="000000" w:themeColor="text1"/>
              <w:sz w:val="28"/>
              <w:szCs w:val="28"/>
              <w:highlight w:val="none"/>
              <w:lang w:val="en-US" w:eastAsia="zh-CN"/>
              <w14:textFill>
                <w14:solidFill>
                  <w14:schemeClr w14:val="tx1"/>
                </w14:solidFill>
              </w14:textFill>
            </w:rPr>
            <w:instrText xml:space="preserve"> HYPERLINK \l _Toc10577 </w:instrText>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separate"/>
          </w:r>
          <w:r>
            <w:rPr>
              <w:rFonts w:hint="eastAsia" w:ascii="楷体" w:hAnsi="楷体" w:eastAsia="楷体" w:cs="楷体"/>
              <w:color w:val="000000" w:themeColor="text1"/>
              <w:sz w:val="28"/>
              <w:szCs w:val="28"/>
              <w:highlight w:val="none"/>
              <w:lang w:val="en-US" w:eastAsia="zh-CN"/>
              <w14:textFill>
                <w14:solidFill>
                  <w14:schemeClr w14:val="tx1"/>
                </w14:solidFill>
              </w14:textFill>
            </w:rPr>
            <w:t>（四） 强化规范管理</w:t>
          </w:r>
          <w:r>
            <w:rPr>
              <w:rFonts w:hint="eastAsia" w:ascii="楷体" w:hAnsi="楷体" w:eastAsia="楷体" w:cs="楷体"/>
              <w:color w:val="000000" w:themeColor="text1"/>
              <w:sz w:val="28"/>
              <w:szCs w:val="28"/>
              <w:highlight w:val="none"/>
              <w:lang w:val="en-US" w:eastAsia="zh-CN"/>
              <w14:textFill>
                <w14:solidFill>
                  <w14:schemeClr w14:val="tx1"/>
                </w14:solidFill>
              </w14:textFill>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_Toc10577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30</w:t>
          </w:r>
          <w:r>
            <w:rPr>
              <w:rFonts w:hint="eastAsia" w:ascii="楷体" w:hAnsi="楷体" w:eastAsia="楷体" w:cs="楷体"/>
              <w:kern w:val="2"/>
              <w:sz w:val="28"/>
              <w:szCs w:val="28"/>
              <w:lang w:val="en-US" w:eastAsia="zh-CN" w:bidi="ar-SA"/>
            </w:rPr>
            <w:fldChar w:fldCharType="end"/>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end"/>
          </w:r>
        </w:p>
        <w:p>
          <w:pPr>
            <w:pStyle w:val="8"/>
            <w:tabs>
              <w:tab w:val="right" w:leader="dot" w:pos="8306"/>
            </w:tabs>
            <w:rPr>
              <w:rFonts w:hint="eastAsia" w:ascii="楷体" w:hAnsi="楷体" w:eastAsia="楷体" w:cs="楷体"/>
              <w:color w:val="000000" w:themeColor="text1"/>
              <w:sz w:val="28"/>
              <w:szCs w:val="28"/>
              <w:highlight w:val="none"/>
              <w:lang w:val="en-US" w:eastAsia="zh-CN"/>
              <w14:textFill>
                <w14:solidFill>
                  <w14:schemeClr w14:val="tx1"/>
                </w14:solidFill>
              </w14:textFill>
            </w:rPr>
          </w:pP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begin"/>
          </w:r>
          <w:r>
            <w:rPr>
              <w:rFonts w:hint="eastAsia" w:ascii="楷体" w:hAnsi="楷体" w:eastAsia="楷体" w:cs="楷体"/>
              <w:color w:val="000000" w:themeColor="text1"/>
              <w:sz w:val="28"/>
              <w:szCs w:val="28"/>
              <w:highlight w:val="none"/>
              <w:lang w:val="en-US" w:eastAsia="zh-CN"/>
              <w14:textFill>
                <w14:solidFill>
                  <w14:schemeClr w14:val="tx1"/>
                </w14:solidFill>
              </w14:textFill>
            </w:rPr>
            <w:instrText xml:space="preserve"> HYPERLINK \l _Toc10062 </w:instrText>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separate"/>
          </w:r>
          <w:r>
            <w:rPr>
              <w:rFonts w:hint="eastAsia" w:ascii="楷体" w:hAnsi="楷体" w:eastAsia="楷体" w:cs="楷体"/>
              <w:color w:val="000000" w:themeColor="text1"/>
              <w:sz w:val="28"/>
              <w:szCs w:val="28"/>
              <w:highlight w:val="none"/>
              <w:lang w:val="en-US" w:eastAsia="zh-CN"/>
              <w14:textFill>
                <w14:solidFill>
                  <w14:schemeClr w14:val="tx1"/>
                </w14:solidFill>
              </w14:textFill>
            </w:rPr>
            <w:t>（五） 优化营商环境</w:t>
          </w:r>
          <w:r>
            <w:rPr>
              <w:rFonts w:hint="eastAsia" w:ascii="楷体" w:hAnsi="楷体" w:eastAsia="楷体" w:cs="楷体"/>
              <w:color w:val="000000" w:themeColor="text1"/>
              <w:sz w:val="28"/>
              <w:szCs w:val="28"/>
              <w:highlight w:val="none"/>
              <w:lang w:val="en-US" w:eastAsia="zh-CN"/>
              <w14:textFill>
                <w14:solidFill>
                  <w14:schemeClr w14:val="tx1"/>
                </w14:solidFill>
              </w14:textFill>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_Toc10062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32</w:t>
          </w:r>
          <w:r>
            <w:rPr>
              <w:rFonts w:hint="eastAsia" w:ascii="楷体" w:hAnsi="楷体" w:eastAsia="楷体" w:cs="楷体"/>
              <w:kern w:val="2"/>
              <w:sz w:val="28"/>
              <w:szCs w:val="28"/>
              <w:lang w:val="en-US" w:eastAsia="zh-CN" w:bidi="ar-SA"/>
            </w:rPr>
            <w:fldChar w:fldCharType="end"/>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end"/>
          </w:r>
        </w:p>
        <w:p>
          <w:pPr>
            <w:pStyle w:val="7"/>
            <w:tabs>
              <w:tab w:val="right" w:leader="dot" w:pos="8306"/>
            </w:tabs>
          </w:pPr>
          <w:r>
            <w:rPr>
              <w:rFonts w:hint="eastAsia" w:ascii="楷体" w:hAnsi="楷体" w:eastAsia="楷体" w:cs="楷体"/>
              <w:color w:val="000000" w:themeColor="text1"/>
              <w:szCs w:val="32"/>
              <w:highlight w:val="none"/>
              <w:lang w:val="en-US" w:eastAsia="zh-CN"/>
              <w14:textFill>
                <w14:solidFill>
                  <w14:schemeClr w14:val="tx1"/>
                </w14:solidFill>
              </w14:textFill>
            </w:rPr>
            <w:fldChar w:fldCharType="begin"/>
          </w:r>
          <w:r>
            <w:rPr>
              <w:rFonts w:hint="eastAsia" w:ascii="楷体" w:hAnsi="楷体" w:eastAsia="楷体" w:cs="楷体"/>
              <w:szCs w:val="32"/>
              <w:highlight w:val="none"/>
              <w:lang w:val="en-US" w:eastAsia="zh-CN"/>
            </w:rPr>
            <w:instrText xml:space="preserve"> HYPERLINK \l _Toc17494 </w:instrText>
          </w:r>
          <w:r>
            <w:rPr>
              <w:rFonts w:hint="eastAsia" w:ascii="楷体" w:hAnsi="楷体" w:eastAsia="楷体" w:cs="楷体"/>
              <w:szCs w:val="32"/>
              <w:highlight w:val="none"/>
              <w:lang w:val="en-US" w:eastAsia="zh-CN"/>
            </w:rPr>
            <w:fldChar w:fldCharType="separate"/>
          </w:r>
          <w:r>
            <w:rPr>
              <w:rFonts w:hint="eastAsia" w:ascii="黑体" w:hAnsi="黑体" w:eastAsia="黑体" w:cs="黑体"/>
              <w:color w:val="000000" w:themeColor="text1"/>
              <w:sz w:val="28"/>
              <w:szCs w:val="28"/>
              <w:highlight w:val="none"/>
              <w:lang w:val="en-US" w:eastAsia="zh-CN"/>
              <w14:textFill>
                <w14:solidFill>
                  <w14:schemeClr w14:val="tx1"/>
                </w14:solidFill>
              </w14:textFill>
            </w:rPr>
            <w:t>五、 保障措施</w:t>
          </w:r>
          <w:r>
            <w:rPr>
              <w:rFonts w:hint="eastAsia" w:ascii="黑体" w:hAnsi="黑体" w:eastAsia="黑体" w:cs="黑体"/>
              <w:color w:val="000000" w:themeColor="text1"/>
              <w:sz w:val="28"/>
              <w:szCs w:val="28"/>
              <w:highlight w:val="none"/>
              <w:lang w:val="en-US" w:eastAsia="zh-CN"/>
              <w14:textFill>
                <w14:solidFill>
                  <w14:schemeClr w14:val="tx1"/>
                </w14:solidFill>
              </w14:textFill>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_Toc17494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35</w:t>
          </w:r>
          <w:r>
            <w:rPr>
              <w:rFonts w:hint="eastAsia" w:ascii="楷体" w:hAnsi="楷体" w:eastAsia="楷体" w:cs="楷体"/>
              <w:kern w:val="2"/>
              <w:sz w:val="28"/>
              <w:szCs w:val="28"/>
              <w:lang w:val="en-US" w:eastAsia="zh-CN" w:bidi="ar-SA"/>
            </w:rPr>
            <w:fldChar w:fldCharType="end"/>
          </w:r>
          <w:r>
            <w:rPr>
              <w:rFonts w:hint="eastAsia" w:ascii="楷体" w:hAnsi="楷体" w:eastAsia="楷体" w:cs="楷体"/>
              <w:color w:val="000000" w:themeColor="text1"/>
              <w:szCs w:val="32"/>
              <w:highlight w:val="none"/>
              <w:lang w:val="en-US" w:eastAsia="zh-CN"/>
              <w14:textFill>
                <w14:solidFill>
                  <w14:schemeClr w14:val="tx1"/>
                </w14:solidFill>
              </w14:textFill>
            </w:rPr>
            <w:fldChar w:fldCharType="end"/>
          </w:r>
        </w:p>
        <w:p>
          <w:pPr>
            <w:pStyle w:val="8"/>
            <w:tabs>
              <w:tab w:val="right" w:leader="dot" w:pos="8306"/>
            </w:tabs>
            <w:rPr>
              <w:rFonts w:hint="eastAsia" w:ascii="楷体" w:hAnsi="楷体" w:eastAsia="楷体" w:cs="楷体"/>
              <w:color w:val="000000" w:themeColor="text1"/>
              <w:sz w:val="28"/>
              <w:szCs w:val="28"/>
              <w:highlight w:val="none"/>
              <w:lang w:val="en-US" w:eastAsia="zh-CN"/>
              <w14:textFill>
                <w14:solidFill>
                  <w14:schemeClr w14:val="tx1"/>
                </w14:solidFill>
              </w14:textFill>
            </w:rPr>
          </w:pP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begin"/>
          </w:r>
          <w:r>
            <w:rPr>
              <w:rFonts w:hint="eastAsia" w:ascii="楷体" w:hAnsi="楷体" w:eastAsia="楷体" w:cs="楷体"/>
              <w:color w:val="000000" w:themeColor="text1"/>
              <w:sz w:val="28"/>
              <w:szCs w:val="28"/>
              <w:highlight w:val="none"/>
              <w:lang w:val="en-US" w:eastAsia="zh-CN"/>
              <w14:textFill>
                <w14:solidFill>
                  <w14:schemeClr w14:val="tx1"/>
                </w14:solidFill>
              </w14:textFill>
            </w:rPr>
            <w:instrText xml:space="preserve"> HYPERLINK \l _Toc32367 </w:instrText>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separate"/>
          </w:r>
          <w:r>
            <w:rPr>
              <w:rFonts w:hint="eastAsia" w:ascii="楷体" w:hAnsi="楷体" w:eastAsia="楷体" w:cs="楷体"/>
              <w:color w:val="000000" w:themeColor="text1"/>
              <w:sz w:val="28"/>
              <w:szCs w:val="28"/>
              <w:highlight w:val="none"/>
              <w:lang w:val="en-US" w:eastAsia="zh-CN"/>
              <w14:textFill>
                <w14:solidFill>
                  <w14:schemeClr w14:val="tx1"/>
                </w14:solidFill>
              </w14:textFill>
            </w:rPr>
            <w:t>（一） 加强组织领导</w:t>
          </w:r>
          <w:r>
            <w:rPr>
              <w:rFonts w:hint="eastAsia" w:ascii="楷体" w:hAnsi="楷体" w:eastAsia="楷体" w:cs="楷体"/>
              <w:color w:val="000000" w:themeColor="text1"/>
              <w:sz w:val="28"/>
              <w:szCs w:val="28"/>
              <w:highlight w:val="none"/>
              <w:lang w:val="en-US" w:eastAsia="zh-CN"/>
              <w14:textFill>
                <w14:solidFill>
                  <w14:schemeClr w14:val="tx1"/>
                </w14:solidFill>
              </w14:textFill>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_Toc32367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35</w:t>
          </w:r>
          <w:r>
            <w:rPr>
              <w:rFonts w:hint="eastAsia" w:ascii="楷体" w:hAnsi="楷体" w:eastAsia="楷体" w:cs="楷体"/>
              <w:kern w:val="2"/>
              <w:sz w:val="28"/>
              <w:szCs w:val="28"/>
              <w:lang w:val="en-US" w:eastAsia="zh-CN" w:bidi="ar-SA"/>
            </w:rPr>
            <w:fldChar w:fldCharType="end"/>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end"/>
          </w:r>
        </w:p>
        <w:p>
          <w:pPr>
            <w:pStyle w:val="8"/>
            <w:tabs>
              <w:tab w:val="right" w:leader="dot" w:pos="8306"/>
            </w:tabs>
            <w:rPr>
              <w:rFonts w:hint="eastAsia" w:ascii="楷体" w:hAnsi="楷体" w:eastAsia="楷体" w:cs="楷体"/>
              <w:color w:val="000000" w:themeColor="text1"/>
              <w:sz w:val="28"/>
              <w:szCs w:val="28"/>
              <w:highlight w:val="none"/>
              <w:lang w:val="en-US" w:eastAsia="zh-CN"/>
              <w14:textFill>
                <w14:solidFill>
                  <w14:schemeClr w14:val="tx1"/>
                </w14:solidFill>
              </w14:textFill>
            </w:rPr>
          </w:pP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begin"/>
          </w:r>
          <w:r>
            <w:rPr>
              <w:rFonts w:hint="eastAsia" w:ascii="楷体" w:hAnsi="楷体" w:eastAsia="楷体" w:cs="楷体"/>
              <w:color w:val="000000" w:themeColor="text1"/>
              <w:sz w:val="28"/>
              <w:szCs w:val="28"/>
              <w:highlight w:val="none"/>
              <w:lang w:val="en-US" w:eastAsia="zh-CN"/>
              <w14:textFill>
                <w14:solidFill>
                  <w14:schemeClr w14:val="tx1"/>
                </w14:solidFill>
              </w14:textFill>
            </w:rPr>
            <w:instrText xml:space="preserve"> HYPERLINK \l _Toc23043 </w:instrText>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separate"/>
          </w:r>
          <w:r>
            <w:rPr>
              <w:rFonts w:hint="eastAsia" w:ascii="楷体" w:hAnsi="楷体" w:eastAsia="楷体" w:cs="楷体"/>
              <w:color w:val="000000" w:themeColor="text1"/>
              <w:sz w:val="28"/>
              <w:szCs w:val="28"/>
              <w:highlight w:val="none"/>
              <w:lang w:val="en-US" w:eastAsia="zh-CN"/>
              <w14:textFill>
                <w14:solidFill>
                  <w14:schemeClr w14:val="tx1"/>
                </w14:solidFill>
              </w14:textFill>
            </w:rPr>
            <w:t>（二） 加强监督管理</w:t>
          </w:r>
          <w:r>
            <w:rPr>
              <w:rFonts w:hint="eastAsia" w:ascii="楷体" w:hAnsi="楷体" w:eastAsia="楷体" w:cs="楷体"/>
              <w:color w:val="000000" w:themeColor="text1"/>
              <w:sz w:val="28"/>
              <w:szCs w:val="28"/>
              <w:highlight w:val="none"/>
              <w:lang w:val="en-US" w:eastAsia="zh-CN"/>
              <w14:textFill>
                <w14:solidFill>
                  <w14:schemeClr w14:val="tx1"/>
                </w14:solidFill>
              </w14:textFill>
            </w:rPr>
            <w:tab/>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begin"/>
          </w:r>
          <w:r>
            <w:rPr>
              <w:rFonts w:hint="eastAsia" w:ascii="楷体" w:hAnsi="楷体" w:eastAsia="楷体" w:cs="楷体"/>
              <w:color w:val="000000" w:themeColor="text1"/>
              <w:sz w:val="28"/>
              <w:szCs w:val="28"/>
              <w:highlight w:val="none"/>
              <w:lang w:val="en-US" w:eastAsia="zh-CN"/>
              <w14:textFill>
                <w14:solidFill>
                  <w14:schemeClr w14:val="tx1"/>
                </w14:solidFill>
              </w14:textFill>
            </w:rPr>
            <w:instrText xml:space="preserve"> PAGEREF _Toc23043 \h </w:instrText>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separate"/>
          </w:r>
          <w:r>
            <w:rPr>
              <w:rFonts w:hint="eastAsia" w:ascii="楷体" w:hAnsi="楷体" w:eastAsia="楷体" w:cs="楷体"/>
              <w:color w:val="000000" w:themeColor="text1"/>
              <w:sz w:val="28"/>
              <w:szCs w:val="28"/>
              <w:highlight w:val="none"/>
              <w:lang w:val="en-US" w:eastAsia="zh-CN"/>
              <w14:textFill>
                <w14:solidFill>
                  <w14:schemeClr w14:val="tx1"/>
                </w14:solidFill>
              </w14:textFill>
            </w:rPr>
            <w:t>35</w:t>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end"/>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end"/>
          </w:r>
        </w:p>
        <w:p>
          <w:pPr>
            <w:pStyle w:val="8"/>
            <w:tabs>
              <w:tab w:val="right" w:leader="dot" w:pos="8306"/>
            </w:tabs>
            <w:rPr>
              <w:rFonts w:hint="eastAsia" w:ascii="楷体" w:hAnsi="楷体" w:eastAsia="楷体" w:cs="楷体"/>
              <w:color w:val="000000" w:themeColor="text1"/>
              <w:sz w:val="28"/>
              <w:szCs w:val="28"/>
              <w:highlight w:val="none"/>
              <w:lang w:val="en-US" w:eastAsia="zh-CN"/>
              <w14:textFill>
                <w14:solidFill>
                  <w14:schemeClr w14:val="tx1"/>
                </w14:solidFill>
              </w14:textFill>
            </w:rPr>
          </w:pP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begin"/>
          </w:r>
          <w:r>
            <w:rPr>
              <w:rFonts w:hint="eastAsia" w:ascii="楷体" w:hAnsi="楷体" w:eastAsia="楷体" w:cs="楷体"/>
              <w:color w:val="000000" w:themeColor="text1"/>
              <w:sz w:val="28"/>
              <w:szCs w:val="28"/>
              <w:highlight w:val="none"/>
              <w:lang w:val="en-US" w:eastAsia="zh-CN"/>
              <w14:textFill>
                <w14:solidFill>
                  <w14:schemeClr w14:val="tx1"/>
                </w14:solidFill>
              </w14:textFill>
            </w:rPr>
            <w:instrText xml:space="preserve"> HYPERLINK \l _Toc12636 </w:instrText>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separate"/>
          </w:r>
          <w:r>
            <w:rPr>
              <w:rFonts w:hint="eastAsia" w:ascii="楷体" w:hAnsi="楷体" w:eastAsia="楷体" w:cs="楷体"/>
              <w:color w:val="000000" w:themeColor="text1"/>
              <w:sz w:val="28"/>
              <w:szCs w:val="28"/>
              <w:highlight w:val="none"/>
              <w:lang w:val="en-US" w:eastAsia="zh-CN"/>
              <w14:textFill>
                <w14:solidFill>
                  <w14:schemeClr w14:val="tx1"/>
                </w14:solidFill>
              </w14:textFill>
            </w:rPr>
            <w:t>（三） 完善统计分析</w:t>
          </w:r>
          <w:r>
            <w:rPr>
              <w:rFonts w:hint="eastAsia" w:ascii="楷体" w:hAnsi="楷体" w:eastAsia="楷体" w:cs="楷体"/>
              <w:color w:val="000000" w:themeColor="text1"/>
              <w:sz w:val="28"/>
              <w:szCs w:val="28"/>
              <w:highlight w:val="none"/>
              <w:lang w:val="en-US" w:eastAsia="zh-CN"/>
              <w14:textFill>
                <w14:solidFill>
                  <w14:schemeClr w14:val="tx1"/>
                </w14:solidFill>
              </w14:textFill>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_Toc12636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35</w:t>
          </w:r>
          <w:r>
            <w:rPr>
              <w:rFonts w:hint="eastAsia" w:ascii="楷体" w:hAnsi="楷体" w:eastAsia="楷体" w:cs="楷体"/>
              <w:kern w:val="2"/>
              <w:sz w:val="28"/>
              <w:szCs w:val="28"/>
              <w:lang w:val="en-US" w:eastAsia="zh-CN" w:bidi="ar-SA"/>
            </w:rPr>
            <w:fldChar w:fldCharType="end"/>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end"/>
          </w:r>
        </w:p>
        <w:p>
          <w:pPr>
            <w:pStyle w:val="8"/>
            <w:tabs>
              <w:tab w:val="right" w:leader="dot" w:pos="8306"/>
            </w:tabs>
            <w:rPr>
              <w:rFonts w:hint="eastAsia" w:ascii="楷体" w:hAnsi="楷体" w:eastAsia="楷体" w:cs="楷体"/>
              <w:color w:val="000000" w:themeColor="text1"/>
              <w:sz w:val="28"/>
              <w:szCs w:val="28"/>
              <w:highlight w:val="none"/>
              <w:lang w:val="en-US" w:eastAsia="zh-CN"/>
              <w14:textFill>
                <w14:solidFill>
                  <w14:schemeClr w14:val="tx1"/>
                </w14:solidFill>
              </w14:textFill>
            </w:rPr>
          </w:pP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begin"/>
          </w:r>
          <w:r>
            <w:rPr>
              <w:rFonts w:hint="eastAsia" w:ascii="楷体" w:hAnsi="楷体" w:eastAsia="楷体" w:cs="楷体"/>
              <w:color w:val="000000" w:themeColor="text1"/>
              <w:sz w:val="28"/>
              <w:szCs w:val="28"/>
              <w:highlight w:val="none"/>
              <w:lang w:val="en-US" w:eastAsia="zh-CN"/>
              <w14:textFill>
                <w14:solidFill>
                  <w14:schemeClr w14:val="tx1"/>
                </w14:solidFill>
              </w14:textFill>
            </w:rPr>
            <w:instrText xml:space="preserve"> HYPERLINK \l _Toc5633 </w:instrText>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separate"/>
          </w:r>
          <w:r>
            <w:rPr>
              <w:rFonts w:hint="eastAsia" w:ascii="楷体" w:hAnsi="楷体" w:eastAsia="楷体" w:cs="楷体"/>
              <w:color w:val="000000" w:themeColor="text1"/>
              <w:sz w:val="28"/>
              <w:szCs w:val="28"/>
              <w:highlight w:val="none"/>
              <w:lang w:val="en-US" w:eastAsia="zh-CN"/>
              <w14:textFill>
                <w14:solidFill>
                  <w14:schemeClr w14:val="tx1"/>
                </w14:solidFill>
              </w14:textFill>
            </w:rPr>
            <w:t>（四） 建立长效机制</w:t>
          </w:r>
          <w:r>
            <w:rPr>
              <w:rFonts w:hint="eastAsia" w:ascii="楷体" w:hAnsi="楷体" w:eastAsia="楷体" w:cs="楷体"/>
              <w:color w:val="000000" w:themeColor="text1"/>
              <w:sz w:val="28"/>
              <w:szCs w:val="28"/>
              <w:highlight w:val="none"/>
              <w:lang w:val="en-US" w:eastAsia="zh-CN"/>
              <w14:textFill>
                <w14:solidFill>
                  <w14:schemeClr w14:val="tx1"/>
                </w14:solidFill>
              </w14:textFill>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_Toc5633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35</w:t>
          </w:r>
          <w:r>
            <w:rPr>
              <w:rFonts w:hint="eastAsia" w:ascii="楷体" w:hAnsi="楷体" w:eastAsia="楷体" w:cs="楷体"/>
              <w:kern w:val="2"/>
              <w:sz w:val="28"/>
              <w:szCs w:val="28"/>
              <w:lang w:val="en-US" w:eastAsia="zh-CN" w:bidi="ar-SA"/>
            </w:rPr>
            <w:fldChar w:fldCharType="end"/>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end"/>
          </w:r>
        </w:p>
        <w:p>
          <w:pPr>
            <w:pStyle w:val="8"/>
            <w:tabs>
              <w:tab w:val="right" w:leader="dot" w:pos="8306"/>
            </w:tabs>
            <w:rPr>
              <w:rFonts w:hint="eastAsia" w:ascii="楷体" w:hAnsi="楷体" w:eastAsia="楷体" w:cs="楷体"/>
              <w:color w:val="000000" w:themeColor="text1"/>
              <w:sz w:val="28"/>
              <w:szCs w:val="28"/>
              <w:highlight w:val="none"/>
              <w:lang w:val="en-US" w:eastAsia="zh-CN"/>
              <w14:textFill>
                <w14:solidFill>
                  <w14:schemeClr w14:val="tx1"/>
                </w14:solidFill>
              </w14:textFill>
            </w:rPr>
          </w:pP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begin"/>
          </w:r>
          <w:r>
            <w:rPr>
              <w:rFonts w:hint="eastAsia" w:ascii="楷体" w:hAnsi="楷体" w:eastAsia="楷体" w:cs="楷体"/>
              <w:color w:val="000000" w:themeColor="text1"/>
              <w:sz w:val="28"/>
              <w:szCs w:val="28"/>
              <w:highlight w:val="none"/>
              <w:lang w:val="en-US" w:eastAsia="zh-CN"/>
              <w14:textFill>
                <w14:solidFill>
                  <w14:schemeClr w14:val="tx1"/>
                </w14:solidFill>
              </w14:textFill>
            </w:rPr>
            <w:instrText xml:space="preserve"> HYPERLINK \l _Toc27956 </w:instrText>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separate"/>
          </w:r>
          <w:r>
            <w:rPr>
              <w:rFonts w:hint="eastAsia" w:ascii="楷体" w:hAnsi="楷体" w:eastAsia="楷体" w:cs="楷体"/>
              <w:color w:val="000000" w:themeColor="text1"/>
              <w:sz w:val="28"/>
              <w:szCs w:val="28"/>
              <w:highlight w:val="none"/>
              <w:lang w:val="en-US" w:eastAsia="zh-CN"/>
              <w14:textFill>
                <w14:solidFill>
                  <w14:schemeClr w14:val="tx1"/>
                </w14:solidFill>
              </w14:textFill>
            </w:rPr>
            <w:t>（五） 创造良好环境</w:t>
          </w:r>
          <w:r>
            <w:rPr>
              <w:rFonts w:hint="eastAsia" w:ascii="楷体" w:hAnsi="楷体" w:eastAsia="楷体" w:cs="楷体"/>
              <w:color w:val="000000" w:themeColor="text1"/>
              <w:sz w:val="28"/>
              <w:szCs w:val="28"/>
              <w:highlight w:val="none"/>
              <w:lang w:val="en-US" w:eastAsia="zh-CN"/>
              <w14:textFill>
                <w14:solidFill>
                  <w14:schemeClr w14:val="tx1"/>
                </w14:solidFill>
              </w14:textFill>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_Toc27956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36</w:t>
          </w:r>
          <w:r>
            <w:rPr>
              <w:rFonts w:hint="eastAsia" w:ascii="楷体" w:hAnsi="楷体" w:eastAsia="楷体" w:cs="楷体"/>
              <w:kern w:val="2"/>
              <w:sz w:val="28"/>
              <w:szCs w:val="28"/>
              <w:lang w:val="en-US" w:eastAsia="zh-CN" w:bidi="ar-SA"/>
            </w:rPr>
            <w:fldChar w:fldCharType="end"/>
          </w:r>
          <w:r>
            <w:rPr>
              <w:rFonts w:hint="eastAsia" w:ascii="楷体" w:hAnsi="楷体" w:eastAsia="楷体" w:cs="楷体"/>
              <w:color w:val="000000" w:themeColor="text1"/>
              <w:sz w:val="28"/>
              <w:szCs w:val="28"/>
              <w:highlight w:val="none"/>
              <w:lang w:val="en-US" w:eastAsia="zh-CN"/>
              <w14:textFill>
                <w14:solidFill>
                  <w14:schemeClr w14:val="tx1"/>
                </w14:solidFill>
              </w14:textFill>
            </w:rPr>
            <w:fldChar w:fldCharType="end"/>
          </w:r>
        </w:p>
        <w:p>
          <w:pPr>
            <w:pStyle w:val="7"/>
            <w:tabs>
              <w:tab w:val="right" w:leader="dot" w:pos="8306"/>
            </w:tabs>
          </w:pPr>
          <w:r>
            <w:rPr>
              <w:rFonts w:hint="eastAsia" w:ascii="楷体" w:hAnsi="楷体" w:eastAsia="楷体" w:cs="楷体"/>
              <w:color w:val="000000" w:themeColor="text1"/>
              <w:szCs w:val="32"/>
              <w:highlight w:val="none"/>
              <w:lang w:val="en-US" w:eastAsia="zh-CN"/>
              <w14:textFill>
                <w14:solidFill>
                  <w14:schemeClr w14:val="tx1"/>
                </w14:solidFill>
              </w14:textFill>
            </w:rPr>
            <w:fldChar w:fldCharType="begin"/>
          </w:r>
          <w:r>
            <w:rPr>
              <w:rFonts w:hint="eastAsia" w:ascii="楷体" w:hAnsi="楷体" w:eastAsia="楷体" w:cs="楷体"/>
              <w:szCs w:val="32"/>
              <w:highlight w:val="none"/>
              <w:lang w:val="en-US" w:eastAsia="zh-CN"/>
            </w:rPr>
            <w:instrText xml:space="preserve"> HYPERLINK \l _Toc18599 </w:instrText>
          </w:r>
          <w:r>
            <w:rPr>
              <w:rFonts w:hint="eastAsia" w:ascii="楷体" w:hAnsi="楷体" w:eastAsia="楷体" w:cs="楷体"/>
              <w:szCs w:val="32"/>
              <w:highlight w:val="none"/>
              <w:lang w:val="en-US" w:eastAsia="zh-CN"/>
            </w:rPr>
            <w:fldChar w:fldCharType="separate"/>
          </w:r>
          <w:r>
            <w:rPr>
              <w:rFonts w:hint="eastAsia" w:ascii="黑体" w:hAnsi="黑体" w:eastAsia="黑体" w:cs="黑体"/>
              <w:color w:val="000000" w:themeColor="text1"/>
              <w:sz w:val="28"/>
              <w:szCs w:val="28"/>
              <w:highlight w:val="none"/>
              <w:lang w:val="en-US" w:eastAsia="zh-CN"/>
              <w14:textFill>
                <w14:solidFill>
                  <w14:schemeClr w14:val="tx1"/>
                </w14:solidFill>
              </w14:textFill>
            </w:rPr>
            <w:t>六、 附件 名词解释</w:t>
          </w:r>
          <w:r>
            <w:rPr>
              <w:rFonts w:hint="eastAsia" w:ascii="黑体" w:hAnsi="黑体" w:eastAsia="黑体" w:cs="黑体"/>
              <w:color w:val="000000" w:themeColor="text1"/>
              <w:sz w:val="28"/>
              <w:szCs w:val="28"/>
              <w:highlight w:val="none"/>
              <w:lang w:val="en-US" w:eastAsia="zh-CN"/>
              <w14:textFill>
                <w14:solidFill>
                  <w14:schemeClr w14:val="tx1"/>
                </w14:solidFill>
              </w14:textFill>
            </w:rPr>
            <w:tab/>
          </w:r>
          <w:r>
            <w:rPr>
              <w:rFonts w:hint="eastAsia" w:ascii="楷体" w:hAnsi="楷体" w:eastAsia="楷体" w:cs="楷体"/>
              <w:kern w:val="2"/>
              <w:sz w:val="28"/>
              <w:szCs w:val="28"/>
              <w:lang w:val="en-US" w:eastAsia="zh-CN" w:bidi="ar-SA"/>
            </w:rPr>
            <w:fldChar w:fldCharType="begin"/>
          </w:r>
          <w:r>
            <w:rPr>
              <w:rFonts w:hint="eastAsia" w:ascii="楷体" w:hAnsi="楷体" w:eastAsia="楷体" w:cs="楷体"/>
              <w:kern w:val="2"/>
              <w:sz w:val="28"/>
              <w:szCs w:val="28"/>
              <w:lang w:val="en-US" w:eastAsia="zh-CN" w:bidi="ar-SA"/>
            </w:rPr>
            <w:instrText xml:space="preserve"> PAGEREF _Toc18599 \h </w:instrText>
          </w:r>
          <w:r>
            <w:rPr>
              <w:rFonts w:hint="eastAsia" w:ascii="楷体" w:hAnsi="楷体" w:eastAsia="楷体" w:cs="楷体"/>
              <w:kern w:val="2"/>
              <w:sz w:val="28"/>
              <w:szCs w:val="28"/>
              <w:lang w:val="en-US" w:eastAsia="zh-CN" w:bidi="ar-SA"/>
            </w:rPr>
            <w:fldChar w:fldCharType="separate"/>
          </w:r>
          <w:r>
            <w:rPr>
              <w:rFonts w:hint="eastAsia" w:ascii="楷体" w:hAnsi="楷体" w:eastAsia="楷体" w:cs="楷体"/>
              <w:kern w:val="2"/>
              <w:sz w:val="28"/>
              <w:szCs w:val="28"/>
              <w:lang w:val="en-US" w:eastAsia="zh-CN" w:bidi="ar-SA"/>
            </w:rPr>
            <w:t>37</w:t>
          </w:r>
          <w:r>
            <w:rPr>
              <w:rFonts w:hint="eastAsia" w:ascii="楷体" w:hAnsi="楷体" w:eastAsia="楷体" w:cs="楷体"/>
              <w:kern w:val="2"/>
              <w:sz w:val="28"/>
              <w:szCs w:val="28"/>
              <w:lang w:val="en-US" w:eastAsia="zh-CN" w:bidi="ar-SA"/>
            </w:rPr>
            <w:fldChar w:fldCharType="end"/>
          </w:r>
          <w:r>
            <w:rPr>
              <w:rFonts w:hint="eastAsia" w:ascii="楷体" w:hAnsi="楷体" w:eastAsia="楷体" w:cs="楷体"/>
              <w:color w:val="000000" w:themeColor="text1"/>
              <w:szCs w:val="32"/>
              <w:highlight w:val="none"/>
              <w:lang w:val="en-US"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val="0"/>
            <w:snapToGrid w:val="0"/>
            <w:spacing w:line="480" w:lineRule="auto"/>
            <w:textAlignment w:val="auto"/>
            <w:rPr>
              <w:color w:val="000000" w:themeColor="text1"/>
              <w14:textFill>
                <w14:solidFill>
                  <w14:schemeClr w14:val="tx1"/>
                </w14:solidFill>
              </w14:textFill>
            </w:rPr>
          </w:pPr>
          <w:r>
            <w:rPr>
              <w:rFonts w:hint="eastAsia" w:ascii="楷体" w:hAnsi="楷体" w:eastAsia="楷体" w:cs="楷体"/>
              <w:color w:val="000000" w:themeColor="text1"/>
              <w:szCs w:val="32"/>
              <w:highlight w:val="none"/>
              <w:lang w:val="en-US" w:eastAsia="zh-CN"/>
              <w14:textFill>
                <w14:solidFill>
                  <w14:schemeClr w14:val="tx1"/>
                </w14:solidFill>
              </w14:textFill>
            </w:rPr>
            <w:fldChar w:fldCharType="end"/>
          </w:r>
        </w:p>
      </w:sdtContent>
    </w:sdt>
    <w:p>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仿宋_GB2312" w:hAnsi="仿宋_GB2312" w:eastAsia="仿宋_GB2312" w:cs="仿宋_GB2312"/>
          <w:b/>
          <w:bCs/>
          <w:color w:val="000000" w:themeColor="text1"/>
          <w:sz w:val="36"/>
          <w:szCs w:val="4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仿宋_GB2312" w:hAnsi="仿宋_GB2312" w:eastAsia="仿宋_GB2312" w:cs="仿宋_GB2312"/>
          <w:b/>
          <w:bCs/>
          <w:color w:val="000000" w:themeColor="text1"/>
          <w:sz w:val="36"/>
          <w:szCs w:val="4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default" w:ascii="仿宋_GB2312" w:hAnsi="仿宋_GB2312" w:eastAsia="仿宋_GB2312" w:cs="仿宋_GB2312"/>
          <w:b/>
          <w:bCs/>
          <w:color w:val="000000" w:themeColor="text1"/>
          <w:sz w:val="36"/>
          <w:szCs w:val="4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6"/>
          <w:szCs w:val="44"/>
          <w:highlight w:val="none"/>
          <w:lang w:val="en-US" w:eastAsia="zh-CN"/>
          <w14:textFill>
            <w14:solidFill>
              <w14:schemeClr w14:val="tx1"/>
            </w14:solidFill>
          </w14:textFill>
        </w:rPr>
        <w:t>前  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中介服务业是现代服务业的重要组成部分，在促进产业专业化分工协作、降低市场交易成本、提高经济效益、方便人民生活、构建和谐社会、促进就业等方面，发挥着不可替代的作用。为进一步提高龙城区中介服务业发展水平，充分发挥中介服务业促进经济发展、方便人民生活、构建和谐社会的作用，明确龙城区中介服务业发展目标和任务，特制定本规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sectPr>
          <w:footerReference r:id="rId3" w:type="default"/>
          <w:pgSz w:w="11906" w:h="16838"/>
          <w:pgMar w:top="1440" w:right="1800" w:bottom="1440" w:left="1800" w:header="851" w:footer="992" w:gutter="0"/>
          <w:pgNumType w:fmt="upperRoman" w:start="1"/>
          <w:cols w:space="425" w:num="1"/>
          <w:docGrid w:type="lines" w:linePitch="312" w:charSpace="0"/>
        </w:sect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本规划所指中介服务业是指介于各类市场主体之间，提供居中专门服务，发挥鉴证、经纪、咨询、代理、监督、公证等功能的行业总称。包括但不限于：信用中介、金融中介、会计税务中介、信息咨询中介、法律和仲裁中介、科技中介、人力资源中介、会展广告中介、贸易中介、生活性中介等。</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textAlignment w:val="auto"/>
        <w:rPr>
          <w:rFonts w:hint="eastAsia" w:ascii="黑体" w:hAnsi="黑体" w:eastAsia="黑体" w:cs="黑体"/>
          <w:b w:val="0"/>
          <w:bCs w:val="0"/>
          <w:i w:val="0"/>
          <w:iCs w:val="0"/>
          <w:caps w:val="0"/>
          <w:color w:val="000000" w:themeColor="text1"/>
          <w:spacing w:val="0"/>
          <w:sz w:val="32"/>
          <w:szCs w:val="32"/>
          <w:highlight w:val="none"/>
          <w14:textFill>
            <w14:solidFill>
              <w14:schemeClr w14:val="tx1"/>
            </w14:solidFill>
          </w14:textFill>
        </w:rPr>
      </w:pPr>
      <w:bookmarkStart w:id="0" w:name="_Toc12537"/>
      <w:r>
        <w:rPr>
          <w:rFonts w:hint="eastAsia" w:ascii="黑体" w:hAnsi="黑体" w:eastAsia="黑体" w:cs="黑体"/>
          <w:b w:val="0"/>
          <w:bCs w:val="0"/>
          <w:i w:val="0"/>
          <w:iCs w:val="0"/>
          <w:caps w:val="0"/>
          <w:color w:val="000000" w:themeColor="text1"/>
          <w:spacing w:val="0"/>
          <w:sz w:val="32"/>
          <w:szCs w:val="32"/>
          <w:highlight w:val="none"/>
          <w:shd w:val="clear" w:fill="FFFFFF"/>
          <w14:textFill>
            <w14:solidFill>
              <w14:schemeClr w14:val="tx1"/>
            </w14:solidFill>
          </w14:textFill>
        </w:rPr>
        <w:t>规划背景与现实基础</w:t>
      </w:r>
      <w:bookmarkEnd w:id="0"/>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640" w:firstLineChars="200"/>
        <w:jc w:val="left"/>
        <w:textAlignment w:val="auto"/>
        <w:outlineLvl w:val="1"/>
        <w:rPr>
          <w:rFonts w:hint="eastAsia" w:ascii="楷体" w:hAnsi="楷体" w:eastAsia="楷体" w:cs="楷体"/>
          <w:color w:val="000000" w:themeColor="text1"/>
          <w:sz w:val="32"/>
          <w:szCs w:val="32"/>
          <w:highlight w:val="none"/>
          <w:lang w:val="en-US" w:eastAsia="zh-CN"/>
          <w14:textFill>
            <w14:solidFill>
              <w14:schemeClr w14:val="tx1"/>
            </w14:solidFill>
          </w14:textFill>
        </w:rPr>
      </w:pPr>
      <w:bookmarkStart w:id="1" w:name="_Toc18461"/>
      <w:r>
        <w:rPr>
          <w:rFonts w:hint="eastAsia" w:ascii="楷体" w:hAnsi="楷体" w:eastAsia="楷体" w:cs="楷体"/>
          <w:color w:val="000000" w:themeColor="text1"/>
          <w:sz w:val="32"/>
          <w:szCs w:val="32"/>
          <w:highlight w:val="none"/>
          <w:lang w:val="en-US" w:eastAsia="zh-CN"/>
          <w14:textFill>
            <w14:solidFill>
              <w14:schemeClr w14:val="tx1"/>
            </w14:solidFill>
          </w14:textFill>
        </w:rPr>
        <w:t>规划背景</w:t>
      </w:r>
      <w:bookmarkEnd w:id="1"/>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2017年，国家发展改革委印发《服务业创新发展大纲（2017—2025年）》（发改规划〔2017〕1116号），提出积极发展工程设计、咨询评估、法律、会计审计、信用中介、检验检测认证等服务，提高专业化水平；2021年，辽宁省人民政府印发《辽宁省国民经济和社会发展第十四个五年规划和二〇三五年远景目标纲要》（辽政发〔2021〕9号），提出优化发展布局,建设高水平服务业集聚区,促进生产性服务业向专业化和价值链高端延伸,推进生活性服务业向高品质和多样化升级,实现服务业高质量跨越式发展。推动信用评级、资产评估、法律、会计等相关中介服务机构集聚发展；2022年，辽宁省人民政府办公厅印发《辽宁省“十四五”服务业发展规划》（辽政办发〔2022〕9号），指出提升服务专业化、规模化、网络化水平。培育一批年营业收入超亿元，涵盖法律咨询、会计审计、工程咨询、管理咨询、认证认可、信用评估、广告、知识产权服务、职业中介服务等领域的本土企业，着力引进境内外知名商务服务企业入辽；2021年，朝阳市人民政府印发《朝阳市国民经济和社会发展第十四个五年规划和2035年远景目标纲要》（朝政发〔2021〕10号），提出加快发展创意设计、法律、审计、咨询、信息服务、财务管理等中介服务产业。同年，人民政府办公室印发《朝阳市服务业中长期发展规划（2021—2035年）》（朝政办发〔2021〕45号），提出以龙城区、双塔区、朝阳经济技术开发区为核心，发展战略规划、营销策划、广告、咨询、评估、法律、会计、税务等商务中介服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龙城区依据国家、省、市政策精神，立足于本地资源禀赋和发展需求，聚焦重点领域发展，加快市场主体培育，促进中介服务业向专业化、规模化、集群化、品牌化方向发展，营造公平开放的市场竞争环境,提升中介服务业服务经济社会发展能力，推动我区中介服务业健康发展。</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640" w:firstLineChars="200"/>
        <w:jc w:val="left"/>
        <w:textAlignment w:val="auto"/>
        <w:outlineLvl w:val="1"/>
        <w:rPr>
          <w:rFonts w:hint="eastAsia" w:ascii="楷体" w:hAnsi="楷体" w:eastAsia="楷体" w:cs="楷体"/>
          <w:color w:val="000000" w:themeColor="text1"/>
          <w:sz w:val="32"/>
          <w:szCs w:val="32"/>
          <w:highlight w:val="none"/>
          <w:lang w:val="en-US" w:eastAsia="zh-CN"/>
          <w14:textFill>
            <w14:solidFill>
              <w14:schemeClr w14:val="tx1"/>
            </w14:solidFill>
          </w14:textFill>
        </w:rPr>
      </w:pPr>
      <w:bookmarkStart w:id="2" w:name="_Toc1740"/>
      <w:r>
        <w:rPr>
          <w:rFonts w:hint="eastAsia" w:ascii="楷体" w:hAnsi="楷体" w:eastAsia="楷体" w:cs="楷体"/>
          <w:color w:val="000000" w:themeColor="text1"/>
          <w:sz w:val="32"/>
          <w:szCs w:val="32"/>
          <w:highlight w:val="none"/>
          <w:lang w:val="en-US" w:eastAsia="zh-CN"/>
          <w14:textFill>
            <w14:solidFill>
              <w14:schemeClr w14:val="tx1"/>
            </w14:solidFill>
          </w14:textFill>
        </w:rPr>
        <w:t>现实基础</w:t>
      </w:r>
      <w:bookmarkEnd w:id="2"/>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中介组织初成体系</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截止到2024年2月，龙城区拥有各类市场中介服务机构达313家，其中从事人力资源中介32家、检验检测测绘中介17家、鉴定鉴证中介54家、信息咨询服务中介51家、家政服务中介41家，其他类中介118家，包括有限责任公司、合伙制企业、个体经营户、公司办事处等多种形式。</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市场化改革初见成效。</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随着经济体制改革不断深化，我区社会中介组织已经逐步完成从原来的行政依附型向独立的市场主体过渡。中介机构基本实现了与政府相关部门在人员、财务、业务和名称方面的脱钩改制，实行以合伙制和有限责任制为主要形式的重组改制。对中介组织的管理也逐步从过去的行政管理为主向行业管理为主转变，行政管理与行业管理的关系正在逐步理顺。</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社会作用日益显现。</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中介组织通过加强自身建设，拓展服务领域，业务发展迅速，作用日益体现，有效地降低了经济社会运行成本，是市场经济深化发展的重要体现。中介组织在经济社会发展中的地位显得越来越重要，桥梁纽带作用越来越突出。</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发展环境逐步完善。</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成立了龙城区市场中介组织管理工作领导小组，发挥政府对中介服务业通盘考虑、统筹协调、整体推进的作用，通过教育培训、政策指导、奖励先进，引导企业提高经营管理水平，争创品牌，做优做强。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虽然我区中介服务业得到良好发展，但也同时面临一些现实挑战：一是我区中介服务机构规模小,实力较弱,难以承担重大的咨询评估、预测规划等专业性强、业务难度高的中介项目；二是中介服务机构特别是个体经营的中介机构,无照经营、超越范围经营、收费不规范、合同不规范、虚假信息等现象依然存在；三是中介服务业企业布局分散，产业集聚效应尚未充分体现，限制了产业的进一步提升与发展；四是有些行业还存在盲目竞争和产业化程度较低的问题,影响了自身的快速发展。</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textAlignment w:val="auto"/>
        <w:rPr>
          <w:rFonts w:hint="default" w:ascii="黑体" w:hAnsi="黑体" w:eastAsia="黑体" w:cs="黑体"/>
          <w:b w:val="0"/>
          <w:bCs w:val="0"/>
          <w:i w:val="0"/>
          <w:iCs w:val="0"/>
          <w:caps w:val="0"/>
          <w:color w:val="000000" w:themeColor="text1"/>
          <w:spacing w:val="0"/>
          <w:sz w:val="32"/>
          <w:szCs w:val="32"/>
          <w:highlight w:val="none"/>
          <w:shd w:val="clear" w:fill="FFFFFF"/>
          <w14:textFill>
            <w14:solidFill>
              <w14:schemeClr w14:val="tx1"/>
            </w14:solidFill>
          </w14:textFill>
        </w:rPr>
      </w:pPr>
      <w:bookmarkStart w:id="3" w:name="_Toc9182"/>
      <w:r>
        <w:rPr>
          <w:rFonts w:hint="eastAsia" w:ascii="黑体" w:hAnsi="黑体" w:eastAsia="黑体" w:cs="黑体"/>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总体要求</w:t>
      </w:r>
      <w:bookmarkEnd w:id="3"/>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640" w:firstLineChars="200"/>
        <w:jc w:val="left"/>
        <w:textAlignment w:val="auto"/>
        <w:outlineLvl w:val="1"/>
        <w:rPr>
          <w:rFonts w:hint="eastAsia" w:ascii="楷体" w:hAnsi="楷体" w:eastAsia="楷体" w:cs="楷体"/>
          <w:color w:val="000000" w:themeColor="text1"/>
          <w:sz w:val="32"/>
          <w:szCs w:val="32"/>
          <w:highlight w:val="none"/>
          <w:lang w:val="en-US" w:eastAsia="zh-CN"/>
          <w14:textFill>
            <w14:solidFill>
              <w14:schemeClr w14:val="tx1"/>
            </w14:solidFill>
          </w14:textFill>
        </w:rPr>
      </w:pPr>
      <w:bookmarkStart w:id="4" w:name="_Toc20729"/>
      <w:r>
        <w:rPr>
          <w:rFonts w:hint="eastAsia" w:ascii="楷体" w:hAnsi="楷体" w:eastAsia="楷体" w:cs="楷体"/>
          <w:color w:val="000000" w:themeColor="text1"/>
          <w:sz w:val="32"/>
          <w:szCs w:val="32"/>
          <w:highlight w:val="none"/>
          <w:lang w:val="en-US" w:eastAsia="zh-CN"/>
          <w14:textFill>
            <w14:solidFill>
              <w14:schemeClr w14:val="tx1"/>
            </w14:solidFill>
          </w14:textFill>
        </w:rPr>
        <w:t>指导思想</w:t>
      </w:r>
      <w:bookmarkEnd w:id="4"/>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坚持以习近平新时代中国特色社会主义思想为指导，全面贯彻党的二十大精神，深入贯彻习近平总书记关于东北、辽宁振兴发展的重要讲话和发展新质生产力重要指示精神，立足新发展阶段，完整准确全面贯彻新发展理念，聚焦重点领域发展，紧抓数字变革时代机遇，加快中介服务业建设和市场主体培育，促进中介服务业向专业化、规模化、集群化、品牌化方向发展，营造公平开放的市场竞争环境,努力打造布局合理、结构优化的现代中介服务体系，为龙城区经济高质量增长和全面振兴、全方位振兴提供支撑。</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640" w:firstLineChars="200"/>
        <w:jc w:val="left"/>
        <w:textAlignment w:val="auto"/>
        <w:outlineLvl w:val="1"/>
        <w:rPr>
          <w:rFonts w:hint="eastAsia" w:ascii="楷体" w:hAnsi="楷体" w:eastAsia="楷体" w:cs="楷体"/>
          <w:color w:val="000000" w:themeColor="text1"/>
          <w:sz w:val="32"/>
          <w:szCs w:val="32"/>
          <w:highlight w:val="none"/>
          <w:lang w:val="en-US" w:eastAsia="zh-CN"/>
          <w14:textFill>
            <w14:solidFill>
              <w14:schemeClr w14:val="tx1"/>
            </w14:solidFill>
          </w14:textFill>
        </w:rPr>
      </w:pPr>
      <w:bookmarkStart w:id="5" w:name="_Toc19881"/>
      <w:r>
        <w:rPr>
          <w:rFonts w:hint="eastAsia" w:ascii="楷体" w:hAnsi="楷体" w:eastAsia="楷体" w:cs="楷体"/>
          <w:color w:val="000000" w:themeColor="text1"/>
          <w:sz w:val="32"/>
          <w:szCs w:val="32"/>
          <w:highlight w:val="none"/>
          <w:lang w:val="en-US" w:eastAsia="zh-CN"/>
          <w14:textFill>
            <w14:solidFill>
              <w14:schemeClr w14:val="tx1"/>
            </w14:solidFill>
          </w14:textFill>
        </w:rPr>
        <w:t>基本原则</w:t>
      </w:r>
      <w:bookmarkEnd w:id="5"/>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市场主导，政府推动。</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充分发挥市场机制配置资源的决定性作用和企业的主体作用，加快政府职能转变，强化政府规划和政策引导，优化营商环境，推进中介服务业市场化、产业化发展。</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科技先导，创新驱动。</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鼓励中介机构积极运用先进的科技手段，开展管理创新、技术创新、产品创新，实现管理现代化，拓展行业发展空间，不断提高服务的技术含量和附加值。</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依法管理，规范发展。</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加快制定完善中介服务业地方法规和标准规范，发挥行业协会自我管理的职能，强化市场监督，提高行业信用，建立与保持良好的市场形象，促进中介服务产业健康发展。</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整体推进，重点突破。</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在中介服务业整体发展的基础上，根据经济发展需要和龙城特色，重点发展科技创新、咨询、检验检测、贸易等中介服务业，引导资源向重点行业和重点区域集聚，实现行业结构优化与空间布局优化。</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640" w:firstLineChars="200"/>
        <w:jc w:val="left"/>
        <w:textAlignment w:val="auto"/>
        <w:outlineLvl w:val="1"/>
        <w:rPr>
          <w:rFonts w:hint="eastAsia" w:ascii="楷体" w:hAnsi="楷体" w:eastAsia="楷体" w:cs="楷体"/>
          <w:color w:val="000000" w:themeColor="text1"/>
          <w:sz w:val="32"/>
          <w:szCs w:val="32"/>
          <w:highlight w:val="none"/>
          <w:lang w:val="en-US" w:eastAsia="zh-CN"/>
          <w14:textFill>
            <w14:solidFill>
              <w14:schemeClr w14:val="tx1"/>
            </w14:solidFill>
          </w14:textFill>
        </w:rPr>
      </w:pPr>
      <w:bookmarkStart w:id="6" w:name="_Toc22724"/>
      <w:r>
        <w:rPr>
          <w:rFonts w:hint="eastAsia" w:ascii="楷体" w:hAnsi="楷体" w:eastAsia="楷体" w:cs="楷体"/>
          <w:color w:val="000000" w:themeColor="text1"/>
          <w:sz w:val="32"/>
          <w:szCs w:val="32"/>
          <w:highlight w:val="none"/>
          <w:lang w:val="en-US" w:eastAsia="zh-CN"/>
          <w14:textFill>
            <w14:solidFill>
              <w14:schemeClr w14:val="tx1"/>
            </w14:solidFill>
          </w14:textFill>
        </w:rPr>
        <w:t>发展目标</w:t>
      </w:r>
      <w:bookmarkEnd w:id="6"/>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到2028年底，基本形成行业门类齐全、专业结构优化、机构集聚发展、综合竞争力强、市场环境规范有序的中介服务业产业体系，支撑经济发展、民生改善、社会进步功能显著增强，成为服务业的支柱行业之一。</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——数量规模不断扩大。全区拥有各类市场中介服务机构达500家以上，围绕信用服务、金融服务等十大发展方向，各培育2-3个知名度高、信誉度好、竞争力强的中介服务品牌机构，力争每年引进</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家左右知名中介机构。</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创新能力大幅提升。中介服务业研发投入和创新成果持续较快增长，新一代信息技术对中介服务业发展的支撑作用明显增强。产业融合持续深化，新服务模式和业态蓬勃发展。中介服务业信息化水平大幅提高，数字服务等模式快速发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——结构优化取得成效。通过政策引导，吸引资源向重点行业集聚，努力形成科技创新、咨询、检验检测、贸易等重点中介行业，不断提高龙城中介服务业的产业辐射力，优化中介服务业行业结构。</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——服务体系规范优化。初步建立起行业自律约束机制健全，诚信体系建设成效明显，管理监督体系完善，法治化程度较高的中介服务业发展市场环境。</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textAlignment w:val="auto"/>
        <w:rPr>
          <w:rFonts w:hint="default" w:ascii="黑体" w:hAnsi="黑体" w:eastAsia="黑体" w:cs="黑体"/>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pPr>
      <w:bookmarkStart w:id="7" w:name="_Toc19554"/>
      <w:r>
        <w:rPr>
          <w:rFonts w:hint="eastAsia" w:ascii="黑体" w:hAnsi="黑体" w:eastAsia="黑体" w:cs="黑体"/>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发展重点</w:t>
      </w:r>
      <w:bookmarkEnd w:id="7"/>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640" w:firstLineChars="200"/>
        <w:jc w:val="left"/>
        <w:textAlignment w:val="auto"/>
        <w:outlineLvl w:val="1"/>
        <w:rPr>
          <w:rFonts w:hint="eastAsia" w:ascii="楷体" w:hAnsi="楷体" w:eastAsia="楷体" w:cs="楷体"/>
          <w:color w:val="000000" w:themeColor="text1"/>
          <w:sz w:val="32"/>
          <w:szCs w:val="32"/>
          <w:highlight w:val="none"/>
          <w:lang w:val="en-US" w:eastAsia="zh-CN"/>
          <w14:textFill>
            <w14:solidFill>
              <w14:schemeClr w14:val="tx1"/>
            </w14:solidFill>
          </w14:textFill>
        </w:rPr>
      </w:pPr>
      <w:bookmarkStart w:id="8" w:name="_Toc10606"/>
      <w:r>
        <w:rPr>
          <w:rFonts w:hint="eastAsia" w:ascii="楷体" w:hAnsi="楷体" w:eastAsia="楷体" w:cs="楷体"/>
          <w:color w:val="000000" w:themeColor="text1"/>
          <w:sz w:val="32"/>
          <w:szCs w:val="32"/>
          <w:highlight w:val="none"/>
          <w:lang w:val="en-US" w:eastAsia="zh-CN"/>
          <w14:textFill>
            <w14:solidFill>
              <w14:schemeClr w14:val="tx1"/>
            </w14:solidFill>
          </w14:textFill>
        </w:rPr>
        <w:t>围绕重点产业集群发展生产性中介服务</w:t>
      </w:r>
      <w:bookmarkEnd w:id="8"/>
    </w:p>
    <w:p>
      <w:pPr>
        <w:keepNext w:val="0"/>
        <w:keepLines w:val="0"/>
        <w:pageBreakBefore w:val="0"/>
        <w:widowControl w:val="0"/>
        <w:numPr>
          <w:ilvl w:val="0"/>
          <w:numId w:val="6"/>
        </w:numPr>
        <w:tabs>
          <w:tab w:val="left" w:pos="1050"/>
        </w:tabs>
        <w:kinsoku/>
        <w:wordWrap/>
        <w:overflowPunct/>
        <w:topLinePunct w:val="0"/>
        <w:autoSpaceDE/>
        <w:autoSpaceDN/>
        <w:bidi w:val="0"/>
        <w:adjustRightInd w:val="0"/>
        <w:snapToGrid w:val="0"/>
        <w:spacing w:line="360" w:lineRule="auto"/>
        <w:ind w:left="0" w:leftChars="0" w:firstLine="640" w:firstLineChars="200"/>
        <w:textAlignment w:val="auto"/>
        <w:outlineLvl w:val="2"/>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bookmarkStart w:id="9" w:name="_Toc18054"/>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现代冶金</w:t>
      </w:r>
      <w:bookmarkEnd w:id="9"/>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围绕鞍钢集团朝阳钢铁有限公司、朝阳市远成科技有限公司、朝阳市汇洋实业有限公司等区内重点现代冶金企业，基于龙城现代冶金产业发展实际，打造面向技术创新、产业数智化转型的中介服务。</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3"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现代冶金技术创新中介服务</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。紧紧围绕工业增品种、提品质、创品牌“三品”战略，加快打造龙城区现代冶金科技创新、工程咨询中介服务平台，提供</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面向节省资源、节能减排、环境友好、产品性能优良的</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钢铁绿色制造</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”技术创新服务，以及</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采用钢铁材料设计、洁净化制造、全流程产品质量保障等前沿技术，开发交通、能源等战略</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性</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新兴产业绿色化发展</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所</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急需的</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绿色钢铁</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”研发设计服务，实现创新资源共享、企业创新能力提升，推动科技成果转化和产业化。</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3"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钢铁产业数智化转型中介服务</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聚焦我区现代冶金产业数字化、智能化程度不足的问题，面向现代冶金行业的可持续性发展，打造数智化转型中介服务机构，鼓励机构利用5G、工业互联网、人工智能、数字孪生、机器换人等技术，在钢铁、装备行业开展数智化应用，实施智能制造升级，并为钢铁企业提供</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智能制造顶层设计、全工序过程数字化仿真、工艺规范设计</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、市场经营评估预测等咨询服务，提升企业数据资源管理和服务能力，通过“数转智转”对工业企业赋能升级，推动传统制造业向数字化、网络化、智能化方向发展。</w:t>
      </w:r>
    </w:p>
    <w:p>
      <w:pPr>
        <w:keepNext w:val="0"/>
        <w:keepLines w:val="0"/>
        <w:pageBreakBefore w:val="0"/>
        <w:widowControl w:val="0"/>
        <w:numPr>
          <w:ilvl w:val="0"/>
          <w:numId w:val="6"/>
        </w:numPr>
        <w:tabs>
          <w:tab w:val="left" w:pos="1050"/>
        </w:tabs>
        <w:kinsoku/>
        <w:wordWrap/>
        <w:overflowPunct/>
        <w:topLinePunct w:val="0"/>
        <w:autoSpaceDE/>
        <w:autoSpaceDN/>
        <w:bidi w:val="0"/>
        <w:adjustRightInd w:val="0"/>
        <w:snapToGrid w:val="0"/>
        <w:spacing w:line="360" w:lineRule="auto"/>
        <w:ind w:left="0" w:leftChars="0" w:firstLine="640" w:firstLineChars="200"/>
        <w:textAlignment w:val="auto"/>
        <w:outlineLvl w:val="2"/>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bookmarkStart w:id="10" w:name="_Toc32438"/>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绿色农产品精深加工</w:t>
      </w:r>
      <w:bookmarkEnd w:id="10"/>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紧盯“食品工业强区”目标，围绕柏慧燕都、希波食品等区内重点企业及产业发展实际，依托国家级农业科技园区，以与首农集团、北大荒集团等知名企业合资合作为契机，发展科技创新咨询</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投资咨询等中介服务。</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3" w:firstLineChars="200"/>
        <w:textAlignment w:val="auto"/>
        <w:rPr>
          <w:rFonts w:hint="eastAsia" w:ascii="仿宋_GB2312" w:hAnsi="仿宋_GB2312" w:eastAsia="仿宋_GB2312" w:cs="仿宋_GB2312"/>
          <w:i w:val="0"/>
          <w:iCs w:val="0"/>
          <w:caps w:val="0"/>
          <w:color w:val="000000" w:themeColor="text1"/>
          <w:spacing w:val="-6"/>
          <w:sz w:val="32"/>
          <w:szCs w:val="32"/>
          <w:highlight w:val="none"/>
          <w:shd w:val="clear"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科技创新咨询中介服务</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6"/>
          <w:sz w:val="32"/>
          <w:szCs w:val="32"/>
          <w:highlight w:val="none"/>
          <w:shd w:val="clear" w:fill="FFFFFF"/>
          <w:lang w:val="en-US" w:eastAsia="zh-CN"/>
          <w14:textFill>
            <w14:solidFill>
              <w14:schemeClr w14:val="tx1"/>
            </w14:solidFill>
          </w14:textFill>
        </w:rPr>
        <w:t>围绕区内重点农产品深加工企业及重点项目建设，发展科技创新咨询中介服务，为企业提供休闲食品开发、食品包装形象设计、保鲜工程技术设计、市场调研分析、营销策略制定、市场推广和品牌建设等服务，在全面提升企业技术创新能力的同时，强化市场营销支撑，做大做强农产品加工产业集群。</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3"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综合性咨询中介服务</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以燕都公社农业数字经济产业园及肉制品、食用菌、中药材、预制菜等农产品深加工项目建设为契机，发展投资咨询、法律咨询、信用服务及会计评估等中介服务，为区内企业提供融资咨询、股份合作、兼并重组、产权转让、投资策略、风险管理等咨询服务及行业龙头、投资财团等对接服务，助力盘活龙城优质资源和资产，变资源“存量”为招商“增量”，支持中介服务机构与大数据机构进行合作，建立行业市场主体信用记录，开展信用风险的分析、监测和预警，为政府部门加强事前决策及事中事后监管提供参考依据。</w:t>
      </w:r>
    </w:p>
    <w:p>
      <w:pPr>
        <w:keepNext w:val="0"/>
        <w:keepLines w:val="0"/>
        <w:pageBreakBefore w:val="0"/>
        <w:widowControl w:val="0"/>
        <w:numPr>
          <w:ilvl w:val="0"/>
          <w:numId w:val="6"/>
        </w:numPr>
        <w:tabs>
          <w:tab w:val="left" w:pos="1050"/>
        </w:tabs>
        <w:kinsoku/>
        <w:wordWrap/>
        <w:overflowPunct/>
        <w:topLinePunct w:val="0"/>
        <w:autoSpaceDE/>
        <w:autoSpaceDN/>
        <w:bidi w:val="0"/>
        <w:adjustRightInd w:val="0"/>
        <w:snapToGrid w:val="0"/>
        <w:spacing w:line="360" w:lineRule="auto"/>
        <w:ind w:left="0" w:leftChars="0" w:firstLine="640" w:firstLineChars="200"/>
        <w:textAlignment w:val="auto"/>
        <w:outlineLvl w:val="2"/>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bookmarkStart w:id="11" w:name="_Toc25389"/>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橡胶轮胎</w:t>
      </w:r>
      <w:bookmarkEnd w:id="11"/>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围绕浪马、新长征等轮胎企业及黑猫、征和化工等配套企业，聚焦现有企业扩能、数字化改造升级和智能制造需求，优先发展数字化转型咨询、综合性咨询等中介服务。</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3" w:firstLineChars="200"/>
        <w:textAlignment w:val="auto"/>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企业数字化转型中介服务。</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面向轮胎产业在生产制造、运行维护等过程数字化、智能化转型的迫切需求，加快推进数字化转型中介服务机构发展，提供数字化工厂规划、设计、实施、运营、维护、升级等全程服务，包括智能装备、自动化生产线、MES系统、WMS系统、ERP系统等软硬件集成，设备健康管理、生产数据分析、故障预警、远程运维等服务，帮助企业实现数字化、网络化、智能化发展，提高生产效率、降低生产成本、提升产品质量。</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3" w:firstLineChars="200"/>
        <w:textAlignment w:val="auto"/>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综合性咨询中介服务。</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围绕龙城轮胎上下游企业扩能需求，发展综合性咨询中介服务机构，为企业提供市场调研与战略规划，对轮胎行业市场进行常态化深度分析，包括市场需求预测、竞争态势分析、政策法规研究等服务；开展生产扩能方案设计，制定科学合理的生产扩能计划，包括生产线布局优化、产能提升方案设计、投资预算评估等；提供资金筹措与金融服务，帮助企业对接金融机构，提供融资方案设计、银行贷款、股权融资等，解决扩能过程中的资金需求问题；开展轮胎产业供应链整合与优化服务，整合上游原材料供应资源，优化供应链管理，确保扩产后原材料供应稳定，降低成本，提高生产效率；质量与安全管理咨询：提供质量管理体系建立与改进、安全生产规范导入、产品质量检测与认证等方面的咨询服务，确保扩产后的产品质量和生产安全；开展后期跟踪与效果评估，扩能项目完成后，持续跟踪企业的生产和运营状况，提供绩效评估和持续改进服务，确保扩能目标的达成。</w:t>
      </w:r>
    </w:p>
    <w:p>
      <w:pPr>
        <w:keepNext w:val="0"/>
        <w:keepLines w:val="0"/>
        <w:pageBreakBefore w:val="0"/>
        <w:widowControl w:val="0"/>
        <w:numPr>
          <w:ilvl w:val="0"/>
          <w:numId w:val="6"/>
        </w:numPr>
        <w:tabs>
          <w:tab w:val="left" w:pos="1050"/>
        </w:tabs>
        <w:kinsoku/>
        <w:wordWrap/>
        <w:overflowPunct/>
        <w:topLinePunct w:val="0"/>
        <w:autoSpaceDE/>
        <w:autoSpaceDN/>
        <w:bidi w:val="0"/>
        <w:adjustRightInd w:val="0"/>
        <w:snapToGrid w:val="0"/>
        <w:spacing w:line="360" w:lineRule="auto"/>
        <w:ind w:left="0" w:leftChars="0" w:firstLine="640" w:firstLineChars="200"/>
        <w:textAlignment w:val="auto"/>
        <w:outlineLvl w:val="2"/>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bookmarkStart w:id="12" w:name="_Toc7266"/>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先进装备制造</w:t>
      </w:r>
      <w:bookmarkEnd w:id="12"/>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default"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围绕龙城鑫硕智能、都城机器人等重点装备制造企业，以企业招引和重点装备制造项目建设为契机，发展数字化智能化咨询、工程建设管理咨询等中介服务，推进区内制造企业规模化、规范化、高端化发展。</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3" w:firstLineChars="200"/>
        <w:textAlignment w:val="auto"/>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数字化智能化咨询中介服务</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面向区内装备制造企业的数字化智能化升级需求，发展数字化智能化咨询中介机构，提供数字化智能化战略规划与顶层设计、技术咨询与解决方案设计、智能制造与精益生产咨询、数据分析与决策支持、信息安全与合规咨询等服务，从而推进企业的智能生产线、车间和工厂建设，逐步壮大智能装备制造产业。</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3" w:firstLineChars="200"/>
        <w:textAlignment w:val="auto"/>
        <w:rPr>
          <w:rFonts w:hint="default"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工程建设管理咨询中介服务</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依托区内现有咨询中介机构，以龙城装备制造领域重点项目建设为契机，发展工程建设管理咨询中介服务机构，为企业提供法规政策咨询、项目前期咨询、工程招投标咨询、项目管理服务、竣工验收与后评价等服务，提升工程项目的整体管理水平和实施效率，确保工程项目的高质量完成，促进装备制造产业健康发展。</w:t>
      </w:r>
    </w:p>
    <w:p>
      <w:pPr>
        <w:keepNext w:val="0"/>
        <w:keepLines w:val="0"/>
        <w:pageBreakBefore w:val="0"/>
        <w:widowControl w:val="0"/>
        <w:numPr>
          <w:ilvl w:val="0"/>
          <w:numId w:val="6"/>
        </w:numPr>
        <w:tabs>
          <w:tab w:val="left" w:pos="1050"/>
        </w:tabs>
        <w:kinsoku/>
        <w:wordWrap/>
        <w:overflowPunct/>
        <w:topLinePunct w:val="0"/>
        <w:autoSpaceDE/>
        <w:autoSpaceDN/>
        <w:bidi w:val="0"/>
        <w:adjustRightInd w:val="0"/>
        <w:snapToGrid w:val="0"/>
        <w:spacing w:line="360" w:lineRule="auto"/>
        <w:ind w:left="0" w:leftChars="0" w:firstLine="640" w:firstLineChars="200"/>
        <w:textAlignment w:val="auto"/>
        <w:outlineLvl w:val="2"/>
        <w:rPr>
          <w:rFonts w:hint="default"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bookmarkStart w:id="13" w:name="_Toc21479"/>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清洁能源</w:t>
      </w:r>
      <w:bookmarkEnd w:id="13"/>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聚焦龙城打造京津冀地区清洁能源直供基地的战略目标，围绕区内龙头新能源企业，以重大项目建设为契机，发展工程全过程咨询、中介服务。</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3" w:firstLineChars="200"/>
        <w:textAlignment w:val="auto"/>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工程全过程咨询中介服务</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。以华源电力 1300 兆瓦抽水蓄能电站、朝阳高端电力智能装备绿色双碳产业园等项目建设为契机，依托区内现有工程咨询机构，发展面向新能源领域的项目投资策划、前期咨询、解决方案技术咨询、工程监理、运维运营等全过程咨询服务机构，为企业提供新能源领域法律法规和政策动态跟踪，投融资策略咨询，项目可行性研究，环评报告、土地预审报告、社会稳定风险评估报告编制，风能、太阳能、生物质能、地热能、氢能等发电系统的方案设计，项目管理，已建项目的性能监测、评估和优化等服务，从而持续推动我区清洁能源产业发展。</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3"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t>技术创新</w:t>
      </w: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中介服务</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发展面向</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清洁能源</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领域技术创新的中介服务机构，</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鼓励中介机构联合建立清洁能源生产设备、生产工艺、系统集成等领域的技术研发平台，加速汇聚科研机构、高校、企业等创新资源，</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提供</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清洁能源生产制造</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技术研发、交流服务</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生产</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设备</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的工艺完善、技术创新、疑难分析、现场服务、成果验证等服务，</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加速技术创新进程，推动产业持续创新发展。</w:t>
      </w:r>
    </w:p>
    <w:p>
      <w:pPr>
        <w:keepNext w:val="0"/>
        <w:keepLines w:val="0"/>
        <w:pageBreakBefore w:val="0"/>
        <w:widowControl w:val="0"/>
        <w:numPr>
          <w:ilvl w:val="0"/>
          <w:numId w:val="6"/>
        </w:numPr>
        <w:tabs>
          <w:tab w:val="left" w:pos="1050"/>
        </w:tabs>
        <w:kinsoku/>
        <w:wordWrap/>
        <w:overflowPunct/>
        <w:topLinePunct w:val="0"/>
        <w:autoSpaceDE/>
        <w:autoSpaceDN/>
        <w:bidi w:val="0"/>
        <w:adjustRightInd w:val="0"/>
        <w:snapToGrid w:val="0"/>
        <w:spacing w:line="360" w:lineRule="auto"/>
        <w:ind w:left="0" w:leftChars="0" w:firstLine="640" w:firstLineChars="200"/>
        <w:textAlignment w:val="auto"/>
        <w:outlineLvl w:val="2"/>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bookmarkStart w:id="14" w:name="_Toc32538"/>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电子信息</w:t>
      </w:r>
      <w:bookmarkEnd w:id="14"/>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围绕龙城建成百亿产值电子信息产业集群的战略目标，以中电科53所、微电子科技、加华电子等头部企业以及宇航电子、博艾格、维思电子、班瑞等为代表，聚焦集成电路、半导体分立器件、超级电容器、电源设备等重点产品，打造面向产品技术创新、研发设计、检验检测等环节的中介服务。</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3" w:firstLineChars="200"/>
        <w:textAlignment w:val="auto"/>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技术创新咨询中介服务</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。发展面向集成电路、半导体分立器件、超级电容器、电源设备等产品的科技创新咨询中介服务，提供</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优势芯片产品、</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新一</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代半导体、先进封装、芯片评价分析</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、电源产品升级</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等方向</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的</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技术</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咨询服务，</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围绕重点</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产品</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领域创新技术路线、核心技术攻关的重要决策计划提供咨询评估意见和建议。</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3"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研发设计中介服务</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重点发展面向集成电路设计、电源设备设计的技术性中介服务机构，提供公共性的基础技术支撑服务，如提供EDA（电子设计自动化）软件平台、集成电路全流程设计、支持布局芯片设计验证过程中所需的MPW（多项目晶圆）等服务。</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3"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检验检测中介服务</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发展集成电路、半导体、电容器、电源等产品的检验检测服务机构，提供产品的快速封装测试、外观检测、电磁兼容测试、温度测试、安全测试、光学测试、功能测试、环保测试等检验检测服务；支持中介机构采用大数据、人工智能等技术手段及自动光学检测设备（AOI设备）、电源自动测试系统等先进检测工具开展检验检测，鼓励为具备条件的企业和产品场景提供在线检测服务。</w:t>
      </w:r>
    </w:p>
    <w:p>
      <w:pPr>
        <w:keepNext w:val="0"/>
        <w:keepLines w:val="0"/>
        <w:pageBreakBefore w:val="0"/>
        <w:widowControl w:val="0"/>
        <w:numPr>
          <w:ilvl w:val="0"/>
          <w:numId w:val="6"/>
        </w:numPr>
        <w:tabs>
          <w:tab w:val="left" w:pos="1050"/>
        </w:tabs>
        <w:kinsoku/>
        <w:wordWrap/>
        <w:overflowPunct/>
        <w:topLinePunct w:val="0"/>
        <w:autoSpaceDE/>
        <w:autoSpaceDN/>
        <w:bidi w:val="0"/>
        <w:adjustRightInd w:val="0"/>
        <w:snapToGrid w:val="0"/>
        <w:spacing w:line="360" w:lineRule="auto"/>
        <w:ind w:left="0" w:leftChars="0" w:firstLine="643" w:firstLineChars="200"/>
        <w:textAlignment w:val="auto"/>
        <w:outlineLvl w:val="2"/>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bookmarkStart w:id="15" w:name="_Toc22189"/>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数字经济</w:t>
      </w:r>
      <w:bookmarkEnd w:id="15"/>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_GB2312" w:hAnsi="仿宋_GB2312" w:eastAsia="仿宋_GB2312" w:cs="仿宋_GB2312"/>
          <w:color w:val="000000" w:themeColor="text1"/>
          <w:sz w:val="32"/>
          <w:szCs w:val="40"/>
          <w:highlight w:val="yellow"/>
          <w:lang w:val="en-US" w:eastAsia="zh-CN"/>
          <w14:textFill>
            <w14:solidFill>
              <w14:schemeClr w14:val="tx1"/>
            </w14:solidFill>
          </w14:textFill>
        </w:rPr>
      </w:pP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充分发挥</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龙城区</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海量</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工业、农业</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数据</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资源</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和丰富应用场景优势，</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依托区内现有咨询服务机构及信息化系统集成机构，发展数据资产入表咨询、数据资源治理与管理、数据资产价值评估咨询等服务。</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3"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数据资产入表咨询中介服务。</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围绕龙城主导产业及重点产业链企业，</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发展企业数据资产入表咨询中介服务机构，提供数据资产盘点与评估、数据资产入表方案设计、数据资产入表实施辅导、数据资产入表审计与合规咨询等服务，协助企业进行全面的数据资产盘点，识别、分类、标记各类数据资源，明确数据资产的所有权、使用权、访问权限等属性。提供数据资产质量评估，包括数据完整性、一致性、规范性、数据安全性、数据关联性、数据时效性等维度，为数据资产入表提供量化依据。根据各企业实际情况，设计数据资产入表的具体方案，包括数据资产的会计确认、计量、记录、报告等环节，确保数据资产入表的合规性和准确性。对企业数据资产入表过程中遇到的问题提供及时的技术支持和解决方案，帮助企业顺利推进数据资产入表工作。帮助企业建立健全数据资产管理机制，提高数据资产的使用效率和价值，降低数据资产的风险，提升企业的数据资产价值和竞争力。</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3" w:firstLineChars="200"/>
        <w:textAlignment w:val="auto"/>
        <w:rPr>
          <w:rFonts w:hint="default"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数据资源治理与管理中介服务。</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围绕具有代表性和影响力的产业数据应用场景，培育一批“专精特新”数据资源服务提供商，提供数据资源治理与管理服务，包括数据资源的采集、清洗、转换、加载、查询、分析、可视化分类、编码、标签、元数据管理、数据质量控制等，协助企业建立健全数据资源治理体系，提高数据资源的可用性、可信性，实现数据资源的全生命周期管理。鼓励中介服务机构建立数据资源交易平台，提供数据资源的挂牌、竞拍、交易、结算等服务，实现企业数据资源的市场化流通。</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3" w:firstLineChars="200"/>
        <w:textAlignment w:val="auto"/>
        <w:rPr>
          <w:rFonts w:hint="default"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t>数据资产价值评估</w:t>
      </w: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中介</w:t>
      </w:r>
      <w:r>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t>服务</w:t>
      </w: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发展面向龙城海量产业数据资产的价值评估中介服务机构，为企业提供数据资产价值评估服务，包括数据资产的估值、定价、交易咨询等，帮助企业了解自身数据资产的实际价值，为数据资产的管理和交易提供依据。提供数据资产价值评估的方法论、模型、工具等技术支持，帮助企业进行数据资产价值评估的实操训练，提高数据资产价值评估的能力。</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default"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numPr>
          <w:ilvl w:val="0"/>
          <w:numId w:val="6"/>
        </w:numPr>
        <w:tabs>
          <w:tab w:val="left" w:pos="1050"/>
        </w:tabs>
        <w:kinsoku/>
        <w:wordWrap/>
        <w:overflowPunct/>
        <w:topLinePunct w:val="0"/>
        <w:autoSpaceDE/>
        <w:autoSpaceDN/>
        <w:bidi w:val="0"/>
        <w:adjustRightInd w:val="0"/>
        <w:snapToGrid w:val="0"/>
        <w:spacing w:line="360" w:lineRule="auto"/>
        <w:ind w:left="0" w:leftChars="0" w:firstLine="640" w:firstLineChars="200"/>
        <w:textAlignment w:val="auto"/>
        <w:outlineLvl w:val="2"/>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bookmarkStart w:id="16" w:name="_Toc6430"/>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精细化工</w:t>
      </w:r>
      <w:bookmarkEnd w:id="16"/>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围绕朝阳市征和化工有限公司、朝阳佛瑞达科技有限公司、朝阳光达化工有限公司、辽宁微科生物工程有限公司、辽宁中台千越生物科技有限公司等区内重点精细化工企业，聚焦产业发展存在的问题及不足，打造面向技术创新、产业规划咨询、贸易等中介服务。</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3"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化工</w:t>
      </w:r>
      <w:r>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t>技术创新</w:t>
      </w: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中介服务</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发展面向化工领域技术创新的中介服务机构，提供化工技术研发咨询、交流服务，化工项目及生产装置的工艺完善、技术创新、疑难分析、技术咨询、现场服务、成果验证等服务，从而加快我区精细化工领域的技术创新和产业创新步伐，做大附加值高、市场潜力大的精细化工产业。</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3"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化工产业规划咨询中介服务</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发展面向化工产业规划、转型咨询的中介服务机构，针对我区化工产业集中度较低、落后产能比重大、产业竞争力不强、产业布局不够合理等问题，提供常态化的产业监测分析服务及产业转型升级、化工园区规划设计服务，从而实现我区化工产业的统筹规划和科学发展，优化产业布局，提供产业整体竞争力。</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3"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化工产品贸易中介服务</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聚焦龙城化工产业市场竞争力不强的问题，在技术创新和数智化转型的基础上，发展贸易相关中介代理服务，为企业提供市场信息、供应商寻源与评估、产品采购代理、物流与仓储、报关报检、市场开拓与分销渠道建设、技术咨询与转让等中介服务，培育高开放度功能型贸易平台，通过专业化、系统化的一站式服务，降低化工产品交易成本，提高交易效率，确保交易过程中的安全合规，助推行业快速发展。</w:t>
      </w:r>
    </w:p>
    <w:p>
      <w:pPr>
        <w:keepNext w:val="0"/>
        <w:keepLines w:val="0"/>
        <w:pageBreakBefore w:val="0"/>
        <w:widowControl w:val="0"/>
        <w:numPr>
          <w:ilvl w:val="0"/>
          <w:numId w:val="6"/>
        </w:numPr>
        <w:tabs>
          <w:tab w:val="left" w:pos="1050"/>
        </w:tabs>
        <w:kinsoku/>
        <w:wordWrap/>
        <w:overflowPunct/>
        <w:topLinePunct w:val="0"/>
        <w:autoSpaceDE/>
        <w:autoSpaceDN/>
        <w:bidi w:val="0"/>
        <w:adjustRightInd w:val="0"/>
        <w:snapToGrid w:val="0"/>
        <w:spacing w:line="360" w:lineRule="auto"/>
        <w:ind w:left="0" w:leftChars="0" w:firstLine="640" w:firstLineChars="200"/>
        <w:textAlignment w:val="auto"/>
        <w:outlineLvl w:val="2"/>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pPr>
      <w:bookmarkStart w:id="17" w:name="_Toc14404"/>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生物医药及先进医疗装备</w:t>
      </w:r>
      <w:bookmarkEnd w:id="17"/>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围绕辽宁恒信生物科技有限公司、辽宁鑫善源药业有限公司、辽宁朝花药业有限公司、朝阳龙城制药有限公司、辽宁人民康泰大药房连锁有限公司等区内重点生物医药制造销售企业，紧抓发展痛点、堵点，引育面向医药产品研发、市场咨询等领域的中介服务机构。</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3"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医药产品研发中介服务</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重点发展面向医药产品研发的中介服务机构，提供药物发现、药物开发、临床前测试、临床试验及新药申请等全过程中介服务，帮助我区医药企业突破一批“卡脖子”关键技术，实现药品、新型医疗器械产品等创新产品在我区获批上市，推动创新成果在我省转化落地。</w:t>
      </w:r>
    </w:p>
    <w:p>
      <w:pPr>
        <w:keepNext w:val="0"/>
        <w:keepLines w:val="0"/>
        <w:pageBreakBefore w:val="0"/>
        <w:widowControl w:val="0"/>
        <w:kinsoku/>
        <w:wordWrap/>
        <w:overflowPunct/>
        <w:topLinePunct w:val="0"/>
        <w:autoSpaceDE/>
        <w:autoSpaceDN/>
        <w:bidi w:val="0"/>
        <w:adjustRightInd w:val="0"/>
        <w:snapToGrid w:val="0"/>
        <w:spacing w:line="360" w:lineRule="auto"/>
        <w:ind w:left="0" w:firstLine="643"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医药市场咨询中介服务</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发展面向医药企业市场经营的咨询服务机构，对我区医药企业进行常态化的生产经营情况监测分析，结合医药市场政策变化，提供行业预见性分析服务，及时帮助企业化解市场风险，助力提高医药企业生产管理水平，全面提升我区医药产业的综合实力和市场竞争力。</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0" w:leftChars="0" w:firstLine="640" w:firstLineChars="200"/>
        <w:jc w:val="left"/>
        <w:textAlignment w:val="auto"/>
        <w:outlineLvl w:val="1"/>
        <w:rPr>
          <w:rFonts w:hint="eastAsia" w:ascii="楷体" w:hAnsi="楷体" w:eastAsia="楷体" w:cs="楷体"/>
          <w:color w:val="000000" w:themeColor="text1"/>
          <w:sz w:val="32"/>
          <w:szCs w:val="32"/>
          <w:highlight w:val="none"/>
          <w:lang w:val="en-US" w:eastAsia="zh-CN"/>
          <w14:textFill>
            <w14:solidFill>
              <w14:schemeClr w14:val="tx1"/>
            </w14:solidFill>
          </w14:textFill>
        </w:rPr>
      </w:pPr>
      <w:bookmarkStart w:id="18" w:name="_Toc8598"/>
      <w:r>
        <w:rPr>
          <w:rFonts w:hint="eastAsia" w:ascii="楷体" w:hAnsi="楷体" w:eastAsia="楷体" w:cs="楷体"/>
          <w:color w:val="000000" w:themeColor="text1"/>
          <w:sz w:val="32"/>
          <w:szCs w:val="32"/>
          <w:highlight w:val="none"/>
          <w:lang w:val="en-US" w:eastAsia="zh-CN"/>
          <w14:textFill>
            <w14:solidFill>
              <w14:schemeClr w14:val="tx1"/>
            </w14:solidFill>
          </w14:textFill>
        </w:rPr>
        <w:t>围绕民生福祉发展生活性中介服务</w:t>
      </w:r>
      <w:bookmarkEnd w:id="18"/>
    </w:p>
    <w:p>
      <w:pPr>
        <w:keepNext w:val="0"/>
        <w:keepLines w:val="0"/>
        <w:pageBreakBefore w:val="0"/>
        <w:widowControl w:val="0"/>
        <w:numPr>
          <w:ilvl w:val="0"/>
          <w:numId w:val="7"/>
        </w:numPr>
        <w:tabs>
          <w:tab w:val="left" w:pos="1050"/>
        </w:tabs>
        <w:kinsoku/>
        <w:wordWrap/>
        <w:overflowPunct/>
        <w:topLinePunct w:val="0"/>
        <w:autoSpaceDE/>
        <w:autoSpaceDN/>
        <w:bidi w:val="0"/>
        <w:adjustRightInd w:val="0"/>
        <w:snapToGrid w:val="0"/>
        <w:spacing w:line="360" w:lineRule="auto"/>
        <w:ind w:left="0" w:leftChars="0" w:firstLine="643" w:firstLineChars="200"/>
        <w:textAlignment w:val="auto"/>
        <w:outlineLvl w:val="2"/>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bookmarkStart w:id="19" w:name="_Toc25278"/>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养老</w:t>
      </w:r>
      <w:bookmarkEnd w:id="19"/>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依托我区现有家政服务、咨询等中介机构，发展面向居民养老的中介服务，为老年人及其家庭提供养老咨询、养老服务推介、合同代理与手续办理，后期跟踪与反馈、公益服务与社区活动策划等服务，包括养老机构信息咨询，养老、医疗保险、福利待遇政策解读，个性化定制养老需求评估，养老机构筛选与推荐，居家养老服务对接，长者照护计划制定，纠纷调解，老年人特色教育与培训等服务，实现养老服务类和实体类的产品安全可控交易，推动养老服务高质量发展。</w:t>
      </w:r>
    </w:p>
    <w:p>
      <w:pPr>
        <w:keepNext w:val="0"/>
        <w:keepLines w:val="0"/>
        <w:pageBreakBefore w:val="0"/>
        <w:widowControl w:val="0"/>
        <w:numPr>
          <w:ilvl w:val="0"/>
          <w:numId w:val="7"/>
        </w:numPr>
        <w:tabs>
          <w:tab w:val="left" w:pos="1050"/>
        </w:tabs>
        <w:kinsoku/>
        <w:wordWrap/>
        <w:overflowPunct/>
        <w:topLinePunct w:val="0"/>
        <w:autoSpaceDE/>
        <w:autoSpaceDN/>
        <w:bidi w:val="0"/>
        <w:adjustRightInd w:val="0"/>
        <w:snapToGrid w:val="0"/>
        <w:spacing w:line="360" w:lineRule="auto"/>
        <w:ind w:left="0" w:leftChars="0" w:firstLine="643" w:firstLineChars="200"/>
        <w:textAlignment w:val="auto"/>
        <w:outlineLvl w:val="2"/>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bookmarkStart w:id="20" w:name="_Toc29594"/>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教育</w:t>
      </w:r>
      <w:bookmarkEnd w:id="20"/>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鼓励我区现有大中型教育相关中介机构进行服务升级与业务拓展，通过进一步整合教育资源，包括学校、培训机构、在线教育平台等，规模化发展面向职业教育、求职、留学、培训等教育领域的中介服务，包括托福培训、雅思培训、SAT/GRE/GMAT培训及出国留学咨询服务；求职中介服务,包括职位推荐、简历制作等；开展人才推荐及招聘，为企业提供人才培训服务，包括新员工培训、技能提升等；提供职业信息服务，包括职业规划、就业指导等；为学校、学生和家长提供教育咨询服务，包括课程设置、教学方式、教育资源等，从而衔接教育与就业市场，实现教育资源的优化配置，推动教育市场健康发展，促进服务创新与产业升级。</w:t>
      </w:r>
    </w:p>
    <w:p>
      <w:pPr>
        <w:keepNext w:val="0"/>
        <w:keepLines w:val="0"/>
        <w:pageBreakBefore w:val="0"/>
        <w:widowControl w:val="0"/>
        <w:numPr>
          <w:ilvl w:val="0"/>
          <w:numId w:val="7"/>
        </w:numPr>
        <w:tabs>
          <w:tab w:val="left" w:pos="1050"/>
        </w:tabs>
        <w:kinsoku/>
        <w:wordWrap/>
        <w:overflowPunct/>
        <w:topLinePunct w:val="0"/>
        <w:autoSpaceDE/>
        <w:autoSpaceDN/>
        <w:bidi w:val="0"/>
        <w:adjustRightInd w:val="0"/>
        <w:snapToGrid w:val="0"/>
        <w:spacing w:line="360" w:lineRule="auto"/>
        <w:ind w:left="0" w:leftChars="0" w:firstLine="643" w:firstLineChars="200"/>
        <w:textAlignment w:val="auto"/>
        <w:outlineLvl w:val="2"/>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bookmarkStart w:id="21" w:name="_Toc8447"/>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医疗</w:t>
      </w:r>
      <w:bookmarkEnd w:id="21"/>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培育龙城居民医疗中介服务机构，提供医疗咨询、就医服务安排、医疗辅助、术后跟踪与康复、健康讲座与教育、法律援助等中介服务，具体包括为居民提供全国范围内的医疗机构、科室、专家信息，如各医院的优势专科、医疗技术、设备水平等咨询；治疗方案咨询，结合患者具体情况，比较不同医疗机构或医生的诊疗方案，协助患者决策；就医预约服务，负责联系医院和医生，完成预约挂号、住院安排等事宜；签证和旅行安排，对于出国就医的患者，协助办理签证、机票预订、酒店住宿、接送服务等；提供病历资料整理、费用结算、医患沟通协调等医疗辅助服务；提供康复期间的注意事项、家庭护理建议等服务；为患者提供疾病预防咨询、健康管理咨询服务；对于涉及到医疗事故或法律纠纷的情况，提供必要的法律咨询服务等。通过医疗中介，提高居民就医效率和体验，在一定程度上解决医疗信息不对称的问题，保障患者享受优质医疗服务。</w:t>
      </w:r>
    </w:p>
    <w:p>
      <w:pPr>
        <w:keepNext w:val="0"/>
        <w:keepLines w:val="0"/>
        <w:pageBreakBefore w:val="0"/>
        <w:widowControl w:val="0"/>
        <w:numPr>
          <w:ilvl w:val="0"/>
          <w:numId w:val="7"/>
        </w:numPr>
        <w:tabs>
          <w:tab w:val="left" w:pos="1050"/>
        </w:tabs>
        <w:kinsoku/>
        <w:wordWrap/>
        <w:overflowPunct/>
        <w:topLinePunct w:val="0"/>
        <w:autoSpaceDE/>
        <w:autoSpaceDN/>
        <w:bidi w:val="0"/>
        <w:adjustRightInd w:val="0"/>
        <w:snapToGrid w:val="0"/>
        <w:spacing w:line="360" w:lineRule="auto"/>
        <w:ind w:left="0" w:leftChars="0" w:firstLine="643" w:firstLineChars="200"/>
        <w:textAlignment w:val="auto"/>
        <w:outlineLvl w:val="2"/>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bookmarkStart w:id="22" w:name="_Toc8725"/>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健康</w:t>
      </w:r>
      <w:bookmarkEnd w:id="22"/>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发展面向健康领域的中介服务，帮助居民获得更为便捷、专业、贴心的健康服务。包括健康管理服务，为个人或团体建立健康档案，记录健康信息，进行定期跟踪和评估；提供饮食营养、运动健身、心理调适等健康生活方式的指导与咨询服务；推广健康科普知识，组织定期体检和专项疾病筛查服务。医疗保险与福利咨询服务，帮助客户选购适合的商业健康保险产品，解答保险条款疑问，协助理赔服务；提供社会保障、医疗保险政策的解读和申请指导。医疗评估与转介服务，为患者提供疾病严重程度评估、治疗方案选择建议，并协助对接上级医疗机构或专科专家进行转诊。</w:t>
      </w:r>
    </w:p>
    <w:p>
      <w:pPr>
        <w:keepNext w:val="0"/>
        <w:keepLines w:val="0"/>
        <w:pageBreakBefore w:val="0"/>
        <w:widowControl w:val="0"/>
        <w:numPr>
          <w:ilvl w:val="0"/>
          <w:numId w:val="7"/>
        </w:numPr>
        <w:tabs>
          <w:tab w:val="left" w:pos="1050"/>
        </w:tabs>
        <w:kinsoku/>
        <w:wordWrap/>
        <w:overflowPunct/>
        <w:topLinePunct w:val="0"/>
        <w:autoSpaceDE/>
        <w:autoSpaceDN/>
        <w:bidi w:val="0"/>
        <w:adjustRightInd w:val="0"/>
        <w:snapToGrid w:val="0"/>
        <w:spacing w:line="360" w:lineRule="auto"/>
        <w:ind w:left="0" w:leftChars="0" w:firstLine="643" w:firstLineChars="200"/>
        <w:textAlignment w:val="auto"/>
        <w:outlineLvl w:val="2"/>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bookmarkStart w:id="23" w:name="_Toc18289"/>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文化体育</w:t>
      </w:r>
      <w:bookmarkEnd w:id="23"/>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依托我区成功举办朝阳市首届化石文化旅游节暨龙城区第二届“古韵龙城 化石之都”文化艺术节、承办全国群英大众跆拳道邀请赛和全国滑雪定向挑战赛的成功经验，深挖文娱、体育赛事等消费增长点，发展文化体育中介服务，连接文化体育产品和服务供应与需求，为组织或个人提供专业文体中介服务，具体包括文化演艺活动中介服务，组织策划各类文化艺术活动、演出票务代理、舞台布置、灯光音响技术支持等配套服务；体育赛事活动中介服务，组织和承办各类体育竞赛、运动赛事、健身活动等；赛事招商赞助服务，场地预定、赛事运营、裁判员和教练员调度、志愿者招募等赛事后勤保障服务；文化衍生品开发和销售中介，包括艺术品投资、拍卖、版权交易、广告宣传、品牌策划与传播等文化体育品牌的市场营销中介服务。通过打造文体中介产业，促进文化体育市场的活跃和资源的优化配置，推动龙城文化产业和体育产业的繁荣与发展。</w:t>
      </w:r>
    </w:p>
    <w:p>
      <w:pPr>
        <w:keepNext w:val="0"/>
        <w:keepLines w:val="0"/>
        <w:pageBreakBefore w:val="0"/>
        <w:widowControl w:val="0"/>
        <w:numPr>
          <w:ilvl w:val="0"/>
          <w:numId w:val="7"/>
        </w:numPr>
        <w:tabs>
          <w:tab w:val="left" w:pos="1050"/>
        </w:tabs>
        <w:kinsoku/>
        <w:wordWrap/>
        <w:overflowPunct/>
        <w:topLinePunct w:val="0"/>
        <w:autoSpaceDE/>
        <w:autoSpaceDN/>
        <w:bidi w:val="0"/>
        <w:adjustRightInd w:val="0"/>
        <w:snapToGrid w:val="0"/>
        <w:spacing w:line="360" w:lineRule="auto"/>
        <w:ind w:left="0" w:leftChars="0" w:firstLine="643" w:firstLineChars="200"/>
        <w:textAlignment w:val="auto"/>
        <w:outlineLvl w:val="2"/>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bookmarkStart w:id="24" w:name="_Toc20535"/>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旅游</w:t>
      </w:r>
      <w:bookmarkEnd w:id="24"/>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以朝阳鸟化石国家地质公园成功纳入全国全省精品旅游路线，获评省级夜间文化和旅游消费集聚区为契机，大力发展旅游中介服务，提供旅游产品设计、预订与票务服务、旅游信息咨询、旅行保障与保险、接待与导览、单项委托等服务。具体包括根据市场需求和客户个性化需求设计旅游线路、套餐和主题旅游产品，将交通、住宿、餐饮、景区门票、导游服务、保险等各种旅游元素组合成完善的旅游产品，提供酒店预订、交通票务、景区门票，目的地信息、旅游攻略、签证办理流程、天气预报等旅游相关信息咨询，量身定制的旅游行程规划，办理旅游意外险、紧急救援保险，在线实时行程查询等服务，推动龙城化石文化旅游、朝阳水泵厂历史文化街区旅游发展，打造京津冀和东北地区首选旅游目的地。</w:t>
      </w:r>
    </w:p>
    <w:p>
      <w:pPr>
        <w:keepNext w:val="0"/>
        <w:keepLines w:val="0"/>
        <w:pageBreakBefore w:val="0"/>
        <w:widowControl w:val="0"/>
        <w:numPr>
          <w:ilvl w:val="0"/>
          <w:numId w:val="7"/>
        </w:numPr>
        <w:tabs>
          <w:tab w:val="left" w:pos="1050"/>
        </w:tabs>
        <w:kinsoku/>
        <w:wordWrap/>
        <w:overflowPunct/>
        <w:topLinePunct w:val="0"/>
        <w:autoSpaceDE/>
        <w:autoSpaceDN/>
        <w:bidi w:val="0"/>
        <w:adjustRightInd w:val="0"/>
        <w:snapToGrid w:val="0"/>
        <w:spacing w:line="360" w:lineRule="auto"/>
        <w:ind w:left="0" w:leftChars="0" w:firstLine="643" w:firstLineChars="200"/>
        <w:textAlignment w:val="auto"/>
        <w:outlineLvl w:val="2"/>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bookmarkStart w:id="25" w:name="_Toc13128"/>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家政</w:t>
      </w:r>
      <w:bookmarkEnd w:id="25"/>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结合龙城现有家政中介企业发展优势，发展面向家政领域的中介服务，满足家庭和个人在日常生活、家务劳动、育儿养老等方面的需求。包括家政人员派遣服务，提供经过专业培训、背景调查和技能考核的家政服务员，如住家保姆、钟点工、月嫂、育婴师、养老护理员等；家政人员培训服务，提供家政人员的职业技能认证和进修培训，提高家政人员的专业水平和服务质量；家政服务定制服务，提供个性化的家政服务方案，包括家庭清洁、烹饪、洗衣熨烫、儿童看护、老人陪护、宠物照管等；家政服务质量监督与管理，提供对派出的家政人员进行日常管理、服务质量跟踪评估，并负责处理客户反馈和投诉，确保家政服务质量稳定和客户满意度；家政保险与法律咨询服务，提供家政服务人员的意外伤害保险、家庭财产保险等服务，并针对家政服务过程中可能出现的法律问题，提供相应的法律咨询服务；家政服务标准制定与推广，提供参与和推动家政服务行业的标准化建设，制定和完善家政服务流程、服务标准、合同模板等，引导家政服务业健康、有序发展。</w:t>
      </w:r>
    </w:p>
    <w:p>
      <w:pPr>
        <w:keepNext w:val="0"/>
        <w:keepLines w:val="0"/>
        <w:pageBreakBefore w:val="0"/>
        <w:widowControl w:val="0"/>
        <w:numPr>
          <w:ilvl w:val="0"/>
          <w:numId w:val="7"/>
        </w:numPr>
        <w:tabs>
          <w:tab w:val="left" w:pos="1050"/>
        </w:tabs>
        <w:kinsoku/>
        <w:wordWrap/>
        <w:overflowPunct/>
        <w:topLinePunct w:val="0"/>
        <w:autoSpaceDE/>
        <w:autoSpaceDN/>
        <w:bidi w:val="0"/>
        <w:adjustRightInd w:val="0"/>
        <w:snapToGrid w:val="0"/>
        <w:spacing w:line="360" w:lineRule="auto"/>
        <w:ind w:left="0" w:leftChars="0" w:firstLine="643" w:firstLineChars="200"/>
        <w:textAlignment w:val="auto"/>
        <w:outlineLvl w:val="2"/>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bookmarkStart w:id="26" w:name="_Toc6681"/>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就业创业</w:t>
      </w:r>
      <w:bookmarkEnd w:id="26"/>
    </w:p>
    <w:p>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依托我区现有人力资源中介机构，重点面向龙城、朝阳市乃至其他地市的求职者和创业者，发展就业创新中介服务和人力资源中介服务，提供职业指导与咨询、招聘信息匹配、培训与教育、就业安置、创业指导与支持、劳动法律咨询与援助、人力资源外包等服务，具体包括为求职者提供职业兴趣测评、职业技能评估、职业市场分析、职业定位和就业建议；收集、筛选和发布企业的招聘信息，根据求职者的简历和求职意向进行职位匹配，为企业和求职者牵线搭桥，安排面试、招聘会等活动；提供各类职业技能培训、岗前培训、创业培训等，举办各类讲座、研讨会，传授职场生存技能、面试技巧、创业知识等；协助求职者完成入职手续，对特殊群体（如高校毕业生、失业人员、残疾人、退役军人等）提供专项就业援助服务；提供创业项目评估、商业模式设计、市场调研、创业计划书编写等服务，协助创业者申请各类创业扶持政策，提供创业园区入驻、创业导师辅导、创业沙龙活动等创业环境支持；为求职者和创业者提供劳动法律法规咨询；针对企业提供招聘外包、劳务派遣、人力资源解决方案等服务，帮助企业优化人力资源配置等服务，从而促进人力资源市场的供需对接，提高就业率，推动创新创业活动的开展，实现经济社会的稳定和健康发展。</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textAlignment w:val="auto"/>
        <w:rPr>
          <w:rFonts w:hint="default" w:ascii="黑体" w:hAnsi="黑体" w:eastAsia="黑体" w:cs="黑体"/>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pPr>
      <w:bookmarkStart w:id="27" w:name="_Toc23819"/>
      <w:r>
        <w:rPr>
          <w:rFonts w:hint="eastAsia" w:ascii="黑体" w:hAnsi="黑体" w:eastAsia="黑体" w:cs="黑体"/>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主要任务</w:t>
      </w:r>
      <w:bookmarkEnd w:id="27"/>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leftChars="0" w:firstLine="640" w:firstLineChars="200"/>
        <w:jc w:val="left"/>
        <w:textAlignment w:val="auto"/>
        <w:outlineLvl w:val="1"/>
        <w:rPr>
          <w:rFonts w:hint="eastAsia" w:ascii="楷体" w:hAnsi="楷体" w:eastAsia="楷体" w:cs="楷体"/>
          <w:color w:val="000000" w:themeColor="text1"/>
          <w:sz w:val="32"/>
          <w:szCs w:val="32"/>
          <w:highlight w:val="none"/>
          <w:lang w:val="en-US" w:eastAsia="zh-CN"/>
          <w14:textFill>
            <w14:solidFill>
              <w14:schemeClr w14:val="tx1"/>
            </w14:solidFill>
          </w14:textFill>
        </w:rPr>
      </w:pPr>
      <w:bookmarkStart w:id="28" w:name="_Toc30640"/>
      <w:r>
        <w:rPr>
          <w:rFonts w:hint="eastAsia" w:ascii="楷体" w:hAnsi="楷体" w:eastAsia="楷体" w:cs="楷体"/>
          <w:color w:val="000000" w:themeColor="text1"/>
          <w:sz w:val="32"/>
          <w:szCs w:val="32"/>
          <w:highlight w:val="none"/>
          <w:lang w:val="en-US" w:eastAsia="zh-CN"/>
          <w14:textFill>
            <w14:solidFill>
              <w14:schemeClr w14:val="tx1"/>
            </w14:solidFill>
          </w14:textFill>
        </w:rPr>
        <w:t>放宽行业准入</w:t>
      </w:r>
      <w:bookmarkEnd w:id="28"/>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推进脱钩改制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加大对维护市场经济运行秩序、促进经济发展、项目审批和改善投资环境密切相关以及服务对象反映强烈的中介机构清理整顿和脱钩（分离）改制工作力度，推动承担中介服务的事业单位转企改制，通过将中介服务业务剥离，或者退出有关中介服务业务等形式，加速人员、财务、业务与挂靠单位或主管部门彻底脱钩。</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优化市场准入</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按照“非禁即入”的市场准入原则，建立公开、平等、规范的中介服务业准入制度，鼓励和支持所有具备资质的中介服务机构进入我区开展业务，搭建中介服务机构数据库。支持企业自主选择中介服务机构，同等对待各类中介服务机构提供的服务，政府部门不得强制指定或变相指定。</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规范行政审批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推动中介服务行政审批改革，取消市场机制能够有效调节、行业协会商会能有效实现行业自律管理事项的行政审批，不得在法律、法规之外设定或以备案等方式变相设定前置行政许可。建立完善中介服务事项目录清单，取消无法律、法规、国务院决定、规章等作为依据的中介服务事项。推动政务服务中心设定“综合窗口”，实现“一窗式”中介服务综合受理。新办中介服务机构登记注册时，在机构设立、经营范围、营业场所等方面按照有关规定适当放宽条件。不涉及公共安全、环境保护、人身健康、生命财产安全的行业或项目，试行告知承诺制或登记备案制，由注重事前审批转变为加强事后监管。</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加强交流协作</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加强中介服务行业的对外交流与协作，积极吸引</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资质等级、执业水平、资信度高且区域内紧缺的</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中介服务品牌进入我</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区，</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鼓励本地中介机构与</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省内外知名咨询机构、会计师事务所、广告经营企业、人力资源服务机构等中介机构</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进行多种形式的合作</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，支持本地中介行业“走出去”，鼓励信息咨询、法律服务、人力资源等企业积极为对外承揽中介服务的机构和人才提供服务。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楷体" w:hAnsi="楷体" w:eastAsia="楷体" w:cs="楷体"/>
                <w:b/>
                <w:bCs/>
                <w:color w:val="000000" w:themeColor="text1"/>
                <w:spacing w:val="-14"/>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pacing w:val="-14"/>
                <w:sz w:val="32"/>
                <w:szCs w:val="32"/>
                <w:highlight w:val="none"/>
                <w:lang w:val="en-US" w:eastAsia="zh-CN"/>
                <w14:textFill>
                  <w14:solidFill>
                    <w14:schemeClr w14:val="tx1"/>
                  </w14:solidFill>
                </w14:textFill>
              </w:rPr>
              <w:t>放宽行业准入专项行动</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1.建立中介机构数据库</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对全区中介机构进行摸底核查，按照“预选入库、专业分类、竞争择优、动态管理”的原则，组建全区中介机构数据库，在龙城区内独立执业和纳税、外地机构在区内设立分支机构执业、在区内备案后执业的外地中介机构都可以申请加入机构库。制定中介机构评估、分类办法和管理制度，对中介机构运行实施监督。</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2.建立中介服务窗口</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。在区政务服务中心建立中介服务窗口，落实行政中介服务首问负责制和一次性告知制，窗口人员应准确告知申请人行政审批所需中介服务事项和要求，引导申请人在政务服务大厅查询、选取中介机构。</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default" w:ascii="楷体" w:hAnsi="楷体" w:eastAsia="楷体" w:cs="楷体"/>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3.建立中介服务事项目录清单</w:t>
            </w: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组织有关部门进一步梳理区本级各部门及下属单位（含下属、挂靠事业单位、企业、社会团体）各类中介服务事项清单，坚决取消无法律、法规、国务院决定、规章等作为依据的中介服务事项。建立《龙城区行政许可中介服务事项目录清单》（以下简称《目录清单》），明确中介服务事项的名称、设立依据、中介服务机构资质要求等要素，对合法合规的中介服务事项及时补充更新到《目录清单》，分行业、分批次适时在媒体、政务服务门户网站向社会公布。</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pP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leftChars="0" w:firstLine="640" w:firstLineChars="200"/>
        <w:jc w:val="left"/>
        <w:textAlignment w:val="auto"/>
        <w:outlineLvl w:val="1"/>
        <w:rPr>
          <w:rFonts w:hint="default" w:ascii="楷体" w:hAnsi="楷体" w:eastAsia="楷体" w:cs="楷体"/>
          <w:color w:val="000000" w:themeColor="text1"/>
          <w:sz w:val="32"/>
          <w:szCs w:val="32"/>
          <w:highlight w:val="none"/>
          <w:lang w:val="en-US" w:eastAsia="zh-CN"/>
          <w14:textFill>
            <w14:solidFill>
              <w14:schemeClr w14:val="tx1"/>
            </w14:solidFill>
          </w14:textFill>
        </w:rPr>
      </w:pPr>
      <w:bookmarkStart w:id="29" w:name="_Toc24638"/>
      <w:r>
        <w:rPr>
          <w:rFonts w:hint="eastAsia" w:ascii="楷体" w:hAnsi="楷体" w:eastAsia="楷体" w:cs="楷体"/>
          <w:color w:val="000000" w:themeColor="text1"/>
          <w:sz w:val="32"/>
          <w:szCs w:val="32"/>
          <w:highlight w:val="none"/>
          <w:lang w:val="en-US" w:eastAsia="zh-CN"/>
          <w14:textFill>
            <w14:solidFill>
              <w14:schemeClr w14:val="tx1"/>
            </w14:solidFill>
          </w14:textFill>
        </w:rPr>
        <w:t>注重市场培育</w:t>
      </w:r>
      <w:bookmarkEnd w:id="29"/>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加强主体培育</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对市场前景好、公司业绩佳、行业品牌排名较靠前等成长性好的中介服务业进行重点扶持，逐步打造行业品牌，培育中介服务业发展的重点行业和龙头行业。鼓励规模较大、业绩突出、具有一定知名度的审计评估、金融服务、产权交易和咨询服务等中介组织，按照平等互利、公平自愿原则，通过兼并、联合、重组等方式，向综合性、集团化、跨区域方向发展。推动企业、高等院校、科研院所联合设立中介服务机构，鼓励民营中介服务机构组成联合体参与大型项目、重大课题招标。加大对中介服务机构注册商标、品牌的保护力度，严厉打击假冒等各类侵权行为。</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鼓励转型升级</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支持各类中介服务机构打破传统的服务模式和运营方式，积极运用互联网、大数据、人工智能、云计算等先进技术手段，打造智能化、定制化、高效率的业务流程、组织结构和管理模式，实现自身的产业升级和数字化转型。鼓励本地人力资源、检验检测、鉴定鉴证、信息咨询、家政服务等产业基础较好的中介服务机构主动对接市场需求，突破地域限制，扩大业务服务领域，增加服务类型，积极面向新质生产力开展高层次业务。</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提供用地支持</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鼓励凡符合土地利用总体规划、城乡建设规划和供地政策的中介服务业项目，优先安排土地利用年度计划，确保项目落地。对列入国家、省、市鼓励类的中介服务业在供地安排上给予倾斜。鼓励有条件的银行、保险机构腾出空置办公场所供新进驻我区的会计师事务所、审计师事务所等中介机构使用。</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加速人才培养</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通过多种途径和方式，培养、引进和造就一批专业技术人才、高层次管理人才、科技型创业人才和高技能人才，积极推进技术入股、管理人员持股、高技能人才岗位津贴新型分配方式，建立完善的人才培养、引进、激励和流动机制，努力形成人才加速集聚，有序流动的局面</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。引导有条件的职业院校和职业教育机构面向中介服务业发展需求，有针对性的开设中介服务业相关专业或课程。对符合现行就业扶持政策有关职业培训补贴规定的，给予职业培训补贴。</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t>拓宽投融资渠道</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鼓励各类金融机构创新金融产品和服务方式，支持投资者以股权、商标专用权、专利权等作价出资设立中介公司</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支持中介机构通过股权质押、动产抵押、商标权质押等方式融资。鼓励银行等金融机构调整信贷期限，扩大信贷规模，优化审批流程，为中介服务机构提供融资便利。鼓励小额贷款公司和担保机构为中介服务机构提供支持，引导各类资本投资中介服务业重点领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楷体" w:hAnsi="楷体" w:eastAsia="楷体" w:cs="楷体"/>
                <w:b/>
                <w:bCs/>
                <w:color w:val="000000" w:themeColor="text1"/>
                <w:spacing w:val="-14"/>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pacing w:val="-14"/>
                <w:sz w:val="32"/>
                <w:szCs w:val="32"/>
                <w:highlight w:val="none"/>
                <w:lang w:val="en-US" w:eastAsia="zh-CN"/>
                <w14:textFill>
                  <w14:solidFill>
                    <w14:schemeClr w14:val="tx1"/>
                  </w14:solidFill>
                </w14:textFill>
              </w:rPr>
              <w:t>注重市场培育重点任务</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1.</w:t>
            </w: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开展“大优强”企业培育</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。实施骨干企业培育工程，扶植壮大龙头企业、头部企业，鼓励龙头企业通过项目合作等方式，实行强强联合，带动产业链的集成、创新、升级。</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2.加强品牌质量管理。</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建立中介机构先进质量管理方法，推动相关部门、企业建立健全质量管理体系。开展质量对标提升活动，科学应用比对结果，督促企业牢固树立以质量为核心的经营理念，推行全面质量管理，落实措施、改进提高，形成倒逼机制，加快推动企业产品质量和品质的全面提升，为企业品牌发展奠定坚实基础。</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3.大力引进高层次中介人才</w:t>
            </w: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根据中介服务业知识密集技术密集的特点，结合我区中介服务业发展现状，鼓励中介服务组织从省内外引进中介服务业发展急需的高级职业人才，特别是具有先进省份中介服务经验和境外留学背景的中介人才。对符合规定的高层次人才，按照有关政策规定给予个人奖励，提供资金、住房、子女教育等方面便利，消除高端人才进入龙城中介服务业的后顾之忧。</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leftChars="0" w:firstLine="640" w:firstLineChars="200"/>
        <w:jc w:val="left"/>
        <w:textAlignment w:val="auto"/>
        <w:outlineLvl w:val="1"/>
        <w:rPr>
          <w:rFonts w:hint="eastAsia" w:ascii="楷体" w:hAnsi="楷体" w:eastAsia="楷体" w:cs="楷体"/>
          <w:color w:val="000000" w:themeColor="text1"/>
          <w:sz w:val="32"/>
          <w:szCs w:val="32"/>
          <w:highlight w:val="none"/>
          <w:lang w:val="en-US" w:eastAsia="zh-CN"/>
          <w14:textFill>
            <w14:solidFill>
              <w14:schemeClr w14:val="tx1"/>
            </w14:solidFill>
          </w14:textFill>
        </w:rPr>
      </w:pPr>
      <w:bookmarkStart w:id="30" w:name="_Toc5202"/>
      <w:r>
        <w:rPr>
          <w:rFonts w:hint="eastAsia" w:ascii="楷体" w:hAnsi="楷体" w:eastAsia="楷体" w:cs="楷体"/>
          <w:color w:val="000000" w:themeColor="text1"/>
          <w:sz w:val="32"/>
          <w:szCs w:val="32"/>
          <w:highlight w:val="none"/>
          <w:lang w:val="en-US" w:eastAsia="zh-CN"/>
          <w14:textFill>
            <w14:solidFill>
              <w14:schemeClr w14:val="tx1"/>
            </w14:solidFill>
          </w14:textFill>
        </w:rPr>
        <w:t>支持产业集聚</w:t>
      </w:r>
      <w:bookmarkEnd w:id="30"/>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t>加大中介服务业招商力度</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围绕龙城本地中介服务业产业优势和发展需求，</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聚焦重点领域与关键环节,建立产业链短板目录,统筹推进固根基、扬优势、补短板、强弱项各项工作，切实提升产业链供应链的稳定性和竞争力。围绕头部企业制作上下游产业链招商图谱，按图索骥，对接产业链优质企业，通过骨干带动、头部牵动，加快延链、补链、建链、强链，通过点对点招商、面对面招商、专业招商和以商招商，重点引进一批资质等级、执业水平、资信度高的中介服务品牌机构</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，实现引进一些企业带来一片产业。</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建设中介服务公共信息平台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整合全区各相关部门、行业协会、商会和中介服务企业信息资源，加快建设集网上展示、电子商务、信用信息发布、公共信息资源共享、供求信息搜索等功能于一体的中介服务公共信息平台，实现公共信息共享，逐步解决中介机构取证难、获取公共信息难的状况。为中介服务企业的上下游联动提供条件，完善中介服务链条，引导中介服务行业集聚发展。</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加强中介服务与产业项目对接</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依托龙城区电子信息、医药、石化、装备制造、新能源等优势产业和重点项目，加大中介服务业培育力度，重点发展信息咨询服务和科技中介服务，以</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工程咨询、投资咨询</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、科技创新咨询、检验检测等中介服务促进龙城主导产业和特色产业快速发展，形成中介服务业与产业发展、项目建设相互促进、相互补充的发展局面。</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打造中介服务业发展集聚区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充分发挥朝阳高新技术产业开发区</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、各智慧园区</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基础设施、</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信息</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资源</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、高效运营与管理、创新孵化与服务、</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人才</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等</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优势，</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积极主导建设生产性服务、安全技术服务、资产评估服务、人力资源开发服务、经营管理服务、政策法律服务等中介服务业集聚区，引导</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各类中介服务机构特别是品牌机构、总部机构</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入驻，发挥品牌集聚效应和引领作用。鼓励</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建设一批行业公共服务平台</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、中试基地</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，为入驻中介服务企业提供</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信息资源共享、教育培训、成果转化、技术研发试验、技术熟化与优化等服务。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楷体" w:hAnsi="楷体" w:eastAsia="楷体" w:cs="楷体"/>
                <w:b/>
                <w:bCs/>
                <w:color w:val="000000" w:themeColor="text1"/>
                <w:spacing w:val="-14"/>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pacing w:val="-14"/>
                <w:sz w:val="32"/>
                <w:szCs w:val="32"/>
                <w:highlight w:val="none"/>
                <w:lang w:val="en-US" w:eastAsia="zh-CN"/>
                <w14:textFill>
                  <w14:solidFill>
                    <w14:schemeClr w14:val="tx1"/>
                  </w14:solidFill>
                </w14:textFill>
              </w:rPr>
              <w:t>支持产业集聚重点任务</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1.建设网上中介服务超市</w:t>
            </w: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推进中介服务市场化改革与创新，探索“网上中介超市”“互联网+政务服务超市”等新业态新模式，设置政策宣传、信息查询、咨询沟通、网上办理、服务评议、收费合理性等板块，为查询中介服务机构资质和信用、购买中介服务、监管中介服务机构运营等提供服务平台，实现“交易不见面”“过程全留痕”。加强对拟进驻中介超市的中介服务机构资质核实工作，针对已进驻中介超市的中介服务机构，建立资质情况的动态管理机制，及时更新执业资质。</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2.</w:t>
            </w: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加强中试基地建设</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。采取政府直接投入、政府和社会资本合作等方式，着力打造创新能力强、服务水平高、市场竞争力强的中介服务示范基地，为中介服务业技术创新、产品研发、检验检测等提供全周期服务能力。</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default" w:ascii="楷体" w:hAnsi="楷体" w:eastAsia="楷体" w:cs="楷体"/>
                <w:b w:val="0"/>
                <w:bCs w:val="0"/>
                <w:color w:val="000000" w:themeColor="text1"/>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3.提升集聚区发展水平。</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主动对接沈阳现代化都市圈规划、融入京津冀协同发展战略等国家战略部署和省级规划，以电子信息、新能源、精细化工等产业基础为依托，打造高水平中介服务业发展集聚区，提升集聚集约发展水平。</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pP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leftChars="0" w:firstLine="640" w:firstLineChars="200"/>
        <w:jc w:val="left"/>
        <w:textAlignment w:val="auto"/>
        <w:outlineLvl w:val="1"/>
        <w:rPr>
          <w:rFonts w:hint="eastAsia" w:ascii="楷体" w:hAnsi="楷体" w:eastAsia="楷体" w:cs="楷体"/>
          <w:color w:val="000000" w:themeColor="text1"/>
          <w:sz w:val="32"/>
          <w:szCs w:val="32"/>
          <w:highlight w:val="none"/>
          <w:lang w:val="en-US" w:eastAsia="zh-CN"/>
          <w14:textFill>
            <w14:solidFill>
              <w14:schemeClr w14:val="tx1"/>
            </w14:solidFill>
          </w14:textFill>
        </w:rPr>
      </w:pPr>
      <w:bookmarkStart w:id="31" w:name="_Toc10577"/>
      <w:r>
        <w:rPr>
          <w:rFonts w:hint="eastAsia" w:ascii="楷体" w:hAnsi="楷体" w:eastAsia="楷体" w:cs="楷体"/>
          <w:color w:val="000000" w:themeColor="text1"/>
          <w:sz w:val="32"/>
          <w:szCs w:val="32"/>
          <w:highlight w:val="none"/>
          <w:lang w:val="en-US" w:eastAsia="zh-CN"/>
          <w14:textFill>
            <w14:solidFill>
              <w14:schemeClr w14:val="tx1"/>
            </w14:solidFill>
          </w14:textFill>
        </w:rPr>
        <w:t>强化规范管理</w:t>
      </w:r>
      <w:bookmarkEnd w:id="31"/>
    </w:p>
    <w:p>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建立诚信体系</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全面推进“企业自重、行业自律、法律惩戒、社会监督”四位一体的诚信体系建设。建立完善中介服务机构及其执业人员信用档案、披露和承诺制度，形成以信用为基础的优胜劣汰竞争机制。</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搭建</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中介机构信用平台，通过</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平台</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向社会发布中介服务组织和从业人员诚信经营情况。加强守信联合激励和失信联合惩戒，健全信用修复机制，将中介服务机构信用记录作为行业评优表彰、政府采购以及政府实行分类管理的重要依据。</w:t>
      </w:r>
    </w:p>
    <w:p>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t>推进行业自律</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加快培育一批独立公正、行为规范、运作有序、代表性强、公信力高，适应社会主义市场经济发展要求、符合国际惯例的新型行业协会、商会，充分发挥其在制定技术标准、企业策划、行业规划、协调服务、自律管理和社会监督等方面的作用</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形成依法管理与自我约束有效衔接和良性互动的管理格局。</w:t>
      </w:r>
    </w:p>
    <w:p>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t>规范</w:t>
      </w: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经营</w:t>
      </w:r>
      <w:r>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t>行为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鼓励</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各行业主管部门制定完善中介服务规范和标准，指导监督本行业中介服务机构建立服务承诺、限时办结、执业公示、一次性告知、执业记录等制度，细化服务项目、优化服务流程、提高服务质量。定期开展中介服务业专项整治行动，综合运用行政指导、警示告诫、公开曝光、行政处罚、行业禁入等措施，加强对中介服务组织的监督管理和中介从业人员的行为约束，营造公平公正市场竞争环境。对不遵守从业规则、造成恶劣影响和严重后果的中介服务机构，依法追究行政和法律责任，直至取消从业资格、吊销营业执照。鼓励各中介组织在保证服务质量的基础上，通过合法竞争，合理降低收费标准</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实行政府定价、政府指导价、市场调节价</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的</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管理形式</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不得捆绑收费或强制收费。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楷体" w:hAnsi="楷体" w:eastAsia="楷体" w:cs="楷体"/>
                <w:b/>
                <w:bCs/>
                <w:color w:val="000000" w:themeColor="text1"/>
                <w:spacing w:val="-14"/>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pacing w:val="-14"/>
                <w:sz w:val="32"/>
                <w:szCs w:val="32"/>
                <w:highlight w:val="none"/>
                <w:lang w:val="en-US" w:eastAsia="zh-CN"/>
                <w14:textFill>
                  <w14:solidFill>
                    <w14:schemeClr w14:val="tx1"/>
                  </w14:solidFill>
                </w14:textFill>
              </w:rPr>
              <w:t>强化规范管理重点任务</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1.构建中介机构信用平台</w:t>
            </w: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建设中介机构信用平台，对全区中介机构实行量化评级，进行信用评级。建立中介机构经营异常名录，对违背市场竞争原则、侵犯服务对象合法权益的中介机构纳入“黑名单”，建立守信激励和失信惩戒机制。相关信用状况和考评结果实时向社会公示。</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2.探索建立中介机构行业协会</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各行业主管、监管单位积极引导中介服务机构组建行业协会，鼓励中介服务机构及其从业人员加入中介行业协会。按照政社分开的原则，加快行业协会在职能、人员、财务、机构等方面与行政机关分离，实行协会自我运作、自我决策、自聘人员、自理会务。鼓励各行业协会依法依规制定本行业的自律管理办法，对人员资格、机构资质、执业行为、执业水平、竞争行为和服务质量等环节进行有效监管，对中介经营行为进行严格规范。</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pP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leftChars="0" w:firstLine="640" w:firstLineChars="200"/>
        <w:jc w:val="left"/>
        <w:textAlignment w:val="auto"/>
        <w:outlineLvl w:val="1"/>
        <w:rPr>
          <w:rFonts w:hint="eastAsia" w:ascii="楷体" w:hAnsi="楷体" w:eastAsia="楷体" w:cs="楷体"/>
          <w:color w:val="000000" w:themeColor="text1"/>
          <w:sz w:val="32"/>
          <w:szCs w:val="40"/>
          <w:highlight w:val="none"/>
          <w:lang w:val="en-US" w:eastAsia="zh-CN"/>
          <w14:textFill>
            <w14:solidFill>
              <w14:schemeClr w14:val="tx1"/>
            </w14:solidFill>
          </w14:textFill>
        </w:rPr>
      </w:pPr>
      <w:bookmarkStart w:id="32" w:name="_Toc18082"/>
      <w:bookmarkStart w:id="33" w:name="_Toc10062"/>
      <w:r>
        <w:rPr>
          <w:rFonts w:hint="eastAsia" w:ascii="楷体" w:hAnsi="楷体" w:eastAsia="楷体" w:cs="楷体"/>
          <w:color w:val="000000" w:themeColor="text1"/>
          <w:sz w:val="32"/>
          <w:szCs w:val="40"/>
          <w:highlight w:val="none"/>
          <w:lang w:val="en-US" w:eastAsia="zh-CN"/>
          <w14:textFill>
            <w14:solidFill>
              <w14:schemeClr w14:val="tx1"/>
            </w14:solidFill>
          </w14:textFill>
        </w:rPr>
        <w:t>优化营商环境</w:t>
      </w:r>
      <w:bookmarkEnd w:id="32"/>
      <w:bookmarkEnd w:id="33"/>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完善价费政策</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聚焦中介服务业企业全生命周期服务，加快破解各类堵点、难点和痛点问题，构建“亲”“清”新型政商关系，进一步激发市场主体活力。持续开展暖企行动，落实各项税费优惠政策，确保纳税人“应享尽享”各项政策红利。鼓励对中介服务机构应缴纳的各种资格认证、考试、培训费以及行政事业性费用，收费标准有浮动幅度的按低限收取。</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畅通政企沟通渠道</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依托一体化政务服务平台、12345平台等，建立企业服务扁平化和网格化的简约高效工作与交流模式，为企业提供高效精准服务。鼓励中介企业融入项目管家+政务管家“双管家”服务机制，延伸项目管家触角,搭建企业和政府之间无障碍通道,为中小微企业提供“有求必应、无事不扰”的全方位服务。</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加强市场主体保护</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加强中介企业产权维权，逐步建立知识产权维权援助站、知识产权纠纷人民调解委员会，及时受理中介企业维权诉求和纠纷调解申请。综合运用行政调解、行政裁决、行政执法等手段，处理各种知识产权纠纷案件。</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加强电子证照应用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加强中介服务业企业</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电子证照应用领域和互通互认</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通过电子证照共享等方式查询、核验</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中介</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企业办事所需信息，</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替换</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实体证照或纸质材料，推动办事所需相关信息免填写</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t>实现线上线下相融合</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维护企业正常生产经营秩序</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加大侵犯中介服务业企业财产权利和企业家人身权利等违法犯罪行为的打击力度，增强中介企业和企业家安全感。非重大敏感时期，无法律、法规和政策依据，不得要求中介服务业企业停工、停产或采取停水、停电、停气等措施限制企业正常生产经营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楷体" w:hAnsi="楷体" w:eastAsia="楷体" w:cs="楷体"/>
                <w:b/>
                <w:bCs/>
                <w:color w:val="000000" w:themeColor="text1"/>
                <w:spacing w:val="-14"/>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pacing w:val="-14"/>
                <w:sz w:val="32"/>
                <w:szCs w:val="32"/>
                <w:highlight w:val="none"/>
                <w:lang w:val="en-US" w:eastAsia="zh-CN"/>
                <w14:textFill>
                  <w14:solidFill>
                    <w14:schemeClr w14:val="tx1"/>
                  </w14:solidFill>
                </w14:textFill>
              </w:rPr>
              <w:t>优化营商环境重点任务</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1.</w:t>
            </w: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探索构建中介服务业差别化收费与定价机制。</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中介服务业在日常运营过程中，其用水、用气、用电价格按国家现行的价格改革政策执行，以确保服务成本的合理性和透明度，体现优质优价。根据服务资源稀缺程度、环境成本、供应成本等因素，结合市场供求关系和公共利益考量，推行市场化定价与政府调控相结合的机制，确保中介服务业能够在公平公正的环境中运营，服务质量更高、增值服务更多、信誉更好的中介服务机构，可以相应提高收费标准。</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2.</w:t>
            </w:r>
            <w:r>
              <w:rPr>
                <w:rFonts w:hint="eastAsia" w:ascii="楷体" w:hAnsi="楷体" w:eastAsia="楷体" w:cs="楷体"/>
                <w:b/>
                <w:bCs/>
                <w:color w:val="000000" w:themeColor="text1"/>
                <w:sz w:val="32"/>
                <w:szCs w:val="32"/>
                <w:highlight w:val="none"/>
                <w:lang w:val="en-US" w:eastAsia="zh-CN"/>
                <w14:textFill>
                  <w14:solidFill>
                    <w14:schemeClr w14:val="tx1"/>
                  </w14:solidFill>
                </w14:textFill>
              </w:rPr>
              <w:t>加大市民诉求办理力度</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鼓励中介服务业企业、用户利用12345平台反馈中介服务事项满意率和办结率，及时监测中介服务质量和效率，通过12345平台收集的真实用户反馈数据，对中介服务的各项业务进行满意度和办结率的量化评估，从而真实反映中介服务的工作效能，找出存在问题和短板。</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000000" w:themeColor="text1"/>
          <w:sz w:val="32"/>
          <w:szCs w:val="40"/>
          <w:highlight w:val="none"/>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textAlignment w:val="auto"/>
        <w:rPr>
          <w:rFonts w:hint="default" w:ascii="黑体" w:hAnsi="黑体" w:eastAsia="黑体" w:cs="黑体"/>
          <w:b w:val="0"/>
          <w:bCs w:val="0"/>
          <w:i w:val="0"/>
          <w:iCs w:val="0"/>
          <w:caps w:val="0"/>
          <w:color w:val="000000" w:themeColor="text1"/>
          <w:spacing w:val="0"/>
          <w:sz w:val="32"/>
          <w:szCs w:val="32"/>
          <w:highlight w:val="none"/>
          <w:shd w:val="clear" w:fill="FFFFFF"/>
          <w14:textFill>
            <w14:solidFill>
              <w14:schemeClr w14:val="tx1"/>
            </w14:solidFill>
          </w14:textFill>
        </w:rPr>
      </w:pPr>
      <w:bookmarkStart w:id="34" w:name="_Toc17494"/>
      <w:r>
        <w:rPr>
          <w:rFonts w:hint="eastAsia" w:ascii="黑体" w:hAnsi="黑体" w:eastAsia="黑体" w:cs="黑体"/>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保障措施</w:t>
      </w:r>
      <w:bookmarkEnd w:id="34"/>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0" w:leftChars="0" w:firstLine="640" w:firstLineChars="200"/>
        <w:jc w:val="left"/>
        <w:textAlignment w:val="auto"/>
        <w:outlineLvl w:val="1"/>
        <w:rPr>
          <w:rFonts w:hint="eastAsia" w:ascii="楷体" w:hAnsi="楷体" w:eastAsia="楷体" w:cs="楷体"/>
          <w:color w:val="000000" w:themeColor="text1"/>
          <w:sz w:val="32"/>
          <w:szCs w:val="32"/>
          <w:highlight w:val="none"/>
          <w:lang w:val="en-US" w:eastAsia="zh-CN"/>
          <w14:textFill>
            <w14:solidFill>
              <w14:schemeClr w14:val="tx1"/>
            </w14:solidFill>
          </w14:textFill>
        </w:rPr>
      </w:pPr>
      <w:bookmarkStart w:id="35" w:name="_Toc32367"/>
      <w:r>
        <w:rPr>
          <w:rFonts w:hint="eastAsia" w:ascii="楷体" w:hAnsi="楷体" w:eastAsia="楷体" w:cs="楷体"/>
          <w:color w:val="000000" w:themeColor="text1"/>
          <w:sz w:val="32"/>
          <w:szCs w:val="32"/>
          <w:highlight w:val="none"/>
          <w:lang w:val="en-US" w:eastAsia="zh-CN"/>
          <w14:textFill>
            <w14:solidFill>
              <w14:schemeClr w14:val="tx1"/>
            </w14:solidFill>
          </w14:textFill>
        </w:rPr>
        <w:t>加强组织领导</w:t>
      </w:r>
      <w:bookmarkEnd w:id="35"/>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发挥龙城区市场中介组织管理工作领导小组作用，分解落实各项工作任务，及时研究解决重大问题。各成员单位要加强协作配合，构筑各负其责、协调配合、齐抓共管、整体联动的工作格局，形成促进中介服务业又好又快发展的强大合力。</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0" w:leftChars="0" w:firstLine="640" w:firstLineChars="200"/>
        <w:jc w:val="left"/>
        <w:textAlignment w:val="auto"/>
        <w:outlineLvl w:val="1"/>
        <w:rPr>
          <w:rFonts w:hint="eastAsia" w:ascii="楷体" w:hAnsi="楷体" w:eastAsia="楷体" w:cs="楷体"/>
          <w:color w:val="000000" w:themeColor="text1"/>
          <w:sz w:val="32"/>
          <w:szCs w:val="32"/>
          <w:highlight w:val="none"/>
          <w:lang w:val="en-US" w:eastAsia="zh-CN"/>
          <w14:textFill>
            <w14:solidFill>
              <w14:schemeClr w14:val="tx1"/>
            </w14:solidFill>
          </w14:textFill>
        </w:rPr>
      </w:pPr>
      <w:bookmarkStart w:id="36" w:name="_Toc23043"/>
      <w:r>
        <w:rPr>
          <w:rFonts w:hint="eastAsia" w:ascii="楷体" w:hAnsi="楷体" w:eastAsia="楷体" w:cs="楷体"/>
          <w:color w:val="000000" w:themeColor="text1"/>
          <w:sz w:val="32"/>
          <w:szCs w:val="32"/>
          <w:highlight w:val="none"/>
          <w:lang w:val="en-US" w:eastAsia="zh-CN"/>
          <w14:textFill>
            <w14:solidFill>
              <w14:schemeClr w14:val="tx1"/>
            </w14:solidFill>
          </w14:textFill>
        </w:rPr>
        <w:t>加强监督管理</w:t>
      </w:r>
      <w:bookmarkEnd w:id="36"/>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大力整顿中介服务业市场秩序，改善执业环境，打造良好、有序、规范的市场竞争环境。加强分类监管。推动中介服务机构公开服务条件、流程、时限和收费标准，做到明码标价、价质相符。坚决查处乱收费、变相涨价等行为。</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0" w:leftChars="0" w:firstLine="640" w:firstLineChars="200"/>
        <w:jc w:val="left"/>
        <w:textAlignment w:val="auto"/>
        <w:outlineLvl w:val="1"/>
        <w:rPr>
          <w:rFonts w:hint="eastAsia" w:ascii="楷体" w:hAnsi="楷体" w:eastAsia="楷体" w:cs="楷体"/>
          <w:color w:val="000000" w:themeColor="text1"/>
          <w:sz w:val="32"/>
          <w:szCs w:val="32"/>
          <w:highlight w:val="none"/>
          <w:lang w:val="en-US" w:eastAsia="zh-CN"/>
          <w14:textFill>
            <w14:solidFill>
              <w14:schemeClr w14:val="tx1"/>
            </w14:solidFill>
          </w14:textFill>
        </w:rPr>
      </w:pPr>
      <w:bookmarkStart w:id="37" w:name="_Toc12636"/>
      <w:r>
        <w:rPr>
          <w:rFonts w:hint="eastAsia" w:ascii="楷体" w:hAnsi="楷体" w:eastAsia="楷体" w:cs="楷体"/>
          <w:color w:val="000000" w:themeColor="text1"/>
          <w:sz w:val="32"/>
          <w:szCs w:val="32"/>
          <w:highlight w:val="none"/>
          <w:lang w:val="en-US" w:eastAsia="zh-CN"/>
          <w14:textFill>
            <w14:solidFill>
              <w14:schemeClr w14:val="tx1"/>
            </w14:solidFill>
          </w14:textFill>
        </w:rPr>
        <w:t>完善统计分析</w:t>
      </w:r>
      <w:bookmarkEnd w:id="37"/>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建立中介服务业统计监测制度，依法准确、规范、快捷地统计重要数据信息。加强和完善中介服务业统计工作，逐步建立起政府统计、部门统计和行业统计互为补充的中介服务业统计调查体系，健全中介服务业发展的信息发布制度。</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0" w:leftChars="0" w:firstLine="640" w:firstLineChars="200"/>
        <w:jc w:val="left"/>
        <w:textAlignment w:val="auto"/>
        <w:outlineLvl w:val="1"/>
        <w:rPr>
          <w:rFonts w:hint="eastAsia" w:ascii="楷体" w:hAnsi="楷体" w:eastAsia="楷体" w:cs="楷体"/>
          <w:color w:val="000000" w:themeColor="text1"/>
          <w:sz w:val="32"/>
          <w:szCs w:val="32"/>
          <w:highlight w:val="none"/>
          <w:lang w:val="en-US" w:eastAsia="zh-CN"/>
          <w14:textFill>
            <w14:solidFill>
              <w14:schemeClr w14:val="tx1"/>
            </w14:solidFill>
          </w14:textFill>
        </w:rPr>
      </w:pPr>
      <w:bookmarkStart w:id="38" w:name="_Toc13739"/>
      <w:bookmarkStart w:id="39" w:name="_Toc5633"/>
      <w:r>
        <w:rPr>
          <w:rFonts w:hint="eastAsia" w:ascii="楷体" w:hAnsi="楷体" w:eastAsia="楷体" w:cs="楷体"/>
          <w:color w:val="000000" w:themeColor="text1"/>
          <w:sz w:val="32"/>
          <w:szCs w:val="32"/>
          <w:highlight w:val="none"/>
          <w:lang w:val="en-US" w:eastAsia="zh-CN"/>
          <w14:textFill>
            <w14:solidFill>
              <w14:schemeClr w14:val="tx1"/>
            </w14:solidFill>
          </w14:textFill>
        </w:rPr>
        <w:t>建立长效机制</w:t>
      </w:r>
      <w:bookmarkEnd w:id="38"/>
      <w:bookmarkEnd w:id="39"/>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区各相关单位要认真总结促进中介机构发展工作中形成的好经验、好做法，充分利用政务网站、融媒体等平台做好公开、宣传工作，建章立规，形成长效机制，持之以恒抓好落实，做好我区中介机构管理工作。</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0" w:leftChars="0" w:firstLine="640" w:firstLineChars="200"/>
        <w:jc w:val="left"/>
        <w:textAlignment w:val="auto"/>
        <w:outlineLvl w:val="1"/>
        <w:rPr>
          <w:rFonts w:hint="eastAsia" w:ascii="楷体" w:hAnsi="楷体" w:eastAsia="楷体" w:cs="楷体"/>
          <w:color w:val="000000" w:themeColor="text1"/>
          <w:sz w:val="32"/>
          <w:szCs w:val="32"/>
          <w:highlight w:val="none"/>
          <w:lang w:val="en-US" w:eastAsia="zh-CN"/>
          <w14:textFill>
            <w14:solidFill>
              <w14:schemeClr w14:val="tx1"/>
            </w14:solidFill>
          </w14:textFill>
        </w:rPr>
      </w:pPr>
      <w:bookmarkStart w:id="40" w:name="_Toc27956"/>
      <w:r>
        <w:rPr>
          <w:rFonts w:hint="eastAsia" w:ascii="楷体" w:hAnsi="楷体" w:eastAsia="楷体" w:cs="楷体"/>
          <w:color w:val="000000" w:themeColor="text1"/>
          <w:sz w:val="32"/>
          <w:szCs w:val="32"/>
          <w:highlight w:val="none"/>
          <w:lang w:val="en-US" w:eastAsia="zh-CN"/>
          <w14:textFill>
            <w14:solidFill>
              <w14:schemeClr w14:val="tx1"/>
            </w14:solidFill>
          </w14:textFill>
        </w:rPr>
        <w:t>创造良好环境</w:t>
      </w:r>
      <w:bookmarkEnd w:id="40"/>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出台《朝阳市龙城区促进中介服务业健康发展的若干举措》，制订针对具体中介行业的地方性管理规定，通过法律、法规和规章的形式，明确中介机构的市场地位、性质、功能、资格确认程序、职责。加强舆论宣传，强化中介服务的市场观念，保证其合法权益。</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textAlignment w:val="auto"/>
        <w:rPr>
          <w:rFonts w:hint="default" w:ascii="黑体" w:hAnsi="黑体" w:eastAsia="黑体" w:cs="黑体"/>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pPr>
      <w:bookmarkStart w:id="41" w:name="_Toc18599"/>
      <w:r>
        <w:rPr>
          <w:rFonts w:hint="eastAsia" w:ascii="黑体" w:hAnsi="黑体" w:eastAsia="黑体" w:cs="黑体"/>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附件 名词解释</w:t>
      </w:r>
      <w:bookmarkEnd w:id="41"/>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生产性服务业：</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为保持工业生产过程的连续性、促进工业技术进步、产业升级和提高生产效率提供保障服务的服务行业。它是与制造业直接相关的配套服务业，是从制造业内部生产服务部门独立发展起来的新兴产业，本身并不向消费者提供直接的、独立的服务效用。主要包括研发设计与其他技术服务，货物运输、仓储和邮政快递服务，信息服务，金融服务，节能与环保服务，生产性租赁服务，商务服务，人力资源管理与培训服务，批发经纪代理服务，生产性支持服务等。</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生活性服务业：</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服务经济的重要组成部分，是国民经济的基础性支柱产业，它直接向居民提供物质和精神生活消费产品及服务，其产品、服务用于解决消费者生活中（非生产中）的各种需求。主要包括养老、育幼、文化、旅游、体育、家政等服务业态。</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信用中介：</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信用活动在借贷双方之间占有居间联系的地位</w:t>
      </w:r>
      <w:bookmarkStart w:id="42" w:name="_GoBack"/>
      <w:bookmarkEnd w:id="42"/>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和起着媒介作用的机构。</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t>金融中介</w:t>
      </w: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在金融市场上资金融通过程中，在资金供求者之间起媒介或桥梁作用的人或机构。</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会计中介：</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在会计信息市场中介于会计信息供需方之间，为会计信息的验证、传递、交换提供服务的机构(或组织)。</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信息咨询中介：</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通过利用各种信息处理技术，对各类信息开展搜集、加工、整理、分析、传递，向客户提供解决问题的方案、策略、建议、规划或措施等信息产品的机构。</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法律服务中介：</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为了满足社会群众对法律服务的需求，提供法律咨询、法律援助、法律代理等一系列法律服务的机构。</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t>科技中介</w:t>
      </w: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面向社会开展技术扩散、成果转化、科技评估、创新资源配置、创新决策和管理咨询等专业化服务的机构。</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人力资源中介：</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通过招聘、甄选、培训、报酬等管理形式对组织内外相关人力资源进行有效运用，以便双方能够达成就业协议。满足当前发展的需要，保证组织目标实现与成员发展的最大化。</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会展中介：</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为会议和展览活动提供的全方位服务，包括展览组织、展位搭建、物流运输、广告宣传、现场管理、参展商服务、观众接待等多个环节的服务机构。</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贸易中介：</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在相关各方协议和签订货品交易、供应服务合同的过程中做牵引角色，并且按照中介合同领取酬劳的机构。包括为产业机构搭建仓单置换、仓单质押、仓单交易的平台；完成从贸易、仓储、物流、风险咨询等期现结合的对冲服务，探索场外交易，为实体经济提供个性化的风险管理服务。</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有限责任公司：</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由两个以上的股东组成，企业出资人以其出资额为限，对公司承担责任，公司以其全部资产对企业的债务承担责任。</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合伙制企业：</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由两人或两人以上按照协议投资，共同经营、共负盈亏的企业。合伙制企业财产由全体合伙人共有，共同经营，合伙人对企业债务承担连带无限清偿责任。</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t>绿色制造</w:t>
      </w: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也称为环境意识制造、面向环境的制造等，是一个综合考虑环境影响和资源效益的现代化制造模式。</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绿色钢铁：</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在生产、加工和使用过程中，尽量减少对环境的影响和资源的消耗的钢铁。包括采用清洁能源、高效节能技术和环保材料，减少二氧化碳排放和废水废气的产生。</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战略性新兴产业：</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以重大技术突破和重大发展需求为基础，对经济社会全局和长远发展具有重大引领带动作用，知识技术密集、物质资源消耗少、成长潜力大、综合效益好的产业。</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数字仿真：</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将电力系统网络和负载元件建立其数学模型，用数学模型在数字计算机上进行实验和研究的过程。包括建立数学模型、建立数字仿真模型和仿真实验三个主要步骤。</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数智化：</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利用数字技术和数据驱动的方法，实现智能化、自动化和优化决策的能力。结合人工智能、大数据分析、机器学习等技术，通过对大量数据的收集、整理和分析，为企业和组织提供更深入的洞察力和智能化的决策支持。</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卡脖子技术：</w:t>
      </w:r>
      <w:r>
        <w:rPr>
          <w:rFonts w:hint="default"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关键核心技术长期和其他国家有着比较大的技术差距，而且差距在短期内很难被缩小。在研发和质控过程中国内自主品牌没有相应产品，完全依赖于进口品牌的试剂耗材。</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EDA（Electronic Design automation）：</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将计算机技术应用于电子设计过程中而形成的一门新技术，被广泛应用于电子电路的设计和仿真，集成电路的版图设计、印刷电路板的设计和可编程器件的编程等各项工作中。</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MPW（Multi Project Wafer）：</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多项目晶圆，将多个使用相同工艺的集成电路设计放在同一晶圆片上流片，制造完成后，每个设计可以得到数十片芯片样品。</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AOI（Automated Optical Inspection）：</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自动光学检测，基于光学原理来对焊接生产中遇到的常见缺陷进行检测，是新兴起的一种新型测试技术。</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t>数字经济产业园</w:t>
      </w: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以培育数字经济产业为主导，主要运用云计算、大数据、区块链、人工智能、物联网、5G等技术，实现产业生态系统化、基础设施网络化、功能服务精准化和运营发展智能化的智慧园区。</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供应链：</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围绕核心企业，通过对信息流、物流、资金流的控制，从采购原材料开始，制成中间产品以及最终产品，再由销售网络把产品送到消费者手中，最终将供应商、制造商、分销商、零售商、和最终用户连成一个整体的功能网链结构。</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5G：</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5th generation wireless systems 的缩写，即第五代移动通信技术。</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大数据技术：</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用于采集、存储、处理、分析和解释海量数据的计算机技术和工具。</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云计算：</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分布式计算的一种，指的是通过网络“云”将巨大的数据计算处理程序分解成无数个小程序，然后，通过多部服务器组成的系统进行处理和分析这些小程序得到结果并返回给用户。通过这项技术，可以在很短的时间内（几秒钟）完成对数以万计的数据的处理，从而达到强大的网络服务。</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工业互联网：</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新一代信息通信技术与工业经济深度融合的新型基础设施、应用模式和工业生态，通过对人、机、物、系统等的全面连接，构建起覆盖全产业链、全价值链的全新制造和服务体系，为工业乃至产业数字化、网络化、智能化发展提供了实现途径。</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数字孪生：</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利用物理模型、传感器更新、运行历史等数据，集成多学科、多物理量、多尺度、多概率的仿真过程，在虚拟空间中完成映射，从而反映相对应的实体装备的全生命周期过程。</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人工智能（Artificial Intelligence）：</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综合计算机科学、控制论、信息论、神经生理学、心理学、语言学、哲学等多种学科互相渗透而发展起来的一门交叉学科，通过计算机去模拟人的思维和行为，核心是机器学习算法。</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数字经济：</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以数据资源为关键要素，以现代信息网络为主要载体，以信息通信技术融合应用、全要素数字化转型为重要推动力，促进公平与效率更加统一的新经济形态。</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数据资产：</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企业及组织拥有或控制，能给企业及组织带来未来经济利益的数据资源。</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数据质量：</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在业务环境下，数据符合数据消费者的使用目的，能满足业务场景具体需求的程度。</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数据资产入表：</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将数据确认为企业资产负债表中“资产”一项，即数据资产入资产负债表，在财务报表中体现其真实价值与业务贡献。</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数据服务：</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能够提供数据采集、数据传输、数据存储、数据处理（包括计算、分析、可视化等）、数据交换、数据销毁等数据各种生存形态演变的一种信息技术驱动的服务。</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t>脱钩改制</w:t>
      </w: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各级党政机关、政法机关和社会团体、事业单位、企业及其下属单位，与挂靠本单位或以本单位名义发起兴办的事务所在人员、财务、业务、名称4个方面进行脱钩。</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一窗式：</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将政务服务大厅办事窗口整合为综合窗口，实行专业办事窗口和分类综合窗口相结合，打造“前台综合受理、后台分类审批、综合窗口出件”的政务服务新模式，为企业群众办事增便利。</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t>产业集聚</w:t>
      </w: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同一产业在某个特定地理区域内高度集中，产业资本要素在空间范围内不断汇聚的一个过程。</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t>数字化转型</w:t>
      </w: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包括企业和行业两个层面的转型，建立在数字化转换（Digitization）、数字化升级（Digitalization）基础上，进一步触及公司核心业务，以新建一种商业模式为目标的高层次转型。</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新质生产力：</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整合科技创新资源，摆脱传统经济增长方式、生产力发展路径，具有高科技、高效能、高质量特征，符合新发展理念的先进生产力质态。</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t>中试基地</w:t>
      </w: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新产品中间试验的场所，性质是进行中间性试验的专业试验基地。</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t>数据库</w:t>
      </w: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按照数据结构来组织、存储和管理数据的仓库。是一个长期存储在计算机内的、有组织的、可共享的、统一管理的大量数据的集合。</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t>基础设施</w:t>
      </w: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包括交通、邮电、供水供电、商业服务、科研与技术服务、园林绿化、环境保护、文化教育、卫生事业等市政公用工程设施和公共生活服务设施等。</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w:t>
      </w:r>
      <w:r>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t>互联网+</w:t>
      </w: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依托互联网信息技术实现互联网与传统业务的联合，以优化业务流程、更新业务体系、重构业务模式等途径来完成转型和升级。</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40"/>
          <w:highlight w:val="none"/>
          <w:lang w:val="en-US" w:eastAsia="zh-CN"/>
          <w14:textFill>
            <w14:solidFill>
              <w14:schemeClr w14:val="tx1"/>
            </w14:solidFill>
          </w14:textFill>
        </w:rPr>
        <w:t>行业协会</w:t>
      </w: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指介于政府、企业之间，商品生产者与经营者之间，并为其服务、咨询、沟通、监督、公正、自律、协调的社会中介组织。行业协会是一种民间性组织，它不属于政府的管理机构系列，而是政府与企业的桥梁和纽带。属非营利性机构。</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643" w:firstLineChars="200"/>
        <w:textAlignment w:val="auto"/>
        <w:rPr>
          <w:rFonts w:hint="default"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highlight w:val="none"/>
          <w:lang w:val="en-US" w:eastAsia="zh-CN"/>
          <w14:textFill>
            <w14:solidFill>
              <w14:schemeClr w14:val="tx1"/>
            </w14:solidFill>
          </w14:textFill>
        </w:rPr>
        <w:t>黑名单：</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主管部门对不合格产品或违反规约的企业、个人等开列的名单，通过一定渠道向社会公布。</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5174EF-14DB-4E51-B25D-F98C1F8BD04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A47910F0-9435-4A4E-8E37-E2E7DA6826EA}"/>
  </w:font>
  <w:font w:name="仿宋_GB2312">
    <w:panose1 w:val="02010609030101010101"/>
    <w:charset w:val="86"/>
    <w:family w:val="auto"/>
    <w:pitch w:val="default"/>
    <w:sig w:usb0="00000001" w:usb1="080E0000" w:usb2="00000000" w:usb3="00000000" w:csb0="00040000" w:csb1="00000000"/>
    <w:embedRegular r:id="rId3" w:fontKey="{6C547842-1345-41F0-8740-55492B608B75}"/>
  </w:font>
  <w:font w:name="楷体">
    <w:panose1 w:val="02010609060101010101"/>
    <w:charset w:val="86"/>
    <w:family w:val="modern"/>
    <w:pitch w:val="default"/>
    <w:sig w:usb0="800002BF" w:usb1="38CF7CFA" w:usb2="00000016" w:usb3="00000000" w:csb0="00040001" w:csb1="00000000"/>
    <w:embedRegular r:id="rId4" w:fontKey="{1E11D0CB-97A7-441C-B014-192FEE6F59A0}"/>
  </w:font>
  <w:font w:name="楷体_GB2312">
    <w:panose1 w:val="02010609030101010101"/>
    <w:charset w:val="86"/>
    <w:family w:val="auto"/>
    <w:pitch w:val="default"/>
    <w:sig w:usb0="00000001" w:usb1="080E0000" w:usb2="00000000" w:usb3="00000000" w:csb0="00040000" w:csb1="00000000"/>
    <w:embedRegular r:id="rId5" w:fontKey="{B2E44C39-C9FE-4EF6-BE0E-8C3294876E4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F41D5"/>
    <w:multiLevelType w:val="singleLevel"/>
    <w:tmpl w:val="A5BF41D5"/>
    <w:lvl w:ilvl="0" w:tentative="0">
      <w:start w:val="1"/>
      <w:numFmt w:val="decimal"/>
      <w:lvlText w:val="%1."/>
      <w:lvlJc w:val="left"/>
      <w:pPr>
        <w:ind w:left="425" w:hanging="425"/>
      </w:pPr>
      <w:rPr>
        <w:rFonts w:hint="default"/>
      </w:rPr>
    </w:lvl>
  </w:abstractNum>
  <w:abstractNum w:abstractNumId="1">
    <w:nsid w:val="B0667B6F"/>
    <w:multiLevelType w:val="singleLevel"/>
    <w:tmpl w:val="B0667B6F"/>
    <w:lvl w:ilvl="0" w:tentative="0">
      <w:start w:val="1"/>
      <w:numFmt w:val="chineseCounting"/>
      <w:suff w:val="nothing"/>
      <w:lvlText w:val="（%1）"/>
      <w:lvlJc w:val="left"/>
      <w:pPr>
        <w:ind w:left="0" w:firstLine="420"/>
      </w:pPr>
      <w:rPr>
        <w:rFonts w:hint="eastAsia" w:ascii="楷体" w:hAnsi="楷体" w:eastAsia="楷体" w:cs="楷体"/>
        <w:sz w:val="32"/>
        <w:szCs w:val="32"/>
      </w:rPr>
    </w:lvl>
  </w:abstractNum>
  <w:abstractNum w:abstractNumId="2">
    <w:nsid w:val="D137797E"/>
    <w:multiLevelType w:val="singleLevel"/>
    <w:tmpl w:val="D137797E"/>
    <w:lvl w:ilvl="0" w:tentative="0">
      <w:start w:val="1"/>
      <w:numFmt w:val="decimal"/>
      <w:lvlText w:val="%1."/>
      <w:lvlJc w:val="left"/>
      <w:pPr>
        <w:ind w:left="425" w:hanging="425"/>
      </w:pPr>
      <w:rPr>
        <w:rFonts w:hint="default"/>
      </w:rPr>
    </w:lvl>
  </w:abstractNum>
  <w:abstractNum w:abstractNumId="3">
    <w:nsid w:val="D9ECF01D"/>
    <w:multiLevelType w:val="singleLevel"/>
    <w:tmpl w:val="D9ECF01D"/>
    <w:lvl w:ilvl="0" w:tentative="0">
      <w:start w:val="1"/>
      <w:numFmt w:val="decimal"/>
      <w:suff w:val="nothing"/>
      <w:lvlText w:val="专栏%1．"/>
      <w:lvlJc w:val="left"/>
      <w:pPr>
        <w:ind w:left="0" w:firstLine="403"/>
      </w:pPr>
      <w:rPr>
        <w:rFonts w:hint="default" w:ascii="楷体" w:hAnsi="楷体" w:eastAsia="楷体" w:cs="楷体"/>
        <w:sz w:val="32"/>
        <w:szCs w:val="32"/>
      </w:rPr>
    </w:lvl>
  </w:abstractNum>
  <w:abstractNum w:abstractNumId="4">
    <w:nsid w:val="E36C1BDA"/>
    <w:multiLevelType w:val="singleLevel"/>
    <w:tmpl w:val="E36C1BDA"/>
    <w:lvl w:ilvl="0" w:tentative="0">
      <w:start w:val="1"/>
      <w:numFmt w:val="chineseCounting"/>
      <w:suff w:val="nothing"/>
      <w:lvlText w:val="（%1）"/>
      <w:lvlJc w:val="left"/>
      <w:pPr>
        <w:ind w:left="0" w:firstLine="420"/>
      </w:pPr>
      <w:rPr>
        <w:rFonts w:hint="eastAsia" w:ascii="楷体" w:hAnsi="楷体" w:eastAsia="楷体" w:cs="楷体"/>
        <w:sz w:val="32"/>
        <w:szCs w:val="32"/>
      </w:rPr>
    </w:lvl>
  </w:abstractNum>
  <w:abstractNum w:abstractNumId="5">
    <w:nsid w:val="F04A98A5"/>
    <w:multiLevelType w:val="singleLevel"/>
    <w:tmpl w:val="F04A98A5"/>
    <w:lvl w:ilvl="0" w:tentative="0">
      <w:start w:val="1"/>
      <w:numFmt w:val="decimal"/>
      <w:lvlText w:val="%1."/>
      <w:lvlJc w:val="left"/>
      <w:pPr>
        <w:ind w:left="425" w:hanging="425"/>
      </w:pPr>
      <w:rPr>
        <w:rFonts w:hint="default"/>
      </w:rPr>
    </w:lvl>
  </w:abstractNum>
  <w:abstractNum w:abstractNumId="6">
    <w:nsid w:val="F6FA1CC4"/>
    <w:multiLevelType w:val="singleLevel"/>
    <w:tmpl w:val="F6FA1CC4"/>
    <w:lvl w:ilvl="0" w:tentative="0">
      <w:start w:val="1"/>
      <w:numFmt w:val="decimal"/>
      <w:lvlText w:val="%1."/>
      <w:lvlJc w:val="left"/>
      <w:pPr>
        <w:ind w:left="425" w:hanging="425"/>
      </w:pPr>
      <w:rPr>
        <w:rFonts w:hint="default"/>
      </w:rPr>
    </w:lvl>
  </w:abstractNum>
  <w:abstractNum w:abstractNumId="7">
    <w:nsid w:val="022F1F7D"/>
    <w:multiLevelType w:val="singleLevel"/>
    <w:tmpl w:val="022F1F7D"/>
    <w:lvl w:ilvl="0" w:tentative="0">
      <w:start w:val="1"/>
      <w:numFmt w:val="chineseCounting"/>
      <w:suff w:val="nothing"/>
      <w:lvlText w:val="（%1）"/>
      <w:lvlJc w:val="left"/>
      <w:pPr>
        <w:ind w:left="0" w:firstLine="420"/>
      </w:pPr>
      <w:rPr>
        <w:rFonts w:hint="eastAsia" w:ascii="楷体" w:hAnsi="楷体" w:eastAsia="楷体" w:cs="楷体"/>
        <w:sz w:val="32"/>
        <w:szCs w:val="32"/>
      </w:rPr>
    </w:lvl>
  </w:abstractNum>
  <w:abstractNum w:abstractNumId="8">
    <w:nsid w:val="06DF7EF9"/>
    <w:multiLevelType w:val="singleLevel"/>
    <w:tmpl w:val="06DF7EF9"/>
    <w:lvl w:ilvl="0" w:tentative="0">
      <w:start w:val="1"/>
      <w:numFmt w:val="decimal"/>
      <w:lvlText w:val="%1."/>
      <w:lvlJc w:val="left"/>
      <w:pPr>
        <w:ind w:left="425" w:hanging="425"/>
      </w:pPr>
      <w:rPr>
        <w:rFonts w:hint="default" w:ascii="仿宋_GB2312" w:hAnsi="仿宋_GB2312" w:eastAsia="仿宋_GB2312" w:cs="仿宋_GB2312"/>
        <w:sz w:val="32"/>
        <w:szCs w:val="32"/>
      </w:rPr>
    </w:lvl>
  </w:abstractNum>
  <w:abstractNum w:abstractNumId="9">
    <w:nsid w:val="1743F22E"/>
    <w:multiLevelType w:val="singleLevel"/>
    <w:tmpl w:val="1743F22E"/>
    <w:lvl w:ilvl="0" w:tentative="0">
      <w:start w:val="1"/>
      <w:numFmt w:val="decimal"/>
      <w:lvlText w:val="%1."/>
      <w:lvlJc w:val="left"/>
      <w:pPr>
        <w:ind w:left="425" w:hanging="425"/>
      </w:pPr>
      <w:rPr>
        <w:rFonts w:hint="default" w:ascii="仿宋_GB2312" w:hAnsi="仿宋_GB2312" w:eastAsia="仿宋_GB2312" w:cs="仿宋_GB2312"/>
        <w:sz w:val="32"/>
        <w:szCs w:val="32"/>
      </w:rPr>
    </w:lvl>
  </w:abstractNum>
  <w:abstractNum w:abstractNumId="10">
    <w:nsid w:val="1FBDCE27"/>
    <w:multiLevelType w:val="singleLevel"/>
    <w:tmpl w:val="1FBDCE27"/>
    <w:lvl w:ilvl="0" w:tentative="0">
      <w:start w:val="1"/>
      <w:numFmt w:val="decimal"/>
      <w:lvlText w:val="%1."/>
      <w:lvlJc w:val="left"/>
      <w:pPr>
        <w:ind w:left="425" w:hanging="425"/>
      </w:pPr>
      <w:rPr>
        <w:rFonts w:hint="default"/>
      </w:rPr>
    </w:lvl>
  </w:abstractNum>
  <w:abstractNum w:abstractNumId="11">
    <w:nsid w:val="20A4758E"/>
    <w:multiLevelType w:val="singleLevel"/>
    <w:tmpl w:val="20A4758E"/>
    <w:lvl w:ilvl="0" w:tentative="0">
      <w:start w:val="1"/>
      <w:numFmt w:val="chineseCounting"/>
      <w:suff w:val="nothing"/>
      <w:lvlText w:val="（%1）"/>
      <w:lvlJc w:val="left"/>
      <w:pPr>
        <w:ind w:left="0" w:firstLine="420"/>
      </w:pPr>
      <w:rPr>
        <w:rFonts w:hint="eastAsia" w:ascii="楷体" w:hAnsi="楷体" w:eastAsia="楷体" w:cs="楷体"/>
        <w:sz w:val="32"/>
        <w:szCs w:val="32"/>
      </w:rPr>
    </w:lvl>
  </w:abstractNum>
  <w:abstractNum w:abstractNumId="12">
    <w:nsid w:val="211F41DC"/>
    <w:multiLevelType w:val="singleLevel"/>
    <w:tmpl w:val="211F41DC"/>
    <w:lvl w:ilvl="0" w:tentative="0">
      <w:start w:val="1"/>
      <w:numFmt w:val="decimal"/>
      <w:suff w:val="nothing"/>
      <w:lvlText w:val="%1．"/>
      <w:lvlJc w:val="left"/>
      <w:pPr>
        <w:ind w:left="0" w:firstLine="400"/>
      </w:pPr>
      <w:rPr>
        <w:rFonts w:hint="default" w:ascii="仿宋_GB2312" w:hAnsi="仿宋_GB2312" w:eastAsia="仿宋_GB2312" w:cs="仿宋_GB2312"/>
        <w:b/>
        <w:bCs/>
        <w:sz w:val="32"/>
        <w:szCs w:val="32"/>
      </w:rPr>
    </w:lvl>
  </w:abstractNum>
  <w:abstractNum w:abstractNumId="13">
    <w:nsid w:val="25FDC3C4"/>
    <w:multiLevelType w:val="singleLevel"/>
    <w:tmpl w:val="25FDC3C4"/>
    <w:lvl w:ilvl="0" w:tentative="0">
      <w:start w:val="1"/>
      <w:numFmt w:val="decimal"/>
      <w:suff w:val="nothing"/>
      <w:lvlText w:val="%1．"/>
      <w:lvlJc w:val="left"/>
      <w:pPr>
        <w:ind w:left="0" w:firstLine="400"/>
      </w:pPr>
      <w:rPr>
        <w:rFonts w:hint="default" w:ascii="仿宋_GB2312" w:hAnsi="仿宋_GB2312" w:eastAsia="仿宋_GB2312" w:cs="仿宋_GB2312"/>
        <w:b/>
        <w:bCs/>
        <w:sz w:val="32"/>
        <w:szCs w:val="32"/>
      </w:rPr>
    </w:lvl>
  </w:abstractNum>
  <w:abstractNum w:abstractNumId="14">
    <w:nsid w:val="5A677ED4"/>
    <w:multiLevelType w:val="singleLevel"/>
    <w:tmpl w:val="5A677ED4"/>
    <w:lvl w:ilvl="0" w:tentative="0">
      <w:start w:val="1"/>
      <w:numFmt w:val="chineseCounting"/>
      <w:suff w:val="nothing"/>
      <w:lvlText w:val="（%1）"/>
      <w:lvlJc w:val="left"/>
      <w:pPr>
        <w:ind w:left="0" w:firstLine="420"/>
      </w:pPr>
      <w:rPr>
        <w:rFonts w:hint="eastAsia" w:ascii="楷体" w:hAnsi="楷体" w:eastAsia="楷体" w:cs="楷体"/>
        <w:sz w:val="32"/>
        <w:szCs w:val="32"/>
      </w:rPr>
    </w:lvl>
  </w:abstractNum>
  <w:abstractNum w:abstractNumId="15">
    <w:nsid w:val="684B755A"/>
    <w:multiLevelType w:val="singleLevel"/>
    <w:tmpl w:val="684B755A"/>
    <w:lvl w:ilvl="0" w:tentative="0">
      <w:start w:val="1"/>
      <w:numFmt w:val="chineseCounting"/>
      <w:suff w:val="nothing"/>
      <w:lvlText w:val="%1、"/>
      <w:lvlJc w:val="left"/>
      <w:pPr>
        <w:ind w:left="0" w:firstLine="420"/>
      </w:pPr>
      <w:rPr>
        <w:rFonts w:hint="eastAsia" w:ascii="黑体" w:hAnsi="黑体" w:eastAsia="黑体" w:cs="黑体"/>
        <w:b w:val="0"/>
        <w:bCs w:val="0"/>
        <w:sz w:val="32"/>
        <w:szCs w:val="32"/>
      </w:rPr>
    </w:lvl>
  </w:abstractNum>
  <w:num w:numId="1">
    <w:abstractNumId w:val="15"/>
  </w:num>
  <w:num w:numId="2">
    <w:abstractNumId w:val="4"/>
  </w:num>
  <w:num w:numId="3">
    <w:abstractNumId w:val="12"/>
  </w:num>
  <w:num w:numId="4">
    <w:abstractNumId w:val="14"/>
  </w:num>
  <w:num w:numId="5">
    <w:abstractNumId w:val="1"/>
  </w:num>
  <w:num w:numId="6">
    <w:abstractNumId w:val="2"/>
  </w:num>
  <w:num w:numId="7">
    <w:abstractNumId w:val="0"/>
  </w:num>
  <w:num w:numId="8">
    <w:abstractNumId w:val="11"/>
  </w:num>
  <w:num w:numId="9">
    <w:abstractNumId w:val="8"/>
  </w:num>
  <w:num w:numId="10">
    <w:abstractNumId w:val="3"/>
  </w:num>
  <w:num w:numId="11">
    <w:abstractNumId w:val="9"/>
  </w:num>
  <w:num w:numId="12">
    <w:abstractNumId w:val="5"/>
  </w:num>
  <w:num w:numId="13">
    <w:abstractNumId w:val="10"/>
  </w:num>
  <w:num w:numId="14">
    <w:abstractNumId w:val="6"/>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ZTlmMWFmYTdjNzg5MzJkNjhjMzIyNDNiMjk0ZmIifQ=="/>
  </w:docVars>
  <w:rsids>
    <w:rsidRoot w:val="00000000"/>
    <w:rsid w:val="00072C34"/>
    <w:rsid w:val="001009DC"/>
    <w:rsid w:val="001113BD"/>
    <w:rsid w:val="001D5FB4"/>
    <w:rsid w:val="00270BE1"/>
    <w:rsid w:val="00294959"/>
    <w:rsid w:val="002C61F7"/>
    <w:rsid w:val="003550AC"/>
    <w:rsid w:val="00423C6D"/>
    <w:rsid w:val="004479E5"/>
    <w:rsid w:val="004B2B21"/>
    <w:rsid w:val="0058523E"/>
    <w:rsid w:val="005F481F"/>
    <w:rsid w:val="006911F9"/>
    <w:rsid w:val="006E05BE"/>
    <w:rsid w:val="00761D56"/>
    <w:rsid w:val="007D0D61"/>
    <w:rsid w:val="007E4CA5"/>
    <w:rsid w:val="0083050D"/>
    <w:rsid w:val="008D4EE8"/>
    <w:rsid w:val="009224FE"/>
    <w:rsid w:val="009444C8"/>
    <w:rsid w:val="00983ED0"/>
    <w:rsid w:val="00A566D5"/>
    <w:rsid w:val="00A641FB"/>
    <w:rsid w:val="00AE30B0"/>
    <w:rsid w:val="00B226B8"/>
    <w:rsid w:val="00B701B7"/>
    <w:rsid w:val="00B92181"/>
    <w:rsid w:val="00BA1A55"/>
    <w:rsid w:val="00C17F01"/>
    <w:rsid w:val="00C50B26"/>
    <w:rsid w:val="00C77BB5"/>
    <w:rsid w:val="00C85F20"/>
    <w:rsid w:val="00D91EDB"/>
    <w:rsid w:val="00E80370"/>
    <w:rsid w:val="00EA40E8"/>
    <w:rsid w:val="00F66F31"/>
    <w:rsid w:val="00F74A57"/>
    <w:rsid w:val="00FE1942"/>
    <w:rsid w:val="00FF488A"/>
    <w:rsid w:val="011078C7"/>
    <w:rsid w:val="01140C7D"/>
    <w:rsid w:val="011C44BE"/>
    <w:rsid w:val="01233A9E"/>
    <w:rsid w:val="01255120"/>
    <w:rsid w:val="01260E98"/>
    <w:rsid w:val="01282E62"/>
    <w:rsid w:val="01325A8F"/>
    <w:rsid w:val="01395070"/>
    <w:rsid w:val="013B4944"/>
    <w:rsid w:val="013E4434"/>
    <w:rsid w:val="013E4C4F"/>
    <w:rsid w:val="0159301C"/>
    <w:rsid w:val="015B4FE6"/>
    <w:rsid w:val="015C3F54"/>
    <w:rsid w:val="016C2D4F"/>
    <w:rsid w:val="016E2F6B"/>
    <w:rsid w:val="016F283F"/>
    <w:rsid w:val="01722330"/>
    <w:rsid w:val="017D14E1"/>
    <w:rsid w:val="017D4F5C"/>
    <w:rsid w:val="018067FB"/>
    <w:rsid w:val="01814321"/>
    <w:rsid w:val="018A1427"/>
    <w:rsid w:val="019422A6"/>
    <w:rsid w:val="01A00C4B"/>
    <w:rsid w:val="01A31ABB"/>
    <w:rsid w:val="01A73D87"/>
    <w:rsid w:val="01AA5061"/>
    <w:rsid w:val="01AC75F0"/>
    <w:rsid w:val="01AF0E8E"/>
    <w:rsid w:val="01B14C06"/>
    <w:rsid w:val="01B66AA1"/>
    <w:rsid w:val="01BB5A85"/>
    <w:rsid w:val="01BD35AB"/>
    <w:rsid w:val="01BE2FAC"/>
    <w:rsid w:val="01BF5575"/>
    <w:rsid w:val="01C34939"/>
    <w:rsid w:val="01C963F3"/>
    <w:rsid w:val="01CE3A0A"/>
    <w:rsid w:val="01D152A8"/>
    <w:rsid w:val="01D23F28"/>
    <w:rsid w:val="01D8482B"/>
    <w:rsid w:val="01D86637"/>
    <w:rsid w:val="01DB6127"/>
    <w:rsid w:val="01DF5C17"/>
    <w:rsid w:val="01E23011"/>
    <w:rsid w:val="01E943A0"/>
    <w:rsid w:val="01EA0118"/>
    <w:rsid w:val="01EA636A"/>
    <w:rsid w:val="01EC5C3E"/>
    <w:rsid w:val="01EF572E"/>
    <w:rsid w:val="01F62F61"/>
    <w:rsid w:val="01F66ABD"/>
    <w:rsid w:val="01FE5971"/>
    <w:rsid w:val="020044B1"/>
    <w:rsid w:val="0204567E"/>
    <w:rsid w:val="02072A78"/>
    <w:rsid w:val="020A383A"/>
    <w:rsid w:val="020F7B7E"/>
    <w:rsid w:val="02117D9A"/>
    <w:rsid w:val="021358C1"/>
    <w:rsid w:val="02145195"/>
    <w:rsid w:val="02151639"/>
    <w:rsid w:val="021A09FD"/>
    <w:rsid w:val="021B4775"/>
    <w:rsid w:val="021D673F"/>
    <w:rsid w:val="02251150"/>
    <w:rsid w:val="022A49B8"/>
    <w:rsid w:val="022C6982"/>
    <w:rsid w:val="022E6257"/>
    <w:rsid w:val="023A4BFB"/>
    <w:rsid w:val="023B0973"/>
    <w:rsid w:val="023D46EC"/>
    <w:rsid w:val="02447828"/>
    <w:rsid w:val="02511314"/>
    <w:rsid w:val="02515FCF"/>
    <w:rsid w:val="02535CBD"/>
    <w:rsid w:val="02551A35"/>
    <w:rsid w:val="02581525"/>
    <w:rsid w:val="026D3223"/>
    <w:rsid w:val="02702D13"/>
    <w:rsid w:val="027433E3"/>
    <w:rsid w:val="02866093"/>
    <w:rsid w:val="02867E41"/>
    <w:rsid w:val="0288005D"/>
    <w:rsid w:val="02987B74"/>
    <w:rsid w:val="029C3B08"/>
    <w:rsid w:val="02A97FD3"/>
    <w:rsid w:val="02B23EDB"/>
    <w:rsid w:val="02B524D4"/>
    <w:rsid w:val="02B63EF1"/>
    <w:rsid w:val="02B80216"/>
    <w:rsid w:val="02BA5D3C"/>
    <w:rsid w:val="02D0730E"/>
    <w:rsid w:val="02D54924"/>
    <w:rsid w:val="02F32FFC"/>
    <w:rsid w:val="03084CFA"/>
    <w:rsid w:val="03166EE3"/>
    <w:rsid w:val="03192A63"/>
    <w:rsid w:val="031C2553"/>
    <w:rsid w:val="032B09E8"/>
    <w:rsid w:val="033124A2"/>
    <w:rsid w:val="033B6E7D"/>
    <w:rsid w:val="033E696D"/>
    <w:rsid w:val="03463A74"/>
    <w:rsid w:val="034D095E"/>
    <w:rsid w:val="035166A0"/>
    <w:rsid w:val="035565DF"/>
    <w:rsid w:val="035B751F"/>
    <w:rsid w:val="0361440A"/>
    <w:rsid w:val="03655CA8"/>
    <w:rsid w:val="03685798"/>
    <w:rsid w:val="036A1510"/>
    <w:rsid w:val="03816C7A"/>
    <w:rsid w:val="03822048"/>
    <w:rsid w:val="03942A31"/>
    <w:rsid w:val="03A34A22"/>
    <w:rsid w:val="03AF1619"/>
    <w:rsid w:val="03AF33C7"/>
    <w:rsid w:val="03B31109"/>
    <w:rsid w:val="03B95FF4"/>
    <w:rsid w:val="03BD3D36"/>
    <w:rsid w:val="03BE185C"/>
    <w:rsid w:val="03C50E3C"/>
    <w:rsid w:val="03E70DB3"/>
    <w:rsid w:val="03EF5EB9"/>
    <w:rsid w:val="03F4037C"/>
    <w:rsid w:val="03F4702C"/>
    <w:rsid w:val="03F60FF6"/>
    <w:rsid w:val="03F67248"/>
    <w:rsid w:val="03FF60FC"/>
    <w:rsid w:val="040354C1"/>
    <w:rsid w:val="04071455"/>
    <w:rsid w:val="04073203"/>
    <w:rsid w:val="04123CC2"/>
    <w:rsid w:val="041651F4"/>
    <w:rsid w:val="04172B32"/>
    <w:rsid w:val="041871BE"/>
    <w:rsid w:val="041D47D5"/>
    <w:rsid w:val="04206073"/>
    <w:rsid w:val="042E0790"/>
    <w:rsid w:val="04497102"/>
    <w:rsid w:val="044E7D8A"/>
    <w:rsid w:val="04504BAA"/>
    <w:rsid w:val="04576AAB"/>
    <w:rsid w:val="04620439"/>
    <w:rsid w:val="046917C8"/>
    <w:rsid w:val="046D304D"/>
    <w:rsid w:val="046E3282"/>
    <w:rsid w:val="047D5273"/>
    <w:rsid w:val="048246C2"/>
    <w:rsid w:val="04826309"/>
    <w:rsid w:val="04836EC1"/>
    <w:rsid w:val="04844854"/>
    <w:rsid w:val="048D195A"/>
    <w:rsid w:val="048E122E"/>
    <w:rsid w:val="048E509B"/>
    <w:rsid w:val="049814B9"/>
    <w:rsid w:val="04A10F62"/>
    <w:rsid w:val="04A24CDA"/>
    <w:rsid w:val="04B05649"/>
    <w:rsid w:val="04B52C5F"/>
    <w:rsid w:val="04BC3FEE"/>
    <w:rsid w:val="04C15F05"/>
    <w:rsid w:val="04C2712A"/>
    <w:rsid w:val="04C82992"/>
    <w:rsid w:val="04C95EF8"/>
    <w:rsid w:val="04D255BF"/>
    <w:rsid w:val="04D72BD5"/>
    <w:rsid w:val="04E142F5"/>
    <w:rsid w:val="04E470A0"/>
    <w:rsid w:val="04EB48D3"/>
    <w:rsid w:val="04EB6681"/>
    <w:rsid w:val="04F217BD"/>
    <w:rsid w:val="04F75026"/>
    <w:rsid w:val="04F82B4C"/>
    <w:rsid w:val="05031C1C"/>
    <w:rsid w:val="050B0AD1"/>
    <w:rsid w:val="050F05C1"/>
    <w:rsid w:val="050F6813"/>
    <w:rsid w:val="051200B1"/>
    <w:rsid w:val="05123C0E"/>
    <w:rsid w:val="051554AC"/>
    <w:rsid w:val="051C4A8C"/>
    <w:rsid w:val="05241B93"/>
    <w:rsid w:val="05257DE5"/>
    <w:rsid w:val="052A53FB"/>
    <w:rsid w:val="052D4EEB"/>
    <w:rsid w:val="053022E6"/>
    <w:rsid w:val="05465FAD"/>
    <w:rsid w:val="05595CE0"/>
    <w:rsid w:val="055C132D"/>
    <w:rsid w:val="055C30DB"/>
    <w:rsid w:val="055E6E53"/>
    <w:rsid w:val="055F2BCB"/>
    <w:rsid w:val="056326BB"/>
    <w:rsid w:val="056C5A14"/>
    <w:rsid w:val="057523EE"/>
    <w:rsid w:val="058645FB"/>
    <w:rsid w:val="058E7EB0"/>
    <w:rsid w:val="05921402"/>
    <w:rsid w:val="05940AC6"/>
    <w:rsid w:val="05964F85"/>
    <w:rsid w:val="059934CE"/>
    <w:rsid w:val="059D3E1F"/>
    <w:rsid w:val="059E7B97"/>
    <w:rsid w:val="05A351AD"/>
    <w:rsid w:val="05A358B6"/>
    <w:rsid w:val="05A970F3"/>
    <w:rsid w:val="05A97997"/>
    <w:rsid w:val="05B64EE1"/>
    <w:rsid w:val="05B747B5"/>
    <w:rsid w:val="05B8311D"/>
    <w:rsid w:val="05C80770"/>
    <w:rsid w:val="05CB55DA"/>
    <w:rsid w:val="05D13AC9"/>
    <w:rsid w:val="05EA4B8A"/>
    <w:rsid w:val="05EC0902"/>
    <w:rsid w:val="05EF3F4F"/>
    <w:rsid w:val="05F11A75"/>
    <w:rsid w:val="05F15F19"/>
    <w:rsid w:val="05F2086C"/>
    <w:rsid w:val="05F31C91"/>
    <w:rsid w:val="05F45A09"/>
    <w:rsid w:val="05F94DCD"/>
    <w:rsid w:val="06020126"/>
    <w:rsid w:val="060379FA"/>
    <w:rsid w:val="061B11E8"/>
    <w:rsid w:val="061F2A86"/>
    <w:rsid w:val="062736E9"/>
    <w:rsid w:val="06277B8D"/>
    <w:rsid w:val="062956B3"/>
    <w:rsid w:val="062A142B"/>
    <w:rsid w:val="06383B48"/>
    <w:rsid w:val="063D115E"/>
    <w:rsid w:val="06471FDD"/>
    <w:rsid w:val="06587D46"/>
    <w:rsid w:val="065D49C9"/>
    <w:rsid w:val="06620BC5"/>
    <w:rsid w:val="066527F7"/>
    <w:rsid w:val="06695AAF"/>
    <w:rsid w:val="066D7B6C"/>
    <w:rsid w:val="066E30C6"/>
    <w:rsid w:val="068A52EB"/>
    <w:rsid w:val="06913258"/>
    <w:rsid w:val="06930D7E"/>
    <w:rsid w:val="0696086E"/>
    <w:rsid w:val="0696261C"/>
    <w:rsid w:val="06994F4A"/>
    <w:rsid w:val="06A42F8B"/>
    <w:rsid w:val="06B156A8"/>
    <w:rsid w:val="06BD229F"/>
    <w:rsid w:val="06C158EB"/>
    <w:rsid w:val="06C4362D"/>
    <w:rsid w:val="06D03D80"/>
    <w:rsid w:val="06D66EBD"/>
    <w:rsid w:val="06DA4BFF"/>
    <w:rsid w:val="06E415DA"/>
    <w:rsid w:val="06E72E78"/>
    <w:rsid w:val="06E8731C"/>
    <w:rsid w:val="06ED4932"/>
    <w:rsid w:val="06F04422"/>
    <w:rsid w:val="06FA2BAB"/>
    <w:rsid w:val="06FC6923"/>
    <w:rsid w:val="070C28DE"/>
    <w:rsid w:val="071874D5"/>
    <w:rsid w:val="071E0F8F"/>
    <w:rsid w:val="072B7208"/>
    <w:rsid w:val="0733430F"/>
    <w:rsid w:val="074327A4"/>
    <w:rsid w:val="074D3623"/>
    <w:rsid w:val="07603356"/>
    <w:rsid w:val="0768220B"/>
    <w:rsid w:val="076B2C9B"/>
    <w:rsid w:val="07706DBE"/>
    <w:rsid w:val="077433C6"/>
    <w:rsid w:val="07746E01"/>
    <w:rsid w:val="07797F74"/>
    <w:rsid w:val="077A1F3E"/>
    <w:rsid w:val="07866B35"/>
    <w:rsid w:val="07893F2F"/>
    <w:rsid w:val="078F59E9"/>
    <w:rsid w:val="07966D78"/>
    <w:rsid w:val="079923C4"/>
    <w:rsid w:val="079E5C2C"/>
    <w:rsid w:val="07A07BF6"/>
    <w:rsid w:val="07BB058C"/>
    <w:rsid w:val="07BE1E2B"/>
    <w:rsid w:val="07C440E8"/>
    <w:rsid w:val="07C5765D"/>
    <w:rsid w:val="07CF5DE6"/>
    <w:rsid w:val="07D21D7A"/>
    <w:rsid w:val="07D23B28"/>
    <w:rsid w:val="07D57174"/>
    <w:rsid w:val="07DC6755"/>
    <w:rsid w:val="07E07FF3"/>
    <w:rsid w:val="07E21FBD"/>
    <w:rsid w:val="07E6312F"/>
    <w:rsid w:val="07ED0962"/>
    <w:rsid w:val="07EF46DA"/>
    <w:rsid w:val="07EF6488"/>
    <w:rsid w:val="07F10452"/>
    <w:rsid w:val="07F95559"/>
    <w:rsid w:val="07FA0143"/>
    <w:rsid w:val="080A371B"/>
    <w:rsid w:val="08202AE5"/>
    <w:rsid w:val="082B571B"/>
    <w:rsid w:val="083420ED"/>
    <w:rsid w:val="0837398B"/>
    <w:rsid w:val="08393BA7"/>
    <w:rsid w:val="083E2F6B"/>
    <w:rsid w:val="084F5179"/>
    <w:rsid w:val="08510EF1"/>
    <w:rsid w:val="0854453D"/>
    <w:rsid w:val="08591B53"/>
    <w:rsid w:val="08670714"/>
    <w:rsid w:val="0869448C"/>
    <w:rsid w:val="086E1AA3"/>
    <w:rsid w:val="087150EF"/>
    <w:rsid w:val="08726929"/>
    <w:rsid w:val="087846CF"/>
    <w:rsid w:val="087B5F6E"/>
    <w:rsid w:val="087B7D1C"/>
    <w:rsid w:val="08874912"/>
    <w:rsid w:val="088F37C7"/>
    <w:rsid w:val="08901A19"/>
    <w:rsid w:val="08940DDD"/>
    <w:rsid w:val="089B03BE"/>
    <w:rsid w:val="089B216C"/>
    <w:rsid w:val="089D5EE4"/>
    <w:rsid w:val="089F7EAE"/>
    <w:rsid w:val="08A515BF"/>
    <w:rsid w:val="08AE6343"/>
    <w:rsid w:val="08B35707"/>
    <w:rsid w:val="08BB280E"/>
    <w:rsid w:val="08C16076"/>
    <w:rsid w:val="08C72F61"/>
    <w:rsid w:val="08CB2A51"/>
    <w:rsid w:val="08CF1E16"/>
    <w:rsid w:val="08D37B58"/>
    <w:rsid w:val="08D613F6"/>
    <w:rsid w:val="08DC4C5E"/>
    <w:rsid w:val="08E41D65"/>
    <w:rsid w:val="08E91129"/>
    <w:rsid w:val="08F8223F"/>
    <w:rsid w:val="08FC70AE"/>
    <w:rsid w:val="08FE0F34"/>
    <w:rsid w:val="09016473"/>
    <w:rsid w:val="09023F99"/>
    <w:rsid w:val="09024A32"/>
    <w:rsid w:val="09246605"/>
    <w:rsid w:val="0926412B"/>
    <w:rsid w:val="092D54BA"/>
    <w:rsid w:val="092E2FE0"/>
    <w:rsid w:val="093700E7"/>
    <w:rsid w:val="093C74AB"/>
    <w:rsid w:val="093D3223"/>
    <w:rsid w:val="093F6F9B"/>
    <w:rsid w:val="094445B2"/>
    <w:rsid w:val="0952382A"/>
    <w:rsid w:val="095347F5"/>
    <w:rsid w:val="09554CD5"/>
    <w:rsid w:val="095552CC"/>
    <w:rsid w:val="095567BF"/>
    <w:rsid w:val="095C5D9F"/>
    <w:rsid w:val="095D5673"/>
    <w:rsid w:val="095E1336"/>
    <w:rsid w:val="09684744"/>
    <w:rsid w:val="096864F2"/>
    <w:rsid w:val="097430E9"/>
    <w:rsid w:val="0983157E"/>
    <w:rsid w:val="09866978"/>
    <w:rsid w:val="098A290C"/>
    <w:rsid w:val="098D7D07"/>
    <w:rsid w:val="098E102A"/>
    <w:rsid w:val="099C43EE"/>
    <w:rsid w:val="09A11A04"/>
    <w:rsid w:val="09A3752A"/>
    <w:rsid w:val="09A80FE4"/>
    <w:rsid w:val="09A92667"/>
    <w:rsid w:val="09AA4D5C"/>
    <w:rsid w:val="09B434E5"/>
    <w:rsid w:val="09B5725D"/>
    <w:rsid w:val="09BF1E8A"/>
    <w:rsid w:val="09C0632E"/>
    <w:rsid w:val="09C65D3C"/>
    <w:rsid w:val="09D04097"/>
    <w:rsid w:val="09D122E9"/>
    <w:rsid w:val="09DC7F62"/>
    <w:rsid w:val="09DF42DA"/>
    <w:rsid w:val="09E0252C"/>
    <w:rsid w:val="09E87633"/>
    <w:rsid w:val="09F064E7"/>
    <w:rsid w:val="09F91840"/>
    <w:rsid w:val="09F9539C"/>
    <w:rsid w:val="0A03446D"/>
    <w:rsid w:val="0A083831"/>
    <w:rsid w:val="0A1C108A"/>
    <w:rsid w:val="0A232419"/>
    <w:rsid w:val="0A2D14EA"/>
    <w:rsid w:val="0A2D5046"/>
    <w:rsid w:val="0A402FCB"/>
    <w:rsid w:val="0A4C5E14"/>
    <w:rsid w:val="0A51342A"/>
    <w:rsid w:val="0A556F05"/>
    <w:rsid w:val="0A5F7AC8"/>
    <w:rsid w:val="0A6273E5"/>
    <w:rsid w:val="0A650C83"/>
    <w:rsid w:val="0A6F1B02"/>
    <w:rsid w:val="0A6F38B0"/>
    <w:rsid w:val="0A7315F2"/>
    <w:rsid w:val="0A762E91"/>
    <w:rsid w:val="0A79472F"/>
    <w:rsid w:val="0A821835"/>
    <w:rsid w:val="0A8455AD"/>
    <w:rsid w:val="0A892BC4"/>
    <w:rsid w:val="0A9357F1"/>
    <w:rsid w:val="0A9D666F"/>
    <w:rsid w:val="0AA7129C"/>
    <w:rsid w:val="0AAE6186"/>
    <w:rsid w:val="0AAF1EFF"/>
    <w:rsid w:val="0AB47515"/>
    <w:rsid w:val="0AB94B2B"/>
    <w:rsid w:val="0ABA2D7D"/>
    <w:rsid w:val="0ABF2726"/>
    <w:rsid w:val="0AC27E84"/>
    <w:rsid w:val="0AC92FC0"/>
    <w:rsid w:val="0ACE6829"/>
    <w:rsid w:val="0AD41965"/>
    <w:rsid w:val="0AD55E09"/>
    <w:rsid w:val="0AD656DD"/>
    <w:rsid w:val="0ADD2F10"/>
    <w:rsid w:val="0ADD4CBE"/>
    <w:rsid w:val="0ADF0A36"/>
    <w:rsid w:val="0AE55920"/>
    <w:rsid w:val="0AEA2F37"/>
    <w:rsid w:val="0AEC6CAF"/>
    <w:rsid w:val="0AF142C5"/>
    <w:rsid w:val="0AFF4C34"/>
    <w:rsid w:val="0B0A1CC8"/>
    <w:rsid w:val="0B154457"/>
    <w:rsid w:val="0B177AFB"/>
    <w:rsid w:val="0B1A381C"/>
    <w:rsid w:val="0B27202A"/>
    <w:rsid w:val="0B2E5519"/>
    <w:rsid w:val="0B30303F"/>
    <w:rsid w:val="0B316DB7"/>
    <w:rsid w:val="0B3C19E4"/>
    <w:rsid w:val="0B3E2E09"/>
    <w:rsid w:val="0B5036E2"/>
    <w:rsid w:val="0B574A70"/>
    <w:rsid w:val="0B582596"/>
    <w:rsid w:val="0B5D195B"/>
    <w:rsid w:val="0B61769D"/>
    <w:rsid w:val="0B674587"/>
    <w:rsid w:val="0B7078E0"/>
    <w:rsid w:val="0B7373D0"/>
    <w:rsid w:val="0B751FC0"/>
    <w:rsid w:val="0B763F9F"/>
    <w:rsid w:val="0B772A1C"/>
    <w:rsid w:val="0B792C38"/>
    <w:rsid w:val="0B7A250D"/>
    <w:rsid w:val="0B7F3FC7"/>
    <w:rsid w:val="0B845139"/>
    <w:rsid w:val="0B865355"/>
    <w:rsid w:val="0B867103"/>
    <w:rsid w:val="0B8B296C"/>
    <w:rsid w:val="0B8E420A"/>
    <w:rsid w:val="0B9C2E79"/>
    <w:rsid w:val="0B9D61FB"/>
    <w:rsid w:val="0BA94BA0"/>
    <w:rsid w:val="0BAB0918"/>
    <w:rsid w:val="0BAD4690"/>
    <w:rsid w:val="0BB13318"/>
    <w:rsid w:val="0BB35A1E"/>
    <w:rsid w:val="0BB51797"/>
    <w:rsid w:val="0BBA1C50"/>
    <w:rsid w:val="0BBD429F"/>
    <w:rsid w:val="0BBE689D"/>
    <w:rsid w:val="0BBF6171"/>
    <w:rsid w:val="0BC8771C"/>
    <w:rsid w:val="0BDA11FD"/>
    <w:rsid w:val="0BE34556"/>
    <w:rsid w:val="0BEE30CD"/>
    <w:rsid w:val="0BF24799"/>
    <w:rsid w:val="0BFA53FB"/>
    <w:rsid w:val="0C057EC4"/>
    <w:rsid w:val="0C083FBC"/>
    <w:rsid w:val="0C20417C"/>
    <w:rsid w:val="0C2A3F33"/>
    <w:rsid w:val="0C3C3C66"/>
    <w:rsid w:val="0C3D3FF4"/>
    <w:rsid w:val="0C4F1BEB"/>
    <w:rsid w:val="0C50326D"/>
    <w:rsid w:val="0C5114BF"/>
    <w:rsid w:val="0C6D2071"/>
    <w:rsid w:val="0C6E2C7C"/>
    <w:rsid w:val="0C8223BE"/>
    <w:rsid w:val="0C877CDB"/>
    <w:rsid w:val="0C992E66"/>
    <w:rsid w:val="0CA02447"/>
    <w:rsid w:val="0CAE6912"/>
    <w:rsid w:val="0CB16402"/>
    <w:rsid w:val="0CBB4B8B"/>
    <w:rsid w:val="0CBD6B55"/>
    <w:rsid w:val="0CDD2D53"/>
    <w:rsid w:val="0CE02843"/>
    <w:rsid w:val="0CE2480D"/>
    <w:rsid w:val="0CEA36C2"/>
    <w:rsid w:val="0CF307C8"/>
    <w:rsid w:val="0CF87B8D"/>
    <w:rsid w:val="0CFB142B"/>
    <w:rsid w:val="0CFD51A3"/>
    <w:rsid w:val="0CFF716D"/>
    <w:rsid w:val="0D002EE5"/>
    <w:rsid w:val="0D0522AA"/>
    <w:rsid w:val="0D093B48"/>
    <w:rsid w:val="0D0C3638"/>
    <w:rsid w:val="0D1129FD"/>
    <w:rsid w:val="0D183D8B"/>
    <w:rsid w:val="0D200E92"/>
    <w:rsid w:val="0D2546FA"/>
    <w:rsid w:val="0D2B61B4"/>
    <w:rsid w:val="0D314E4D"/>
    <w:rsid w:val="0D3861DB"/>
    <w:rsid w:val="0D3F57BC"/>
    <w:rsid w:val="0D444B80"/>
    <w:rsid w:val="0D464D9C"/>
    <w:rsid w:val="0D49663A"/>
    <w:rsid w:val="0D4E59FF"/>
    <w:rsid w:val="0D5449FA"/>
    <w:rsid w:val="0D554FDF"/>
    <w:rsid w:val="0D570D57"/>
    <w:rsid w:val="0D5A43A4"/>
    <w:rsid w:val="0D682F64"/>
    <w:rsid w:val="0D6A3EDB"/>
    <w:rsid w:val="0D780CCE"/>
    <w:rsid w:val="0D837D9E"/>
    <w:rsid w:val="0D847672"/>
    <w:rsid w:val="0D896A37"/>
    <w:rsid w:val="0D8E229F"/>
    <w:rsid w:val="0D9553DC"/>
    <w:rsid w:val="0D9E6986"/>
    <w:rsid w:val="0DA87805"/>
    <w:rsid w:val="0DA970D9"/>
    <w:rsid w:val="0DB461AA"/>
    <w:rsid w:val="0DBE0DD2"/>
    <w:rsid w:val="0DBF06AB"/>
    <w:rsid w:val="0DC42165"/>
    <w:rsid w:val="0DC65EDD"/>
    <w:rsid w:val="0DD04666"/>
    <w:rsid w:val="0DD57ECE"/>
    <w:rsid w:val="0DD8176C"/>
    <w:rsid w:val="0DD979BE"/>
    <w:rsid w:val="0DE22CAF"/>
    <w:rsid w:val="0DE46363"/>
    <w:rsid w:val="0DE819AF"/>
    <w:rsid w:val="0DED6FC6"/>
    <w:rsid w:val="0DEE0F90"/>
    <w:rsid w:val="0DF06AB6"/>
    <w:rsid w:val="0DF50570"/>
    <w:rsid w:val="0DF5231E"/>
    <w:rsid w:val="0DFA7935"/>
    <w:rsid w:val="0E016F15"/>
    <w:rsid w:val="0E032C8D"/>
    <w:rsid w:val="0E060087"/>
    <w:rsid w:val="0E0662D9"/>
    <w:rsid w:val="0E0A401C"/>
    <w:rsid w:val="0E0F33E0"/>
    <w:rsid w:val="0E166FCE"/>
    <w:rsid w:val="0E19600D"/>
    <w:rsid w:val="0E213113"/>
    <w:rsid w:val="0E252C04"/>
    <w:rsid w:val="0E2A68D3"/>
    <w:rsid w:val="0E303356"/>
    <w:rsid w:val="0E372937"/>
    <w:rsid w:val="0E4B1F3E"/>
    <w:rsid w:val="0E4C33AE"/>
    <w:rsid w:val="0E582F4D"/>
    <w:rsid w:val="0E63372C"/>
    <w:rsid w:val="0E6D26E7"/>
    <w:rsid w:val="0E72396F"/>
    <w:rsid w:val="0E745939"/>
    <w:rsid w:val="0E792F4F"/>
    <w:rsid w:val="0E7B0A75"/>
    <w:rsid w:val="0E883192"/>
    <w:rsid w:val="0E8B67DF"/>
    <w:rsid w:val="0E8D2557"/>
    <w:rsid w:val="0E8F5D32"/>
    <w:rsid w:val="0E910299"/>
    <w:rsid w:val="0E9733D5"/>
    <w:rsid w:val="0E99714E"/>
    <w:rsid w:val="0E9C4FD3"/>
    <w:rsid w:val="0E9D6BF5"/>
    <w:rsid w:val="0E9E654C"/>
    <w:rsid w:val="0EA0672E"/>
    <w:rsid w:val="0EA87391"/>
    <w:rsid w:val="0EB45D35"/>
    <w:rsid w:val="0EB977F0"/>
    <w:rsid w:val="0EBE4E06"/>
    <w:rsid w:val="0EC248F6"/>
    <w:rsid w:val="0ECE1FF2"/>
    <w:rsid w:val="0EDB32C2"/>
    <w:rsid w:val="0EDB59B8"/>
    <w:rsid w:val="0EDD34DE"/>
    <w:rsid w:val="0EE3661B"/>
    <w:rsid w:val="0EEA5BFB"/>
    <w:rsid w:val="0EED1247"/>
    <w:rsid w:val="0EEF216E"/>
    <w:rsid w:val="0F000F7B"/>
    <w:rsid w:val="0F052A35"/>
    <w:rsid w:val="0F063405"/>
    <w:rsid w:val="0F0740B7"/>
    <w:rsid w:val="0F087E2F"/>
    <w:rsid w:val="0F135152"/>
    <w:rsid w:val="0F2033CB"/>
    <w:rsid w:val="0F220EF1"/>
    <w:rsid w:val="0F2C7FC2"/>
    <w:rsid w:val="0F2E09A0"/>
    <w:rsid w:val="0F3155D8"/>
    <w:rsid w:val="0F36499C"/>
    <w:rsid w:val="0F566DED"/>
    <w:rsid w:val="0F59068B"/>
    <w:rsid w:val="0F655282"/>
    <w:rsid w:val="0F694D72"/>
    <w:rsid w:val="0F6B0AEA"/>
    <w:rsid w:val="0F7B6853"/>
    <w:rsid w:val="0F7D25CB"/>
    <w:rsid w:val="0F7D6A6F"/>
    <w:rsid w:val="0F890F70"/>
    <w:rsid w:val="0F8C280E"/>
    <w:rsid w:val="0F9B0CA3"/>
    <w:rsid w:val="0F9F0794"/>
    <w:rsid w:val="0FA22032"/>
    <w:rsid w:val="0FA30E6F"/>
    <w:rsid w:val="0FA91612"/>
    <w:rsid w:val="0FA97864"/>
    <w:rsid w:val="0FBC7598"/>
    <w:rsid w:val="0FBD6E6C"/>
    <w:rsid w:val="0FC438F8"/>
    <w:rsid w:val="0FC52DC2"/>
    <w:rsid w:val="0FCD3553"/>
    <w:rsid w:val="0FD04DF1"/>
    <w:rsid w:val="0FD61CDB"/>
    <w:rsid w:val="0FE20680"/>
    <w:rsid w:val="0FEE5277"/>
    <w:rsid w:val="1001144E"/>
    <w:rsid w:val="10014FAA"/>
    <w:rsid w:val="1004760A"/>
    <w:rsid w:val="10093E5F"/>
    <w:rsid w:val="10141182"/>
    <w:rsid w:val="101958FA"/>
    <w:rsid w:val="10196798"/>
    <w:rsid w:val="101A42BE"/>
    <w:rsid w:val="102313C5"/>
    <w:rsid w:val="10282537"/>
    <w:rsid w:val="102B0279"/>
    <w:rsid w:val="1030763E"/>
    <w:rsid w:val="103A04BC"/>
    <w:rsid w:val="104135F9"/>
    <w:rsid w:val="104258B0"/>
    <w:rsid w:val="10521CAA"/>
    <w:rsid w:val="106317C1"/>
    <w:rsid w:val="10675755"/>
    <w:rsid w:val="106D2640"/>
    <w:rsid w:val="107A6B0B"/>
    <w:rsid w:val="107C4B9D"/>
    <w:rsid w:val="1081433D"/>
    <w:rsid w:val="10837250"/>
    <w:rsid w:val="1088747A"/>
    <w:rsid w:val="10945E1E"/>
    <w:rsid w:val="109776BD"/>
    <w:rsid w:val="10A549E2"/>
    <w:rsid w:val="10A67900"/>
    <w:rsid w:val="10A735CE"/>
    <w:rsid w:val="10AF2C58"/>
    <w:rsid w:val="10B14C22"/>
    <w:rsid w:val="10B85FB1"/>
    <w:rsid w:val="10BC5375"/>
    <w:rsid w:val="10C36704"/>
    <w:rsid w:val="10C61D50"/>
    <w:rsid w:val="10D10E21"/>
    <w:rsid w:val="10D821AF"/>
    <w:rsid w:val="10DB24BE"/>
    <w:rsid w:val="10E24DDC"/>
    <w:rsid w:val="10E36DA6"/>
    <w:rsid w:val="10E50428"/>
    <w:rsid w:val="10EF12A7"/>
    <w:rsid w:val="10F13271"/>
    <w:rsid w:val="10F6698A"/>
    <w:rsid w:val="10FB40F0"/>
    <w:rsid w:val="110012C0"/>
    <w:rsid w:val="110A4333"/>
    <w:rsid w:val="110C00AB"/>
    <w:rsid w:val="110D797F"/>
    <w:rsid w:val="110F7B9B"/>
    <w:rsid w:val="1111746F"/>
    <w:rsid w:val="11140D0D"/>
    <w:rsid w:val="11146F5F"/>
    <w:rsid w:val="11166833"/>
    <w:rsid w:val="111E1B8C"/>
    <w:rsid w:val="11287383"/>
    <w:rsid w:val="11292A0B"/>
    <w:rsid w:val="11293F08"/>
    <w:rsid w:val="112A22DF"/>
    <w:rsid w:val="112F78F5"/>
    <w:rsid w:val="11421D1E"/>
    <w:rsid w:val="11457119"/>
    <w:rsid w:val="114E2471"/>
    <w:rsid w:val="11641C95"/>
    <w:rsid w:val="116457F1"/>
    <w:rsid w:val="117143B2"/>
    <w:rsid w:val="117417AC"/>
    <w:rsid w:val="117D6CED"/>
    <w:rsid w:val="117F262B"/>
    <w:rsid w:val="118063A3"/>
    <w:rsid w:val="11812847"/>
    <w:rsid w:val="11847C41"/>
    <w:rsid w:val="118B7221"/>
    <w:rsid w:val="118D3C11"/>
    <w:rsid w:val="11967974"/>
    <w:rsid w:val="119B31DD"/>
    <w:rsid w:val="119B4F8B"/>
    <w:rsid w:val="119D51A7"/>
    <w:rsid w:val="119D6F55"/>
    <w:rsid w:val="119F4A7B"/>
    <w:rsid w:val="11AC7198"/>
    <w:rsid w:val="11B5429E"/>
    <w:rsid w:val="11B81FE1"/>
    <w:rsid w:val="11B83D8F"/>
    <w:rsid w:val="11B934E8"/>
    <w:rsid w:val="11BF511D"/>
    <w:rsid w:val="11C42733"/>
    <w:rsid w:val="11C664AC"/>
    <w:rsid w:val="11CE5360"/>
    <w:rsid w:val="11D5049D"/>
    <w:rsid w:val="11D64215"/>
    <w:rsid w:val="11D81D3B"/>
    <w:rsid w:val="11DA5AB3"/>
    <w:rsid w:val="11DD55A3"/>
    <w:rsid w:val="11E521C6"/>
    <w:rsid w:val="11E608FC"/>
    <w:rsid w:val="11E626AA"/>
    <w:rsid w:val="11E701D0"/>
    <w:rsid w:val="11E9219A"/>
    <w:rsid w:val="11F21476"/>
    <w:rsid w:val="11F50B3F"/>
    <w:rsid w:val="11F528ED"/>
    <w:rsid w:val="11F56D91"/>
    <w:rsid w:val="11FA7F03"/>
    <w:rsid w:val="12011292"/>
    <w:rsid w:val="120174E4"/>
    <w:rsid w:val="1202500A"/>
    <w:rsid w:val="120945EA"/>
    <w:rsid w:val="1211524D"/>
    <w:rsid w:val="12135469"/>
    <w:rsid w:val="121A2353"/>
    <w:rsid w:val="121A67F7"/>
    <w:rsid w:val="12211934"/>
    <w:rsid w:val="12217B86"/>
    <w:rsid w:val="1226519C"/>
    <w:rsid w:val="1235718D"/>
    <w:rsid w:val="12371157"/>
    <w:rsid w:val="123A69E4"/>
    <w:rsid w:val="123D6042"/>
    <w:rsid w:val="1240066C"/>
    <w:rsid w:val="124318AA"/>
    <w:rsid w:val="124675EC"/>
    <w:rsid w:val="12486EC1"/>
    <w:rsid w:val="124D097B"/>
    <w:rsid w:val="12525F91"/>
    <w:rsid w:val="126006AE"/>
    <w:rsid w:val="126637EB"/>
    <w:rsid w:val="12665599"/>
    <w:rsid w:val="126B2BAF"/>
    <w:rsid w:val="126F08F1"/>
    <w:rsid w:val="126F6B43"/>
    <w:rsid w:val="1279351E"/>
    <w:rsid w:val="127B54E8"/>
    <w:rsid w:val="1283614B"/>
    <w:rsid w:val="129B16E6"/>
    <w:rsid w:val="129C0FBA"/>
    <w:rsid w:val="12AD766B"/>
    <w:rsid w:val="12B26A30"/>
    <w:rsid w:val="12B31436"/>
    <w:rsid w:val="12B46304"/>
    <w:rsid w:val="12BE7183"/>
    <w:rsid w:val="12C81DAF"/>
    <w:rsid w:val="12D1335A"/>
    <w:rsid w:val="12DE15D3"/>
    <w:rsid w:val="12E070F9"/>
    <w:rsid w:val="12EA7F78"/>
    <w:rsid w:val="12F40DF6"/>
    <w:rsid w:val="12F47048"/>
    <w:rsid w:val="12F62DC0"/>
    <w:rsid w:val="12FB3F33"/>
    <w:rsid w:val="1303728B"/>
    <w:rsid w:val="13144FF5"/>
    <w:rsid w:val="131D659F"/>
    <w:rsid w:val="131E6243"/>
    <w:rsid w:val="13201BEB"/>
    <w:rsid w:val="13217712"/>
    <w:rsid w:val="13272F7A"/>
    <w:rsid w:val="13294F44"/>
    <w:rsid w:val="1331204B"/>
    <w:rsid w:val="13367661"/>
    <w:rsid w:val="13392CAD"/>
    <w:rsid w:val="13394A5B"/>
    <w:rsid w:val="135950FD"/>
    <w:rsid w:val="135E2714"/>
    <w:rsid w:val="13641A07"/>
    <w:rsid w:val="136F66CF"/>
    <w:rsid w:val="137837D5"/>
    <w:rsid w:val="1380268A"/>
    <w:rsid w:val="13877EBC"/>
    <w:rsid w:val="138A3509"/>
    <w:rsid w:val="138A5FE6"/>
    <w:rsid w:val="138C102F"/>
    <w:rsid w:val="138C54D3"/>
    <w:rsid w:val="13916645"/>
    <w:rsid w:val="13A75E69"/>
    <w:rsid w:val="13AF4D1D"/>
    <w:rsid w:val="13C7650B"/>
    <w:rsid w:val="13D11138"/>
    <w:rsid w:val="13E470BD"/>
    <w:rsid w:val="13E62E35"/>
    <w:rsid w:val="13EC7D20"/>
    <w:rsid w:val="13F015BE"/>
    <w:rsid w:val="13F111F5"/>
    <w:rsid w:val="140B289C"/>
    <w:rsid w:val="140B63F8"/>
    <w:rsid w:val="140C2170"/>
    <w:rsid w:val="140E413A"/>
    <w:rsid w:val="142C45C0"/>
    <w:rsid w:val="142E0338"/>
    <w:rsid w:val="14321BD6"/>
    <w:rsid w:val="143376FC"/>
    <w:rsid w:val="14425B91"/>
    <w:rsid w:val="144C07BE"/>
    <w:rsid w:val="14524530"/>
    <w:rsid w:val="145B6D23"/>
    <w:rsid w:val="1461426A"/>
    <w:rsid w:val="14627FE2"/>
    <w:rsid w:val="146401FE"/>
    <w:rsid w:val="1473643A"/>
    <w:rsid w:val="14777F31"/>
    <w:rsid w:val="147C72F5"/>
    <w:rsid w:val="14847F58"/>
    <w:rsid w:val="148D1503"/>
    <w:rsid w:val="149208C7"/>
    <w:rsid w:val="14942891"/>
    <w:rsid w:val="149A59CD"/>
    <w:rsid w:val="14A405FA"/>
    <w:rsid w:val="14B545B5"/>
    <w:rsid w:val="14B720DC"/>
    <w:rsid w:val="14C111AC"/>
    <w:rsid w:val="14C21E3B"/>
    <w:rsid w:val="14C447F8"/>
    <w:rsid w:val="14CA0061"/>
    <w:rsid w:val="14CF1B1B"/>
    <w:rsid w:val="14D7452C"/>
    <w:rsid w:val="14D964F6"/>
    <w:rsid w:val="14DE58BA"/>
    <w:rsid w:val="14E530ED"/>
    <w:rsid w:val="14EB6229"/>
    <w:rsid w:val="14ED3D4F"/>
    <w:rsid w:val="14F450DE"/>
    <w:rsid w:val="14F96B98"/>
    <w:rsid w:val="1505553D"/>
    <w:rsid w:val="150F3CC6"/>
    <w:rsid w:val="15113EE2"/>
    <w:rsid w:val="15127C5A"/>
    <w:rsid w:val="1518015B"/>
    <w:rsid w:val="151915EB"/>
    <w:rsid w:val="151B4D60"/>
    <w:rsid w:val="15202377"/>
    <w:rsid w:val="1522229D"/>
    <w:rsid w:val="15237771"/>
    <w:rsid w:val="152F4368"/>
    <w:rsid w:val="153951E6"/>
    <w:rsid w:val="153B4ABB"/>
    <w:rsid w:val="153E0A4F"/>
    <w:rsid w:val="153E45AB"/>
    <w:rsid w:val="15400323"/>
    <w:rsid w:val="154170B6"/>
    <w:rsid w:val="154716B1"/>
    <w:rsid w:val="15543DCE"/>
    <w:rsid w:val="155B282E"/>
    <w:rsid w:val="155D0ED5"/>
    <w:rsid w:val="156E30E2"/>
    <w:rsid w:val="156F6E5A"/>
    <w:rsid w:val="1582093B"/>
    <w:rsid w:val="158521DA"/>
    <w:rsid w:val="158F3058"/>
    <w:rsid w:val="158F4E06"/>
    <w:rsid w:val="15A5287C"/>
    <w:rsid w:val="15AB50DD"/>
    <w:rsid w:val="15AC3C0A"/>
    <w:rsid w:val="15B036FB"/>
    <w:rsid w:val="15B17473"/>
    <w:rsid w:val="15B30AF5"/>
    <w:rsid w:val="15BB209F"/>
    <w:rsid w:val="15CC565E"/>
    <w:rsid w:val="15D32F45"/>
    <w:rsid w:val="15D33DF0"/>
    <w:rsid w:val="15DA1475"/>
    <w:rsid w:val="15DD0268"/>
    <w:rsid w:val="15E11B06"/>
    <w:rsid w:val="15E30600"/>
    <w:rsid w:val="15E46F00"/>
    <w:rsid w:val="15F01D49"/>
    <w:rsid w:val="15F5110D"/>
    <w:rsid w:val="15F8467B"/>
    <w:rsid w:val="160E0F55"/>
    <w:rsid w:val="160E21CF"/>
    <w:rsid w:val="160E6673"/>
    <w:rsid w:val="161517B0"/>
    <w:rsid w:val="161A0B74"/>
    <w:rsid w:val="16210154"/>
    <w:rsid w:val="162163A6"/>
    <w:rsid w:val="16225C7A"/>
    <w:rsid w:val="16273291"/>
    <w:rsid w:val="16287735"/>
    <w:rsid w:val="162A53BE"/>
    <w:rsid w:val="16481B85"/>
    <w:rsid w:val="164C2CF7"/>
    <w:rsid w:val="164E6A70"/>
    <w:rsid w:val="165A18B8"/>
    <w:rsid w:val="1662251B"/>
    <w:rsid w:val="166B5873"/>
    <w:rsid w:val="166D15EC"/>
    <w:rsid w:val="16730284"/>
    <w:rsid w:val="167364D6"/>
    <w:rsid w:val="1674297A"/>
    <w:rsid w:val="167631F1"/>
    <w:rsid w:val="16797F90"/>
    <w:rsid w:val="167C182F"/>
    <w:rsid w:val="167E55A7"/>
    <w:rsid w:val="168E3310"/>
    <w:rsid w:val="169A7F07"/>
    <w:rsid w:val="169F376F"/>
    <w:rsid w:val="16A36DBB"/>
    <w:rsid w:val="16A62408"/>
    <w:rsid w:val="16B0772A"/>
    <w:rsid w:val="16B72867"/>
    <w:rsid w:val="16C84A74"/>
    <w:rsid w:val="16CB4564"/>
    <w:rsid w:val="16D36F75"/>
    <w:rsid w:val="16D3786F"/>
    <w:rsid w:val="16D50F3F"/>
    <w:rsid w:val="16DA2E9B"/>
    <w:rsid w:val="16E34270"/>
    <w:rsid w:val="16E96798"/>
    <w:rsid w:val="16F01CA5"/>
    <w:rsid w:val="16F2564D"/>
    <w:rsid w:val="16F5513D"/>
    <w:rsid w:val="16FA2753"/>
    <w:rsid w:val="16FE3FF2"/>
    <w:rsid w:val="170B2BB3"/>
    <w:rsid w:val="17231CAA"/>
    <w:rsid w:val="17255A22"/>
    <w:rsid w:val="172B0B5F"/>
    <w:rsid w:val="1739327C"/>
    <w:rsid w:val="17465999"/>
    <w:rsid w:val="17471E3D"/>
    <w:rsid w:val="174D4F79"/>
    <w:rsid w:val="175E0F34"/>
    <w:rsid w:val="175E7186"/>
    <w:rsid w:val="17614581"/>
    <w:rsid w:val="1763479D"/>
    <w:rsid w:val="17742506"/>
    <w:rsid w:val="177B3894"/>
    <w:rsid w:val="17887D5F"/>
    <w:rsid w:val="178A5952"/>
    <w:rsid w:val="178D5376"/>
    <w:rsid w:val="178E7A6B"/>
    <w:rsid w:val="17914E66"/>
    <w:rsid w:val="17985906"/>
    <w:rsid w:val="17AD5A18"/>
    <w:rsid w:val="17AE3C6A"/>
    <w:rsid w:val="17AF353E"/>
    <w:rsid w:val="17C46792"/>
    <w:rsid w:val="17C52D61"/>
    <w:rsid w:val="17C70888"/>
    <w:rsid w:val="17C84600"/>
    <w:rsid w:val="17CF19E0"/>
    <w:rsid w:val="17CF3BE0"/>
    <w:rsid w:val="17D336D0"/>
    <w:rsid w:val="17D3547E"/>
    <w:rsid w:val="17E05DED"/>
    <w:rsid w:val="17E23913"/>
    <w:rsid w:val="17E256C1"/>
    <w:rsid w:val="17E31439"/>
    <w:rsid w:val="17EF6030"/>
    <w:rsid w:val="17F378CF"/>
    <w:rsid w:val="17F83137"/>
    <w:rsid w:val="17FD699F"/>
    <w:rsid w:val="18001FEB"/>
    <w:rsid w:val="18027B12"/>
    <w:rsid w:val="180C6BE2"/>
    <w:rsid w:val="18187335"/>
    <w:rsid w:val="181E2472"/>
    <w:rsid w:val="1824469F"/>
    <w:rsid w:val="182C4B8E"/>
    <w:rsid w:val="18335F1D"/>
    <w:rsid w:val="18356139"/>
    <w:rsid w:val="18381785"/>
    <w:rsid w:val="183A72AB"/>
    <w:rsid w:val="183D6D9C"/>
    <w:rsid w:val="18504D21"/>
    <w:rsid w:val="1850765B"/>
    <w:rsid w:val="18510A99"/>
    <w:rsid w:val="185145F5"/>
    <w:rsid w:val="18552337"/>
    <w:rsid w:val="18574301"/>
    <w:rsid w:val="185C1918"/>
    <w:rsid w:val="185D743E"/>
    <w:rsid w:val="18602A8A"/>
    <w:rsid w:val="18664544"/>
    <w:rsid w:val="186802BC"/>
    <w:rsid w:val="18707171"/>
    <w:rsid w:val="18722EE9"/>
    <w:rsid w:val="18876269"/>
    <w:rsid w:val="188E3A9B"/>
    <w:rsid w:val="189015C1"/>
    <w:rsid w:val="18952734"/>
    <w:rsid w:val="18A4506D"/>
    <w:rsid w:val="18A706B9"/>
    <w:rsid w:val="18A94431"/>
    <w:rsid w:val="18B352B0"/>
    <w:rsid w:val="18B3705E"/>
    <w:rsid w:val="18BC23B6"/>
    <w:rsid w:val="18BE612E"/>
    <w:rsid w:val="18C96881"/>
    <w:rsid w:val="18DA6CE0"/>
    <w:rsid w:val="18DC0363"/>
    <w:rsid w:val="18E13BCB"/>
    <w:rsid w:val="18E15979"/>
    <w:rsid w:val="18E37943"/>
    <w:rsid w:val="18E45FED"/>
    <w:rsid w:val="18E831AB"/>
    <w:rsid w:val="18E90CD1"/>
    <w:rsid w:val="18EA6F23"/>
    <w:rsid w:val="18F97167"/>
    <w:rsid w:val="19006747"/>
    <w:rsid w:val="1901601B"/>
    <w:rsid w:val="19031D93"/>
    <w:rsid w:val="19063631"/>
    <w:rsid w:val="19153875"/>
    <w:rsid w:val="19193365"/>
    <w:rsid w:val="191A70DD"/>
    <w:rsid w:val="191E097B"/>
    <w:rsid w:val="19232435"/>
    <w:rsid w:val="192B3098"/>
    <w:rsid w:val="192D0BBE"/>
    <w:rsid w:val="19306900"/>
    <w:rsid w:val="19324427"/>
    <w:rsid w:val="19341F4D"/>
    <w:rsid w:val="19345AE7"/>
    <w:rsid w:val="19397563"/>
    <w:rsid w:val="193A32DB"/>
    <w:rsid w:val="19481E9C"/>
    <w:rsid w:val="19483C4A"/>
    <w:rsid w:val="196071E6"/>
    <w:rsid w:val="19706CFD"/>
    <w:rsid w:val="19874772"/>
    <w:rsid w:val="198804EA"/>
    <w:rsid w:val="19923117"/>
    <w:rsid w:val="19960E59"/>
    <w:rsid w:val="19A1335A"/>
    <w:rsid w:val="19A215AC"/>
    <w:rsid w:val="19A52E4A"/>
    <w:rsid w:val="19A74E14"/>
    <w:rsid w:val="19AC41D9"/>
    <w:rsid w:val="19B1359D"/>
    <w:rsid w:val="19B47531"/>
    <w:rsid w:val="19B66E06"/>
    <w:rsid w:val="19B72B7E"/>
    <w:rsid w:val="19BC2B28"/>
    <w:rsid w:val="19C01A32"/>
    <w:rsid w:val="19C84D8B"/>
    <w:rsid w:val="19D13C3F"/>
    <w:rsid w:val="19DE010A"/>
    <w:rsid w:val="19EB786F"/>
    <w:rsid w:val="19EC2827"/>
    <w:rsid w:val="1A037B71"/>
    <w:rsid w:val="1A1A55E6"/>
    <w:rsid w:val="1A1D6E85"/>
    <w:rsid w:val="1A2C70C8"/>
    <w:rsid w:val="1A2E0F1B"/>
    <w:rsid w:val="1A332204"/>
    <w:rsid w:val="1A3441CE"/>
    <w:rsid w:val="1A473F02"/>
    <w:rsid w:val="1A501008"/>
    <w:rsid w:val="1A5605E9"/>
    <w:rsid w:val="1A5B175B"/>
    <w:rsid w:val="1A5F3E44"/>
    <w:rsid w:val="1A626F8D"/>
    <w:rsid w:val="1A642D06"/>
    <w:rsid w:val="1A67157C"/>
    <w:rsid w:val="1A69031C"/>
    <w:rsid w:val="1A6E76E0"/>
    <w:rsid w:val="1A845156"/>
    <w:rsid w:val="1A846F04"/>
    <w:rsid w:val="1A893699"/>
    <w:rsid w:val="1A930EF5"/>
    <w:rsid w:val="1A98475D"/>
    <w:rsid w:val="1A9D7FC6"/>
    <w:rsid w:val="1AA2382E"/>
    <w:rsid w:val="1AA43102"/>
    <w:rsid w:val="1AA475A6"/>
    <w:rsid w:val="1AA6099B"/>
    <w:rsid w:val="1AA67A69"/>
    <w:rsid w:val="1AAC0209"/>
    <w:rsid w:val="1AB07CF9"/>
    <w:rsid w:val="1AB84DFF"/>
    <w:rsid w:val="1ABA2925"/>
    <w:rsid w:val="1ACC4407"/>
    <w:rsid w:val="1AD0039B"/>
    <w:rsid w:val="1AD339E7"/>
    <w:rsid w:val="1AD5775F"/>
    <w:rsid w:val="1ADC0AEE"/>
    <w:rsid w:val="1ADC289C"/>
    <w:rsid w:val="1ADE4866"/>
    <w:rsid w:val="1AEB2ADF"/>
    <w:rsid w:val="1AF06347"/>
    <w:rsid w:val="1AF851FC"/>
    <w:rsid w:val="1B063DBD"/>
    <w:rsid w:val="1B067919"/>
    <w:rsid w:val="1B097409"/>
    <w:rsid w:val="1B0B373B"/>
    <w:rsid w:val="1B1639D5"/>
    <w:rsid w:val="1B19589E"/>
    <w:rsid w:val="1B245FF1"/>
    <w:rsid w:val="1B2A7AAB"/>
    <w:rsid w:val="1B464B50"/>
    <w:rsid w:val="1B486F72"/>
    <w:rsid w:val="1B4D19EC"/>
    <w:rsid w:val="1B570174"/>
    <w:rsid w:val="1B642891"/>
    <w:rsid w:val="1B66161C"/>
    <w:rsid w:val="1B7B0307"/>
    <w:rsid w:val="1B813443"/>
    <w:rsid w:val="1B851185"/>
    <w:rsid w:val="1B8D003A"/>
    <w:rsid w:val="1BAD4238"/>
    <w:rsid w:val="1BAD5FE6"/>
    <w:rsid w:val="1BAF1D5E"/>
    <w:rsid w:val="1BB13D28"/>
    <w:rsid w:val="1BB5039E"/>
    <w:rsid w:val="1BB83309"/>
    <w:rsid w:val="1BBB4BA7"/>
    <w:rsid w:val="1BBC447B"/>
    <w:rsid w:val="1BC11A92"/>
    <w:rsid w:val="1BC31CAE"/>
    <w:rsid w:val="1BC3580A"/>
    <w:rsid w:val="1BC7354C"/>
    <w:rsid w:val="1BCD7C8C"/>
    <w:rsid w:val="1BD23C9F"/>
    <w:rsid w:val="1BE804A1"/>
    <w:rsid w:val="1BE86120"/>
    <w:rsid w:val="1BF754B3"/>
    <w:rsid w:val="1C0301DF"/>
    <w:rsid w:val="1C074B5F"/>
    <w:rsid w:val="1C077DEC"/>
    <w:rsid w:val="1C0A168B"/>
    <w:rsid w:val="1C0C71B1"/>
    <w:rsid w:val="1C0D4CD7"/>
    <w:rsid w:val="1C1147C7"/>
    <w:rsid w:val="1C166281"/>
    <w:rsid w:val="1C183DA8"/>
    <w:rsid w:val="1C1B73F4"/>
    <w:rsid w:val="1C202C5C"/>
    <w:rsid w:val="1C2E5379"/>
    <w:rsid w:val="1C3246ED"/>
    <w:rsid w:val="1C3E30E2"/>
    <w:rsid w:val="1C4050AC"/>
    <w:rsid w:val="1C450915"/>
    <w:rsid w:val="1C454471"/>
    <w:rsid w:val="1C4814E4"/>
    <w:rsid w:val="1C4E1577"/>
    <w:rsid w:val="1C4E2785"/>
    <w:rsid w:val="1C580648"/>
    <w:rsid w:val="1C60574F"/>
    <w:rsid w:val="1C654B13"/>
    <w:rsid w:val="1C672639"/>
    <w:rsid w:val="1C7134B8"/>
    <w:rsid w:val="1C7B7E93"/>
    <w:rsid w:val="1C8036FB"/>
    <w:rsid w:val="1C856F63"/>
    <w:rsid w:val="1C8651B5"/>
    <w:rsid w:val="1C915908"/>
    <w:rsid w:val="1C9A2A0F"/>
    <w:rsid w:val="1C9D42AD"/>
    <w:rsid w:val="1C9D605B"/>
    <w:rsid w:val="1CA23671"/>
    <w:rsid w:val="1CA67605"/>
    <w:rsid w:val="1CA70C88"/>
    <w:rsid w:val="1CAC629E"/>
    <w:rsid w:val="1CB515F6"/>
    <w:rsid w:val="1CBA09BB"/>
    <w:rsid w:val="1CBB4733"/>
    <w:rsid w:val="1CBF5FD1"/>
    <w:rsid w:val="1CCE4466"/>
    <w:rsid w:val="1CD37CCF"/>
    <w:rsid w:val="1CDD0B4D"/>
    <w:rsid w:val="1CE43C8A"/>
    <w:rsid w:val="1CF06AD2"/>
    <w:rsid w:val="1CF814E3"/>
    <w:rsid w:val="1CFA16FF"/>
    <w:rsid w:val="1CFD2F9D"/>
    <w:rsid w:val="1D047E88"/>
    <w:rsid w:val="1D097B94"/>
    <w:rsid w:val="1D0D1417"/>
    <w:rsid w:val="1D1502E7"/>
    <w:rsid w:val="1D210A3A"/>
    <w:rsid w:val="1D230C56"/>
    <w:rsid w:val="1D28626C"/>
    <w:rsid w:val="1D2E13A9"/>
    <w:rsid w:val="1D3A5FA0"/>
    <w:rsid w:val="1D467AFD"/>
    <w:rsid w:val="1D4961E3"/>
    <w:rsid w:val="1D4B5AB7"/>
    <w:rsid w:val="1D4E55A7"/>
    <w:rsid w:val="1D5030CD"/>
    <w:rsid w:val="1D526E45"/>
    <w:rsid w:val="1D5C5F16"/>
    <w:rsid w:val="1D632B53"/>
    <w:rsid w:val="1D6A0633"/>
    <w:rsid w:val="1D8F0099"/>
    <w:rsid w:val="1D921938"/>
    <w:rsid w:val="1D9C4564"/>
    <w:rsid w:val="1DA33B45"/>
    <w:rsid w:val="1DA8115B"/>
    <w:rsid w:val="1DAA797A"/>
    <w:rsid w:val="1DAD5900"/>
    <w:rsid w:val="1DAD6772"/>
    <w:rsid w:val="1DB16262"/>
    <w:rsid w:val="1DB25B36"/>
    <w:rsid w:val="1DB418AE"/>
    <w:rsid w:val="1DB4365C"/>
    <w:rsid w:val="1DC15D79"/>
    <w:rsid w:val="1DCA10D2"/>
    <w:rsid w:val="1DCD471E"/>
    <w:rsid w:val="1DCF493A"/>
    <w:rsid w:val="1DD12460"/>
    <w:rsid w:val="1DD27F86"/>
    <w:rsid w:val="1DD45AAC"/>
    <w:rsid w:val="1DD67A76"/>
    <w:rsid w:val="1DDC7057"/>
    <w:rsid w:val="1DEA52D0"/>
    <w:rsid w:val="1DF47EFC"/>
    <w:rsid w:val="1E004AF3"/>
    <w:rsid w:val="1E026ABD"/>
    <w:rsid w:val="1E0A5972"/>
    <w:rsid w:val="1E0A7720"/>
    <w:rsid w:val="1E0F0C19"/>
    <w:rsid w:val="1E14234D"/>
    <w:rsid w:val="1E270330"/>
    <w:rsid w:val="1E2A40E0"/>
    <w:rsid w:val="1E2A64FC"/>
    <w:rsid w:val="1E472722"/>
    <w:rsid w:val="1E4A2212"/>
    <w:rsid w:val="1E4A5D6E"/>
    <w:rsid w:val="1E4C7D38"/>
    <w:rsid w:val="1E4F5A7B"/>
    <w:rsid w:val="1E546BED"/>
    <w:rsid w:val="1E581723"/>
    <w:rsid w:val="1E5906A7"/>
    <w:rsid w:val="1E614720"/>
    <w:rsid w:val="1E636E30"/>
    <w:rsid w:val="1E674B72"/>
    <w:rsid w:val="1E763007"/>
    <w:rsid w:val="1E875215"/>
    <w:rsid w:val="1E894AE9"/>
    <w:rsid w:val="1E9516DF"/>
    <w:rsid w:val="1E990AA4"/>
    <w:rsid w:val="1E9E60BA"/>
    <w:rsid w:val="1EA2204E"/>
    <w:rsid w:val="1EA27958"/>
    <w:rsid w:val="1EA731C1"/>
    <w:rsid w:val="1EB12291"/>
    <w:rsid w:val="1EB8717C"/>
    <w:rsid w:val="1EBB0A1A"/>
    <w:rsid w:val="1EC10726"/>
    <w:rsid w:val="1ECC2C27"/>
    <w:rsid w:val="1ECE2E43"/>
    <w:rsid w:val="1ED16490"/>
    <w:rsid w:val="1ED815CC"/>
    <w:rsid w:val="1EDD4E34"/>
    <w:rsid w:val="1EE2244B"/>
    <w:rsid w:val="1EE47F71"/>
    <w:rsid w:val="1EE700E8"/>
    <w:rsid w:val="1EF06916"/>
    <w:rsid w:val="1EF65EF6"/>
    <w:rsid w:val="1EFF4DAB"/>
    <w:rsid w:val="1F066139"/>
    <w:rsid w:val="1F095C2A"/>
    <w:rsid w:val="1F1433F0"/>
    <w:rsid w:val="1F1A7E37"/>
    <w:rsid w:val="1F2472DD"/>
    <w:rsid w:val="1F354C71"/>
    <w:rsid w:val="1F394761"/>
    <w:rsid w:val="1F3C1B5B"/>
    <w:rsid w:val="1F444EB4"/>
    <w:rsid w:val="1F4B4494"/>
    <w:rsid w:val="1F4D1FBA"/>
    <w:rsid w:val="1F501AAA"/>
    <w:rsid w:val="1F50752E"/>
    <w:rsid w:val="1F58270D"/>
    <w:rsid w:val="1F5E5F75"/>
    <w:rsid w:val="1F617814"/>
    <w:rsid w:val="1F62533A"/>
    <w:rsid w:val="1F6410B2"/>
    <w:rsid w:val="1F6B0692"/>
    <w:rsid w:val="1F6E1F30"/>
    <w:rsid w:val="1F6E6F3C"/>
    <w:rsid w:val="1F721A21"/>
    <w:rsid w:val="1F7E2174"/>
    <w:rsid w:val="1F813A12"/>
    <w:rsid w:val="1F843502"/>
    <w:rsid w:val="1F861028"/>
    <w:rsid w:val="1F8B2AE2"/>
    <w:rsid w:val="1F9279CD"/>
    <w:rsid w:val="1F941997"/>
    <w:rsid w:val="1FB73684"/>
    <w:rsid w:val="1FC73564"/>
    <w:rsid w:val="1FD2426D"/>
    <w:rsid w:val="1FD32E5C"/>
    <w:rsid w:val="1FE04BDC"/>
    <w:rsid w:val="1FE65F6B"/>
    <w:rsid w:val="1FE83A91"/>
    <w:rsid w:val="1FF73CD4"/>
    <w:rsid w:val="1FFB1A16"/>
    <w:rsid w:val="20000DDB"/>
    <w:rsid w:val="20026F8F"/>
    <w:rsid w:val="20054643"/>
    <w:rsid w:val="200A1C59"/>
    <w:rsid w:val="200F54C2"/>
    <w:rsid w:val="20104D96"/>
    <w:rsid w:val="20126D60"/>
    <w:rsid w:val="20234AC9"/>
    <w:rsid w:val="202A40A9"/>
    <w:rsid w:val="202C6073"/>
    <w:rsid w:val="202D1DEC"/>
    <w:rsid w:val="20340A84"/>
    <w:rsid w:val="20360C34"/>
    <w:rsid w:val="203E5DA7"/>
    <w:rsid w:val="20401B1F"/>
    <w:rsid w:val="20547378"/>
    <w:rsid w:val="205B4263"/>
    <w:rsid w:val="205D622D"/>
    <w:rsid w:val="206770AC"/>
    <w:rsid w:val="206B3A09"/>
    <w:rsid w:val="20801F1B"/>
    <w:rsid w:val="2081530D"/>
    <w:rsid w:val="20831A45"/>
    <w:rsid w:val="208714FC"/>
    <w:rsid w:val="208A2D9A"/>
    <w:rsid w:val="20914128"/>
    <w:rsid w:val="209F6845"/>
    <w:rsid w:val="20A91472"/>
    <w:rsid w:val="20BD316F"/>
    <w:rsid w:val="20CB71D8"/>
    <w:rsid w:val="20CC33B3"/>
    <w:rsid w:val="20CC6F0F"/>
    <w:rsid w:val="20D64231"/>
    <w:rsid w:val="20D67D8D"/>
    <w:rsid w:val="20DB35F6"/>
    <w:rsid w:val="20E406FC"/>
    <w:rsid w:val="20EB1A8B"/>
    <w:rsid w:val="20EF0ED6"/>
    <w:rsid w:val="20FB77F4"/>
    <w:rsid w:val="21052421"/>
    <w:rsid w:val="2107263D"/>
    <w:rsid w:val="210F504D"/>
    <w:rsid w:val="211A5ECC"/>
    <w:rsid w:val="211B1C44"/>
    <w:rsid w:val="211C7E96"/>
    <w:rsid w:val="211D59BC"/>
    <w:rsid w:val="211F1734"/>
    <w:rsid w:val="2120725A"/>
    <w:rsid w:val="21262AC3"/>
    <w:rsid w:val="212925B3"/>
    <w:rsid w:val="212B00D9"/>
    <w:rsid w:val="212B632B"/>
    <w:rsid w:val="213351E0"/>
    <w:rsid w:val="213845A4"/>
    <w:rsid w:val="213A031C"/>
    <w:rsid w:val="213C22E6"/>
    <w:rsid w:val="21464F13"/>
    <w:rsid w:val="2150195F"/>
    <w:rsid w:val="2157569F"/>
    <w:rsid w:val="2164183D"/>
    <w:rsid w:val="21674E89"/>
    <w:rsid w:val="21696E53"/>
    <w:rsid w:val="217355DC"/>
    <w:rsid w:val="217750CC"/>
    <w:rsid w:val="217A696B"/>
    <w:rsid w:val="21863561"/>
    <w:rsid w:val="21881B1F"/>
    <w:rsid w:val="2188552B"/>
    <w:rsid w:val="21976177"/>
    <w:rsid w:val="219F0AC7"/>
    <w:rsid w:val="219F4623"/>
    <w:rsid w:val="21A60522"/>
    <w:rsid w:val="21B46321"/>
    <w:rsid w:val="21BA76AF"/>
    <w:rsid w:val="21C61BB0"/>
    <w:rsid w:val="21C81DCC"/>
    <w:rsid w:val="21C916A0"/>
    <w:rsid w:val="21CB5418"/>
    <w:rsid w:val="21D06ED2"/>
    <w:rsid w:val="21D36D57"/>
    <w:rsid w:val="21D84004"/>
    <w:rsid w:val="21DC37D4"/>
    <w:rsid w:val="21DC7625"/>
    <w:rsid w:val="21E64000"/>
    <w:rsid w:val="21ED35E0"/>
    <w:rsid w:val="21F66939"/>
    <w:rsid w:val="21FE57EE"/>
    <w:rsid w:val="21FF50C2"/>
    <w:rsid w:val="2201708C"/>
    <w:rsid w:val="220254EF"/>
    <w:rsid w:val="220426D8"/>
    <w:rsid w:val="22056B7C"/>
    <w:rsid w:val="220628F4"/>
    <w:rsid w:val="220646A2"/>
    <w:rsid w:val="220B1CB9"/>
    <w:rsid w:val="22124DF5"/>
    <w:rsid w:val="22146DBF"/>
    <w:rsid w:val="222D60D3"/>
    <w:rsid w:val="22317971"/>
    <w:rsid w:val="22327245"/>
    <w:rsid w:val="223613C5"/>
    <w:rsid w:val="22393715"/>
    <w:rsid w:val="223C00C4"/>
    <w:rsid w:val="22477195"/>
    <w:rsid w:val="224D0523"/>
    <w:rsid w:val="22576CAC"/>
    <w:rsid w:val="22592A24"/>
    <w:rsid w:val="225D0766"/>
    <w:rsid w:val="22631AF5"/>
    <w:rsid w:val="22643A4F"/>
    <w:rsid w:val="226513C9"/>
    <w:rsid w:val="226C6BFB"/>
    <w:rsid w:val="22791318"/>
    <w:rsid w:val="22794E74"/>
    <w:rsid w:val="228026A7"/>
    <w:rsid w:val="22963C78"/>
    <w:rsid w:val="229E5EAD"/>
    <w:rsid w:val="229F1EE1"/>
    <w:rsid w:val="22A00653"/>
    <w:rsid w:val="22A04AF7"/>
    <w:rsid w:val="22AC6FF8"/>
    <w:rsid w:val="22B12860"/>
    <w:rsid w:val="22B20386"/>
    <w:rsid w:val="22B8599C"/>
    <w:rsid w:val="22BC1436"/>
    <w:rsid w:val="22BE6D2B"/>
    <w:rsid w:val="22C2681B"/>
    <w:rsid w:val="22C500B9"/>
    <w:rsid w:val="22C95DFC"/>
    <w:rsid w:val="22CC1448"/>
    <w:rsid w:val="22CC31F6"/>
    <w:rsid w:val="22CE3412"/>
    <w:rsid w:val="22D16A5E"/>
    <w:rsid w:val="22D30A28"/>
    <w:rsid w:val="22D447A0"/>
    <w:rsid w:val="22D4654E"/>
    <w:rsid w:val="22D84291"/>
    <w:rsid w:val="22E54E3C"/>
    <w:rsid w:val="22E83DA8"/>
    <w:rsid w:val="22EB3FC4"/>
    <w:rsid w:val="22F06E95"/>
    <w:rsid w:val="22F4099F"/>
    <w:rsid w:val="22FB1D2D"/>
    <w:rsid w:val="22FD3CF7"/>
    <w:rsid w:val="230010F2"/>
    <w:rsid w:val="230230BC"/>
    <w:rsid w:val="2309269C"/>
    <w:rsid w:val="230E380E"/>
    <w:rsid w:val="23133E1D"/>
    <w:rsid w:val="231352C9"/>
    <w:rsid w:val="23151041"/>
    <w:rsid w:val="2318468D"/>
    <w:rsid w:val="2318643B"/>
    <w:rsid w:val="231D6147"/>
    <w:rsid w:val="231F3C6E"/>
    <w:rsid w:val="232402E6"/>
    <w:rsid w:val="23243032"/>
    <w:rsid w:val="23305E7B"/>
    <w:rsid w:val="233139A1"/>
    <w:rsid w:val="233A4603"/>
    <w:rsid w:val="23447230"/>
    <w:rsid w:val="234C4337"/>
    <w:rsid w:val="234F5BD5"/>
    <w:rsid w:val="235558E1"/>
    <w:rsid w:val="235651B5"/>
    <w:rsid w:val="235B27CC"/>
    <w:rsid w:val="2366364A"/>
    <w:rsid w:val="23675615"/>
    <w:rsid w:val="23694EE9"/>
    <w:rsid w:val="2372299A"/>
    <w:rsid w:val="237A70F6"/>
    <w:rsid w:val="23843AD1"/>
    <w:rsid w:val="238A445D"/>
    <w:rsid w:val="239C52BE"/>
    <w:rsid w:val="239F090A"/>
    <w:rsid w:val="23AF726E"/>
    <w:rsid w:val="23B048C6"/>
    <w:rsid w:val="23B32608"/>
    <w:rsid w:val="23C95987"/>
    <w:rsid w:val="23CE7442"/>
    <w:rsid w:val="23DA1943"/>
    <w:rsid w:val="23DA7B95"/>
    <w:rsid w:val="23E72D7E"/>
    <w:rsid w:val="23EB7FF4"/>
    <w:rsid w:val="23EE53EE"/>
    <w:rsid w:val="23FA0237"/>
    <w:rsid w:val="24015121"/>
    <w:rsid w:val="2403533D"/>
    <w:rsid w:val="240F3CE2"/>
    <w:rsid w:val="24134E54"/>
    <w:rsid w:val="24170DE9"/>
    <w:rsid w:val="2432177F"/>
    <w:rsid w:val="24374FE7"/>
    <w:rsid w:val="24376D95"/>
    <w:rsid w:val="24431BDE"/>
    <w:rsid w:val="2446347C"/>
    <w:rsid w:val="24561B4D"/>
    <w:rsid w:val="24572F93"/>
    <w:rsid w:val="24681644"/>
    <w:rsid w:val="24687AF0"/>
    <w:rsid w:val="246F29D3"/>
    <w:rsid w:val="247955FF"/>
    <w:rsid w:val="247C0C4C"/>
    <w:rsid w:val="247C6455"/>
    <w:rsid w:val="24877D1C"/>
    <w:rsid w:val="24885842"/>
    <w:rsid w:val="248B03A6"/>
    <w:rsid w:val="24A51F50"/>
    <w:rsid w:val="24A7216D"/>
    <w:rsid w:val="24A87C93"/>
    <w:rsid w:val="24B30B11"/>
    <w:rsid w:val="24BB7D8E"/>
    <w:rsid w:val="24C22B02"/>
    <w:rsid w:val="24C85C3F"/>
    <w:rsid w:val="24CD76F9"/>
    <w:rsid w:val="24D32F62"/>
    <w:rsid w:val="24D46CDA"/>
    <w:rsid w:val="24E76A0D"/>
    <w:rsid w:val="24EA02AB"/>
    <w:rsid w:val="24EF7670"/>
    <w:rsid w:val="24FE78B3"/>
    <w:rsid w:val="25056E93"/>
    <w:rsid w:val="25070E5D"/>
    <w:rsid w:val="25090731"/>
    <w:rsid w:val="250A44A9"/>
    <w:rsid w:val="250E5D48"/>
    <w:rsid w:val="25115838"/>
    <w:rsid w:val="25184E18"/>
    <w:rsid w:val="251B7D5E"/>
    <w:rsid w:val="251D41DD"/>
    <w:rsid w:val="25203CCD"/>
    <w:rsid w:val="252A68FA"/>
    <w:rsid w:val="252F1AE8"/>
    <w:rsid w:val="25311A36"/>
    <w:rsid w:val="25331C52"/>
    <w:rsid w:val="25333A00"/>
    <w:rsid w:val="253357AE"/>
    <w:rsid w:val="253C3E23"/>
    <w:rsid w:val="253D487F"/>
    <w:rsid w:val="254C6870"/>
    <w:rsid w:val="2565282D"/>
    <w:rsid w:val="25697422"/>
    <w:rsid w:val="256B13EC"/>
    <w:rsid w:val="256E67E6"/>
    <w:rsid w:val="25740E92"/>
    <w:rsid w:val="25755DC7"/>
    <w:rsid w:val="25757B75"/>
    <w:rsid w:val="258129BE"/>
    <w:rsid w:val="258B55EA"/>
    <w:rsid w:val="258C3110"/>
    <w:rsid w:val="259049AF"/>
    <w:rsid w:val="25916979"/>
    <w:rsid w:val="25A246E2"/>
    <w:rsid w:val="25A466AC"/>
    <w:rsid w:val="25A77F4A"/>
    <w:rsid w:val="25AE12D9"/>
    <w:rsid w:val="25AF576B"/>
    <w:rsid w:val="25B40CD0"/>
    <w:rsid w:val="25B82157"/>
    <w:rsid w:val="25B83F05"/>
    <w:rsid w:val="25BA7C7E"/>
    <w:rsid w:val="25C24D84"/>
    <w:rsid w:val="25D6438C"/>
    <w:rsid w:val="25D725DE"/>
    <w:rsid w:val="25E116AE"/>
    <w:rsid w:val="25E371D4"/>
    <w:rsid w:val="25E847EB"/>
    <w:rsid w:val="25EB42DB"/>
    <w:rsid w:val="25EE7927"/>
    <w:rsid w:val="25F413E1"/>
    <w:rsid w:val="25FF7D86"/>
    <w:rsid w:val="260158AC"/>
    <w:rsid w:val="2601765A"/>
    <w:rsid w:val="26064C71"/>
    <w:rsid w:val="26086C3B"/>
    <w:rsid w:val="260E7FC9"/>
    <w:rsid w:val="26177E4F"/>
    <w:rsid w:val="261C4494"/>
    <w:rsid w:val="261E52E3"/>
    <w:rsid w:val="261F21D6"/>
    <w:rsid w:val="261F3F85"/>
    <w:rsid w:val="26265313"/>
    <w:rsid w:val="2628031E"/>
    <w:rsid w:val="26321F0A"/>
    <w:rsid w:val="263317DE"/>
    <w:rsid w:val="265005E2"/>
    <w:rsid w:val="26516A31"/>
    <w:rsid w:val="26541E80"/>
    <w:rsid w:val="265C24B0"/>
    <w:rsid w:val="265E07A1"/>
    <w:rsid w:val="26633E71"/>
    <w:rsid w:val="26644CF8"/>
    <w:rsid w:val="266F6CBA"/>
    <w:rsid w:val="267267AA"/>
    <w:rsid w:val="26761D5F"/>
    <w:rsid w:val="269C7383"/>
    <w:rsid w:val="26B02A3C"/>
    <w:rsid w:val="26B24DF9"/>
    <w:rsid w:val="26B741BD"/>
    <w:rsid w:val="26C62652"/>
    <w:rsid w:val="26D703BB"/>
    <w:rsid w:val="26D7660D"/>
    <w:rsid w:val="26E21545"/>
    <w:rsid w:val="26E7357D"/>
    <w:rsid w:val="26E8081A"/>
    <w:rsid w:val="26E8154E"/>
    <w:rsid w:val="26F45411"/>
    <w:rsid w:val="26FC7E22"/>
    <w:rsid w:val="27076EF2"/>
    <w:rsid w:val="270D202F"/>
    <w:rsid w:val="270F7B55"/>
    <w:rsid w:val="271138CD"/>
    <w:rsid w:val="27280C17"/>
    <w:rsid w:val="272950BB"/>
    <w:rsid w:val="273870AC"/>
    <w:rsid w:val="27433CA3"/>
    <w:rsid w:val="27473793"/>
    <w:rsid w:val="274912B9"/>
    <w:rsid w:val="27532138"/>
    <w:rsid w:val="275639D6"/>
    <w:rsid w:val="27595274"/>
    <w:rsid w:val="276500BD"/>
    <w:rsid w:val="276A7481"/>
    <w:rsid w:val="276C31F9"/>
    <w:rsid w:val="27787DF0"/>
    <w:rsid w:val="278C73F8"/>
    <w:rsid w:val="278E3170"/>
    <w:rsid w:val="278E4F1E"/>
    <w:rsid w:val="27910EB2"/>
    <w:rsid w:val="27914A0E"/>
    <w:rsid w:val="279B763B"/>
    <w:rsid w:val="27AB3D22"/>
    <w:rsid w:val="27B506FD"/>
    <w:rsid w:val="27B801ED"/>
    <w:rsid w:val="27BB65D1"/>
    <w:rsid w:val="27BF77CD"/>
    <w:rsid w:val="27C052F3"/>
    <w:rsid w:val="27C60B5C"/>
    <w:rsid w:val="27C6290A"/>
    <w:rsid w:val="27C76682"/>
    <w:rsid w:val="27CB6172"/>
    <w:rsid w:val="27D05536"/>
    <w:rsid w:val="27D8088F"/>
    <w:rsid w:val="27E17743"/>
    <w:rsid w:val="27E40FE2"/>
    <w:rsid w:val="27E86D24"/>
    <w:rsid w:val="27EB05C2"/>
    <w:rsid w:val="27F42ED2"/>
    <w:rsid w:val="27F76F67"/>
    <w:rsid w:val="28017DE6"/>
    <w:rsid w:val="28072F22"/>
    <w:rsid w:val="28090A48"/>
    <w:rsid w:val="28096C9A"/>
    <w:rsid w:val="28125B4F"/>
    <w:rsid w:val="28131C63"/>
    <w:rsid w:val="281D62A2"/>
    <w:rsid w:val="281F201A"/>
    <w:rsid w:val="282074C9"/>
    <w:rsid w:val="282B09BF"/>
    <w:rsid w:val="28321D4D"/>
    <w:rsid w:val="283261F1"/>
    <w:rsid w:val="2838132E"/>
    <w:rsid w:val="283F446A"/>
    <w:rsid w:val="28463A4A"/>
    <w:rsid w:val="28520641"/>
    <w:rsid w:val="285C6DCA"/>
    <w:rsid w:val="286345FC"/>
    <w:rsid w:val="28685CA3"/>
    <w:rsid w:val="286B34B1"/>
    <w:rsid w:val="286D547B"/>
    <w:rsid w:val="28795BCE"/>
    <w:rsid w:val="287A1946"/>
    <w:rsid w:val="287A6993"/>
    <w:rsid w:val="288527C5"/>
    <w:rsid w:val="28920A3E"/>
    <w:rsid w:val="289E5635"/>
    <w:rsid w:val="28A15125"/>
    <w:rsid w:val="28AB7D51"/>
    <w:rsid w:val="28B33111"/>
    <w:rsid w:val="28C037FD"/>
    <w:rsid w:val="28C64B8B"/>
    <w:rsid w:val="28C826B1"/>
    <w:rsid w:val="28CF57EE"/>
    <w:rsid w:val="28D15A0A"/>
    <w:rsid w:val="28D728F5"/>
    <w:rsid w:val="28DE1ED5"/>
    <w:rsid w:val="28DE3C83"/>
    <w:rsid w:val="28E82D54"/>
    <w:rsid w:val="28EF5E90"/>
    <w:rsid w:val="290A0F1C"/>
    <w:rsid w:val="290A4A78"/>
    <w:rsid w:val="29143B49"/>
    <w:rsid w:val="291678C1"/>
    <w:rsid w:val="291E22D1"/>
    <w:rsid w:val="2920727A"/>
    <w:rsid w:val="29231FDE"/>
    <w:rsid w:val="292D0766"/>
    <w:rsid w:val="29361D11"/>
    <w:rsid w:val="2936693A"/>
    <w:rsid w:val="293B7327"/>
    <w:rsid w:val="293E4722"/>
    <w:rsid w:val="294855A0"/>
    <w:rsid w:val="29491A44"/>
    <w:rsid w:val="295D54F0"/>
    <w:rsid w:val="295E4DC4"/>
    <w:rsid w:val="29600B3C"/>
    <w:rsid w:val="296879F1"/>
    <w:rsid w:val="29695C42"/>
    <w:rsid w:val="296C74E1"/>
    <w:rsid w:val="296E14AB"/>
    <w:rsid w:val="297840D8"/>
    <w:rsid w:val="297D16EE"/>
    <w:rsid w:val="298C36DF"/>
    <w:rsid w:val="299802D6"/>
    <w:rsid w:val="299A22A0"/>
    <w:rsid w:val="299B7DC6"/>
    <w:rsid w:val="299E3412"/>
    <w:rsid w:val="299F78B6"/>
    <w:rsid w:val="29A273A6"/>
    <w:rsid w:val="29A520E4"/>
    <w:rsid w:val="29AB0008"/>
    <w:rsid w:val="29AC3D81"/>
    <w:rsid w:val="29AC5B2F"/>
    <w:rsid w:val="29B64C00"/>
    <w:rsid w:val="29C83614"/>
    <w:rsid w:val="29CE5DA6"/>
    <w:rsid w:val="29D37560"/>
    <w:rsid w:val="29DB4666"/>
    <w:rsid w:val="29E03A2B"/>
    <w:rsid w:val="29E256AC"/>
    <w:rsid w:val="29EE439A"/>
    <w:rsid w:val="29F00F38"/>
    <w:rsid w:val="29F55728"/>
    <w:rsid w:val="29FB0865"/>
    <w:rsid w:val="2A077209"/>
    <w:rsid w:val="2A0E67EA"/>
    <w:rsid w:val="2A133E00"/>
    <w:rsid w:val="2A186EBC"/>
    <w:rsid w:val="2A1A6F3D"/>
    <w:rsid w:val="2A225DF1"/>
    <w:rsid w:val="2A314286"/>
    <w:rsid w:val="2A336250"/>
    <w:rsid w:val="2A3A313B"/>
    <w:rsid w:val="2A4144C9"/>
    <w:rsid w:val="2A444A48"/>
    <w:rsid w:val="2A4915D0"/>
    <w:rsid w:val="2A5341FD"/>
    <w:rsid w:val="2A697EC4"/>
    <w:rsid w:val="2A6B1546"/>
    <w:rsid w:val="2A77613D"/>
    <w:rsid w:val="2A7F4FF2"/>
    <w:rsid w:val="2A830F86"/>
    <w:rsid w:val="2A8B1BE9"/>
    <w:rsid w:val="2A8D3BB3"/>
    <w:rsid w:val="2A8D5961"/>
    <w:rsid w:val="2A946CEF"/>
    <w:rsid w:val="2A950CB9"/>
    <w:rsid w:val="2A952A67"/>
    <w:rsid w:val="2A994305"/>
    <w:rsid w:val="2A9A007E"/>
    <w:rsid w:val="2A9F38E6"/>
    <w:rsid w:val="2AA36F32"/>
    <w:rsid w:val="2AA84549"/>
    <w:rsid w:val="2AAA6513"/>
    <w:rsid w:val="2AAB4039"/>
    <w:rsid w:val="2AB27175"/>
    <w:rsid w:val="2AB64438"/>
    <w:rsid w:val="2ABF1892"/>
    <w:rsid w:val="2AC33130"/>
    <w:rsid w:val="2AC375D4"/>
    <w:rsid w:val="2AC46EA9"/>
    <w:rsid w:val="2ACA0963"/>
    <w:rsid w:val="2ACA2711"/>
    <w:rsid w:val="2AD0584D"/>
    <w:rsid w:val="2AD215C5"/>
    <w:rsid w:val="2AD74E2E"/>
    <w:rsid w:val="2AD96DF8"/>
    <w:rsid w:val="2ADF3CE2"/>
    <w:rsid w:val="2AE64A6D"/>
    <w:rsid w:val="2AEB2687"/>
    <w:rsid w:val="2AEC6B2B"/>
    <w:rsid w:val="2AFA28CA"/>
    <w:rsid w:val="2AFE685E"/>
    <w:rsid w:val="2B0025D7"/>
    <w:rsid w:val="2B141BDE"/>
    <w:rsid w:val="2B1B1DA7"/>
    <w:rsid w:val="2B22254D"/>
    <w:rsid w:val="2B253DEB"/>
    <w:rsid w:val="2B34402E"/>
    <w:rsid w:val="2B373B1E"/>
    <w:rsid w:val="2B3E5E22"/>
    <w:rsid w:val="2B400C25"/>
    <w:rsid w:val="2B404781"/>
    <w:rsid w:val="2B514BE0"/>
    <w:rsid w:val="2B535728"/>
    <w:rsid w:val="2B5B15BB"/>
    <w:rsid w:val="2B5E10AB"/>
    <w:rsid w:val="2B650FCD"/>
    <w:rsid w:val="2B683CD8"/>
    <w:rsid w:val="2B6A5CA2"/>
    <w:rsid w:val="2B6C1A1A"/>
    <w:rsid w:val="2B732DA8"/>
    <w:rsid w:val="2B77216D"/>
    <w:rsid w:val="2B795EE5"/>
    <w:rsid w:val="2B7F751B"/>
    <w:rsid w:val="2B807273"/>
    <w:rsid w:val="2B8A39A7"/>
    <w:rsid w:val="2B8C5C18"/>
    <w:rsid w:val="2B8F74B6"/>
    <w:rsid w:val="2B964CE9"/>
    <w:rsid w:val="2B980A61"/>
    <w:rsid w:val="2BA016C4"/>
    <w:rsid w:val="2BA2368E"/>
    <w:rsid w:val="2BAE0C52"/>
    <w:rsid w:val="2BAE17CE"/>
    <w:rsid w:val="2BB313F7"/>
    <w:rsid w:val="2BC03B14"/>
    <w:rsid w:val="2BC173D4"/>
    <w:rsid w:val="2BC76C50"/>
    <w:rsid w:val="2BCA4992"/>
    <w:rsid w:val="2BCB017A"/>
    <w:rsid w:val="2BD001FB"/>
    <w:rsid w:val="2BD6464A"/>
    <w:rsid w:val="2BDE3F9A"/>
    <w:rsid w:val="2BDF21EC"/>
    <w:rsid w:val="2BE772F2"/>
    <w:rsid w:val="2BF33EE9"/>
    <w:rsid w:val="2BF35C97"/>
    <w:rsid w:val="2BF65788"/>
    <w:rsid w:val="2BF8505C"/>
    <w:rsid w:val="2BFA05B4"/>
    <w:rsid w:val="2BFA5278"/>
    <w:rsid w:val="2C016606"/>
    <w:rsid w:val="2C097269"/>
    <w:rsid w:val="2C1005F7"/>
    <w:rsid w:val="2C267E1B"/>
    <w:rsid w:val="2C2C73FB"/>
    <w:rsid w:val="2C351E0C"/>
    <w:rsid w:val="2C444501"/>
    <w:rsid w:val="2C484235"/>
    <w:rsid w:val="2C4B7881"/>
    <w:rsid w:val="2C526E62"/>
    <w:rsid w:val="2C56006A"/>
    <w:rsid w:val="2C574478"/>
    <w:rsid w:val="2C604F77"/>
    <w:rsid w:val="2C646B95"/>
    <w:rsid w:val="2C7843EE"/>
    <w:rsid w:val="2C78619D"/>
    <w:rsid w:val="2C7C7A3B"/>
    <w:rsid w:val="2C7F728F"/>
    <w:rsid w:val="2C852C31"/>
    <w:rsid w:val="2C8D7E9A"/>
    <w:rsid w:val="2C8E5424"/>
    <w:rsid w:val="2C9A6113"/>
    <w:rsid w:val="2C9D3A40"/>
    <w:rsid w:val="2C9F7BCD"/>
    <w:rsid w:val="2CA434F1"/>
    <w:rsid w:val="2CA60F5C"/>
    <w:rsid w:val="2CB03B88"/>
    <w:rsid w:val="2CB82A3D"/>
    <w:rsid w:val="2CBA55C3"/>
    <w:rsid w:val="2CD05FD9"/>
    <w:rsid w:val="2CD07D87"/>
    <w:rsid w:val="2CDF446E"/>
    <w:rsid w:val="2CEE645F"/>
    <w:rsid w:val="2CF03F85"/>
    <w:rsid w:val="2CF170E1"/>
    <w:rsid w:val="2CF66EF2"/>
    <w:rsid w:val="2CF73565"/>
    <w:rsid w:val="2D03015C"/>
    <w:rsid w:val="2D095047"/>
    <w:rsid w:val="2D177764"/>
    <w:rsid w:val="2D1E0AF2"/>
    <w:rsid w:val="2D202ABC"/>
    <w:rsid w:val="2D256324"/>
    <w:rsid w:val="2D281D80"/>
    <w:rsid w:val="2D305785"/>
    <w:rsid w:val="2D377E06"/>
    <w:rsid w:val="2D3C366E"/>
    <w:rsid w:val="2D412A32"/>
    <w:rsid w:val="2D4341F8"/>
    <w:rsid w:val="2D480265"/>
    <w:rsid w:val="2D4A5D8B"/>
    <w:rsid w:val="2D595FCE"/>
    <w:rsid w:val="2D5E1836"/>
    <w:rsid w:val="2D5E5392"/>
    <w:rsid w:val="2D60735C"/>
    <w:rsid w:val="2D630BFB"/>
    <w:rsid w:val="2D6A1F89"/>
    <w:rsid w:val="2D6D1A79"/>
    <w:rsid w:val="2D6D3827"/>
    <w:rsid w:val="2D6D7CCB"/>
    <w:rsid w:val="2D746964"/>
    <w:rsid w:val="2D766B80"/>
    <w:rsid w:val="2D7828F8"/>
    <w:rsid w:val="2D792CC9"/>
    <w:rsid w:val="2D796670"/>
    <w:rsid w:val="2D7E66F1"/>
    <w:rsid w:val="2D8172D3"/>
    <w:rsid w:val="2D8A6187"/>
    <w:rsid w:val="2D8C0151"/>
    <w:rsid w:val="2D8C63A3"/>
    <w:rsid w:val="2D8F19F0"/>
    <w:rsid w:val="2D962D7E"/>
    <w:rsid w:val="2DA336ED"/>
    <w:rsid w:val="2DA51213"/>
    <w:rsid w:val="2DA90D03"/>
    <w:rsid w:val="2DB6585A"/>
    <w:rsid w:val="2DBE22D5"/>
    <w:rsid w:val="2DC45B3D"/>
    <w:rsid w:val="2DC518B5"/>
    <w:rsid w:val="2DC55411"/>
    <w:rsid w:val="2DCC054E"/>
    <w:rsid w:val="2DCE6D28"/>
    <w:rsid w:val="2DD438A6"/>
    <w:rsid w:val="2DE03FF9"/>
    <w:rsid w:val="2DE55AB4"/>
    <w:rsid w:val="2DEC6E42"/>
    <w:rsid w:val="2DF126AA"/>
    <w:rsid w:val="2DF61A6F"/>
    <w:rsid w:val="2DF6381D"/>
    <w:rsid w:val="2DFB52D7"/>
    <w:rsid w:val="2DFD2DFD"/>
    <w:rsid w:val="2E00762C"/>
    <w:rsid w:val="2E057F04"/>
    <w:rsid w:val="2E0B376C"/>
    <w:rsid w:val="2E0E6DB8"/>
    <w:rsid w:val="2E1343CF"/>
    <w:rsid w:val="2E156399"/>
    <w:rsid w:val="2E1B14D5"/>
    <w:rsid w:val="2E385BE3"/>
    <w:rsid w:val="2E3B56D4"/>
    <w:rsid w:val="2E474078"/>
    <w:rsid w:val="2E4A5917"/>
    <w:rsid w:val="2E4E18AB"/>
    <w:rsid w:val="2E4E3659"/>
    <w:rsid w:val="2E56250D"/>
    <w:rsid w:val="2E5A1FFE"/>
    <w:rsid w:val="2E5C3FC8"/>
    <w:rsid w:val="2E644C2A"/>
    <w:rsid w:val="2E693FEF"/>
    <w:rsid w:val="2E714081"/>
    <w:rsid w:val="2E731311"/>
    <w:rsid w:val="2E7806D6"/>
    <w:rsid w:val="2E862DF3"/>
    <w:rsid w:val="2E8B49D1"/>
    <w:rsid w:val="2E903C71"/>
    <w:rsid w:val="2E9077CD"/>
    <w:rsid w:val="2E9F3EB4"/>
    <w:rsid w:val="2EA25C4E"/>
    <w:rsid w:val="2EAB3DD0"/>
    <w:rsid w:val="2EB01C1E"/>
    <w:rsid w:val="2EB45BB2"/>
    <w:rsid w:val="2EBC4A66"/>
    <w:rsid w:val="2EC35DF5"/>
    <w:rsid w:val="2EC51345"/>
    <w:rsid w:val="2EC8340B"/>
    <w:rsid w:val="2EDE49DD"/>
    <w:rsid w:val="2EE63891"/>
    <w:rsid w:val="2EE8585B"/>
    <w:rsid w:val="2EEA15D4"/>
    <w:rsid w:val="2EEB70FA"/>
    <w:rsid w:val="2EF91817"/>
    <w:rsid w:val="2F032695"/>
    <w:rsid w:val="2F0401BB"/>
    <w:rsid w:val="2F065CE2"/>
    <w:rsid w:val="2F0B211E"/>
    <w:rsid w:val="2F120B2A"/>
    <w:rsid w:val="2F1403FE"/>
    <w:rsid w:val="2F1F6DA3"/>
    <w:rsid w:val="2F285C58"/>
    <w:rsid w:val="2F3445FD"/>
    <w:rsid w:val="2F3565C7"/>
    <w:rsid w:val="2F3A3BDD"/>
    <w:rsid w:val="2F3A598B"/>
    <w:rsid w:val="2F430CE4"/>
    <w:rsid w:val="2F452CAE"/>
    <w:rsid w:val="2F544C9F"/>
    <w:rsid w:val="2F5729E1"/>
    <w:rsid w:val="2F597880"/>
    <w:rsid w:val="2F5C7FF7"/>
    <w:rsid w:val="2F6B3D97"/>
    <w:rsid w:val="2F740E9D"/>
    <w:rsid w:val="2F8A06C1"/>
    <w:rsid w:val="2F8C268B"/>
    <w:rsid w:val="2F8D1F5F"/>
    <w:rsid w:val="2F9257C7"/>
    <w:rsid w:val="2F9652B7"/>
    <w:rsid w:val="2FAA0D63"/>
    <w:rsid w:val="2FAD0853"/>
    <w:rsid w:val="2FB90FA6"/>
    <w:rsid w:val="2FC00586"/>
    <w:rsid w:val="2FCA4F61"/>
    <w:rsid w:val="2FCC0CD9"/>
    <w:rsid w:val="2FCF07C9"/>
    <w:rsid w:val="2FD951A4"/>
    <w:rsid w:val="2FE57FED"/>
    <w:rsid w:val="2FEA5603"/>
    <w:rsid w:val="2FEC1210"/>
    <w:rsid w:val="2FF10740"/>
    <w:rsid w:val="2FF67F01"/>
    <w:rsid w:val="2FFF10AF"/>
    <w:rsid w:val="30010B15"/>
    <w:rsid w:val="30030473"/>
    <w:rsid w:val="30085A89"/>
    <w:rsid w:val="30093CDB"/>
    <w:rsid w:val="300A7A53"/>
    <w:rsid w:val="300C07F9"/>
    <w:rsid w:val="300E30A0"/>
    <w:rsid w:val="30155AC7"/>
    <w:rsid w:val="30191A45"/>
    <w:rsid w:val="30197C97"/>
    <w:rsid w:val="301D7787"/>
    <w:rsid w:val="301F52AD"/>
    <w:rsid w:val="30201025"/>
    <w:rsid w:val="303D3876"/>
    <w:rsid w:val="303D3985"/>
    <w:rsid w:val="30403475"/>
    <w:rsid w:val="304271ED"/>
    <w:rsid w:val="3045283A"/>
    <w:rsid w:val="304765B2"/>
    <w:rsid w:val="304940D8"/>
    <w:rsid w:val="304A60A2"/>
    <w:rsid w:val="305807BF"/>
    <w:rsid w:val="305B3E0B"/>
    <w:rsid w:val="305D7B83"/>
    <w:rsid w:val="305F7D9F"/>
    <w:rsid w:val="306453B6"/>
    <w:rsid w:val="30647164"/>
    <w:rsid w:val="307C26FF"/>
    <w:rsid w:val="308772AD"/>
    <w:rsid w:val="308A44ED"/>
    <w:rsid w:val="30913CD1"/>
    <w:rsid w:val="3091782D"/>
    <w:rsid w:val="309317F7"/>
    <w:rsid w:val="3095731D"/>
    <w:rsid w:val="30A532D8"/>
    <w:rsid w:val="30A6777C"/>
    <w:rsid w:val="30D2231F"/>
    <w:rsid w:val="30DF2C8E"/>
    <w:rsid w:val="30E402A4"/>
    <w:rsid w:val="30ED53AB"/>
    <w:rsid w:val="30F71D86"/>
    <w:rsid w:val="30F878AC"/>
    <w:rsid w:val="3102072B"/>
    <w:rsid w:val="3103697D"/>
    <w:rsid w:val="3106646D"/>
    <w:rsid w:val="310E0E7D"/>
    <w:rsid w:val="310E5321"/>
    <w:rsid w:val="311F12DD"/>
    <w:rsid w:val="31244B45"/>
    <w:rsid w:val="31295CB7"/>
    <w:rsid w:val="31350B00"/>
    <w:rsid w:val="31411253"/>
    <w:rsid w:val="314F3970"/>
    <w:rsid w:val="31501496"/>
    <w:rsid w:val="3152520E"/>
    <w:rsid w:val="315A6A38"/>
    <w:rsid w:val="31615451"/>
    <w:rsid w:val="316867E0"/>
    <w:rsid w:val="316F4012"/>
    <w:rsid w:val="31716CC5"/>
    <w:rsid w:val="318850D4"/>
    <w:rsid w:val="3195334D"/>
    <w:rsid w:val="319823DE"/>
    <w:rsid w:val="319C0B7F"/>
    <w:rsid w:val="31A55C86"/>
    <w:rsid w:val="31A87524"/>
    <w:rsid w:val="31AA504A"/>
    <w:rsid w:val="31BE28A4"/>
    <w:rsid w:val="31C205E6"/>
    <w:rsid w:val="31D65E3F"/>
    <w:rsid w:val="31D71BB7"/>
    <w:rsid w:val="31E542D4"/>
    <w:rsid w:val="31E63BA8"/>
    <w:rsid w:val="31E7004C"/>
    <w:rsid w:val="31ED1F65"/>
    <w:rsid w:val="31EF6F01"/>
    <w:rsid w:val="31F42769"/>
    <w:rsid w:val="31FB3AF8"/>
    <w:rsid w:val="31FC517A"/>
    <w:rsid w:val="32004C6A"/>
    <w:rsid w:val="321E77E6"/>
    <w:rsid w:val="32244DFC"/>
    <w:rsid w:val="322A7F39"/>
    <w:rsid w:val="322F554F"/>
    <w:rsid w:val="32335040"/>
    <w:rsid w:val="323D1A1A"/>
    <w:rsid w:val="32466B0F"/>
    <w:rsid w:val="324A2389"/>
    <w:rsid w:val="325356E2"/>
    <w:rsid w:val="325F4087"/>
    <w:rsid w:val="32607DFF"/>
    <w:rsid w:val="3264344B"/>
    <w:rsid w:val="32686CD9"/>
    <w:rsid w:val="326A4AA9"/>
    <w:rsid w:val="326F3B9E"/>
    <w:rsid w:val="32717916"/>
    <w:rsid w:val="327318E0"/>
    <w:rsid w:val="32785148"/>
    <w:rsid w:val="32786EF6"/>
    <w:rsid w:val="32790B1D"/>
    <w:rsid w:val="32870EE7"/>
    <w:rsid w:val="32877139"/>
    <w:rsid w:val="32891103"/>
    <w:rsid w:val="32911D66"/>
    <w:rsid w:val="32957AA8"/>
    <w:rsid w:val="32A41A99"/>
    <w:rsid w:val="32A93554"/>
    <w:rsid w:val="32BA12BD"/>
    <w:rsid w:val="32BD0DAD"/>
    <w:rsid w:val="32C91500"/>
    <w:rsid w:val="32C97752"/>
    <w:rsid w:val="32CB5278"/>
    <w:rsid w:val="32CE4D68"/>
    <w:rsid w:val="32CF3BF5"/>
    <w:rsid w:val="32DD76BC"/>
    <w:rsid w:val="32E26A66"/>
    <w:rsid w:val="32E41DED"/>
    <w:rsid w:val="32E4458C"/>
    <w:rsid w:val="32F01183"/>
    <w:rsid w:val="32F56799"/>
    <w:rsid w:val="32F81DE5"/>
    <w:rsid w:val="32F83B93"/>
    <w:rsid w:val="32F842C3"/>
    <w:rsid w:val="32FD564D"/>
    <w:rsid w:val="32FF4F22"/>
    <w:rsid w:val="3301513E"/>
    <w:rsid w:val="33080129"/>
    <w:rsid w:val="330B7B68"/>
    <w:rsid w:val="33174961"/>
    <w:rsid w:val="3321133C"/>
    <w:rsid w:val="332826CA"/>
    <w:rsid w:val="332C1A8F"/>
    <w:rsid w:val="332E3A59"/>
    <w:rsid w:val="33305A23"/>
    <w:rsid w:val="333077D1"/>
    <w:rsid w:val="33323549"/>
    <w:rsid w:val="33353039"/>
    <w:rsid w:val="333A0650"/>
    <w:rsid w:val="333A41AC"/>
    <w:rsid w:val="334301D8"/>
    <w:rsid w:val="33437504"/>
    <w:rsid w:val="336456CD"/>
    <w:rsid w:val="33661445"/>
    <w:rsid w:val="336B0809"/>
    <w:rsid w:val="33752ADF"/>
    <w:rsid w:val="33775400"/>
    <w:rsid w:val="33802506"/>
    <w:rsid w:val="338A5133"/>
    <w:rsid w:val="33923FE8"/>
    <w:rsid w:val="339A2E9C"/>
    <w:rsid w:val="33A51F6D"/>
    <w:rsid w:val="33A87367"/>
    <w:rsid w:val="33AA7583"/>
    <w:rsid w:val="33AD0E22"/>
    <w:rsid w:val="33B57CD6"/>
    <w:rsid w:val="33BC1065"/>
    <w:rsid w:val="33C323F3"/>
    <w:rsid w:val="33C57F19"/>
    <w:rsid w:val="33C70135"/>
    <w:rsid w:val="33CA5530"/>
    <w:rsid w:val="33CC0DB1"/>
    <w:rsid w:val="33D535A4"/>
    <w:rsid w:val="33D91096"/>
    <w:rsid w:val="33D939C5"/>
    <w:rsid w:val="33E12879"/>
    <w:rsid w:val="33E5680D"/>
    <w:rsid w:val="33EC194A"/>
    <w:rsid w:val="33F16F60"/>
    <w:rsid w:val="33FE2E37"/>
    <w:rsid w:val="34050C5E"/>
    <w:rsid w:val="34056568"/>
    <w:rsid w:val="34057AB2"/>
    <w:rsid w:val="340842AA"/>
    <w:rsid w:val="341744ED"/>
    <w:rsid w:val="341964B7"/>
    <w:rsid w:val="341E587B"/>
    <w:rsid w:val="343230D5"/>
    <w:rsid w:val="343432F1"/>
    <w:rsid w:val="34360E17"/>
    <w:rsid w:val="343C6BCD"/>
    <w:rsid w:val="343E5F1E"/>
    <w:rsid w:val="3442156A"/>
    <w:rsid w:val="344D6161"/>
    <w:rsid w:val="34531429"/>
    <w:rsid w:val="3455093F"/>
    <w:rsid w:val="34677222"/>
    <w:rsid w:val="346D235F"/>
    <w:rsid w:val="34796F56"/>
    <w:rsid w:val="347B2CCE"/>
    <w:rsid w:val="348222AE"/>
    <w:rsid w:val="34853B4C"/>
    <w:rsid w:val="348576A9"/>
    <w:rsid w:val="348A1163"/>
    <w:rsid w:val="348E47AF"/>
    <w:rsid w:val="349A75F8"/>
    <w:rsid w:val="349D2C44"/>
    <w:rsid w:val="34A71D15"/>
    <w:rsid w:val="34B1049E"/>
    <w:rsid w:val="34B54432"/>
    <w:rsid w:val="34BD32E6"/>
    <w:rsid w:val="34C06933"/>
    <w:rsid w:val="34C53F49"/>
    <w:rsid w:val="34C603ED"/>
    <w:rsid w:val="34CC3529"/>
    <w:rsid w:val="34D0301A"/>
    <w:rsid w:val="34D81ECE"/>
    <w:rsid w:val="34D97170"/>
    <w:rsid w:val="34DA3E98"/>
    <w:rsid w:val="34E22D4D"/>
    <w:rsid w:val="34F14D3E"/>
    <w:rsid w:val="34F36687"/>
    <w:rsid w:val="35093AFE"/>
    <w:rsid w:val="35101668"/>
    <w:rsid w:val="351647A5"/>
    <w:rsid w:val="351729F7"/>
    <w:rsid w:val="351F3659"/>
    <w:rsid w:val="352E7D40"/>
    <w:rsid w:val="353C420B"/>
    <w:rsid w:val="35417A73"/>
    <w:rsid w:val="354362C5"/>
    <w:rsid w:val="354B26A0"/>
    <w:rsid w:val="35551771"/>
    <w:rsid w:val="35586B6B"/>
    <w:rsid w:val="355F7A83"/>
    <w:rsid w:val="3566192B"/>
    <w:rsid w:val="356D66AE"/>
    <w:rsid w:val="356E2833"/>
    <w:rsid w:val="35753BC1"/>
    <w:rsid w:val="357A0DCF"/>
    <w:rsid w:val="35887450"/>
    <w:rsid w:val="358B0CEF"/>
    <w:rsid w:val="358F4C83"/>
    <w:rsid w:val="35926521"/>
    <w:rsid w:val="3599165E"/>
    <w:rsid w:val="359A6C78"/>
    <w:rsid w:val="35A40002"/>
    <w:rsid w:val="35AD5109"/>
    <w:rsid w:val="35AE2C2F"/>
    <w:rsid w:val="35B04BF9"/>
    <w:rsid w:val="35B30245"/>
    <w:rsid w:val="35BC359E"/>
    <w:rsid w:val="35C16E06"/>
    <w:rsid w:val="35C35E84"/>
    <w:rsid w:val="35C6441D"/>
    <w:rsid w:val="35C83CF1"/>
    <w:rsid w:val="35CB37E1"/>
    <w:rsid w:val="35CD3B0F"/>
    <w:rsid w:val="35D01D25"/>
    <w:rsid w:val="35D22DC1"/>
    <w:rsid w:val="35DA1C76"/>
    <w:rsid w:val="35E77AE9"/>
    <w:rsid w:val="35EB79DF"/>
    <w:rsid w:val="35FC7E3E"/>
    <w:rsid w:val="36015455"/>
    <w:rsid w:val="36057500"/>
    <w:rsid w:val="360A4309"/>
    <w:rsid w:val="360A60B7"/>
    <w:rsid w:val="360F1920"/>
    <w:rsid w:val="3619454C"/>
    <w:rsid w:val="361C403D"/>
    <w:rsid w:val="361E6007"/>
    <w:rsid w:val="362058DB"/>
    <w:rsid w:val="3623361D"/>
    <w:rsid w:val="36251143"/>
    <w:rsid w:val="36341386"/>
    <w:rsid w:val="363C023B"/>
    <w:rsid w:val="36484E32"/>
    <w:rsid w:val="364C66D0"/>
    <w:rsid w:val="364D442C"/>
    <w:rsid w:val="36511F38"/>
    <w:rsid w:val="36592B9B"/>
    <w:rsid w:val="365C268B"/>
    <w:rsid w:val="366F5927"/>
    <w:rsid w:val="36723C5D"/>
    <w:rsid w:val="367B0D63"/>
    <w:rsid w:val="367E2601"/>
    <w:rsid w:val="368A544A"/>
    <w:rsid w:val="368C11C2"/>
    <w:rsid w:val="368C2926"/>
    <w:rsid w:val="368D0A96"/>
    <w:rsid w:val="36940077"/>
    <w:rsid w:val="36985DB9"/>
    <w:rsid w:val="3699568D"/>
    <w:rsid w:val="36A4650C"/>
    <w:rsid w:val="36A54032"/>
    <w:rsid w:val="36A91D74"/>
    <w:rsid w:val="36AA33F6"/>
    <w:rsid w:val="36B204FD"/>
    <w:rsid w:val="36C95F72"/>
    <w:rsid w:val="36C97D20"/>
    <w:rsid w:val="36D14E27"/>
    <w:rsid w:val="36D16BD5"/>
    <w:rsid w:val="36D9126B"/>
    <w:rsid w:val="36D913FC"/>
    <w:rsid w:val="36E44B5A"/>
    <w:rsid w:val="36E7289C"/>
    <w:rsid w:val="36E96615"/>
    <w:rsid w:val="36FB00F6"/>
    <w:rsid w:val="37074CED"/>
    <w:rsid w:val="370A20E7"/>
    <w:rsid w:val="37133692"/>
    <w:rsid w:val="37152F66"/>
    <w:rsid w:val="37166CDE"/>
    <w:rsid w:val="3720190B"/>
    <w:rsid w:val="37225683"/>
    <w:rsid w:val="372431A9"/>
    <w:rsid w:val="37335AE2"/>
    <w:rsid w:val="37362EDC"/>
    <w:rsid w:val="37386C54"/>
    <w:rsid w:val="373E3013"/>
    <w:rsid w:val="373F6235"/>
    <w:rsid w:val="373F7FE3"/>
    <w:rsid w:val="374B4BD9"/>
    <w:rsid w:val="37531CE0"/>
    <w:rsid w:val="375F0685"/>
    <w:rsid w:val="376A3DBD"/>
    <w:rsid w:val="376C4D8C"/>
    <w:rsid w:val="376C68FE"/>
    <w:rsid w:val="376E09B0"/>
    <w:rsid w:val="37732382"/>
    <w:rsid w:val="377978C3"/>
    <w:rsid w:val="379540A7"/>
    <w:rsid w:val="37955E55"/>
    <w:rsid w:val="379A790F"/>
    <w:rsid w:val="37A91900"/>
    <w:rsid w:val="37B3452D"/>
    <w:rsid w:val="37B564F7"/>
    <w:rsid w:val="37BF1123"/>
    <w:rsid w:val="37C14E9C"/>
    <w:rsid w:val="37C30C14"/>
    <w:rsid w:val="37C8622A"/>
    <w:rsid w:val="37CF580A"/>
    <w:rsid w:val="37E666B0"/>
    <w:rsid w:val="37E8067A"/>
    <w:rsid w:val="37EA199E"/>
    <w:rsid w:val="37F012DD"/>
    <w:rsid w:val="37F05781"/>
    <w:rsid w:val="37F232A7"/>
    <w:rsid w:val="37FE39FA"/>
    <w:rsid w:val="380354B4"/>
    <w:rsid w:val="380357AD"/>
    <w:rsid w:val="3810197F"/>
    <w:rsid w:val="3814321D"/>
    <w:rsid w:val="381979D3"/>
    <w:rsid w:val="381A45AC"/>
    <w:rsid w:val="381F7BCF"/>
    <w:rsid w:val="382F62A9"/>
    <w:rsid w:val="38355A6B"/>
    <w:rsid w:val="38455560"/>
    <w:rsid w:val="384B0C09"/>
    <w:rsid w:val="384C6E5B"/>
    <w:rsid w:val="384F24A7"/>
    <w:rsid w:val="38547ABE"/>
    <w:rsid w:val="385E6B8E"/>
    <w:rsid w:val="38613F89"/>
    <w:rsid w:val="38651CCB"/>
    <w:rsid w:val="386A5533"/>
    <w:rsid w:val="387243E8"/>
    <w:rsid w:val="38726196"/>
    <w:rsid w:val="387C0DC3"/>
    <w:rsid w:val="387E0FDF"/>
    <w:rsid w:val="388D1222"/>
    <w:rsid w:val="38966328"/>
    <w:rsid w:val="38984884"/>
    <w:rsid w:val="38A02D03"/>
    <w:rsid w:val="38A04AB1"/>
    <w:rsid w:val="38A327F3"/>
    <w:rsid w:val="38A65E3F"/>
    <w:rsid w:val="38B30C88"/>
    <w:rsid w:val="38B467AE"/>
    <w:rsid w:val="38BB18EB"/>
    <w:rsid w:val="38C22C79"/>
    <w:rsid w:val="38D155B2"/>
    <w:rsid w:val="38D17360"/>
    <w:rsid w:val="38D67AE9"/>
    <w:rsid w:val="38D86941"/>
    <w:rsid w:val="38E250CA"/>
    <w:rsid w:val="38E3083D"/>
    <w:rsid w:val="38E4489E"/>
    <w:rsid w:val="38E70932"/>
    <w:rsid w:val="38EC5F48"/>
    <w:rsid w:val="38F11583"/>
    <w:rsid w:val="38F848ED"/>
    <w:rsid w:val="38F8669B"/>
    <w:rsid w:val="38FB618B"/>
    <w:rsid w:val="38FD0155"/>
    <w:rsid w:val="39016B93"/>
    <w:rsid w:val="390414E4"/>
    <w:rsid w:val="39070FD4"/>
    <w:rsid w:val="390E2362"/>
    <w:rsid w:val="39111E53"/>
    <w:rsid w:val="3914724D"/>
    <w:rsid w:val="39167469"/>
    <w:rsid w:val="391F00CC"/>
    <w:rsid w:val="39202096"/>
    <w:rsid w:val="392456E2"/>
    <w:rsid w:val="3925145A"/>
    <w:rsid w:val="392751D2"/>
    <w:rsid w:val="39333B77"/>
    <w:rsid w:val="39396CB4"/>
    <w:rsid w:val="394144E6"/>
    <w:rsid w:val="394418E0"/>
    <w:rsid w:val="39461AFC"/>
    <w:rsid w:val="394A0EC1"/>
    <w:rsid w:val="394B7113"/>
    <w:rsid w:val="39697599"/>
    <w:rsid w:val="39797D07"/>
    <w:rsid w:val="397B107A"/>
    <w:rsid w:val="397D1296"/>
    <w:rsid w:val="3986639D"/>
    <w:rsid w:val="398B750F"/>
    <w:rsid w:val="398C14D9"/>
    <w:rsid w:val="398C3287"/>
    <w:rsid w:val="398E34A3"/>
    <w:rsid w:val="39930ABA"/>
    <w:rsid w:val="399C796E"/>
    <w:rsid w:val="399D5494"/>
    <w:rsid w:val="399F2FBB"/>
    <w:rsid w:val="39A131D7"/>
    <w:rsid w:val="39A46823"/>
    <w:rsid w:val="39A75836"/>
    <w:rsid w:val="39A95BE7"/>
    <w:rsid w:val="39AC56D7"/>
    <w:rsid w:val="39B06F76"/>
    <w:rsid w:val="39B50A30"/>
    <w:rsid w:val="39C26CA9"/>
    <w:rsid w:val="39C649EB"/>
    <w:rsid w:val="39C944DB"/>
    <w:rsid w:val="39CF157C"/>
    <w:rsid w:val="39E3734B"/>
    <w:rsid w:val="39E82BB3"/>
    <w:rsid w:val="39EE2B9C"/>
    <w:rsid w:val="39F41558"/>
    <w:rsid w:val="39F71049"/>
    <w:rsid w:val="3A033549"/>
    <w:rsid w:val="3A1439A9"/>
    <w:rsid w:val="3A1F234D"/>
    <w:rsid w:val="3A211C22"/>
    <w:rsid w:val="3A23599A"/>
    <w:rsid w:val="3A241712"/>
    <w:rsid w:val="3A2636DC"/>
    <w:rsid w:val="3A2E78C2"/>
    <w:rsid w:val="3A3E6C77"/>
    <w:rsid w:val="3A4818A4"/>
    <w:rsid w:val="3A4D6EBA"/>
    <w:rsid w:val="3A5B06D4"/>
    <w:rsid w:val="3A5F274A"/>
    <w:rsid w:val="3A655FB2"/>
    <w:rsid w:val="3A7601BF"/>
    <w:rsid w:val="3A8723CC"/>
    <w:rsid w:val="3A8F2419"/>
    <w:rsid w:val="3A946897"/>
    <w:rsid w:val="3AB24F6F"/>
    <w:rsid w:val="3AB26D1E"/>
    <w:rsid w:val="3AB74334"/>
    <w:rsid w:val="3AC60BDB"/>
    <w:rsid w:val="3AC70A1B"/>
    <w:rsid w:val="3ACC4283"/>
    <w:rsid w:val="3AD1189A"/>
    <w:rsid w:val="3AE27603"/>
    <w:rsid w:val="3AE64165"/>
    <w:rsid w:val="3AE856DE"/>
    <w:rsid w:val="3AF9494C"/>
    <w:rsid w:val="3AFB6916"/>
    <w:rsid w:val="3B0317FE"/>
    <w:rsid w:val="3B0529DF"/>
    <w:rsid w:val="3B057795"/>
    <w:rsid w:val="3B086638"/>
    <w:rsid w:val="3B0E03F8"/>
    <w:rsid w:val="3B1B2B15"/>
    <w:rsid w:val="3B225C51"/>
    <w:rsid w:val="3B365BA1"/>
    <w:rsid w:val="3B3E6803"/>
    <w:rsid w:val="3B530501"/>
    <w:rsid w:val="3B567FF1"/>
    <w:rsid w:val="3B585B17"/>
    <w:rsid w:val="3B5878C5"/>
    <w:rsid w:val="3B5A22AA"/>
    <w:rsid w:val="3B5D5359"/>
    <w:rsid w:val="3B64626A"/>
    <w:rsid w:val="3B7346FF"/>
    <w:rsid w:val="3B742225"/>
    <w:rsid w:val="3B7566C9"/>
    <w:rsid w:val="3B765F9D"/>
    <w:rsid w:val="3B7C27E7"/>
    <w:rsid w:val="3B806E1C"/>
    <w:rsid w:val="3B842468"/>
    <w:rsid w:val="3B8701AA"/>
    <w:rsid w:val="3B88345B"/>
    <w:rsid w:val="3B914B85"/>
    <w:rsid w:val="3B984165"/>
    <w:rsid w:val="3BA23236"/>
    <w:rsid w:val="3BA42B0A"/>
    <w:rsid w:val="3BA4565D"/>
    <w:rsid w:val="3BAC0F6E"/>
    <w:rsid w:val="3BB15227"/>
    <w:rsid w:val="3BB16FD5"/>
    <w:rsid w:val="3BBB7E54"/>
    <w:rsid w:val="3BC74A4B"/>
    <w:rsid w:val="3BC82C9D"/>
    <w:rsid w:val="3BCD02B3"/>
    <w:rsid w:val="3BD258C9"/>
    <w:rsid w:val="3BD553B9"/>
    <w:rsid w:val="3BDA652C"/>
    <w:rsid w:val="3BDB4052"/>
    <w:rsid w:val="3BDD426E"/>
    <w:rsid w:val="3BE21884"/>
    <w:rsid w:val="3BE7515F"/>
    <w:rsid w:val="3BE86E9B"/>
    <w:rsid w:val="3BE92C13"/>
    <w:rsid w:val="3BE9676F"/>
    <w:rsid w:val="3BEB24E7"/>
    <w:rsid w:val="3BEB698B"/>
    <w:rsid w:val="3BED2703"/>
    <w:rsid w:val="3BEE3B6F"/>
    <w:rsid w:val="3BF53366"/>
    <w:rsid w:val="3BFA6BCE"/>
    <w:rsid w:val="3C027831"/>
    <w:rsid w:val="3C0435A9"/>
    <w:rsid w:val="3C0812EB"/>
    <w:rsid w:val="3C0B0DDB"/>
    <w:rsid w:val="3C0D4B53"/>
    <w:rsid w:val="3C0E2679"/>
    <w:rsid w:val="3C125CC6"/>
    <w:rsid w:val="3C1934F8"/>
    <w:rsid w:val="3C1A101E"/>
    <w:rsid w:val="3C1C08F2"/>
    <w:rsid w:val="3C2123AD"/>
    <w:rsid w:val="3C214846"/>
    <w:rsid w:val="3C265C15"/>
    <w:rsid w:val="3C2B322B"/>
    <w:rsid w:val="3C2D2B00"/>
    <w:rsid w:val="3C2E6878"/>
    <w:rsid w:val="3C395948"/>
    <w:rsid w:val="3C447E49"/>
    <w:rsid w:val="3C4B742A"/>
    <w:rsid w:val="3C4E2A76"/>
    <w:rsid w:val="3C504A40"/>
    <w:rsid w:val="3C5207B8"/>
    <w:rsid w:val="3C577B7C"/>
    <w:rsid w:val="3C5E53AF"/>
    <w:rsid w:val="3C5F4C83"/>
    <w:rsid w:val="3C601127"/>
    <w:rsid w:val="3C6D55F2"/>
    <w:rsid w:val="3C6F136A"/>
    <w:rsid w:val="3C722C08"/>
    <w:rsid w:val="3C834E15"/>
    <w:rsid w:val="3C8E2C30"/>
    <w:rsid w:val="3C8F37BA"/>
    <w:rsid w:val="3C9C1A33"/>
    <w:rsid w:val="3C9E1C4F"/>
    <w:rsid w:val="3CA8487C"/>
    <w:rsid w:val="3CAA23A2"/>
    <w:rsid w:val="3CB054DF"/>
    <w:rsid w:val="3CB13731"/>
    <w:rsid w:val="3CB23005"/>
    <w:rsid w:val="3CC1149A"/>
    <w:rsid w:val="3CC176EC"/>
    <w:rsid w:val="3CC50F8A"/>
    <w:rsid w:val="3CC64D02"/>
    <w:rsid w:val="3CC66AB0"/>
    <w:rsid w:val="3CCC056A"/>
    <w:rsid w:val="3CCD42E3"/>
    <w:rsid w:val="3CDB255C"/>
    <w:rsid w:val="3CDC4526"/>
    <w:rsid w:val="3CDC62D4"/>
    <w:rsid w:val="3CE33B06"/>
    <w:rsid w:val="3CEB6517"/>
    <w:rsid w:val="3CFB0E50"/>
    <w:rsid w:val="3CFB49AC"/>
    <w:rsid w:val="3CFC24D2"/>
    <w:rsid w:val="3CFE26EE"/>
    <w:rsid w:val="3D001FC2"/>
    <w:rsid w:val="3D05582A"/>
    <w:rsid w:val="3D0575D8"/>
    <w:rsid w:val="3D0641F3"/>
    <w:rsid w:val="3D0D2931"/>
    <w:rsid w:val="3D0F2205"/>
    <w:rsid w:val="3D1141CF"/>
    <w:rsid w:val="3D163CE8"/>
    <w:rsid w:val="3D1837B0"/>
    <w:rsid w:val="3D2462F1"/>
    <w:rsid w:val="3D257C7B"/>
    <w:rsid w:val="3D2739F3"/>
    <w:rsid w:val="3D324146"/>
    <w:rsid w:val="3D37175C"/>
    <w:rsid w:val="3D404AB5"/>
    <w:rsid w:val="3D4D6987"/>
    <w:rsid w:val="3D516CC2"/>
    <w:rsid w:val="3D536596"/>
    <w:rsid w:val="3D5505F1"/>
    <w:rsid w:val="3D566086"/>
    <w:rsid w:val="3D567E34"/>
    <w:rsid w:val="3D595B76"/>
    <w:rsid w:val="3D5B544A"/>
    <w:rsid w:val="3D676182"/>
    <w:rsid w:val="3D695DB9"/>
    <w:rsid w:val="3D6975F0"/>
    <w:rsid w:val="3D6E011A"/>
    <w:rsid w:val="3D7824A0"/>
    <w:rsid w:val="3D78424E"/>
    <w:rsid w:val="3D7B3D3F"/>
    <w:rsid w:val="3D7F55DD"/>
    <w:rsid w:val="3D881438"/>
    <w:rsid w:val="3D931088"/>
    <w:rsid w:val="3D9A2417"/>
    <w:rsid w:val="3D9B1CEB"/>
    <w:rsid w:val="3D9B7F3D"/>
    <w:rsid w:val="3DA02290"/>
    <w:rsid w:val="3DA05553"/>
    <w:rsid w:val="3DA43295"/>
    <w:rsid w:val="3DA908AC"/>
    <w:rsid w:val="3DB72FC9"/>
    <w:rsid w:val="3DBF00CF"/>
    <w:rsid w:val="3DC456E6"/>
    <w:rsid w:val="3DC76F84"/>
    <w:rsid w:val="3DCB6A74"/>
    <w:rsid w:val="3DCE20C0"/>
    <w:rsid w:val="3DD27E02"/>
    <w:rsid w:val="3DD357A0"/>
    <w:rsid w:val="3DD376D7"/>
    <w:rsid w:val="3DD671C7"/>
    <w:rsid w:val="3DE03BA2"/>
    <w:rsid w:val="3DE23DBE"/>
    <w:rsid w:val="3DF338D5"/>
    <w:rsid w:val="3DF53AF1"/>
    <w:rsid w:val="3E0934EC"/>
    <w:rsid w:val="3E0B6E71"/>
    <w:rsid w:val="3E151A9D"/>
    <w:rsid w:val="3E1C107E"/>
    <w:rsid w:val="3E285C74"/>
    <w:rsid w:val="3E2B7513"/>
    <w:rsid w:val="3E35213F"/>
    <w:rsid w:val="3E3A7756"/>
    <w:rsid w:val="3E412892"/>
    <w:rsid w:val="3E4B54BF"/>
    <w:rsid w:val="3E506F79"/>
    <w:rsid w:val="3E530817"/>
    <w:rsid w:val="3E5315DD"/>
    <w:rsid w:val="3E55633E"/>
    <w:rsid w:val="3E6622F9"/>
    <w:rsid w:val="3E7C1B1C"/>
    <w:rsid w:val="3E8A248B"/>
    <w:rsid w:val="3E8D73D7"/>
    <w:rsid w:val="3E8E35FE"/>
    <w:rsid w:val="3E9F580B"/>
    <w:rsid w:val="3EA01CAF"/>
    <w:rsid w:val="3EA11583"/>
    <w:rsid w:val="3EA51073"/>
    <w:rsid w:val="3EAD7F28"/>
    <w:rsid w:val="3EBE0387"/>
    <w:rsid w:val="3EBF1A09"/>
    <w:rsid w:val="3EC11C25"/>
    <w:rsid w:val="3EC30DB5"/>
    <w:rsid w:val="3ECB05ED"/>
    <w:rsid w:val="3ED5122D"/>
    <w:rsid w:val="3EDA6843"/>
    <w:rsid w:val="3EE33949"/>
    <w:rsid w:val="3EE85404"/>
    <w:rsid w:val="3EEA117C"/>
    <w:rsid w:val="3EFC4A0B"/>
    <w:rsid w:val="3F06588A"/>
    <w:rsid w:val="3F073ADC"/>
    <w:rsid w:val="3F125393"/>
    <w:rsid w:val="3F171845"/>
    <w:rsid w:val="3F1C514E"/>
    <w:rsid w:val="3F1E2BD3"/>
    <w:rsid w:val="3F2521B4"/>
    <w:rsid w:val="3F2A5A1C"/>
    <w:rsid w:val="3F316DAB"/>
    <w:rsid w:val="3F32042D"/>
    <w:rsid w:val="3F3643C1"/>
    <w:rsid w:val="3F457ABB"/>
    <w:rsid w:val="3F566811"/>
    <w:rsid w:val="3F577E93"/>
    <w:rsid w:val="3F5D7BA0"/>
    <w:rsid w:val="3F620D12"/>
    <w:rsid w:val="3F626F64"/>
    <w:rsid w:val="3F6A6789"/>
    <w:rsid w:val="3F6C5837"/>
    <w:rsid w:val="3F6D76B7"/>
    <w:rsid w:val="3F6F78D3"/>
    <w:rsid w:val="3F7D3A13"/>
    <w:rsid w:val="3F8769CB"/>
    <w:rsid w:val="3F890995"/>
    <w:rsid w:val="3F8E7D59"/>
    <w:rsid w:val="3F8F7FB1"/>
    <w:rsid w:val="3F9335C1"/>
    <w:rsid w:val="3F93711E"/>
    <w:rsid w:val="3F964E60"/>
    <w:rsid w:val="3F9B2476"/>
    <w:rsid w:val="3F9F1F66"/>
    <w:rsid w:val="3FA56E51"/>
    <w:rsid w:val="3FAD034F"/>
    <w:rsid w:val="3FB157F6"/>
    <w:rsid w:val="3FB6105E"/>
    <w:rsid w:val="3FBE76C3"/>
    <w:rsid w:val="3FBF6165"/>
    <w:rsid w:val="3FC01078"/>
    <w:rsid w:val="3FC25C55"/>
    <w:rsid w:val="3FC574F3"/>
    <w:rsid w:val="3FC76DC7"/>
    <w:rsid w:val="3FCC0881"/>
    <w:rsid w:val="3FD57736"/>
    <w:rsid w:val="3FDA4D4C"/>
    <w:rsid w:val="3FDB6D16"/>
    <w:rsid w:val="3FEE25A6"/>
    <w:rsid w:val="3FF73B50"/>
    <w:rsid w:val="3FFB4CC3"/>
    <w:rsid w:val="3FFC1167"/>
    <w:rsid w:val="3FFD4EDF"/>
    <w:rsid w:val="3FFF0C57"/>
    <w:rsid w:val="40077B0C"/>
    <w:rsid w:val="400A73D4"/>
    <w:rsid w:val="400B3158"/>
    <w:rsid w:val="400E0E9A"/>
    <w:rsid w:val="40271F5C"/>
    <w:rsid w:val="402B37FA"/>
    <w:rsid w:val="4041301D"/>
    <w:rsid w:val="404228F2"/>
    <w:rsid w:val="4042448B"/>
    <w:rsid w:val="404623E2"/>
    <w:rsid w:val="4047615A"/>
    <w:rsid w:val="404E573A"/>
    <w:rsid w:val="405A7C3B"/>
    <w:rsid w:val="406960D0"/>
    <w:rsid w:val="40776A3F"/>
    <w:rsid w:val="40787E7C"/>
    <w:rsid w:val="407C4056"/>
    <w:rsid w:val="40861EE8"/>
    <w:rsid w:val="408B6047"/>
    <w:rsid w:val="408F1FDB"/>
    <w:rsid w:val="409475F1"/>
    <w:rsid w:val="409932D8"/>
    <w:rsid w:val="40A23390"/>
    <w:rsid w:val="40A4535A"/>
    <w:rsid w:val="40AB66E9"/>
    <w:rsid w:val="40B51316"/>
    <w:rsid w:val="40BB2DD0"/>
    <w:rsid w:val="40C41559"/>
    <w:rsid w:val="40C477AB"/>
    <w:rsid w:val="40D914A8"/>
    <w:rsid w:val="40DA0D7C"/>
    <w:rsid w:val="40E63D94"/>
    <w:rsid w:val="40FC6F44"/>
    <w:rsid w:val="410302D3"/>
    <w:rsid w:val="41032072"/>
    <w:rsid w:val="410A78B3"/>
    <w:rsid w:val="410D1152"/>
    <w:rsid w:val="410F7001"/>
    <w:rsid w:val="41126768"/>
    <w:rsid w:val="411E510D"/>
    <w:rsid w:val="41263FC1"/>
    <w:rsid w:val="412D35A2"/>
    <w:rsid w:val="412D5350"/>
    <w:rsid w:val="41410DFB"/>
    <w:rsid w:val="41432DC5"/>
    <w:rsid w:val="414508EB"/>
    <w:rsid w:val="414C1C7A"/>
    <w:rsid w:val="414C3A28"/>
    <w:rsid w:val="414D154E"/>
    <w:rsid w:val="414D77A0"/>
    <w:rsid w:val="4157061F"/>
    <w:rsid w:val="415B010F"/>
    <w:rsid w:val="415D3E87"/>
    <w:rsid w:val="4162324B"/>
    <w:rsid w:val="41635215"/>
    <w:rsid w:val="41636FC4"/>
    <w:rsid w:val="41665ED0"/>
    <w:rsid w:val="4168282C"/>
    <w:rsid w:val="416D1BF0"/>
    <w:rsid w:val="416F3BBA"/>
    <w:rsid w:val="41742F7F"/>
    <w:rsid w:val="41766CF7"/>
    <w:rsid w:val="417B7450"/>
    <w:rsid w:val="41874A60"/>
    <w:rsid w:val="418A09F4"/>
    <w:rsid w:val="418F1B67"/>
    <w:rsid w:val="41986C6D"/>
    <w:rsid w:val="41A31ADD"/>
    <w:rsid w:val="41A41AB6"/>
    <w:rsid w:val="41A63B4C"/>
    <w:rsid w:val="41AC2719"/>
    <w:rsid w:val="41B4781F"/>
    <w:rsid w:val="41BB6E00"/>
    <w:rsid w:val="41BE18F4"/>
    <w:rsid w:val="41C37A62"/>
    <w:rsid w:val="41C55588"/>
    <w:rsid w:val="41C757A4"/>
    <w:rsid w:val="41D103D1"/>
    <w:rsid w:val="41DA54D8"/>
    <w:rsid w:val="41DB1250"/>
    <w:rsid w:val="41E40104"/>
    <w:rsid w:val="41E41EB2"/>
    <w:rsid w:val="41ED4384"/>
    <w:rsid w:val="41F145CF"/>
    <w:rsid w:val="41F36599"/>
    <w:rsid w:val="41FD2F74"/>
    <w:rsid w:val="42002A64"/>
    <w:rsid w:val="4202058A"/>
    <w:rsid w:val="421C66AA"/>
    <w:rsid w:val="421D53C4"/>
    <w:rsid w:val="42274495"/>
    <w:rsid w:val="422873D2"/>
    <w:rsid w:val="422B02CE"/>
    <w:rsid w:val="422E137F"/>
    <w:rsid w:val="42334BE8"/>
    <w:rsid w:val="42360234"/>
    <w:rsid w:val="423A7D24"/>
    <w:rsid w:val="423D15C3"/>
    <w:rsid w:val="423D5A66"/>
    <w:rsid w:val="42424E2B"/>
    <w:rsid w:val="424566C9"/>
    <w:rsid w:val="424961B9"/>
    <w:rsid w:val="424C018D"/>
    <w:rsid w:val="424F168A"/>
    <w:rsid w:val="425012F6"/>
    <w:rsid w:val="425D1C65"/>
    <w:rsid w:val="425F778B"/>
    <w:rsid w:val="42641245"/>
    <w:rsid w:val="4267663F"/>
    <w:rsid w:val="42733236"/>
    <w:rsid w:val="427F7E2D"/>
    <w:rsid w:val="42813BA5"/>
    <w:rsid w:val="428216CB"/>
    <w:rsid w:val="42845443"/>
    <w:rsid w:val="42862F6A"/>
    <w:rsid w:val="429513FF"/>
    <w:rsid w:val="42980EEF"/>
    <w:rsid w:val="42A653BA"/>
    <w:rsid w:val="42B07FE6"/>
    <w:rsid w:val="42B46AFE"/>
    <w:rsid w:val="42BA70B7"/>
    <w:rsid w:val="42BD2703"/>
    <w:rsid w:val="42C57F36"/>
    <w:rsid w:val="42C615B8"/>
    <w:rsid w:val="42CD2946"/>
    <w:rsid w:val="42CE66BF"/>
    <w:rsid w:val="42D53EF1"/>
    <w:rsid w:val="42D55C9F"/>
    <w:rsid w:val="42DA32B5"/>
    <w:rsid w:val="42DC527F"/>
    <w:rsid w:val="42DF6358"/>
    <w:rsid w:val="42E12896"/>
    <w:rsid w:val="42F00D2B"/>
    <w:rsid w:val="42F06635"/>
    <w:rsid w:val="42F75C15"/>
    <w:rsid w:val="430A3B9B"/>
    <w:rsid w:val="43104F29"/>
    <w:rsid w:val="431E31A2"/>
    <w:rsid w:val="43234C5C"/>
    <w:rsid w:val="4329524B"/>
    <w:rsid w:val="432F3601"/>
    <w:rsid w:val="43326C4D"/>
    <w:rsid w:val="433E55F2"/>
    <w:rsid w:val="43486471"/>
    <w:rsid w:val="43496BE1"/>
    <w:rsid w:val="43513AA8"/>
    <w:rsid w:val="43525542"/>
    <w:rsid w:val="43543068"/>
    <w:rsid w:val="435C1F1C"/>
    <w:rsid w:val="436545DD"/>
    <w:rsid w:val="436B215F"/>
    <w:rsid w:val="43707776"/>
    <w:rsid w:val="43776D56"/>
    <w:rsid w:val="439671DC"/>
    <w:rsid w:val="43B9111D"/>
    <w:rsid w:val="43BD0C0D"/>
    <w:rsid w:val="43BE6733"/>
    <w:rsid w:val="43C755E8"/>
    <w:rsid w:val="43CB7A05"/>
    <w:rsid w:val="43CC0E50"/>
    <w:rsid w:val="43D9356D"/>
    <w:rsid w:val="43F860E9"/>
    <w:rsid w:val="43FE2FD4"/>
    <w:rsid w:val="44054362"/>
    <w:rsid w:val="44103433"/>
    <w:rsid w:val="44114AB5"/>
    <w:rsid w:val="441427F7"/>
    <w:rsid w:val="4416656F"/>
    <w:rsid w:val="441D16AC"/>
    <w:rsid w:val="441F3676"/>
    <w:rsid w:val="44242A3A"/>
    <w:rsid w:val="442567B2"/>
    <w:rsid w:val="442650D6"/>
    <w:rsid w:val="4427077C"/>
    <w:rsid w:val="442944F4"/>
    <w:rsid w:val="442962A2"/>
    <w:rsid w:val="4435582D"/>
    <w:rsid w:val="443F7874"/>
    <w:rsid w:val="44427364"/>
    <w:rsid w:val="44466E54"/>
    <w:rsid w:val="44496945"/>
    <w:rsid w:val="444B47F6"/>
    <w:rsid w:val="445175A7"/>
    <w:rsid w:val="445826E4"/>
    <w:rsid w:val="446612A5"/>
    <w:rsid w:val="4475773A"/>
    <w:rsid w:val="447C2876"/>
    <w:rsid w:val="447F5EC2"/>
    <w:rsid w:val="44823C05"/>
    <w:rsid w:val="448636F5"/>
    <w:rsid w:val="4487121B"/>
    <w:rsid w:val="448E07FB"/>
    <w:rsid w:val="448E4357"/>
    <w:rsid w:val="44913E48"/>
    <w:rsid w:val="44955F98"/>
    <w:rsid w:val="44965E8E"/>
    <w:rsid w:val="449C4CC6"/>
    <w:rsid w:val="449C6A74"/>
    <w:rsid w:val="44A3316C"/>
    <w:rsid w:val="44A91191"/>
    <w:rsid w:val="44B32010"/>
    <w:rsid w:val="44BC0EC5"/>
    <w:rsid w:val="44D02BC2"/>
    <w:rsid w:val="44D0671E"/>
    <w:rsid w:val="44D37FBC"/>
    <w:rsid w:val="44D53D34"/>
    <w:rsid w:val="44D81DAB"/>
    <w:rsid w:val="44DE708D"/>
    <w:rsid w:val="44E4666D"/>
    <w:rsid w:val="44F248E6"/>
    <w:rsid w:val="44F87A23"/>
    <w:rsid w:val="44FA19ED"/>
    <w:rsid w:val="44FF5255"/>
    <w:rsid w:val="450C780B"/>
    <w:rsid w:val="45196317"/>
    <w:rsid w:val="45240818"/>
    <w:rsid w:val="452A22D2"/>
    <w:rsid w:val="452B429C"/>
    <w:rsid w:val="452B7DF8"/>
    <w:rsid w:val="452F78E8"/>
    <w:rsid w:val="45344EFF"/>
    <w:rsid w:val="45390767"/>
    <w:rsid w:val="453C0257"/>
    <w:rsid w:val="454E0A4E"/>
    <w:rsid w:val="4550785F"/>
    <w:rsid w:val="455E3D2A"/>
    <w:rsid w:val="45617CBE"/>
    <w:rsid w:val="4565330A"/>
    <w:rsid w:val="456652D4"/>
    <w:rsid w:val="456A0EBE"/>
    <w:rsid w:val="456F4189"/>
    <w:rsid w:val="45703022"/>
    <w:rsid w:val="4574179F"/>
    <w:rsid w:val="45795008"/>
    <w:rsid w:val="457C0654"/>
    <w:rsid w:val="457F1EF2"/>
    <w:rsid w:val="45857508"/>
    <w:rsid w:val="458A2D71"/>
    <w:rsid w:val="458D0AB3"/>
    <w:rsid w:val="45943BEF"/>
    <w:rsid w:val="459B4F7E"/>
    <w:rsid w:val="459B6D2C"/>
    <w:rsid w:val="459E4A6E"/>
    <w:rsid w:val="45A007E6"/>
    <w:rsid w:val="45A32084"/>
    <w:rsid w:val="45A50107"/>
    <w:rsid w:val="45BD0F5F"/>
    <w:rsid w:val="45BE2A1A"/>
    <w:rsid w:val="45C06792"/>
    <w:rsid w:val="45CE1B56"/>
    <w:rsid w:val="45D65FB6"/>
    <w:rsid w:val="45D87F80"/>
    <w:rsid w:val="45D95AA6"/>
    <w:rsid w:val="45E05087"/>
    <w:rsid w:val="45EC7588"/>
    <w:rsid w:val="45ED3300"/>
    <w:rsid w:val="45F91CA4"/>
    <w:rsid w:val="45F96148"/>
    <w:rsid w:val="45FD1795"/>
    <w:rsid w:val="46001285"/>
    <w:rsid w:val="460E5C36"/>
    <w:rsid w:val="4613720A"/>
    <w:rsid w:val="46144D30"/>
    <w:rsid w:val="46166F98"/>
    <w:rsid w:val="461B60BF"/>
    <w:rsid w:val="461D1E37"/>
    <w:rsid w:val="461F5BAF"/>
    <w:rsid w:val="46244F73"/>
    <w:rsid w:val="462C3E28"/>
    <w:rsid w:val="463351B6"/>
    <w:rsid w:val="463450FE"/>
    <w:rsid w:val="463E5044"/>
    <w:rsid w:val="46435FB5"/>
    <w:rsid w:val="4646138E"/>
    <w:rsid w:val="46476EB4"/>
    <w:rsid w:val="464E1FF0"/>
    <w:rsid w:val="464E3D9E"/>
    <w:rsid w:val="4654512D"/>
    <w:rsid w:val="46641814"/>
    <w:rsid w:val="466435C2"/>
    <w:rsid w:val="4665733A"/>
    <w:rsid w:val="46676037"/>
    <w:rsid w:val="467632F5"/>
    <w:rsid w:val="46780E1B"/>
    <w:rsid w:val="467B6B5D"/>
    <w:rsid w:val="468A0B4E"/>
    <w:rsid w:val="4698770F"/>
    <w:rsid w:val="469A6FE4"/>
    <w:rsid w:val="469B2D5C"/>
    <w:rsid w:val="46A14816"/>
    <w:rsid w:val="46A2233C"/>
    <w:rsid w:val="46A77952"/>
    <w:rsid w:val="46AC6D17"/>
    <w:rsid w:val="46AE0CE1"/>
    <w:rsid w:val="46BC33FE"/>
    <w:rsid w:val="46C67DD9"/>
    <w:rsid w:val="46C93D6D"/>
    <w:rsid w:val="46CE3131"/>
    <w:rsid w:val="46D06EA9"/>
    <w:rsid w:val="46DA3884"/>
    <w:rsid w:val="46E12E64"/>
    <w:rsid w:val="46E75FA1"/>
    <w:rsid w:val="46EB0A16"/>
    <w:rsid w:val="46F012F9"/>
    <w:rsid w:val="46F54B62"/>
    <w:rsid w:val="46F81F5C"/>
    <w:rsid w:val="46FA3F26"/>
    <w:rsid w:val="47060B1D"/>
    <w:rsid w:val="47084895"/>
    <w:rsid w:val="47086643"/>
    <w:rsid w:val="47134FE8"/>
    <w:rsid w:val="47215957"/>
    <w:rsid w:val="47266AC9"/>
    <w:rsid w:val="473016F6"/>
    <w:rsid w:val="47305DF5"/>
    <w:rsid w:val="4734568A"/>
    <w:rsid w:val="473531B0"/>
    <w:rsid w:val="474358CD"/>
    <w:rsid w:val="47460F19"/>
    <w:rsid w:val="47480D31"/>
    <w:rsid w:val="475278BE"/>
    <w:rsid w:val="475F022D"/>
    <w:rsid w:val="4760647F"/>
    <w:rsid w:val="47633879"/>
    <w:rsid w:val="477C0DDF"/>
    <w:rsid w:val="4780267D"/>
    <w:rsid w:val="47855EE6"/>
    <w:rsid w:val="478832E0"/>
    <w:rsid w:val="479355B7"/>
    <w:rsid w:val="479E2B03"/>
    <w:rsid w:val="479E48B1"/>
    <w:rsid w:val="479E6FA7"/>
    <w:rsid w:val="47AB5220"/>
    <w:rsid w:val="47AF2F63"/>
    <w:rsid w:val="47B83B92"/>
    <w:rsid w:val="47B9793D"/>
    <w:rsid w:val="47BE4F54"/>
    <w:rsid w:val="47C167F2"/>
    <w:rsid w:val="47C6205A"/>
    <w:rsid w:val="47C63E08"/>
    <w:rsid w:val="47C702AC"/>
    <w:rsid w:val="47C84024"/>
    <w:rsid w:val="47C86DC7"/>
    <w:rsid w:val="47C87B80"/>
    <w:rsid w:val="47CB141F"/>
    <w:rsid w:val="47D51FC2"/>
    <w:rsid w:val="47D97D4C"/>
    <w:rsid w:val="47DE55F6"/>
    <w:rsid w:val="47E0136E"/>
    <w:rsid w:val="47E04ECA"/>
    <w:rsid w:val="47EC1AC1"/>
    <w:rsid w:val="47F40975"/>
    <w:rsid w:val="47F646ED"/>
    <w:rsid w:val="47F92430"/>
    <w:rsid w:val="48001EFA"/>
    <w:rsid w:val="4812530C"/>
    <w:rsid w:val="48147269"/>
    <w:rsid w:val="481728B6"/>
    <w:rsid w:val="482F5E51"/>
    <w:rsid w:val="48315726"/>
    <w:rsid w:val="48362D3C"/>
    <w:rsid w:val="483B0BC3"/>
    <w:rsid w:val="484C6A03"/>
    <w:rsid w:val="484D0086"/>
    <w:rsid w:val="484D62D8"/>
    <w:rsid w:val="484E277B"/>
    <w:rsid w:val="485A0F31"/>
    <w:rsid w:val="485E04E5"/>
    <w:rsid w:val="486024AF"/>
    <w:rsid w:val="486A35F7"/>
    <w:rsid w:val="486C49B0"/>
    <w:rsid w:val="48741AB6"/>
    <w:rsid w:val="4880581D"/>
    <w:rsid w:val="48815F68"/>
    <w:rsid w:val="48825F81"/>
    <w:rsid w:val="48897310"/>
    <w:rsid w:val="488C6E00"/>
    <w:rsid w:val="488E0DCA"/>
    <w:rsid w:val="48902741"/>
    <w:rsid w:val="48914416"/>
    <w:rsid w:val="489B7043"/>
    <w:rsid w:val="48A00AFD"/>
    <w:rsid w:val="48A64365"/>
    <w:rsid w:val="48AA1734"/>
    <w:rsid w:val="48B00D40"/>
    <w:rsid w:val="48B620CF"/>
    <w:rsid w:val="48BD16AF"/>
    <w:rsid w:val="48BF0F83"/>
    <w:rsid w:val="48BF2D31"/>
    <w:rsid w:val="48BF5427"/>
    <w:rsid w:val="48C04CFB"/>
    <w:rsid w:val="48C447EC"/>
    <w:rsid w:val="48C90054"/>
    <w:rsid w:val="48CE7418"/>
    <w:rsid w:val="48D32C81"/>
    <w:rsid w:val="48D72771"/>
    <w:rsid w:val="48D80297"/>
    <w:rsid w:val="48DD3919"/>
    <w:rsid w:val="48E7672C"/>
    <w:rsid w:val="48E96000"/>
    <w:rsid w:val="48EB7FCA"/>
    <w:rsid w:val="48EE1869"/>
    <w:rsid w:val="48F84495"/>
    <w:rsid w:val="48FF6CB3"/>
    <w:rsid w:val="49064E04"/>
    <w:rsid w:val="491F1A22"/>
    <w:rsid w:val="492139EC"/>
    <w:rsid w:val="49227764"/>
    <w:rsid w:val="492434DC"/>
    <w:rsid w:val="492928A1"/>
    <w:rsid w:val="492D05E3"/>
    <w:rsid w:val="493C4382"/>
    <w:rsid w:val="4944592C"/>
    <w:rsid w:val="49496A9F"/>
    <w:rsid w:val="494B0A69"/>
    <w:rsid w:val="494E5516"/>
    <w:rsid w:val="495D7CF3"/>
    <w:rsid w:val="495F62C2"/>
    <w:rsid w:val="4968786D"/>
    <w:rsid w:val="496F29A9"/>
    <w:rsid w:val="49747FC0"/>
    <w:rsid w:val="49753D38"/>
    <w:rsid w:val="498B355B"/>
    <w:rsid w:val="499248EA"/>
    <w:rsid w:val="49975A5C"/>
    <w:rsid w:val="49A60395"/>
    <w:rsid w:val="49A62143"/>
    <w:rsid w:val="49A87C69"/>
    <w:rsid w:val="49A95790"/>
    <w:rsid w:val="49AA39E1"/>
    <w:rsid w:val="49B02FC2"/>
    <w:rsid w:val="49B21896"/>
    <w:rsid w:val="49B4660E"/>
    <w:rsid w:val="49B605D8"/>
    <w:rsid w:val="49BB2948"/>
    <w:rsid w:val="49BE123B"/>
    <w:rsid w:val="49C36851"/>
    <w:rsid w:val="49C37C11"/>
    <w:rsid w:val="49C66341"/>
    <w:rsid w:val="49C94F4C"/>
    <w:rsid w:val="49D7054F"/>
    <w:rsid w:val="49DA3B9B"/>
    <w:rsid w:val="49DC7913"/>
    <w:rsid w:val="49E07403"/>
    <w:rsid w:val="49E50EBD"/>
    <w:rsid w:val="49F20EE5"/>
    <w:rsid w:val="49F904C5"/>
    <w:rsid w:val="49FC7FB5"/>
    <w:rsid w:val="4A02381D"/>
    <w:rsid w:val="4A087424"/>
    <w:rsid w:val="4A0A26D2"/>
    <w:rsid w:val="4A0A510F"/>
    <w:rsid w:val="4A1022B2"/>
    <w:rsid w:val="4A153553"/>
    <w:rsid w:val="4A1B48DF"/>
    <w:rsid w:val="4A227A1C"/>
    <w:rsid w:val="4A253068"/>
    <w:rsid w:val="4A286FFC"/>
    <w:rsid w:val="4A315EB1"/>
    <w:rsid w:val="4A361719"/>
    <w:rsid w:val="4A38723F"/>
    <w:rsid w:val="4A404346"/>
    <w:rsid w:val="4A443E36"/>
    <w:rsid w:val="4A477482"/>
    <w:rsid w:val="4A6718D3"/>
    <w:rsid w:val="4A6D4A0F"/>
    <w:rsid w:val="4A7638C4"/>
    <w:rsid w:val="4A852A8D"/>
    <w:rsid w:val="4A8835F7"/>
    <w:rsid w:val="4A883874"/>
    <w:rsid w:val="4AA06B93"/>
    <w:rsid w:val="4AA77F21"/>
    <w:rsid w:val="4AA85A47"/>
    <w:rsid w:val="4AAC5537"/>
    <w:rsid w:val="4AAE7501"/>
    <w:rsid w:val="4AB4263E"/>
    <w:rsid w:val="4AB740F4"/>
    <w:rsid w:val="4AB97C54"/>
    <w:rsid w:val="4AC24D5B"/>
    <w:rsid w:val="4AC26B09"/>
    <w:rsid w:val="4AD36F68"/>
    <w:rsid w:val="4ADF37EE"/>
    <w:rsid w:val="4AF33166"/>
    <w:rsid w:val="4AF34F14"/>
    <w:rsid w:val="4AF60EA8"/>
    <w:rsid w:val="4AFA164C"/>
    <w:rsid w:val="4B054C48"/>
    <w:rsid w:val="4B062BD9"/>
    <w:rsid w:val="4B0E7FA0"/>
    <w:rsid w:val="4B1650A7"/>
    <w:rsid w:val="4B1A6945"/>
    <w:rsid w:val="4B1F21AD"/>
    <w:rsid w:val="4B217CD3"/>
    <w:rsid w:val="4B2257F9"/>
    <w:rsid w:val="4B2A6963"/>
    <w:rsid w:val="4B2C0426"/>
    <w:rsid w:val="4B2C48CA"/>
    <w:rsid w:val="4B2E0642"/>
    <w:rsid w:val="4B320132"/>
    <w:rsid w:val="4B38501D"/>
    <w:rsid w:val="4B386DCB"/>
    <w:rsid w:val="4B3B703F"/>
    <w:rsid w:val="4B3D2633"/>
    <w:rsid w:val="4B413ED2"/>
    <w:rsid w:val="4B475260"/>
    <w:rsid w:val="4B4E2A92"/>
    <w:rsid w:val="4B524331"/>
    <w:rsid w:val="4B5D6832"/>
    <w:rsid w:val="4B5F0424"/>
    <w:rsid w:val="4B6E0A3F"/>
    <w:rsid w:val="4B6E4EE3"/>
    <w:rsid w:val="4B702A09"/>
    <w:rsid w:val="4B72052F"/>
    <w:rsid w:val="4B7C7600"/>
    <w:rsid w:val="4B935782"/>
    <w:rsid w:val="4B95246F"/>
    <w:rsid w:val="4BA83F51"/>
    <w:rsid w:val="4BA95F1B"/>
    <w:rsid w:val="4BB87F0C"/>
    <w:rsid w:val="4BC33F12"/>
    <w:rsid w:val="4BCB5E91"/>
    <w:rsid w:val="4BDE5BC4"/>
    <w:rsid w:val="4BDF193C"/>
    <w:rsid w:val="4BE07B8E"/>
    <w:rsid w:val="4BE11211"/>
    <w:rsid w:val="4BE17463"/>
    <w:rsid w:val="4BE60F1D"/>
    <w:rsid w:val="4BE64E8F"/>
    <w:rsid w:val="4BED22AB"/>
    <w:rsid w:val="4BED5E07"/>
    <w:rsid w:val="4BEF7DD1"/>
    <w:rsid w:val="4BF2341E"/>
    <w:rsid w:val="4BF26D26"/>
    <w:rsid w:val="4BF70A34"/>
    <w:rsid w:val="4BF90C50"/>
    <w:rsid w:val="4C0849EF"/>
    <w:rsid w:val="4C15710C"/>
    <w:rsid w:val="4C1930A0"/>
    <w:rsid w:val="4C1A34BB"/>
    <w:rsid w:val="4C235CCD"/>
    <w:rsid w:val="4C254AA8"/>
    <w:rsid w:val="4C365A00"/>
    <w:rsid w:val="4C3D6D8F"/>
    <w:rsid w:val="4C455C43"/>
    <w:rsid w:val="4C4F0870"/>
    <w:rsid w:val="4C523EBC"/>
    <w:rsid w:val="4C561BFF"/>
    <w:rsid w:val="4C586C2C"/>
    <w:rsid w:val="4C5E0AB3"/>
    <w:rsid w:val="4C612351"/>
    <w:rsid w:val="4C675BBA"/>
    <w:rsid w:val="4C714C8A"/>
    <w:rsid w:val="4C7402D7"/>
    <w:rsid w:val="4C765DFD"/>
    <w:rsid w:val="4C786019"/>
    <w:rsid w:val="4C7B78B7"/>
    <w:rsid w:val="4C883D82"/>
    <w:rsid w:val="4C8F3363"/>
    <w:rsid w:val="4C9170DB"/>
    <w:rsid w:val="4C96024D"/>
    <w:rsid w:val="4CA87F80"/>
    <w:rsid w:val="4CC44379"/>
    <w:rsid w:val="4CC56D84"/>
    <w:rsid w:val="4CCC0113"/>
    <w:rsid w:val="4CD6689C"/>
    <w:rsid w:val="4CD9638C"/>
    <w:rsid w:val="4CE03BBE"/>
    <w:rsid w:val="4CEE1E37"/>
    <w:rsid w:val="4CF11E01"/>
    <w:rsid w:val="4CF338F1"/>
    <w:rsid w:val="4CF51418"/>
    <w:rsid w:val="4CF65190"/>
    <w:rsid w:val="4CF82CB6"/>
    <w:rsid w:val="4D023B34"/>
    <w:rsid w:val="4D094EC3"/>
    <w:rsid w:val="4D155616"/>
    <w:rsid w:val="4D1A70D0"/>
    <w:rsid w:val="4D1B0752"/>
    <w:rsid w:val="4D1F46E6"/>
    <w:rsid w:val="4D225F85"/>
    <w:rsid w:val="4D3006A2"/>
    <w:rsid w:val="4D30352B"/>
    <w:rsid w:val="4D381304"/>
    <w:rsid w:val="4D3A1520"/>
    <w:rsid w:val="4D455A02"/>
    <w:rsid w:val="4D4976F7"/>
    <w:rsid w:val="4D4E01F5"/>
    <w:rsid w:val="4D4E0B28"/>
    <w:rsid w:val="4D5048A0"/>
    <w:rsid w:val="4D553C64"/>
    <w:rsid w:val="4D587BF8"/>
    <w:rsid w:val="4D5A571F"/>
    <w:rsid w:val="4D6B792C"/>
    <w:rsid w:val="4D6C0858"/>
    <w:rsid w:val="4D8471A7"/>
    <w:rsid w:val="4D8602C2"/>
    <w:rsid w:val="4D875DE8"/>
    <w:rsid w:val="4D950505"/>
    <w:rsid w:val="4D9C1893"/>
    <w:rsid w:val="4D9F75D5"/>
    <w:rsid w:val="4DA16EA9"/>
    <w:rsid w:val="4DA846DC"/>
    <w:rsid w:val="4DA93FB0"/>
    <w:rsid w:val="4DAD54A5"/>
    <w:rsid w:val="4DB27309"/>
    <w:rsid w:val="4DBA440F"/>
    <w:rsid w:val="4DBA61BD"/>
    <w:rsid w:val="4DC808DA"/>
    <w:rsid w:val="4DD0778F"/>
    <w:rsid w:val="4DDA060D"/>
    <w:rsid w:val="4DE1374A"/>
    <w:rsid w:val="4DF25957"/>
    <w:rsid w:val="4DF416CF"/>
    <w:rsid w:val="4DF55447"/>
    <w:rsid w:val="4E015B9A"/>
    <w:rsid w:val="4E064079"/>
    <w:rsid w:val="4E094A4F"/>
    <w:rsid w:val="4E1221A2"/>
    <w:rsid w:val="4E14044B"/>
    <w:rsid w:val="4E1458CD"/>
    <w:rsid w:val="4E2140F4"/>
    <w:rsid w:val="4E21448E"/>
    <w:rsid w:val="4E217FEA"/>
    <w:rsid w:val="4E2A3343"/>
    <w:rsid w:val="4E2F2707"/>
    <w:rsid w:val="4E30647F"/>
    <w:rsid w:val="4E33358C"/>
    <w:rsid w:val="4E355844"/>
    <w:rsid w:val="4E37780E"/>
    <w:rsid w:val="4E3A4E06"/>
    <w:rsid w:val="4E41068C"/>
    <w:rsid w:val="4E4D7031"/>
    <w:rsid w:val="4E510A11"/>
    <w:rsid w:val="4E5263F6"/>
    <w:rsid w:val="4E593C28"/>
    <w:rsid w:val="4E5B174E"/>
    <w:rsid w:val="4E630603"/>
    <w:rsid w:val="4E631C5A"/>
    <w:rsid w:val="4E6879C7"/>
    <w:rsid w:val="4E6B144B"/>
    <w:rsid w:val="4E6F0D56"/>
    <w:rsid w:val="4E791BD4"/>
    <w:rsid w:val="4E7C3473"/>
    <w:rsid w:val="4E8567CB"/>
    <w:rsid w:val="4E86609F"/>
    <w:rsid w:val="4E8D5680"/>
    <w:rsid w:val="4E8F764A"/>
    <w:rsid w:val="4E914C57"/>
    <w:rsid w:val="4E984750"/>
    <w:rsid w:val="4E992277"/>
    <w:rsid w:val="4EA053B3"/>
    <w:rsid w:val="4EA07161"/>
    <w:rsid w:val="4EA34EA3"/>
    <w:rsid w:val="4EA842B6"/>
    <w:rsid w:val="4EC340C0"/>
    <w:rsid w:val="4ECA0682"/>
    <w:rsid w:val="4ECC7F56"/>
    <w:rsid w:val="4EE23C1E"/>
    <w:rsid w:val="4EE554BC"/>
    <w:rsid w:val="4F0168E2"/>
    <w:rsid w:val="4F075432"/>
    <w:rsid w:val="4F0C0C9A"/>
    <w:rsid w:val="4F1162B1"/>
    <w:rsid w:val="4F2423BA"/>
    <w:rsid w:val="4F2953A8"/>
    <w:rsid w:val="4F2A1121"/>
    <w:rsid w:val="4F2E0C11"/>
    <w:rsid w:val="4F3B332E"/>
    <w:rsid w:val="4F3D0E54"/>
    <w:rsid w:val="4F42290E"/>
    <w:rsid w:val="4F5368C9"/>
    <w:rsid w:val="4F552641"/>
    <w:rsid w:val="4F561F16"/>
    <w:rsid w:val="4F596466"/>
    <w:rsid w:val="4F5B7ADD"/>
    <w:rsid w:val="4F5D14F6"/>
    <w:rsid w:val="4F5F701C"/>
    <w:rsid w:val="4F644633"/>
    <w:rsid w:val="4F6939F7"/>
    <w:rsid w:val="4F6A776F"/>
    <w:rsid w:val="4F6B59C1"/>
    <w:rsid w:val="4F734876"/>
    <w:rsid w:val="4F7D74A2"/>
    <w:rsid w:val="4F815A58"/>
    <w:rsid w:val="4F820602"/>
    <w:rsid w:val="4F8E16AF"/>
    <w:rsid w:val="4F9071D6"/>
    <w:rsid w:val="4F93316A"/>
    <w:rsid w:val="4F9A62A6"/>
    <w:rsid w:val="4F9F38BD"/>
    <w:rsid w:val="4FB56C3C"/>
    <w:rsid w:val="4FB70C06"/>
    <w:rsid w:val="4FC450D1"/>
    <w:rsid w:val="4FCC3F86"/>
    <w:rsid w:val="4FD01CC8"/>
    <w:rsid w:val="4FD03A76"/>
    <w:rsid w:val="4FD5108C"/>
    <w:rsid w:val="4FD86DCF"/>
    <w:rsid w:val="4FD92948"/>
    <w:rsid w:val="4FDD43E5"/>
    <w:rsid w:val="4FEB6B02"/>
    <w:rsid w:val="4FFC0D0F"/>
    <w:rsid w:val="4FFD05E3"/>
    <w:rsid w:val="50025BF9"/>
    <w:rsid w:val="5003209D"/>
    <w:rsid w:val="5006393C"/>
    <w:rsid w:val="500951DA"/>
    <w:rsid w:val="500E459E"/>
    <w:rsid w:val="501047BA"/>
    <w:rsid w:val="50125E3D"/>
    <w:rsid w:val="501A2F43"/>
    <w:rsid w:val="501E0C85"/>
    <w:rsid w:val="502344EE"/>
    <w:rsid w:val="50267B3A"/>
    <w:rsid w:val="502913D8"/>
    <w:rsid w:val="502A587C"/>
    <w:rsid w:val="502D7A9C"/>
    <w:rsid w:val="502F4C40"/>
    <w:rsid w:val="503009B9"/>
    <w:rsid w:val="503938CE"/>
    <w:rsid w:val="503F0BFC"/>
    <w:rsid w:val="50454464"/>
    <w:rsid w:val="50483F54"/>
    <w:rsid w:val="50487D45"/>
    <w:rsid w:val="504F0E3F"/>
    <w:rsid w:val="505E7C41"/>
    <w:rsid w:val="50615016"/>
    <w:rsid w:val="506348EA"/>
    <w:rsid w:val="506A3ECB"/>
    <w:rsid w:val="506F14E1"/>
    <w:rsid w:val="50707007"/>
    <w:rsid w:val="5082664C"/>
    <w:rsid w:val="50884351"/>
    <w:rsid w:val="508A6075"/>
    <w:rsid w:val="508B3E41"/>
    <w:rsid w:val="508C2093"/>
    <w:rsid w:val="509151BA"/>
    <w:rsid w:val="50947199"/>
    <w:rsid w:val="509947B0"/>
    <w:rsid w:val="509C604E"/>
    <w:rsid w:val="50A82C45"/>
    <w:rsid w:val="50AA2519"/>
    <w:rsid w:val="50AF51FF"/>
    <w:rsid w:val="50B96C00"/>
    <w:rsid w:val="50BB0282"/>
    <w:rsid w:val="50BC224C"/>
    <w:rsid w:val="50BE5FC4"/>
    <w:rsid w:val="50C3182D"/>
    <w:rsid w:val="50CE26AB"/>
    <w:rsid w:val="50D457E8"/>
    <w:rsid w:val="50D47596"/>
    <w:rsid w:val="50EA0B67"/>
    <w:rsid w:val="50EF617E"/>
    <w:rsid w:val="50FD4D3F"/>
    <w:rsid w:val="510E0CFA"/>
    <w:rsid w:val="512200B2"/>
    <w:rsid w:val="512C2F2E"/>
    <w:rsid w:val="512F0C70"/>
    <w:rsid w:val="513A1AEF"/>
    <w:rsid w:val="513D338D"/>
    <w:rsid w:val="514209A3"/>
    <w:rsid w:val="514C537E"/>
    <w:rsid w:val="51595CED"/>
    <w:rsid w:val="516923D4"/>
    <w:rsid w:val="516A3A56"/>
    <w:rsid w:val="516B5167"/>
    <w:rsid w:val="51714DE5"/>
    <w:rsid w:val="51730B5D"/>
    <w:rsid w:val="5179233C"/>
    <w:rsid w:val="517F39A6"/>
    <w:rsid w:val="51850890"/>
    <w:rsid w:val="518B7A89"/>
    <w:rsid w:val="51976F41"/>
    <w:rsid w:val="51981FF4"/>
    <w:rsid w:val="51A27694"/>
    <w:rsid w:val="51A60F32"/>
    <w:rsid w:val="51A67184"/>
    <w:rsid w:val="51AB479B"/>
    <w:rsid w:val="51AB6549"/>
    <w:rsid w:val="51AC406F"/>
    <w:rsid w:val="51AE428B"/>
    <w:rsid w:val="51B178D7"/>
    <w:rsid w:val="51B573C7"/>
    <w:rsid w:val="51C23892"/>
    <w:rsid w:val="51C27D36"/>
    <w:rsid w:val="51C4585C"/>
    <w:rsid w:val="51C55131"/>
    <w:rsid w:val="51D57A6A"/>
    <w:rsid w:val="51D830B6"/>
    <w:rsid w:val="51DF14E9"/>
    <w:rsid w:val="51DF2696"/>
    <w:rsid w:val="51E952C3"/>
    <w:rsid w:val="51EE0B2B"/>
    <w:rsid w:val="51FF0643"/>
    <w:rsid w:val="52020133"/>
    <w:rsid w:val="52041D74"/>
    <w:rsid w:val="52057A3C"/>
    <w:rsid w:val="520E6AD8"/>
    <w:rsid w:val="521045FE"/>
    <w:rsid w:val="5212481A"/>
    <w:rsid w:val="52140592"/>
    <w:rsid w:val="52152CF9"/>
    <w:rsid w:val="521C2FA3"/>
    <w:rsid w:val="522B1438"/>
    <w:rsid w:val="522B768A"/>
    <w:rsid w:val="522E0F28"/>
    <w:rsid w:val="522E2CD6"/>
    <w:rsid w:val="522F47D2"/>
    <w:rsid w:val="523313CB"/>
    <w:rsid w:val="523336B1"/>
    <w:rsid w:val="523522B6"/>
    <w:rsid w:val="523A5B1F"/>
    <w:rsid w:val="523A78CD"/>
    <w:rsid w:val="523C53F3"/>
    <w:rsid w:val="524349D3"/>
    <w:rsid w:val="5248023B"/>
    <w:rsid w:val="525766D1"/>
    <w:rsid w:val="525A22CE"/>
    <w:rsid w:val="52635075"/>
    <w:rsid w:val="52636E23"/>
    <w:rsid w:val="526A01B2"/>
    <w:rsid w:val="52720E14"/>
    <w:rsid w:val="52754DA9"/>
    <w:rsid w:val="527F3531"/>
    <w:rsid w:val="52815D19"/>
    <w:rsid w:val="52831274"/>
    <w:rsid w:val="52952D55"/>
    <w:rsid w:val="52974D1F"/>
    <w:rsid w:val="529E7E5B"/>
    <w:rsid w:val="52A42F98"/>
    <w:rsid w:val="52AD4542"/>
    <w:rsid w:val="52B72CCB"/>
    <w:rsid w:val="52CC2C1B"/>
    <w:rsid w:val="52D10231"/>
    <w:rsid w:val="52DE294E"/>
    <w:rsid w:val="52E141EC"/>
    <w:rsid w:val="52E3113A"/>
    <w:rsid w:val="52E622F6"/>
    <w:rsid w:val="52EB0BC7"/>
    <w:rsid w:val="52EB476D"/>
    <w:rsid w:val="52EC6E19"/>
    <w:rsid w:val="52ED0DE3"/>
    <w:rsid w:val="52EF4B5B"/>
    <w:rsid w:val="52F05F79"/>
    <w:rsid w:val="52F7756C"/>
    <w:rsid w:val="52FB705C"/>
    <w:rsid w:val="530323B4"/>
    <w:rsid w:val="53034162"/>
    <w:rsid w:val="53095C1D"/>
    <w:rsid w:val="530A3743"/>
    <w:rsid w:val="531445C2"/>
    <w:rsid w:val="53157F45"/>
    <w:rsid w:val="53195734"/>
    <w:rsid w:val="531D3476"/>
    <w:rsid w:val="532145E9"/>
    <w:rsid w:val="532760A3"/>
    <w:rsid w:val="532E7431"/>
    <w:rsid w:val="53410865"/>
    <w:rsid w:val="53475632"/>
    <w:rsid w:val="535844AE"/>
    <w:rsid w:val="535B1C8C"/>
    <w:rsid w:val="535D3873"/>
    <w:rsid w:val="535E13F9"/>
    <w:rsid w:val="535F3A8F"/>
    <w:rsid w:val="536E5A80"/>
    <w:rsid w:val="53760DD8"/>
    <w:rsid w:val="53803A05"/>
    <w:rsid w:val="53837051"/>
    <w:rsid w:val="53852DC9"/>
    <w:rsid w:val="538A6632"/>
    <w:rsid w:val="538C4158"/>
    <w:rsid w:val="539D0113"/>
    <w:rsid w:val="539F20DD"/>
    <w:rsid w:val="53A9759F"/>
    <w:rsid w:val="53AB6CD4"/>
    <w:rsid w:val="53B042EA"/>
    <w:rsid w:val="53B536AF"/>
    <w:rsid w:val="53B92A73"/>
    <w:rsid w:val="53C102A5"/>
    <w:rsid w:val="53C421A6"/>
    <w:rsid w:val="53D55AFF"/>
    <w:rsid w:val="53DD49B3"/>
    <w:rsid w:val="53E2646E"/>
    <w:rsid w:val="53E43F94"/>
    <w:rsid w:val="53E73A84"/>
    <w:rsid w:val="53E75832"/>
    <w:rsid w:val="53EC0D38"/>
    <w:rsid w:val="53EF27B4"/>
    <w:rsid w:val="53F65A75"/>
    <w:rsid w:val="53FD6E04"/>
    <w:rsid w:val="54085ED4"/>
    <w:rsid w:val="54093664"/>
    <w:rsid w:val="540B7773"/>
    <w:rsid w:val="540C5299"/>
    <w:rsid w:val="54104D89"/>
    <w:rsid w:val="5411465D"/>
    <w:rsid w:val="541F6D7A"/>
    <w:rsid w:val="54210D44"/>
    <w:rsid w:val="542425E2"/>
    <w:rsid w:val="54261A12"/>
    <w:rsid w:val="54295E4B"/>
    <w:rsid w:val="542C1497"/>
    <w:rsid w:val="543071C7"/>
    <w:rsid w:val="543547EF"/>
    <w:rsid w:val="543C3DD0"/>
    <w:rsid w:val="543D36A4"/>
    <w:rsid w:val="54464D71"/>
    <w:rsid w:val="54484523"/>
    <w:rsid w:val="54497D6E"/>
    <w:rsid w:val="544A302A"/>
    <w:rsid w:val="545253A1"/>
    <w:rsid w:val="54596730"/>
    <w:rsid w:val="545A6004"/>
    <w:rsid w:val="545D4AA3"/>
    <w:rsid w:val="545F186C"/>
    <w:rsid w:val="545F361A"/>
    <w:rsid w:val="54630915"/>
    <w:rsid w:val="54671E67"/>
    <w:rsid w:val="5468108F"/>
    <w:rsid w:val="54694499"/>
    <w:rsid w:val="547370C6"/>
    <w:rsid w:val="547A0454"/>
    <w:rsid w:val="547F1F0F"/>
    <w:rsid w:val="54832422"/>
    <w:rsid w:val="54890697"/>
    <w:rsid w:val="548B08B3"/>
    <w:rsid w:val="54900D24"/>
    <w:rsid w:val="54972DB4"/>
    <w:rsid w:val="54977258"/>
    <w:rsid w:val="54992FD0"/>
    <w:rsid w:val="549A28A4"/>
    <w:rsid w:val="549C661D"/>
    <w:rsid w:val="54A11E85"/>
    <w:rsid w:val="54A35BFD"/>
    <w:rsid w:val="54AE00FE"/>
    <w:rsid w:val="54B43966"/>
    <w:rsid w:val="54B55930"/>
    <w:rsid w:val="54B75204"/>
    <w:rsid w:val="54C16083"/>
    <w:rsid w:val="54CC5154"/>
    <w:rsid w:val="54D77655"/>
    <w:rsid w:val="54E104D3"/>
    <w:rsid w:val="54EF499E"/>
    <w:rsid w:val="54FC530D"/>
    <w:rsid w:val="55067F3A"/>
    <w:rsid w:val="55081F04"/>
    <w:rsid w:val="550D3076"/>
    <w:rsid w:val="550E303B"/>
    <w:rsid w:val="55175CA3"/>
    <w:rsid w:val="55214D74"/>
    <w:rsid w:val="55216B22"/>
    <w:rsid w:val="5527238A"/>
    <w:rsid w:val="552A00CC"/>
    <w:rsid w:val="552D54C7"/>
    <w:rsid w:val="55376345"/>
    <w:rsid w:val="553B5E36"/>
    <w:rsid w:val="553D7E00"/>
    <w:rsid w:val="554051FA"/>
    <w:rsid w:val="55456CB4"/>
    <w:rsid w:val="554F7B33"/>
    <w:rsid w:val="555111B5"/>
    <w:rsid w:val="55515659"/>
    <w:rsid w:val="55654C60"/>
    <w:rsid w:val="556709D9"/>
    <w:rsid w:val="55727B3F"/>
    <w:rsid w:val="55741347"/>
    <w:rsid w:val="5583158B"/>
    <w:rsid w:val="558477DD"/>
    <w:rsid w:val="558570B1"/>
    <w:rsid w:val="55872E29"/>
    <w:rsid w:val="55937A20"/>
    <w:rsid w:val="55943798"/>
    <w:rsid w:val="559519EA"/>
    <w:rsid w:val="559B68D4"/>
    <w:rsid w:val="55A51501"/>
    <w:rsid w:val="55A81288"/>
    <w:rsid w:val="55A90FF1"/>
    <w:rsid w:val="55AC7BC9"/>
    <w:rsid w:val="55B61960"/>
    <w:rsid w:val="55BF3C5C"/>
    <w:rsid w:val="55BF6A67"/>
    <w:rsid w:val="55C16EDC"/>
    <w:rsid w:val="55C37BD9"/>
    <w:rsid w:val="55CC2F32"/>
    <w:rsid w:val="55D122F6"/>
    <w:rsid w:val="55D43B94"/>
    <w:rsid w:val="55D65B5E"/>
    <w:rsid w:val="55E95892"/>
    <w:rsid w:val="55EB785C"/>
    <w:rsid w:val="55EE4C56"/>
    <w:rsid w:val="55FD30EB"/>
    <w:rsid w:val="56080D11"/>
    <w:rsid w:val="560E70A6"/>
    <w:rsid w:val="56102E1E"/>
    <w:rsid w:val="5612303A"/>
    <w:rsid w:val="562B5EAA"/>
    <w:rsid w:val="562C577E"/>
    <w:rsid w:val="5632548A"/>
    <w:rsid w:val="56350AD7"/>
    <w:rsid w:val="56356D29"/>
    <w:rsid w:val="563665FD"/>
    <w:rsid w:val="56382375"/>
    <w:rsid w:val="563C1E65"/>
    <w:rsid w:val="563F3703"/>
    <w:rsid w:val="56431446"/>
    <w:rsid w:val="56440D1A"/>
    <w:rsid w:val="56446392"/>
    <w:rsid w:val="5647080A"/>
    <w:rsid w:val="564E3947"/>
    <w:rsid w:val="56554CD5"/>
    <w:rsid w:val="565F3DA6"/>
    <w:rsid w:val="5661367A"/>
    <w:rsid w:val="5663166A"/>
    <w:rsid w:val="566969D2"/>
    <w:rsid w:val="56777341"/>
    <w:rsid w:val="56794E67"/>
    <w:rsid w:val="567C0587"/>
    <w:rsid w:val="567F1D52"/>
    <w:rsid w:val="56955A19"/>
    <w:rsid w:val="56A143BE"/>
    <w:rsid w:val="56AE2637"/>
    <w:rsid w:val="56B57E6A"/>
    <w:rsid w:val="56C500AD"/>
    <w:rsid w:val="56C9121F"/>
    <w:rsid w:val="56D007FF"/>
    <w:rsid w:val="56D402F0"/>
    <w:rsid w:val="56D415EE"/>
    <w:rsid w:val="56DB78D0"/>
    <w:rsid w:val="56DF0A43"/>
    <w:rsid w:val="56EB5639"/>
    <w:rsid w:val="56ED13B1"/>
    <w:rsid w:val="56FB1D20"/>
    <w:rsid w:val="56FE35BF"/>
    <w:rsid w:val="57034731"/>
    <w:rsid w:val="5705494D"/>
    <w:rsid w:val="570B6EE4"/>
    <w:rsid w:val="570C5CDB"/>
    <w:rsid w:val="57146841"/>
    <w:rsid w:val="5717642E"/>
    <w:rsid w:val="571A7392"/>
    <w:rsid w:val="572052E3"/>
    <w:rsid w:val="5721105B"/>
    <w:rsid w:val="57286DB3"/>
    <w:rsid w:val="572D7A00"/>
    <w:rsid w:val="5730129E"/>
    <w:rsid w:val="573214BA"/>
    <w:rsid w:val="57407733"/>
    <w:rsid w:val="574216FD"/>
    <w:rsid w:val="57476D14"/>
    <w:rsid w:val="57482A8C"/>
    <w:rsid w:val="57523188"/>
    <w:rsid w:val="5753390A"/>
    <w:rsid w:val="575431DF"/>
    <w:rsid w:val="575E22AF"/>
    <w:rsid w:val="576724ED"/>
    <w:rsid w:val="576B22D6"/>
    <w:rsid w:val="576C0528"/>
    <w:rsid w:val="577363AB"/>
    <w:rsid w:val="5779764C"/>
    <w:rsid w:val="577B69BD"/>
    <w:rsid w:val="577D2735"/>
    <w:rsid w:val="577E200A"/>
    <w:rsid w:val="578515EA"/>
    <w:rsid w:val="578A30A4"/>
    <w:rsid w:val="5797131D"/>
    <w:rsid w:val="579D2DD8"/>
    <w:rsid w:val="57A37CC2"/>
    <w:rsid w:val="57A777B2"/>
    <w:rsid w:val="57A9177C"/>
    <w:rsid w:val="57A97AC7"/>
    <w:rsid w:val="57AA72A2"/>
    <w:rsid w:val="57AD28EF"/>
    <w:rsid w:val="57B27F05"/>
    <w:rsid w:val="57BE4AFC"/>
    <w:rsid w:val="57C2639A"/>
    <w:rsid w:val="57CE11E3"/>
    <w:rsid w:val="57D12A81"/>
    <w:rsid w:val="57D165DD"/>
    <w:rsid w:val="57D60097"/>
    <w:rsid w:val="57D904B8"/>
    <w:rsid w:val="57D91936"/>
    <w:rsid w:val="57E02CC4"/>
    <w:rsid w:val="57E9601D"/>
    <w:rsid w:val="57EA3B43"/>
    <w:rsid w:val="57EA58F1"/>
    <w:rsid w:val="580249E9"/>
    <w:rsid w:val="580746F5"/>
    <w:rsid w:val="58094E28"/>
    <w:rsid w:val="580A1AEF"/>
    <w:rsid w:val="580C1D0B"/>
    <w:rsid w:val="580F5357"/>
    <w:rsid w:val="581110D0"/>
    <w:rsid w:val="58160494"/>
    <w:rsid w:val="581666E6"/>
    <w:rsid w:val="58201313"/>
    <w:rsid w:val="5827444F"/>
    <w:rsid w:val="582901C7"/>
    <w:rsid w:val="582C415B"/>
    <w:rsid w:val="582E7A95"/>
    <w:rsid w:val="58311772"/>
    <w:rsid w:val="58450D79"/>
    <w:rsid w:val="585316E8"/>
    <w:rsid w:val="585A0885"/>
    <w:rsid w:val="58694A68"/>
    <w:rsid w:val="586B6A32"/>
    <w:rsid w:val="58726012"/>
    <w:rsid w:val="58767185"/>
    <w:rsid w:val="587C29ED"/>
    <w:rsid w:val="587D49B7"/>
    <w:rsid w:val="588D162B"/>
    <w:rsid w:val="58977827"/>
    <w:rsid w:val="589968A1"/>
    <w:rsid w:val="589F66DB"/>
    <w:rsid w:val="58A14202"/>
    <w:rsid w:val="58AB32D2"/>
    <w:rsid w:val="58AB5080"/>
    <w:rsid w:val="58AD0DF8"/>
    <w:rsid w:val="58B54151"/>
    <w:rsid w:val="58BA3515"/>
    <w:rsid w:val="58C12AF6"/>
    <w:rsid w:val="58CA156E"/>
    <w:rsid w:val="58CC6203"/>
    <w:rsid w:val="58D520FD"/>
    <w:rsid w:val="58DA7713"/>
    <w:rsid w:val="58DE5456"/>
    <w:rsid w:val="58E14F46"/>
    <w:rsid w:val="58E6255C"/>
    <w:rsid w:val="5900361E"/>
    <w:rsid w:val="590B1FC3"/>
    <w:rsid w:val="590D6AC3"/>
    <w:rsid w:val="590E560F"/>
    <w:rsid w:val="591A2206"/>
    <w:rsid w:val="591F781C"/>
    <w:rsid w:val="592117E6"/>
    <w:rsid w:val="59213594"/>
    <w:rsid w:val="592310BA"/>
    <w:rsid w:val="59246BE1"/>
    <w:rsid w:val="59260BAB"/>
    <w:rsid w:val="592866D1"/>
    <w:rsid w:val="59345076"/>
    <w:rsid w:val="5939268C"/>
    <w:rsid w:val="593A6404"/>
    <w:rsid w:val="593E5EF4"/>
    <w:rsid w:val="59401951"/>
    <w:rsid w:val="594352B9"/>
    <w:rsid w:val="59480B21"/>
    <w:rsid w:val="59513E7A"/>
    <w:rsid w:val="59590F80"/>
    <w:rsid w:val="59594ADC"/>
    <w:rsid w:val="595A2602"/>
    <w:rsid w:val="596516D3"/>
    <w:rsid w:val="59662D68"/>
    <w:rsid w:val="5967369D"/>
    <w:rsid w:val="596A4F3B"/>
    <w:rsid w:val="596A6CE9"/>
    <w:rsid w:val="596D2336"/>
    <w:rsid w:val="59710078"/>
    <w:rsid w:val="597436C4"/>
    <w:rsid w:val="59771406"/>
    <w:rsid w:val="597A4A53"/>
    <w:rsid w:val="598C4EB2"/>
    <w:rsid w:val="59927FEE"/>
    <w:rsid w:val="5999312B"/>
    <w:rsid w:val="59995821"/>
    <w:rsid w:val="599B50F5"/>
    <w:rsid w:val="599E2E37"/>
    <w:rsid w:val="59A3044D"/>
    <w:rsid w:val="59A815C0"/>
    <w:rsid w:val="59AA358A"/>
    <w:rsid w:val="59AB3E09"/>
    <w:rsid w:val="59AF294E"/>
    <w:rsid w:val="59B12B6A"/>
    <w:rsid w:val="59B14918"/>
    <w:rsid w:val="59B83EF9"/>
    <w:rsid w:val="59CC3500"/>
    <w:rsid w:val="59CE54CA"/>
    <w:rsid w:val="59D6437F"/>
    <w:rsid w:val="59DD570D"/>
    <w:rsid w:val="59E0732E"/>
    <w:rsid w:val="59E24AD2"/>
    <w:rsid w:val="59E92304"/>
    <w:rsid w:val="59EF3692"/>
    <w:rsid w:val="59F40CA9"/>
    <w:rsid w:val="59F667CF"/>
    <w:rsid w:val="59F91E1B"/>
    <w:rsid w:val="59FB3DE5"/>
    <w:rsid w:val="59FB5B93"/>
    <w:rsid w:val="5A094754"/>
    <w:rsid w:val="5A0E1D6B"/>
    <w:rsid w:val="5A0E3B19"/>
    <w:rsid w:val="5A100B3F"/>
    <w:rsid w:val="5A1924BD"/>
    <w:rsid w:val="5A1D1FAE"/>
    <w:rsid w:val="5A1E20C2"/>
    <w:rsid w:val="5A2E5F69"/>
    <w:rsid w:val="5A33357F"/>
    <w:rsid w:val="5A3A15EA"/>
    <w:rsid w:val="5A3E3CD2"/>
    <w:rsid w:val="5A47702B"/>
    <w:rsid w:val="5A494B51"/>
    <w:rsid w:val="5A4E2167"/>
    <w:rsid w:val="5A56726E"/>
    <w:rsid w:val="5A5A0B0C"/>
    <w:rsid w:val="5A706581"/>
    <w:rsid w:val="5A751DEA"/>
    <w:rsid w:val="5A783688"/>
    <w:rsid w:val="5A7D0C9E"/>
    <w:rsid w:val="5A7D47FA"/>
    <w:rsid w:val="5A7F0572"/>
    <w:rsid w:val="5A8B6F17"/>
    <w:rsid w:val="5A8D7133"/>
    <w:rsid w:val="5A90452E"/>
    <w:rsid w:val="5A92474A"/>
    <w:rsid w:val="5A955FE8"/>
    <w:rsid w:val="5A9658BC"/>
    <w:rsid w:val="5A9D4E9D"/>
    <w:rsid w:val="5AA47FD9"/>
    <w:rsid w:val="5AA86F2A"/>
    <w:rsid w:val="5AA93841"/>
    <w:rsid w:val="5AAB75B9"/>
    <w:rsid w:val="5AB02E22"/>
    <w:rsid w:val="5AB126F6"/>
    <w:rsid w:val="5AB50438"/>
    <w:rsid w:val="5AB67D0C"/>
    <w:rsid w:val="5AB97137"/>
    <w:rsid w:val="5ABA77FD"/>
    <w:rsid w:val="5AC4067B"/>
    <w:rsid w:val="5ADC7773"/>
    <w:rsid w:val="5AE12FDB"/>
    <w:rsid w:val="5AEC372E"/>
    <w:rsid w:val="5AED4C1B"/>
    <w:rsid w:val="5AF56A87"/>
    <w:rsid w:val="5AF947C9"/>
    <w:rsid w:val="5AFC6067"/>
    <w:rsid w:val="5B0311A3"/>
    <w:rsid w:val="5B084A0C"/>
    <w:rsid w:val="5B10566E"/>
    <w:rsid w:val="5B12588A"/>
    <w:rsid w:val="5B503CBD"/>
    <w:rsid w:val="5B667984"/>
    <w:rsid w:val="5B6B4F9B"/>
    <w:rsid w:val="5B70610D"/>
    <w:rsid w:val="5B7612E6"/>
    <w:rsid w:val="5B7C0F56"/>
    <w:rsid w:val="5B800A46"/>
    <w:rsid w:val="5B844D7A"/>
    <w:rsid w:val="5B857E0A"/>
    <w:rsid w:val="5B8A3673"/>
    <w:rsid w:val="5B8D3163"/>
    <w:rsid w:val="5B8D4F11"/>
    <w:rsid w:val="5B8F0C89"/>
    <w:rsid w:val="5B920779"/>
    <w:rsid w:val="5B9938B6"/>
    <w:rsid w:val="5B9B13DC"/>
    <w:rsid w:val="5B9B762E"/>
    <w:rsid w:val="5BA1276A"/>
    <w:rsid w:val="5BA65FD3"/>
    <w:rsid w:val="5BA67D81"/>
    <w:rsid w:val="5BA858A7"/>
    <w:rsid w:val="5BAA7871"/>
    <w:rsid w:val="5BAF4E87"/>
    <w:rsid w:val="5BB406F0"/>
    <w:rsid w:val="5BC476EB"/>
    <w:rsid w:val="5BC546AB"/>
    <w:rsid w:val="5BD448EE"/>
    <w:rsid w:val="5BD62414"/>
    <w:rsid w:val="5BD668B8"/>
    <w:rsid w:val="5BE10DB9"/>
    <w:rsid w:val="5BE2525D"/>
    <w:rsid w:val="5BEA4111"/>
    <w:rsid w:val="5BF62AB6"/>
    <w:rsid w:val="5C0276AD"/>
    <w:rsid w:val="5C050F4B"/>
    <w:rsid w:val="5C0E6052"/>
    <w:rsid w:val="5C115B42"/>
    <w:rsid w:val="5C133B24"/>
    <w:rsid w:val="5C1E3DBB"/>
    <w:rsid w:val="5C25339C"/>
    <w:rsid w:val="5C2A6B4C"/>
    <w:rsid w:val="5C2E04A2"/>
    <w:rsid w:val="5C34538D"/>
    <w:rsid w:val="5C390BF5"/>
    <w:rsid w:val="5C3929A3"/>
    <w:rsid w:val="5C3E620B"/>
    <w:rsid w:val="5C401F83"/>
    <w:rsid w:val="5C441A74"/>
    <w:rsid w:val="5C4900A4"/>
    <w:rsid w:val="5C4F0418"/>
    <w:rsid w:val="5C5617A7"/>
    <w:rsid w:val="5C5D0D87"/>
    <w:rsid w:val="5C5D2B35"/>
    <w:rsid w:val="5C606182"/>
    <w:rsid w:val="5C621EFA"/>
    <w:rsid w:val="5C62639E"/>
    <w:rsid w:val="5C68135C"/>
    <w:rsid w:val="5C6B34A4"/>
    <w:rsid w:val="5C7834CB"/>
    <w:rsid w:val="5C78796F"/>
    <w:rsid w:val="5C797243"/>
    <w:rsid w:val="5C7D31D8"/>
    <w:rsid w:val="5C7E485A"/>
    <w:rsid w:val="5C841FC5"/>
    <w:rsid w:val="5C871960"/>
    <w:rsid w:val="5C8A1451"/>
    <w:rsid w:val="5C8E7EC3"/>
    <w:rsid w:val="5C910A31"/>
    <w:rsid w:val="5C98591B"/>
    <w:rsid w:val="5C9A1694"/>
    <w:rsid w:val="5CA249EC"/>
    <w:rsid w:val="5CA40764"/>
    <w:rsid w:val="5CA97B29"/>
    <w:rsid w:val="5CAB38A1"/>
    <w:rsid w:val="5CC130C4"/>
    <w:rsid w:val="5CD32DF8"/>
    <w:rsid w:val="5CDA23D8"/>
    <w:rsid w:val="5CDA4186"/>
    <w:rsid w:val="5CDD3C76"/>
    <w:rsid w:val="5CE648D9"/>
    <w:rsid w:val="5CF03BE9"/>
    <w:rsid w:val="5CF3349A"/>
    <w:rsid w:val="5D184CAE"/>
    <w:rsid w:val="5D1A0A26"/>
    <w:rsid w:val="5D1C654D"/>
    <w:rsid w:val="5D292A17"/>
    <w:rsid w:val="5D2B4CE1"/>
    <w:rsid w:val="5D323FC2"/>
    <w:rsid w:val="5D327B1E"/>
    <w:rsid w:val="5D3E2967"/>
    <w:rsid w:val="5D447851"/>
    <w:rsid w:val="5D5061F6"/>
    <w:rsid w:val="5D526412"/>
    <w:rsid w:val="5D5C103F"/>
    <w:rsid w:val="5D610403"/>
    <w:rsid w:val="5D700646"/>
    <w:rsid w:val="5D706898"/>
    <w:rsid w:val="5D8B722E"/>
    <w:rsid w:val="5D924A61"/>
    <w:rsid w:val="5D9407D9"/>
    <w:rsid w:val="5D9C58DF"/>
    <w:rsid w:val="5DA54794"/>
    <w:rsid w:val="5DAB167E"/>
    <w:rsid w:val="5DAF73C1"/>
    <w:rsid w:val="5DB05F03"/>
    <w:rsid w:val="5DB20923"/>
    <w:rsid w:val="5DB93D9B"/>
    <w:rsid w:val="5DC15346"/>
    <w:rsid w:val="5DC32E6C"/>
    <w:rsid w:val="5DC82230"/>
    <w:rsid w:val="5DCD7847"/>
    <w:rsid w:val="5DD300E3"/>
    <w:rsid w:val="5DD40BD5"/>
    <w:rsid w:val="5DDC7A8A"/>
    <w:rsid w:val="5DEC4171"/>
    <w:rsid w:val="5DF15728"/>
    <w:rsid w:val="5DF41277"/>
    <w:rsid w:val="5DF52041"/>
    <w:rsid w:val="5DF9688E"/>
    <w:rsid w:val="5DFC1EDA"/>
    <w:rsid w:val="5DFD637E"/>
    <w:rsid w:val="5DFE3EA4"/>
    <w:rsid w:val="5E0133B7"/>
    <w:rsid w:val="5E033269"/>
    <w:rsid w:val="5E053485"/>
    <w:rsid w:val="5E0B036F"/>
    <w:rsid w:val="5E0E058B"/>
    <w:rsid w:val="5E0F60B1"/>
    <w:rsid w:val="5E0F7E5F"/>
    <w:rsid w:val="5E1831B8"/>
    <w:rsid w:val="5E192A8C"/>
    <w:rsid w:val="5E1C432A"/>
    <w:rsid w:val="5E2751A9"/>
    <w:rsid w:val="5E280F21"/>
    <w:rsid w:val="5E345B18"/>
    <w:rsid w:val="5E3873B6"/>
    <w:rsid w:val="5E3D49CC"/>
    <w:rsid w:val="5E435D5B"/>
    <w:rsid w:val="5E451AD3"/>
    <w:rsid w:val="5E4C4C10"/>
    <w:rsid w:val="5E4E2EAA"/>
    <w:rsid w:val="5E4E4E2C"/>
    <w:rsid w:val="5E547B43"/>
    <w:rsid w:val="5E59732C"/>
    <w:rsid w:val="5E6006BB"/>
    <w:rsid w:val="5E607288"/>
    <w:rsid w:val="5E652175"/>
    <w:rsid w:val="5E6C52B2"/>
    <w:rsid w:val="5E7303EE"/>
    <w:rsid w:val="5E745F14"/>
    <w:rsid w:val="5E785A05"/>
    <w:rsid w:val="5E7B54F5"/>
    <w:rsid w:val="5E7E5A19"/>
    <w:rsid w:val="5E83071A"/>
    <w:rsid w:val="5E897C12"/>
    <w:rsid w:val="5E8E5228"/>
    <w:rsid w:val="5E934044"/>
    <w:rsid w:val="5E954EB9"/>
    <w:rsid w:val="5EA50BC4"/>
    <w:rsid w:val="5EA66A16"/>
    <w:rsid w:val="5EA90260"/>
    <w:rsid w:val="5EAB5118"/>
    <w:rsid w:val="5EB47229"/>
    <w:rsid w:val="5EBB1D95"/>
    <w:rsid w:val="5EBB7FE7"/>
    <w:rsid w:val="5EC21376"/>
    <w:rsid w:val="5EC549C2"/>
    <w:rsid w:val="5ECE3876"/>
    <w:rsid w:val="5ED2780B"/>
    <w:rsid w:val="5EE10A92"/>
    <w:rsid w:val="5EE25574"/>
    <w:rsid w:val="5EE50BC0"/>
    <w:rsid w:val="5EEE216B"/>
    <w:rsid w:val="5EFA466C"/>
    <w:rsid w:val="5EFF7ED4"/>
    <w:rsid w:val="5F026CC0"/>
    <w:rsid w:val="5F0674B4"/>
    <w:rsid w:val="5F0B0627"/>
    <w:rsid w:val="5F125E59"/>
    <w:rsid w:val="5F1C0A86"/>
    <w:rsid w:val="5F392AD9"/>
    <w:rsid w:val="5F441D8B"/>
    <w:rsid w:val="5F4678B1"/>
    <w:rsid w:val="5F50072F"/>
    <w:rsid w:val="5F531728"/>
    <w:rsid w:val="5F531FCE"/>
    <w:rsid w:val="5F5B32ED"/>
    <w:rsid w:val="5F63295F"/>
    <w:rsid w:val="5F685A79"/>
    <w:rsid w:val="5F6917F1"/>
    <w:rsid w:val="5F751F44"/>
    <w:rsid w:val="5F7C7776"/>
    <w:rsid w:val="5F855395"/>
    <w:rsid w:val="5F93686E"/>
    <w:rsid w:val="5F9F5213"/>
    <w:rsid w:val="5FA16DF0"/>
    <w:rsid w:val="5FA840C8"/>
    <w:rsid w:val="5FAD5B82"/>
    <w:rsid w:val="5FAF36A8"/>
    <w:rsid w:val="5FB143B2"/>
    <w:rsid w:val="5FBF7663"/>
    <w:rsid w:val="5FC133DB"/>
    <w:rsid w:val="5FC44C79"/>
    <w:rsid w:val="5FC92290"/>
    <w:rsid w:val="5FD27396"/>
    <w:rsid w:val="5FE175D9"/>
    <w:rsid w:val="5FE5531C"/>
    <w:rsid w:val="5FEF7F48"/>
    <w:rsid w:val="5FF756B7"/>
    <w:rsid w:val="5FF90DC7"/>
    <w:rsid w:val="5FFE018B"/>
    <w:rsid w:val="6011550A"/>
    <w:rsid w:val="60123C37"/>
    <w:rsid w:val="60251BBC"/>
    <w:rsid w:val="60261490"/>
    <w:rsid w:val="602A0F80"/>
    <w:rsid w:val="602A71D2"/>
    <w:rsid w:val="602C4CF9"/>
    <w:rsid w:val="602D6CC3"/>
    <w:rsid w:val="602F2A3B"/>
    <w:rsid w:val="60310561"/>
    <w:rsid w:val="60326087"/>
    <w:rsid w:val="60414EF0"/>
    <w:rsid w:val="6042508C"/>
    <w:rsid w:val="60430294"/>
    <w:rsid w:val="60432042"/>
    <w:rsid w:val="60455DBA"/>
    <w:rsid w:val="60471B32"/>
    <w:rsid w:val="60483AFC"/>
    <w:rsid w:val="60522285"/>
    <w:rsid w:val="60536729"/>
    <w:rsid w:val="60567FC7"/>
    <w:rsid w:val="605E6E7C"/>
    <w:rsid w:val="6062071A"/>
    <w:rsid w:val="60651FB9"/>
    <w:rsid w:val="60681AA9"/>
    <w:rsid w:val="60716BAF"/>
    <w:rsid w:val="607C7302"/>
    <w:rsid w:val="60824919"/>
    <w:rsid w:val="608C1C3B"/>
    <w:rsid w:val="60917251"/>
    <w:rsid w:val="60940AF0"/>
    <w:rsid w:val="609B3C2C"/>
    <w:rsid w:val="60A56859"/>
    <w:rsid w:val="60A725D1"/>
    <w:rsid w:val="60B371C8"/>
    <w:rsid w:val="60BA2960"/>
    <w:rsid w:val="60BB7E2A"/>
    <w:rsid w:val="60BC5280"/>
    <w:rsid w:val="60D4713E"/>
    <w:rsid w:val="60D64C64"/>
    <w:rsid w:val="60DF1D6B"/>
    <w:rsid w:val="60E3062F"/>
    <w:rsid w:val="60E42D4B"/>
    <w:rsid w:val="60E455D3"/>
    <w:rsid w:val="60F44AF8"/>
    <w:rsid w:val="60F577E0"/>
    <w:rsid w:val="60F63558"/>
    <w:rsid w:val="60F8107F"/>
    <w:rsid w:val="60F82E2D"/>
    <w:rsid w:val="60FD6695"/>
    <w:rsid w:val="610B0DB2"/>
    <w:rsid w:val="610F0B89"/>
    <w:rsid w:val="61131A15"/>
    <w:rsid w:val="611834CF"/>
    <w:rsid w:val="61197766"/>
    <w:rsid w:val="611A0FF5"/>
    <w:rsid w:val="611A7247"/>
    <w:rsid w:val="611B712C"/>
    <w:rsid w:val="61204131"/>
    <w:rsid w:val="612B4FB0"/>
    <w:rsid w:val="61380774"/>
    <w:rsid w:val="613D4CE3"/>
    <w:rsid w:val="61412A26"/>
    <w:rsid w:val="61442516"/>
    <w:rsid w:val="614442C4"/>
    <w:rsid w:val="61477910"/>
    <w:rsid w:val="614D13CA"/>
    <w:rsid w:val="615362B5"/>
    <w:rsid w:val="615747AE"/>
    <w:rsid w:val="615F4C5A"/>
    <w:rsid w:val="61695AD8"/>
    <w:rsid w:val="616B1851"/>
    <w:rsid w:val="616E1341"/>
    <w:rsid w:val="61720E31"/>
    <w:rsid w:val="61730705"/>
    <w:rsid w:val="617A7CE6"/>
    <w:rsid w:val="6183303E"/>
    <w:rsid w:val="61834DEC"/>
    <w:rsid w:val="61861FE1"/>
    <w:rsid w:val="618B5A4F"/>
    <w:rsid w:val="61914F52"/>
    <w:rsid w:val="61972646"/>
    <w:rsid w:val="61994610"/>
    <w:rsid w:val="619A2136"/>
    <w:rsid w:val="619D5782"/>
    <w:rsid w:val="61A905CB"/>
    <w:rsid w:val="61AE798F"/>
    <w:rsid w:val="61B41449"/>
    <w:rsid w:val="61BA6334"/>
    <w:rsid w:val="61BE4076"/>
    <w:rsid w:val="61C176C2"/>
    <w:rsid w:val="61C96577"/>
    <w:rsid w:val="61CB6793"/>
    <w:rsid w:val="61D513C0"/>
    <w:rsid w:val="61E37639"/>
    <w:rsid w:val="61E67129"/>
    <w:rsid w:val="61E671FB"/>
    <w:rsid w:val="61EF2482"/>
    <w:rsid w:val="61F25ACE"/>
    <w:rsid w:val="6200643D"/>
    <w:rsid w:val="62053A53"/>
    <w:rsid w:val="62084802"/>
    <w:rsid w:val="621517BC"/>
    <w:rsid w:val="621A6DD3"/>
    <w:rsid w:val="621C6FEF"/>
    <w:rsid w:val="622540F5"/>
    <w:rsid w:val="622A34BA"/>
    <w:rsid w:val="622C3BBB"/>
    <w:rsid w:val="622D2FAA"/>
    <w:rsid w:val="62314848"/>
    <w:rsid w:val="623B56C7"/>
    <w:rsid w:val="62436329"/>
    <w:rsid w:val="62496BFB"/>
    <w:rsid w:val="624A3B5C"/>
    <w:rsid w:val="624B3430"/>
    <w:rsid w:val="624F2F20"/>
    <w:rsid w:val="6252656D"/>
    <w:rsid w:val="6253185F"/>
    <w:rsid w:val="62614A02"/>
    <w:rsid w:val="626562A0"/>
    <w:rsid w:val="626764BC"/>
    <w:rsid w:val="626A7D5A"/>
    <w:rsid w:val="62726C0F"/>
    <w:rsid w:val="627604AD"/>
    <w:rsid w:val="627D1FD3"/>
    <w:rsid w:val="6283706E"/>
    <w:rsid w:val="62856942"/>
    <w:rsid w:val="6287090C"/>
    <w:rsid w:val="628F77C1"/>
    <w:rsid w:val="62952E2B"/>
    <w:rsid w:val="6299063F"/>
    <w:rsid w:val="629B6165"/>
    <w:rsid w:val="629B7F14"/>
    <w:rsid w:val="629E5C56"/>
    <w:rsid w:val="629E7A04"/>
    <w:rsid w:val="62A0377C"/>
    <w:rsid w:val="62A2285E"/>
    <w:rsid w:val="62AE40EB"/>
    <w:rsid w:val="62AF1C11"/>
    <w:rsid w:val="62AF39BF"/>
    <w:rsid w:val="62B304F7"/>
    <w:rsid w:val="62BB2364"/>
    <w:rsid w:val="62D60F4C"/>
    <w:rsid w:val="62DD677E"/>
    <w:rsid w:val="62E713AB"/>
    <w:rsid w:val="62E96ED1"/>
    <w:rsid w:val="62EA2C49"/>
    <w:rsid w:val="6300246C"/>
    <w:rsid w:val="630B32EB"/>
    <w:rsid w:val="630E06E5"/>
    <w:rsid w:val="632223E3"/>
    <w:rsid w:val="632342B4"/>
    <w:rsid w:val="63250BED"/>
    <w:rsid w:val="63274F95"/>
    <w:rsid w:val="632B74E9"/>
    <w:rsid w:val="6333639E"/>
    <w:rsid w:val="633F2F95"/>
    <w:rsid w:val="634265E1"/>
    <w:rsid w:val="634D18BA"/>
    <w:rsid w:val="63506F50"/>
    <w:rsid w:val="63514A76"/>
    <w:rsid w:val="63554566"/>
    <w:rsid w:val="63620A31"/>
    <w:rsid w:val="636724EC"/>
    <w:rsid w:val="63716EC6"/>
    <w:rsid w:val="6372336A"/>
    <w:rsid w:val="637D3ABD"/>
    <w:rsid w:val="63894210"/>
    <w:rsid w:val="638C120E"/>
    <w:rsid w:val="638E7A78"/>
    <w:rsid w:val="639130C5"/>
    <w:rsid w:val="63927568"/>
    <w:rsid w:val="63952BB5"/>
    <w:rsid w:val="63972DD1"/>
    <w:rsid w:val="639A01CB"/>
    <w:rsid w:val="639D5F0D"/>
    <w:rsid w:val="63AB76CB"/>
    <w:rsid w:val="63C27722"/>
    <w:rsid w:val="63C60FC0"/>
    <w:rsid w:val="63C96D02"/>
    <w:rsid w:val="63CD67F3"/>
    <w:rsid w:val="63D07143"/>
    <w:rsid w:val="63D23E09"/>
    <w:rsid w:val="63D336DD"/>
    <w:rsid w:val="63D47B81"/>
    <w:rsid w:val="63D74F7B"/>
    <w:rsid w:val="63D86F45"/>
    <w:rsid w:val="63ED0C43"/>
    <w:rsid w:val="63F0603D"/>
    <w:rsid w:val="63F86815"/>
    <w:rsid w:val="640D3093"/>
    <w:rsid w:val="64234664"/>
    <w:rsid w:val="64264155"/>
    <w:rsid w:val="642B2624"/>
    <w:rsid w:val="643248A8"/>
    <w:rsid w:val="64340620"/>
    <w:rsid w:val="643F6D26"/>
    <w:rsid w:val="64416899"/>
    <w:rsid w:val="64590086"/>
    <w:rsid w:val="646627A3"/>
    <w:rsid w:val="64713622"/>
    <w:rsid w:val="6477675E"/>
    <w:rsid w:val="64805613"/>
    <w:rsid w:val="64812AE8"/>
    <w:rsid w:val="648739F8"/>
    <w:rsid w:val="648A46E4"/>
    <w:rsid w:val="648A6492"/>
    <w:rsid w:val="648D7D30"/>
    <w:rsid w:val="648F5856"/>
    <w:rsid w:val="649410BE"/>
    <w:rsid w:val="64A62BA0"/>
    <w:rsid w:val="64AC465A"/>
    <w:rsid w:val="64B17EC2"/>
    <w:rsid w:val="64B204D8"/>
    <w:rsid w:val="64B20D48"/>
    <w:rsid w:val="64BD0615"/>
    <w:rsid w:val="64C23E7D"/>
    <w:rsid w:val="64C319A4"/>
    <w:rsid w:val="64C71494"/>
    <w:rsid w:val="64D140C0"/>
    <w:rsid w:val="64D15E6F"/>
    <w:rsid w:val="64D724A4"/>
    <w:rsid w:val="64DE67DD"/>
    <w:rsid w:val="64E149E6"/>
    <w:rsid w:val="64EA5182"/>
    <w:rsid w:val="64EC0EFA"/>
    <w:rsid w:val="64F16511"/>
    <w:rsid w:val="65031DA0"/>
    <w:rsid w:val="65200BA4"/>
    <w:rsid w:val="652341F0"/>
    <w:rsid w:val="65273CE0"/>
    <w:rsid w:val="652C579B"/>
    <w:rsid w:val="653D1756"/>
    <w:rsid w:val="6545060B"/>
    <w:rsid w:val="65474383"/>
    <w:rsid w:val="65491EA9"/>
    <w:rsid w:val="654A5C21"/>
    <w:rsid w:val="654C7BEB"/>
    <w:rsid w:val="65510D5D"/>
    <w:rsid w:val="65532D27"/>
    <w:rsid w:val="655645C6"/>
    <w:rsid w:val="65640A91"/>
    <w:rsid w:val="656942F9"/>
    <w:rsid w:val="6578453C"/>
    <w:rsid w:val="657B402C"/>
    <w:rsid w:val="657F1D6E"/>
    <w:rsid w:val="657F3B1C"/>
    <w:rsid w:val="657F58CB"/>
    <w:rsid w:val="658630FD"/>
    <w:rsid w:val="658B0713"/>
    <w:rsid w:val="658E3D60"/>
    <w:rsid w:val="65905D2A"/>
    <w:rsid w:val="65924CA9"/>
    <w:rsid w:val="65953340"/>
    <w:rsid w:val="65A610A9"/>
    <w:rsid w:val="65A842A2"/>
    <w:rsid w:val="65AB66C0"/>
    <w:rsid w:val="65B23EF2"/>
    <w:rsid w:val="65B85280"/>
    <w:rsid w:val="65BB267B"/>
    <w:rsid w:val="65BC08CD"/>
    <w:rsid w:val="65C77271"/>
    <w:rsid w:val="65C92FEA"/>
    <w:rsid w:val="65D976D1"/>
    <w:rsid w:val="65DE17D9"/>
    <w:rsid w:val="65E46075"/>
    <w:rsid w:val="65F067C8"/>
    <w:rsid w:val="65F20792"/>
    <w:rsid w:val="65FF6A0B"/>
    <w:rsid w:val="6603474E"/>
    <w:rsid w:val="66061B92"/>
    <w:rsid w:val="66083B12"/>
    <w:rsid w:val="660B53B0"/>
    <w:rsid w:val="66293A88"/>
    <w:rsid w:val="662F6AF7"/>
    <w:rsid w:val="6632293D"/>
    <w:rsid w:val="663568D1"/>
    <w:rsid w:val="663A5C95"/>
    <w:rsid w:val="66417024"/>
    <w:rsid w:val="66495ED8"/>
    <w:rsid w:val="664D3C1B"/>
    <w:rsid w:val="66516300"/>
    <w:rsid w:val="66611474"/>
    <w:rsid w:val="66613222"/>
    <w:rsid w:val="666D1BC7"/>
    <w:rsid w:val="66705A4E"/>
    <w:rsid w:val="66723681"/>
    <w:rsid w:val="667271DD"/>
    <w:rsid w:val="667E5B82"/>
    <w:rsid w:val="6680153D"/>
    <w:rsid w:val="66833198"/>
    <w:rsid w:val="66862C89"/>
    <w:rsid w:val="668A09CB"/>
    <w:rsid w:val="668F1B3D"/>
    <w:rsid w:val="66976C44"/>
    <w:rsid w:val="66990C0E"/>
    <w:rsid w:val="66A51887"/>
    <w:rsid w:val="66AA4BC9"/>
    <w:rsid w:val="66B21CD0"/>
    <w:rsid w:val="66B23A7E"/>
    <w:rsid w:val="66B91222"/>
    <w:rsid w:val="66BC1992"/>
    <w:rsid w:val="66C537B1"/>
    <w:rsid w:val="66CC0FE3"/>
    <w:rsid w:val="66D659BE"/>
    <w:rsid w:val="66D9725C"/>
    <w:rsid w:val="66E31E89"/>
    <w:rsid w:val="66EA3218"/>
    <w:rsid w:val="66F978FF"/>
    <w:rsid w:val="67010066"/>
    <w:rsid w:val="670C5884"/>
    <w:rsid w:val="671464E6"/>
    <w:rsid w:val="671B1623"/>
    <w:rsid w:val="671B5305"/>
    <w:rsid w:val="67254250"/>
    <w:rsid w:val="672A5D0A"/>
    <w:rsid w:val="672E57FA"/>
    <w:rsid w:val="6736645D"/>
    <w:rsid w:val="673A2860"/>
    <w:rsid w:val="673D77EB"/>
    <w:rsid w:val="6740552D"/>
    <w:rsid w:val="67446DCC"/>
    <w:rsid w:val="67484DA3"/>
    <w:rsid w:val="67544B35"/>
    <w:rsid w:val="675E59B4"/>
    <w:rsid w:val="6760172C"/>
    <w:rsid w:val="67672ABA"/>
    <w:rsid w:val="676A25AA"/>
    <w:rsid w:val="676A6106"/>
    <w:rsid w:val="676C5425"/>
    <w:rsid w:val="676E3E49"/>
    <w:rsid w:val="67705E13"/>
    <w:rsid w:val="677D4C69"/>
    <w:rsid w:val="67801DCE"/>
    <w:rsid w:val="67874F0A"/>
    <w:rsid w:val="678A67A9"/>
    <w:rsid w:val="678E6299"/>
    <w:rsid w:val="679A507F"/>
    <w:rsid w:val="679B09B6"/>
    <w:rsid w:val="67AB6E4B"/>
    <w:rsid w:val="67B57CC9"/>
    <w:rsid w:val="67B81568"/>
    <w:rsid w:val="67C25F42"/>
    <w:rsid w:val="67C577E1"/>
    <w:rsid w:val="67D0065F"/>
    <w:rsid w:val="67D22629"/>
    <w:rsid w:val="67D30150"/>
    <w:rsid w:val="67D363A2"/>
    <w:rsid w:val="67DA7730"/>
    <w:rsid w:val="67E20393"/>
    <w:rsid w:val="67F325A0"/>
    <w:rsid w:val="67F51E74"/>
    <w:rsid w:val="67F81964"/>
    <w:rsid w:val="67FD341E"/>
    <w:rsid w:val="67FD6F7B"/>
    <w:rsid w:val="68012F0F"/>
    <w:rsid w:val="68060525"/>
    <w:rsid w:val="68092C9C"/>
    <w:rsid w:val="6809591F"/>
    <w:rsid w:val="68112A26"/>
    <w:rsid w:val="681C38A5"/>
    <w:rsid w:val="681C5653"/>
    <w:rsid w:val="68264723"/>
    <w:rsid w:val="683055A2"/>
    <w:rsid w:val="683706DE"/>
    <w:rsid w:val="68394457"/>
    <w:rsid w:val="6841155D"/>
    <w:rsid w:val="684150B9"/>
    <w:rsid w:val="684352D5"/>
    <w:rsid w:val="6844104D"/>
    <w:rsid w:val="68466B73"/>
    <w:rsid w:val="685272C6"/>
    <w:rsid w:val="68680898"/>
    <w:rsid w:val="68686AEA"/>
    <w:rsid w:val="68703BF0"/>
    <w:rsid w:val="68805C64"/>
    <w:rsid w:val="688356D2"/>
    <w:rsid w:val="688A4CB2"/>
    <w:rsid w:val="68921DB9"/>
    <w:rsid w:val="68945B31"/>
    <w:rsid w:val="68993147"/>
    <w:rsid w:val="689C49E5"/>
    <w:rsid w:val="689E0B09"/>
    <w:rsid w:val="68B95597"/>
    <w:rsid w:val="68C03A60"/>
    <w:rsid w:val="68C63810"/>
    <w:rsid w:val="68CD2DF1"/>
    <w:rsid w:val="68DA686F"/>
    <w:rsid w:val="68DE6DAC"/>
    <w:rsid w:val="68EA74FF"/>
    <w:rsid w:val="690A7BA1"/>
    <w:rsid w:val="691722BE"/>
    <w:rsid w:val="69194288"/>
    <w:rsid w:val="69232A11"/>
    <w:rsid w:val="692F4A98"/>
    <w:rsid w:val="693370F8"/>
    <w:rsid w:val="693764BC"/>
    <w:rsid w:val="693B7D5A"/>
    <w:rsid w:val="693D1C6D"/>
    <w:rsid w:val="694E3F32"/>
    <w:rsid w:val="6958090C"/>
    <w:rsid w:val="69586B2A"/>
    <w:rsid w:val="69617F51"/>
    <w:rsid w:val="69713005"/>
    <w:rsid w:val="697274F4"/>
    <w:rsid w:val="697414BE"/>
    <w:rsid w:val="69764998"/>
    <w:rsid w:val="698060B5"/>
    <w:rsid w:val="69825989"/>
    <w:rsid w:val="69831701"/>
    <w:rsid w:val="69847953"/>
    <w:rsid w:val="698C049F"/>
    <w:rsid w:val="69951B60"/>
    <w:rsid w:val="69961435"/>
    <w:rsid w:val="699F653B"/>
    <w:rsid w:val="69A00505"/>
    <w:rsid w:val="69A51678"/>
    <w:rsid w:val="69A9560C"/>
    <w:rsid w:val="69AC2A06"/>
    <w:rsid w:val="69B47B0D"/>
    <w:rsid w:val="69B61AD7"/>
    <w:rsid w:val="69C00342"/>
    <w:rsid w:val="69CE5072"/>
    <w:rsid w:val="69E16377"/>
    <w:rsid w:val="69E228CC"/>
    <w:rsid w:val="69E77EE2"/>
    <w:rsid w:val="69F30661"/>
    <w:rsid w:val="69F66377"/>
    <w:rsid w:val="69F83E9D"/>
    <w:rsid w:val="6A022F6E"/>
    <w:rsid w:val="6A0C7949"/>
    <w:rsid w:val="6A0D5B9B"/>
    <w:rsid w:val="6A0E546F"/>
    <w:rsid w:val="6A102F95"/>
    <w:rsid w:val="6A1330E9"/>
    <w:rsid w:val="6A154A4F"/>
    <w:rsid w:val="6A266C5C"/>
    <w:rsid w:val="6A2B7DCF"/>
    <w:rsid w:val="6A335B37"/>
    <w:rsid w:val="6A350C4E"/>
    <w:rsid w:val="6A3A2708"/>
    <w:rsid w:val="6A3D5D54"/>
    <w:rsid w:val="6A464C09"/>
    <w:rsid w:val="6A49294B"/>
    <w:rsid w:val="6A4946F9"/>
    <w:rsid w:val="6A4B66C3"/>
    <w:rsid w:val="6A4E1D0F"/>
    <w:rsid w:val="6A503CD9"/>
    <w:rsid w:val="6A5C442C"/>
    <w:rsid w:val="6A694D9B"/>
    <w:rsid w:val="6A6B0B13"/>
    <w:rsid w:val="6A794FDE"/>
    <w:rsid w:val="6A7A48B2"/>
    <w:rsid w:val="6A845731"/>
    <w:rsid w:val="6A885221"/>
    <w:rsid w:val="6A8A71EB"/>
    <w:rsid w:val="6A9F256B"/>
    <w:rsid w:val="6AA162E3"/>
    <w:rsid w:val="6AAA163C"/>
    <w:rsid w:val="6AAB47F8"/>
    <w:rsid w:val="6AAD2EDA"/>
    <w:rsid w:val="6AB2229E"/>
    <w:rsid w:val="6AB46016"/>
    <w:rsid w:val="6ABC311D"/>
    <w:rsid w:val="6AC10733"/>
    <w:rsid w:val="6AC326FD"/>
    <w:rsid w:val="6AC41FD2"/>
    <w:rsid w:val="6AC87D14"/>
    <w:rsid w:val="6ACB7804"/>
    <w:rsid w:val="6ACD70D8"/>
    <w:rsid w:val="6AD466B8"/>
    <w:rsid w:val="6AD51B81"/>
    <w:rsid w:val="6AD93CCF"/>
    <w:rsid w:val="6ADB7A47"/>
    <w:rsid w:val="6ADC731B"/>
    <w:rsid w:val="6AE368FC"/>
    <w:rsid w:val="6AE61F48"/>
    <w:rsid w:val="6AE663EC"/>
    <w:rsid w:val="6AEA5EDC"/>
    <w:rsid w:val="6AEB755E"/>
    <w:rsid w:val="6AEE5A3A"/>
    <w:rsid w:val="6AF26B3F"/>
    <w:rsid w:val="6AF503DD"/>
    <w:rsid w:val="6AFA59F3"/>
    <w:rsid w:val="6B106FC5"/>
    <w:rsid w:val="6B120F8F"/>
    <w:rsid w:val="6B19056F"/>
    <w:rsid w:val="6B1C3BBC"/>
    <w:rsid w:val="6B2036AC"/>
    <w:rsid w:val="6B250CC2"/>
    <w:rsid w:val="6B32518D"/>
    <w:rsid w:val="6B3D24B0"/>
    <w:rsid w:val="6B480E55"/>
    <w:rsid w:val="6B5259F4"/>
    <w:rsid w:val="6B546F6D"/>
    <w:rsid w:val="6B59096C"/>
    <w:rsid w:val="6B655563"/>
    <w:rsid w:val="6B6932A5"/>
    <w:rsid w:val="6B6A0DCB"/>
    <w:rsid w:val="6B712159"/>
    <w:rsid w:val="6B715CB5"/>
    <w:rsid w:val="6B826114"/>
    <w:rsid w:val="6B8C0D41"/>
    <w:rsid w:val="6B8C2AEF"/>
    <w:rsid w:val="6B8D6867"/>
    <w:rsid w:val="6B8E6209"/>
    <w:rsid w:val="6B8F0831"/>
    <w:rsid w:val="6B947BF6"/>
    <w:rsid w:val="6B9B2D32"/>
    <w:rsid w:val="6B9F6CC6"/>
    <w:rsid w:val="6BA02A3F"/>
    <w:rsid w:val="6BA442DD"/>
    <w:rsid w:val="6BA50055"/>
    <w:rsid w:val="6BAE6F0A"/>
    <w:rsid w:val="6BBA58AE"/>
    <w:rsid w:val="6BBB33D4"/>
    <w:rsid w:val="6BBE2E94"/>
    <w:rsid w:val="6BBF2EC5"/>
    <w:rsid w:val="6BC229B5"/>
    <w:rsid w:val="6BC32289"/>
    <w:rsid w:val="6BCF0C2E"/>
    <w:rsid w:val="6BD3071E"/>
    <w:rsid w:val="6BDA5F51"/>
    <w:rsid w:val="6BE0108D"/>
    <w:rsid w:val="6BEC7A32"/>
    <w:rsid w:val="6BF012D0"/>
    <w:rsid w:val="6BF0181F"/>
    <w:rsid w:val="6BFD1C3F"/>
    <w:rsid w:val="6BFF7765"/>
    <w:rsid w:val="6C042FCD"/>
    <w:rsid w:val="6C0A7EB8"/>
    <w:rsid w:val="6C1338EE"/>
    <w:rsid w:val="6C16685D"/>
    <w:rsid w:val="6C1D5E3D"/>
    <w:rsid w:val="6C21592D"/>
    <w:rsid w:val="6C2C42D2"/>
    <w:rsid w:val="6C313697"/>
    <w:rsid w:val="6C360CAD"/>
    <w:rsid w:val="6C382C77"/>
    <w:rsid w:val="6C39265B"/>
    <w:rsid w:val="6C417D7E"/>
    <w:rsid w:val="6C44786E"/>
    <w:rsid w:val="6C450EF0"/>
    <w:rsid w:val="6C4B6506"/>
    <w:rsid w:val="6C4E3B06"/>
    <w:rsid w:val="6C4E4249"/>
    <w:rsid w:val="6C537AB1"/>
    <w:rsid w:val="6C5B59F4"/>
    <w:rsid w:val="6C5F0204"/>
    <w:rsid w:val="6C6121CE"/>
    <w:rsid w:val="6C67530A"/>
    <w:rsid w:val="6C68355C"/>
    <w:rsid w:val="6C6972D4"/>
    <w:rsid w:val="6C6C1EB2"/>
    <w:rsid w:val="6C726189"/>
    <w:rsid w:val="6C90660F"/>
    <w:rsid w:val="6C937EAD"/>
    <w:rsid w:val="6C9C4FB4"/>
    <w:rsid w:val="6CA83959"/>
    <w:rsid w:val="6CAC3E0C"/>
    <w:rsid w:val="6CB06CB1"/>
    <w:rsid w:val="6CB653F2"/>
    <w:rsid w:val="6CB70040"/>
    <w:rsid w:val="6CBF5146"/>
    <w:rsid w:val="6CC10EBE"/>
    <w:rsid w:val="6CC12C6C"/>
    <w:rsid w:val="6CC14A1B"/>
    <w:rsid w:val="6CC8224D"/>
    <w:rsid w:val="6CCB7647"/>
    <w:rsid w:val="6CD52274"/>
    <w:rsid w:val="6CD75FEC"/>
    <w:rsid w:val="6CDF1345"/>
    <w:rsid w:val="6CE81FA7"/>
    <w:rsid w:val="6CF21078"/>
    <w:rsid w:val="6CF43042"/>
    <w:rsid w:val="6CF7043C"/>
    <w:rsid w:val="6CFA7F2C"/>
    <w:rsid w:val="6CFE36B4"/>
    <w:rsid w:val="6D0D4104"/>
    <w:rsid w:val="6D106EDE"/>
    <w:rsid w:val="6D154D66"/>
    <w:rsid w:val="6D176D30"/>
    <w:rsid w:val="6D194857"/>
    <w:rsid w:val="6D1E1E6D"/>
    <w:rsid w:val="6D2A6A64"/>
    <w:rsid w:val="6D30394E"/>
    <w:rsid w:val="6D323B6A"/>
    <w:rsid w:val="6D350F65"/>
    <w:rsid w:val="6D392803"/>
    <w:rsid w:val="6D437B25"/>
    <w:rsid w:val="6D4B0788"/>
    <w:rsid w:val="6D57537F"/>
    <w:rsid w:val="6D5910F7"/>
    <w:rsid w:val="6D5B6C1D"/>
    <w:rsid w:val="6D68133A"/>
    <w:rsid w:val="6D6F091A"/>
    <w:rsid w:val="6D6F10B6"/>
    <w:rsid w:val="6D745F31"/>
    <w:rsid w:val="6D747CDF"/>
    <w:rsid w:val="6D7B2E1B"/>
    <w:rsid w:val="6D7C6B93"/>
    <w:rsid w:val="6D851EEC"/>
    <w:rsid w:val="6D8C5028"/>
    <w:rsid w:val="6D8F4B19"/>
    <w:rsid w:val="6D943EDD"/>
    <w:rsid w:val="6D965EA7"/>
    <w:rsid w:val="6D9D7236"/>
    <w:rsid w:val="6DA00AD4"/>
    <w:rsid w:val="6DA87988"/>
    <w:rsid w:val="6DAA54AF"/>
    <w:rsid w:val="6DB30807"/>
    <w:rsid w:val="6DBE53FE"/>
    <w:rsid w:val="6DBE71AC"/>
    <w:rsid w:val="6DCA5B51"/>
    <w:rsid w:val="6DDF784E"/>
    <w:rsid w:val="6DE76703"/>
    <w:rsid w:val="6DE94229"/>
    <w:rsid w:val="6DEA61F3"/>
    <w:rsid w:val="6DEC1F6B"/>
    <w:rsid w:val="6DEE183F"/>
    <w:rsid w:val="6DF130DE"/>
    <w:rsid w:val="6DF17581"/>
    <w:rsid w:val="6DF42BCE"/>
    <w:rsid w:val="6DFD5F26"/>
    <w:rsid w:val="6DFF1C9E"/>
    <w:rsid w:val="6DFF3A4C"/>
    <w:rsid w:val="6E083E59"/>
    <w:rsid w:val="6E13574A"/>
    <w:rsid w:val="6E1374F8"/>
    <w:rsid w:val="6E1F40EF"/>
    <w:rsid w:val="6E1F7C4B"/>
    <w:rsid w:val="6E217E67"/>
    <w:rsid w:val="6E2214E9"/>
    <w:rsid w:val="6E290AC9"/>
    <w:rsid w:val="6E2A4841"/>
    <w:rsid w:val="6E2E4332"/>
    <w:rsid w:val="6E337B9A"/>
    <w:rsid w:val="6E3631E6"/>
    <w:rsid w:val="6E386F5E"/>
    <w:rsid w:val="6E413283"/>
    <w:rsid w:val="6E427DDD"/>
    <w:rsid w:val="6E445903"/>
    <w:rsid w:val="6E46167B"/>
    <w:rsid w:val="6E4678CD"/>
    <w:rsid w:val="6E49116B"/>
    <w:rsid w:val="6E5F273D"/>
    <w:rsid w:val="6E6B10E2"/>
    <w:rsid w:val="6E7004A6"/>
    <w:rsid w:val="6E71421E"/>
    <w:rsid w:val="6E7855AD"/>
    <w:rsid w:val="6E82467D"/>
    <w:rsid w:val="6E8C5829"/>
    <w:rsid w:val="6E9028F6"/>
    <w:rsid w:val="6E91666F"/>
    <w:rsid w:val="6E9248C1"/>
    <w:rsid w:val="6E9310B7"/>
    <w:rsid w:val="6E9A3775"/>
    <w:rsid w:val="6E9D3265"/>
    <w:rsid w:val="6E9D5013"/>
    <w:rsid w:val="6EA14B04"/>
    <w:rsid w:val="6EA63EC8"/>
    <w:rsid w:val="6EA91C0A"/>
    <w:rsid w:val="6EB56801"/>
    <w:rsid w:val="6EB74CEA"/>
    <w:rsid w:val="6EBD1288"/>
    <w:rsid w:val="6EC407F2"/>
    <w:rsid w:val="6EC66318"/>
    <w:rsid w:val="6ED00F45"/>
    <w:rsid w:val="6ED22F0F"/>
    <w:rsid w:val="6ED70525"/>
    <w:rsid w:val="6EDB7BE0"/>
    <w:rsid w:val="6EE90259"/>
    <w:rsid w:val="6EF07839"/>
    <w:rsid w:val="6EF74724"/>
    <w:rsid w:val="6EFC4430"/>
    <w:rsid w:val="6EFF367E"/>
    <w:rsid w:val="6EFF5CCE"/>
    <w:rsid w:val="6F0D3F47"/>
    <w:rsid w:val="6F1352D6"/>
    <w:rsid w:val="6F174DC6"/>
    <w:rsid w:val="6F184237"/>
    <w:rsid w:val="6F213E96"/>
    <w:rsid w:val="6F2179F2"/>
    <w:rsid w:val="6F241291"/>
    <w:rsid w:val="6F2474E3"/>
    <w:rsid w:val="6F2A2D4B"/>
    <w:rsid w:val="6F2E3EBD"/>
    <w:rsid w:val="6F307C36"/>
    <w:rsid w:val="6F345978"/>
    <w:rsid w:val="6F3911E0"/>
    <w:rsid w:val="6F3E05A4"/>
    <w:rsid w:val="6F40431D"/>
    <w:rsid w:val="6F490CF7"/>
    <w:rsid w:val="6F4B4A6F"/>
    <w:rsid w:val="6F541B76"/>
    <w:rsid w:val="6F547DC8"/>
    <w:rsid w:val="6F55769C"/>
    <w:rsid w:val="6F59718C"/>
    <w:rsid w:val="6F5B73A8"/>
    <w:rsid w:val="6F5C6C7D"/>
    <w:rsid w:val="6F60676D"/>
    <w:rsid w:val="6F627807"/>
    <w:rsid w:val="6F653D83"/>
    <w:rsid w:val="6F6B6EC0"/>
    <w:rsid w:val="6F7F4719"/>
    <w:rsid w:val="6F8F0E00"/>
    <w:rsid w:val="6F914B78"/>
    <w:rsid w:val="6F9E7295"/>
    <w:rsid w:val="6FA04DBB"/>
    <w:rsid w:val="6FA56875"/>
    <w:rsid w:val="6FAA79E8"/>
    <w:rsid w:val="6FAB3CA2"/>
    <w:rsid w:val="6FB060E0"/>
    <w:rsid w:val="6FB2689C"/>
    <w:rsid w:val="6FBE3493"/>
    <w:rsid w:val="6FD14B4C"/>
    <w:rsid w:val="6FD35191"/>
    <w:rsid w:val="6FED5B27"/>
    <w:rsid w:val="6FF13869"/>
    <w:rsid w:val="6FF46EB5"/>
    <w:rsid w:val="6FFD045F"/>
    <w:rsid w:val="70131A31"/>
    <w:rsid w:val="701916C5"/>
    <w:rsid w:val="70221C74"/>
    <w:rsid w:val="702552C0"/>
    <w:rsid w:val="7027728A"/>
    <w:rsid w:val="70293003"/>
    <w:rsid w:val="702D46D3"/>
    <w:rsid w:val="702F7EED"/>
    <w:rsid w:val="703B2D36"/>
    <w:rsid w:val="703E2A87"/>
    <w:rsid w:val="70422316"/>
    <w:rsid w:val="70447E3C"/>
    <w:rsid w:val="704C0A9F"/>
    <w:rsid w:val="704F233D"/>
    <w:rsid w:val="705362D1"/>
    <w:rsid w:val="70545BA6"/>
    <w:rsid w:val="70553DF8"/>
    <w:rsid w:val="705931BC"/>
    <w:rsid w:val="7060454A"/>
    <w:rsid w:val="706758D9"/>
    <w:rsid w:val="70691D55"/>
    <w:rsid w:val="706A53C9"/>
    <w:rsid w:val="70757FF6"/>
    <w:rsid w:val="70763D6E"/>
    <w:rsid w:val="707A560C"/>
    <w:rsid w:val="708446DD"/>
    <w:rsid w:val="7084648B"/>
    <w:rsid w:val="70893569"/>
    <w:rsid w:val="709A7A5C"/>
    <w:rsid w:val="709B5583"/>
    <w:rsid w:val="709D12FB"/>
    <w:rsid w:val="70A22DB5"/>
    <w:rsid w:val="70A628A5"/>
    <w:rsid w:val="70A72179"/>
    <w:rsid w:val="70AE5F6F"/>
    <w:rsid w:val="70B0102E"/>
    <w:rsid w:val="70B02DA9"/>
    <w:rsid w:val="70B2124A"/>
    <w:rsid w:val="70BD199D"/>
    <w:rsid w:val="70C64CF5"/>
    <w:rsid w:val="70C745CA"/>
    <w:rsid w:val="70CD6084"/>
    <w:rsid w:val="70D2369A"/>
    <w:rsid w:val="70D25448"/>
    <w:rsid w:val="70D6480D"/>
    <w:rsid w:val="70E87657"/>
    <w:rsid w:val="70FC24C5"/>
    <w:rsid w:val="70FE623D"/>
    <w:rsid w:val="710D46D2"/>
    <w:rsid w:val="7128150C"/>
    <w:rsid w:val="71341C5F"/>
    <w:rsid w:val="71386A31"/>
    <w:rsid w:val="713C0B14"/>
    <w:rsid w:val="71493231"/>
    <w:rsid w:val="71535E5D"/>
    <w:rsid w:val="71566079"/>
    <w:rsid w:val="715B3690"/>
    <w:rsid w:val="715B71FA"/>
    <w:rsid w:val="71754026"/>
    <w:rsid w:val="71755DD4"/>
    <w:rsid w:val="71763E02"/>
    <w:rsid w:val="71777D9E"/>
    <w:rsid w:val="71791D68"/>
    <w:rsid w:val="717C3606"/>
    <w:rsid w:val="717E112C"/>
    <w:rsid w:val="71866233"/>
    <w:rsid w:val="718F3339"/>
    <w:rsid w:val="71900E5F"/>
    <w:rsid w:val="719170B1"/>
    <w:rsid w:val="71970440"/>
    <w:rsid w:val="71973F9C"/>
    <w:rsid w:val="71A16BC9"/>
    <w:rsid w:val="71A5490B"/>
    <w:rsid w:val="71A566B9"/>
    <w:rsid w:val="71A60683"/>
    <w:rsid w:val="71A62431"/>
    <w:rsid w:val="71AB5C99"/>
    <w:rsid w:val="71AC3EEB"/>
    <w:rsid w:val="71AD1A11"/>
    <w:rsid w:val="71B0505E"/>
    <w:rsid w:val="71B40FF2"/>
    <w:rsid w:val="71B903B6"/>
    <w:rsid w:val="71BC1C54"/>
    <w:rsid w:val="71BC7EA6"/>
    <w:rsid w:val="71C225C6"/>
    <w:rsid w:val="71C70D25"/>
    <w:rsid w:val="71C8684B"/>
    <w:rsid w:val="71CC633B"/>
    <w:rsid w:val="71CD5C10"/>
    <w:rsid w:val="71CD79BE"/>
    <w:rsid w:val="71CF7BDA"/>
    <w:rsid w:val="71E03B95"/>
    <w:rsid w:val="71E13469"/>
    <w:rsid w:val="71E371E1"/>
    <w:rsid w:val="71E511AB"/>
    <w:rsid w:val="71E573FD"/>
    <w:rsid w:val="71F25676"/>
    <w:rsid w:val="71F87130"/>
    <w:rsid w:val="71FB452B"/>
    <w:rsid w:val="71FD4747"/>
    <w:rsid w:val="72007D93"/>
    <w:rsid w:val="720535FB"/>
    <w:rsid w:val="72076452"/>
    <w:rsid w:val="720A0BFF"/>
    <w:rsid w:val="720A713E"/>
    <w:rsid w:val="720E5E3F"/>
    <w:rsid w:val="72135D18"/>
    <w:rsid w:val="721726F7"/>
    <w:rsid w:val="72231CD3"/>
    <w:rsid w:val="72281098"/>
    <w:rsid w:val="722E2B52"/>
    <w:rsid w:val="72323CC5"/>
    <w:rsid w:val="723B526F"/>
    <w:rsid w:val="72404633"/>
    <w:rsid w:val="724063E2"/>
    <w:rsid w:val="724265FE"/>
    <w:rsid w:val="724539F8"/>
    <w:rsid w:val="724D0AFE"/>
    <w:rsid w:val="724F2AC9"/>
    <w:rsid w:val="7251239D"/>
    <w:rsid w:val="725E4ABA"/>
    <w:rsid w:val="726E2F4F"/>
    <w:rsid w:val="727442DD"/>
    <w:rsid w:val="727D5888"/>
    <w:rsid w:val="72864421"/>
    <w:rsid w:val="72872262"/>
    <w:rsid w:val="728B1D53"/>
    <w:rsid w:val="728C5ACB"/>
    <w:rsid w:val="728E539F"/>
    <w:rsid w:val="729130E1"/>
    <w:rsid w:val="729329B5"/>
    <w:rsid w:val="72952BD1"/>
    <w:rsid w:val="72966949"/>
    <w:rsid w:val="729B5D0E"/>
    <w:rsid w:val="729D3ADF"/>
    <w:rsid w:val="72A46970"/>
    <w:rsid w:val="72A921D9"/>
    <w:rsid w:val="72AE5A41"/>
    <w:rsid w:val="72C214EC"/>
    <w:rsid w:val="72C60FDD"/>
    <w:rsid w:val="72D336FA"/>
    <w:rsid w:val="72DD00D4"/>
    <w:rsid w:val="72EB27F1"/>
    <w:rsid w:val="72EE22E1"/>
    <w:rsid w:val="72FA6ED8"/>
    <w:rsid w:val="72FD2525"/>
    <w:rsid w:val="72FF004B"/>
    <w:rsid w:val="73045661"/>
    <w:rsid w:val="73090EC9"/>
    <w:rsid w:val="7309711B"/>
    <w:rsid w:val="730B4C41"/>
    <w:rsid w:val="730E64E0"/>
    <w:rsid w:val="730F1287"/>
    <w:rsid w:val="73137F9A"/>
    <w:rsid w:val="731A6C33"/>
    <w:rsid w:val="731E2BC7"/>
    <w:rsid w:val="73247A02"/>
    <w:rsid w:val="7325142F"/>
    <w:rsid w:val="732E6B82"/>
    <w:rsid w:val="73320420"/>
    <w:rsid w:val="73334198"/>
    <w:rsid w:val="73373C88"/>
    <w:rsid w:val="733A1083"/>
    <w:rsid w:val="73410663"/>
    <w:rsid w:val="734168B5"/>
    <w:rsid w:val="73426189"/>
    <w:rsid w:val="7346211D"/>
    <w:rsid w:val="734D525A"/>
    <w:rsid w:val="735D2FC3"/>
    <w:rsid w:val="735E1215"/>
    <w:rsid w:val="735F6D3B"/>
    <w:rsid w:val="736B1B84"/>
    <w:rsid w:val="73726A6F"/>
    <w:rsid w:val="7375655F"/>
    <w:rsid w:val="73832A2A"/>
    <w:rsid w:val="7386251A"/>
    <w:rsid w:val="738A025C"/>
    <w:rsid w:val="738B7B30"/>
    <w:rsid w:val="738F6E24"/>
    <w:rsid w:val="739336A0"/>
    <w:rsid w:val="73944C37"/>
    <w:rsid w:val="73A86934"/>
    <w:rsid w:val="73AF1A71"/>
    <w:rsid w:val="73B452D9"/>
    <w:rsid w:val="73B47087"/>
    <w:rsid w:val="73B476CA"/>
    <w:rsid w:val="73B52DFF"/>
    <w:rsid w:val="73BE1CB4"/>
    <w:rsid w:val="73BE7F06"/>
    <w:rsid w:val="73C31078"/>
    <w:rsid w:val="73C6500C"/>
    <w:rsid w:val="73C843FF"/>
    <w:rsid w:val="73CF3EC1"/>
    <w:rsid w:val="73CF5C6F"/>
    <w:rsid w:val="73D2750D"/>
    <w:rsid w:val="73D9089C"/>
    <w:rsid w:val="73DE4104"/>
    <w:rsid w:val="73E13BF4"/>
    <w:rsid w:val="73E536E4"/>
    <w:rsid w:val="73E831D5"/>
    <w:rsid w:val="73ED07EB"/>
    <w:rsid w:val="73ED2599"/>
    <w:rsid w:val="7400407A"/>
    <w:rsid w:val="74051691"/>
    <w:rsid w:val="74085625"/>
    <w:rsid w:val="740D2C3B"/>
    <w:rsid w:val="740D49E9"/>
    <w:rsid w:val="74100036"/>
    <w:rsid w:val="741123A3"/>
    <w:rsid w:val="741C28D9"/>
    <w:rsid w:val="742F6FB7"/>
    <w:rsid w:val="743106D8"/>
    <w:rsid w:val="74324450"/>
    <w:rsid w:val="743A5E62"/>
    <w:rsid w:val="743D52CE"/>
    <w:rsid w:val="74485A21"/>
    <w:rsid w:val="74566390"/>
    <w:rsid w:val="74582108"/>
    <w:rsid w:val="745B39A7"/>
    <w:rsid w:val="745E5245"/>
    <w:rsid w:val="745E7D76"/>
    <w:rsid w:val="7467234B"/>
    <w:rsid w:val="746740F9"/>
    <w:rsid w:val="748A502D"/>
    <w:rsid w:val="748C1DB2"/>
    <w:rsid w:val="749649DF"/>
    <w:rsid w:val="7496678D"/>
    <w:rsid w:val="749E3893"/>
    <w:rsid w:val="74AF784E"/>
    <w:rsid w:val="74B968D5"/>
    <w:rsid w:val="74C57072"/>
    <w:rsid w:val="74C90910"/>
    <w:rsid w:val="74CB0B2C"/>
    <w:rsid w:val="74CB6B3C"/>
    <w:rsid w:val="74CC0400"/>
    <w:rsid w:val="74CC6652"/>
    <w:rsid w:val="74D53759"/>
    <w:rsid w:val="74D769FD"/>
    <w:rsid w:val="74D86DA5"/>
    <w:rsid w:val="74E03EAC"/>
    <w:rsid w:val="74E05C5A"/>
    <w:rsid w:val="74E27C24"/>
    <w:rsid w:val="74E33682"/>
    <w:rsid w:val="74E53270"/>
    <w:rsid w:val="74E67714"/>
    <w:rsid w:val="74E97204"/>
    <w:rsid w:val="74EE0377"/>
    <w:rsid w:val="74EE65C9"/>
    <w:rsid w:val="74F160B9"/>
    <w:rsid w:val="74F65FDA"/>
    <w:rsid w:val="74FF4332"/>
    <w:rsid w:val="75045DEC"/>
    <w:rsid w:val="75061B64"/>
    <w:rsid w:val="75096F5F"/>
    <w:rsid w:val="751A383D"/>
    <w:rsid w:val="751A5610"/>
    <w:rsid w:val="75265D63"/>
    <w:rsid w:val="75295853"/>
    <w:rsid w:val="75387844"/>
    <w:rsid w:val="753A180E"/>
    <w:rsid w:val="75402C0D"/>
    <w:rsid w:val="7544268D"/>
    <w:rsid w:val="75461F61"/>
    <w:rsid w:val="754B7577"/>
    <w:rsid w:val="754D1541"/>
    <w:rsid w:val="754D6952"/>
    <w:rsid w:val="754E52B9"/>
    <w:rsid w:val="75502DDF"/>
    <w:rsid w:val="75504AFE"/>
    <w:rsid w:val="7553467E"/>
    <w:rsid w:val="75581C94"/>
    <w:rsid w:val="75596138"/>
    <w:rsid w:val="755A5A0C"/>
    <w:rsid w:val="756932A9"/>
    <w:rsid w:val="756E770A"/>
    <w:rsid w:val="756F085C"/>
    <w:rsid w:val="75741AFD"/>
    <w:rsid w:val="75742F72"/>
    <w:rsid w:val="75752846"/>
    <w:rsid w:val="75774810"/>
    <w:rsid w:val="757A422E"/>
    <w:rsid w:val="757A7E5C"/>
    <w:rsid w:val="757F5473"/>
    <w:rsid w:val="75842A89"/>
    <w:rsid w:val="75874327"/>
    <w:rsid w:val="75907680"/>
    <w:rsid w:val="75970A0E"/>
    <w:rsid w:val="759A04FF"/>
    <w:rsid w:val="75A1363B"/>
    <w:rsid w:val="75A4312B"/>
    <w:rsid w:val="75A44ED9"/>
    <w:rsid w:val="75A849CA"/>
    <w:rsid w:val="75A902DE"/>
    <w:rsid w:val="75AE7B06"/>
    <w:rsid w:val="75B50E95"/>
    <w:rsid w:val="75B74C0D"/>
    <w:rsid w:val="75BC0475"/>
    <w:rsid w:val="75BC52D2"/>
    <w:rsid w:val="75BE243F"/>
    <w:rsid w:val="75BF44B3"/>
    <w:rsid w:val="75C15A8B"/>
    <w:rsid w:val="75CA1ADA"/>
    <w:rsid w:val="75CA7E1A"/>
    <w:rsid w:val="75CB4B5C"/>
    <w:rsid w:val="75CD61DE"/>
    <w:rsid w:val="75CE1F56"/>
    <w:rsid w:val="75CF01A8"/>
    <w:rsid w:val="75D03F20"/>
    <w:rsid w:val="75D27C98"/>
    <w:rsid w:val="75DA6B4D"/>
    <w:rsid w:val="75DB4D9F"/>
    <w:rsid w:val="75DC4673"/>
    <w:rsid w:val="75E33C54"/>
    <w:rsid w:val="75E35A02"/>
    <w:rsid w:val="75ED4AD2"/>
    <w:rsid w:val="75EF6E70"/>
    <w:rsid w:val="75F145C2"/>
    <w:rsid w:val="7601232C"/>
    <w:rsid w:val="760C25E7"/>
    <w:rsid w:val="761107C1"/>
    <w:rsid w:val="76120095"/>
    <w:rsid w:val="761E2EDE"/>
    <w:rsid w:val="762A3631"/>
    <w:rsid w:val="76373F9F"/>
    <w:rsid w:val="76393874"/>
    <w:rsid w:val="763C5112"/>
    <w:rsid w:val="764346F2"/>
    <w:rsid w:val="7645046A"/>
    <w:rsid w:val="764D2E30"/>
    <w:rsid w:val="76524935"/>
    <w:rsid w:val="76605D02"/>
    <w:rsid w:val="76607052"/>
    <w:rsid w:val="766703E1"/>
    <w:rsid w:val="767C19B2"/>
    <w:rsid w:val="767D5E56"/>
    <w:rsid w:val="76984A3E"/>
    <w:rsid w:val="76A520C7"/>
    <w:rsid w:val="76AA651F"/>
    <w:rsid w:val="76AD7DBE"/>
    <w:rsid w:val="76AF1D88"/>
    <w:rsid w:val="76B63116"/>
    <w:rsid w:val="76B92D61"/>
    <w:rsid w:val="76BD6253"/>
    <w:rsid w:val="76BF1F8C"/>
    <w:rsid w:val="76C23463"/>
    <w:rsid w:val="76C84BF7"/>
    <w:rsid w:val="76CA0970"/>
    <w:rsid w:val="76CC46E8"/>
    <w:rsid w:val="76CF41D8"/>
    <w:rsid w:val="76D67314"/>
    <w:rsid w:val="76DF3B1A"/>
    <w:rsid w:val="76F2417D"/>
    <w:rsid w:val="76FB321F"/>
    <w:rsid w:val="76FD6F97"/>
    <w:rsid w:val="77071BC4"/>
    <w:rsid w:val="770C0F88"/>
    <w:rsid w:val="771B741D"/>
    <w:rsid w:val="77212C85"/>
    <w:rsid w:val="77244524"/>
    <w:rsid w:val="772B7660"/>
    <w:rsid w:val="77343F30"/>
    <w:rsid w:val="773D3837"/>
    <w:rsid w:val="773F4EBA"/>
    <w:rsid w:val="77444BC6"/>
    <w:rsid w:val="7750356B"/>
    <w:rsid w:val="7762504C"/>
    <w:rsid w:val="77626DFA"/>
    <w:rsid w:val="77687F33"/>
    <w:rsid w:val="776B3F01"/>
    <w:rsid w:val="776C7C79"/>
    <w:rsid w:val="776E39F1"/>
    <w:rsid w:val="776E579F"/>
    <w:rsid w:val="777421A8"/>
    <w:rsid w:val="77752FD1"/>
    <w:rsid w:val="77866F8C"/>
    <w:rsid w:val="77903967"/>
    <w:rsid w:val="779276DF"/>
    <w:rsid w:val="779B7915"/>
    <w:rsid w:val="779C230C"/>
    <w:rsid w:val="77A17922"/>
    <w:rsid w:val="77A24B7F"/>
    <w:rsid w:val="77AB07A1"/>
    <w:rsid w:val="77B238DE"/>
    <w:rsid w:val="77B27D81"/>
    <w:rsid w:val="77B533CE"/>
    <w:rsid w:val="77C67389"/>
    <w:rsid w:val="77CB499F"/>
    <w:rsid w:val="77D25D2E"/>
    <w:rsid w:val="77D574AF"/>
    <w:rsid w:val="77DB72D8"/>
    <w:rsid w:val="77DC095A"/>
    <w:rsid w:val="77EE068E"/>
    <w:rsid w:val="780305DD"/>
    <w:rsid w:val="78056103"/>
    <w:rsid w:val="780D4FB8"/>
    <w:rsid w:val="78124F60"/>
    <w:rsid w:val="78153E6C"/>
    <w:rsid w:val="781E5417"/>
    <w:rsid w:val="78252301"/>
    <w:rsid w:val="782F0BB9"/>
    <w:rsid w:val="782F3180"/>
    <w:rsid w:val="78342545"/>
    <w:rsid w:val="78370287"/>
    <w:rsid w:val="783A38D3"/>
    <w:rsid w:val="7840538D"/>
    <w:rsid w:val="78460214"/>
    <w:rsid w:val="78465777"/>
    <w:rsid w:val="784B52C6"/>
    <w:rsid w:val="7858069A"/>
    <w:rsid w:val="785901FD"/>
    <w:rsid w:val="785D5F3F"/>
    <w:rsid w:val="786D1EFA"/>
    <w:rsid w:val="7872306D"/>
    <w:rsid w:val="78743289"/>
    <w:rsid w:val="78852DA0"/>
    <w:rsid w:val="788D60F9"/>
    <w:rsid w:val="7892370F"/>
    <w:rsid w:val="789444B7"/>
    <w:rsid w:val="78972AD3"/>
    <w:rsid w:val="789C633C"/>
    <w:rsid w:val="789D458E"/>
    <w:rsid w:val="78A21BA4"/>
    <w:rsid w:val="78A27DF6"/>
    <w:rsid w:val="78A31478"/>
    <w:rsid w:val="78A376CA"/>
    <w:rsid w:val="78A771BA"/>
    <w:rsid w:val="78A91184"/>
    <w:rsid w:val="78B6564F"/>
    <w:rsid w:val="78BE2756"/>
    <w:rsid w:val="78C532E5"/>
    <w:rsid w:val="78C935D5"/>
    <w:rsid w:val="78CC6C21"/>
    <w:rsid w:val="78CE2999"/>
    <w:rsid w:val="78D87374"/>
    <w:rsid w:val="78DD0E2E"/>
    <w:rsid w:val="78DD498A"/>
    <w:rsid w:val="78E026CC"/>
    <w:rsid w:val="78E75809"/>
    <w:rsid w:val="78F32400"/>
    <w:rsid w:val="78FF0DA4"/>
    <w:rsid w:val="79004201"/>
    <w:rsid w:val="79053EE1"/>
    <w:rsid w:val="790939D1"/>
    <w:rsid w:val="790A599B"/>
    <w:rsid w:val="790C526F"/>
    <w:rsid w:val="790E0FE8"/>
    <w:rsid w:val="790E7239"/>
    <w:rsid w:val="79181E66"/>
    <w:rsid w:val="79187B3A"/>
    <w:rsid w:val="791F1447"/>
    <w:rsid w:val="7924080B"/>
    <w:rsid w:val="79254583"/>
    <w:rsid w:val="792720A9"/>
    <w:rsid w:val="792B7DEB"/>
    <w:rsid w:val="792C5912"/>
    <w:rsid w:val="79330C25"/>
    <w:rsid w:val="793622EC"/>
    <w:rsid w:val="79450781"/>
    <w:rsid w:val="79464C25"/>
    <w:rsid w:val="79492020"/>
    <w:rsid w:val="794A5D98"/>
    <w:rsid w:val="794C38BE"/>
    <w:rsid w:val="794C7D62"/>
    <w:rsid w:val="79660E24"/>
    <w:rsid w:val="796A4136"/>
    <w:rsid w:val="796C3F60"/>
    <w:rsid w:val="797057FE"/>
    <w:rsid w:val="79921C19"/>
    <w:rsid w:val="79955265"/>
    <w:rsid w:val="799E680F"/>
    <w:rsid w:val="79A11E5C"/>
    <w:rsid w:val="79A454A8"/>
    <w:rsid w:val="79A61220"/>
    <w:rsid w:val="79AD76D8"/>
    <w:rsid w:val="79C61B96"/>
    <w:rsid w:val="79CD2C51"/>
    <w:rsid w:val="79D00993"/>
    <w:rsid w:val="79DD6C0C"/>
    <w:rsid w:val="79E166FC"/>
    <w:rsid w:val="79E70CF9"/>
    <w:rsid w:val="79E81839"/>
    <w:rsid w:val="79F226B7"/>
    <w:rsid w:val="79F24465"/>
    <w:rsid w:val="79FA156C"/>
    <w:rsid w:val="7A04063C"/>
    <w:rsid w:val="7A106FE1"/>
    <w:rsid w:val="7A187C44"/>
    <w:rsid w:val="7A2E1215"/>
    <w:rsid w:val="7A460C55"/>
    <w:rsid w:val="7A545120"/>
    <w:rsid w:val="7A5A025C"/>
    <w:rsid w:val="7A5E7D4D"/>
    <w:rsid w:val="7A65732D"/>
    <w:rsid w:val="7A70182E"/>
    <w:rsid w:val="7A704982"/>
    <w:rsid w:val="7A721A4A"/>
    <w:rsid w:val="7A727450"/>
    <w:rsid w:val="7A7275CC"/>
    <w:rsid w:val="7A777060"/>
    <w:rsid w:val="7A7A445B"/>
    <w:rsid w:val="7A804167"/>
    <w:rsid w:val="7A813A3B"/>
    <w:rsid w:val="7A85177D"/>
    <w:rsid w:val="7A8772A3"/>
    <w:rsid w:val="7A925C48"/>
    <w:rsid w:val="7A981C2B"/>
    <w:rsid w:val="7A9C2623"/>
    <w:rsid w:val="7A9E0310"/>
    <w:rsid w:val="7AA30CA1"/>
    <w:rsid w:val="7AA339B1"/>
    <w:rsid w:val="7AAC6D0A"/>
    <w:rsid w:val="7AAE4CD2"/>
    <w:rsid w:val="7AB160CE"/>
    <w:rsid w:val="7AB21E46"/>
    <w:rsid w:val="7ABD5BC0"/>
    <w:rsid w:val="7ABE2599"/>
    <w:rsid w:val="7ACC115A"/>
    <w:rsid w:val="7ACF0C4A"/>
    <w:rsid w:val="7AD53AED"/>
    <w:rsid w:val="7ADB314B"/>
    <w:rsid w:val="7AE446F6"/>
    <w:rsid w:val="7AE5221C"/>
    <w:rsid w:val="7AED2E7F"/>
    <w:rsid w:val="7AEF309B"/>
    <w:rsid w:val="7AEF4E49"/>
    <w:rsid w:val="7AF81F4F"/>
    <w:rsid w:val="7AFD1314"/>
    <w:rsid w:val="7B016AEC"/>
    <w:rsid w:val="7B0326A2"/>
    <w:rsid w:val="7B0A1C83"/>
    <w:rsid w:val="7B113011"/>
    <w:rsid w:val="7B130B37"/>
    <w:rsid w:val="7B187EFC"/>
    <w:rsid w:val="7B1B3A1F"/>
    <w:rsid w:val="7B1B3E90"/>
    <w:rsid w:val="7B205002"/>
    <w:rsid w:val="7B252618"/>
    <w:rsid w:val="7B272834"/>
    <w:rsid w:val="7B2F4DDF"/>
    <w:rsid w:val="7B2F5245"/>
    <w:rsid w:val="7B31720F"/>
    <w:rsid w:val="7B3311D9"/>
    <w:rsid w:val="7B38234C"/>
    <w:rsid w:val="7B3867F0"/>
    <w:rsid w:val="7B3960C4"/>
    <w:rsid w:val="7B3A4316"/>
    <w:rsid w:val="7B3B1E3C"/>
    <w:rsid w:val="7B3E36DA"/>
    <w:rsid w:val="7B42141C"/>
    <w:rsid w:val="7B5573A2"/>
    <w:rsid w:val="7B5A49B8"/>
    <w:rsid w:val="7B5B428C"/>
    <w:rsid w:val="7B5D6256"/>
    <w:rsid w:val="7B66335D"/>
    <w:rsid w:val="7B672C31"/>
    <w:rsid w:val="7B6969A9"/>
    <w:rsid w:val="7B7B492E"/>
    <w:rsid w:val="7B811411"/>
    <w:rsid w:val="7B871525"/>
    <w:rsid w:val="7BA93249"/>
    <w:rsid w:val="7BAD3752"/>
    <w:rsid w:val="7BAE0860"/>
    <w:rsid w:val="7BBC11CF"/>
    <w:rsid w:val="7BC2430B"/>
    <w:rsid w:val="7BC938EC"/>
    <w:rsid w:val="7BE10C35"/>
    <w:rsid w:val="7BEC3136"/>
    <w:rsid w:val="7BED75DA"/>
    <w:rsid w:val="7BF22E42"/>
    <w:rsid w:val="7BFC781D"/>
    <w:rsid w:val="7C050E74"/>
    <w:rsid w:val="7C077F70"/>
    <w:rsid w:val="7C0D37D8"/>
    <w:rsid w:val="7C1A7CA3"/>
    <w:rsid w:val="7C1C7EBF"/>
    <w:rsid w:val="7C2154D6"/>
    <w:rsid w:val="7C376AA7"/>
    <w:rsid w:val="7C39281F"/>
    <w:rsid w:val="7C3F770A"/>
    <w:rsid w:val="7C463BAC"/>
    <w:rsid w:val="7C483E7A"/>
    <w:rsid w:val="7C4A67DB"/>
    <w:rsid w:val="7C4D1E27"/>
    <w:rsid w:val="7C52743D"/>
    <w:rsid w:val="7C596A1E"/>
    <w:rsid w:val="7C613B24"/>
    <w:rsid w:val="7C63164A"/>
    <w:rsid w:val="7C686CEB"/>
    <w:rsid w:val="7C765821"/>
    <w:rsid w:val="7C792C1C"/>
    <w:rsid w:val="7C86358B"/>
    <w:rsid w:val="7C8F243F"/>
    <w:rsid w:val="7C9B7036"/>
    <w:rsid w:val="7C9C2DAE"/>
    <w:rsid w:val="7C9C690A"/>
    <w:rsid w:val="7C9E08D4"/>
    <w:rsid w:val="7C9F63FA"/>
    <w:rsid w:val="7CA13F21"/>
    <w:rsid w:val="7CA26617"/>
    <w:rsid w:val="7CB00608"/>
    <w:rsid w:val="7CB1685A"/>
    <w:rsid w:val="7CB225D2"/>
    <w:rsid w:val="7CC04CEF"/>
    <w:rsid w:val="7CC16371"/>
    <w:rsid w:val="7CC540B3"/>
    <w:rsid w:val="7CC85951"/>
    <w:rsid w:val="7CCA16C9"/>
    <w:rsid w:val="7CCD740C"/>
    <w:rsid w:val="7CE87DA1"/>
    <w:rsid w:val="7CF77FE5"/>
    <w:rsid w:val="7CF84488"/>
    <w:rsid w:val="7CF90201"/>
    <w:rsid w:val="7CFE1373"/>
    <w:rsid w:val="7D00333D"/>
    <w:rsid w:val="7D034BDB"/>
    <w:rsid w:val="7D050953"/>
    <w:rsid w:val="7D052701"/>
    <w:rsid w:val="7D0966C9"/>
    <w:rsid w:val="7D0C7F34"/>
    <w:rsid w:val="7D0D15B6"/>
    <w:rsid w:val="7D0F083A"/>
    <w:rsid w:val="7D140B97"/>
    <w:rsid w:val="7D16490F"/>
    <w:rsid w:val="7D225061"/>
    <w:rsid w:val="7D2708CA"/>
    <w:rsid w:val="7D2863F0"/>
    <w:rsid w:val="7D3134F6"/>
    <w:rsid w:val="7D384885"/>
    <w:rsid w:val="7D39684F"/>
    <w:rsid w:val="7D3E5C13"/>
    <w:rsid w:val="7D441CBC"/>
    <w:rsid w:val="7D4551F4"/>
    <w:rsid w:val="7D4A0A5C"/>
    <w:rsid w:val="7D4C0330"/>
    <w:rsid w:val="7D513B99"/>
    <w:rsid w:val="7D52346D"/>
    <w:rsid w:val="7D5A0C9F"/>
    <w:rsid w:val="7D5B67C5"/>
    <w:rsid w:val="7D637428"/>
    <w:rsid w:val="7D657644"/>
    <w:rsid w:val="7D697134"/>
    <w:rsid w:val="7D6A6A08"/>
    <w:rsid w:val="7D7004C3"/>
    <w:rsid w:val="7D7F0706"/>
    <w:rsid w:val="7D803B1F"/>
    <w:rsid w:val="7D853842"/>
    <w:rsid w:val="7D871368"/>
    <w:rsid w:val="7D9107CC"/>
    <w:rsid w:val="7D9121E7"/>
    <w:rsid w:val="7D937D0D"/>
    <w:rsid w:val="7D9F66B2"/>
    <w:rsid w:val="7DAE2D99"/>
    <w:rsid w:val="7DB52379"/>
    <w:rsid w:val="7DB859C6"/>
    <w:rsid w:val="7DC91981"/>
    <w:rsid w:val="7DD17BA9"/>
    <w:rsid w:val="7DD24CD9"/>
    <w:rsid w:val="7DDA3B8E"/>
    <w:rsid w:val="7DDB16B4"/>
    <w:rsid w:val="7DE70059"/>
    <w:rsid w:val="7DE93DD1"/>
    <w:rsid w:val="7DF34C50"/>
    <w:rsid w:val="7DF54524"/>
    <w:rsid w:val="7DF75804"/>
    <w:rsid w:val="7DFD162B"/>
    <w:rsid w:val="7E0D3F64"/>
    <w:rsid w:val="7E0D5EFC"/>
    <w:rsid w:val="7E1322BB"/>
    <w:rsid w:val="7E1A042F"/>
    <w:rsid w:val="7E1F77F3"/>
    <w:rsid w:val="7E3808B5"/>
    <w:rsid w:val="7E3A63DB"/>
    <w:rsid w:val="7E4159BB"/>
    <w:rsid w:val="7E490D14"/>
    <w:rsid w:val="7E582D05"/>
    <w:rsid w:val="7E68119A"/>
    <w:rsid w:val="7E694F12"/>
    <w:rsid w:val="7E6B2A38"/>
    <w:rsid w:val="7E74391E"/>
    <w:rsid w:val="7E786F03"/>
    <w:rsid w:val="7E88183C"/>
    <w:rsid w:val="7E88712C"/>
    <w:rsid w:val="7E8B30DA"/>
    <w:rsid w:val="7E8B4E88"/>
    <w:rsid w:val="7EA321D2"/>
    <w:rsid w:val="7EA85A3A"/>
    <w:rsid w:val="7EAC0EDE"/>
    <w:rsid w:val="7EB048EF"/>
    <w:rsid w:val="7EB51F05"/>
    <w:rsid w:val="7EBC3294"/>
    <w:rsid w:val="7EBF4B32"/>
    <w:rsid w:val="7EC34622"/>
    <w:rsid w:val="7EC363D0"/>
    <w:rsid w:val="7EC65268"/>
    <w:rsid w:val="7ECD54A1"/>
    <w:rsid w:val="7ECF2FC7"/>
    <w:rsid w:val="7ED06D3F"/>
    <w:rsid w:val="7ED405DD"/>
    <w:rsid w:val="7ED4682F"/>
    <w:rsid w:val="7EE10F4C"/>
    <w:rsid w:val="7EE43B13"/>
    <w:rsid w:val="7EEA6053"/>
    <w:rsid w:val="7EED169F"/>
    <w:rsid w:val="7EED5B43"/>
    <w:rsid w:val="7EF14CDF"/>
    <w:rsid w:val="7EF401FE"/>
    <w:rsid w:val="7F007624"/>
    <w:rsid w:val="7F0747F2"/>
    <w:rsid w:val="7F17671C"/>
    <w:rsid w:val="7F1A6186"/>
    <w:rsid w:val="7F216F3F"/>
    <w:rsid w:val="7F231565"/>
    <w:rsid w:val="7F2D5F40"/>
    <w:rsid w:val="7F343772"/>
    <w:rsid w:val="7F427C3D"/>
    <w:rsid w:val="7F453289"/>
    <w:rsid w:val="7F4D16AD"/>
    <w:rsid w:val="7F5160D2"/>
    <w:rsid w:val="7F5931D8"/>
    <w:rsid w:val="7F5B2AAD"/>
    <w:rsid w:val="7F5D4A77"/>
    <w:rsid w:val="7F623E3B"/>
    <w:rsid w:val="7F6851CA"/>
    <w:rsid w:val="7F7122D0"/>
    <w:rsid w:val="7F7D6EC7"/>
    <w:rsid w:val="7F820039"/>
    <w:rsid w:val="7F8244DD"/>
    <w:rsid w:val="7F840255"/>
    <w:rsid w:val="7F8F2756"/>
    <w:rsid w:val="7F9D1317"/>
    <w:rsid w:val="7FA73F44"/>
    <w:rsid w:val="7FA75CF2"/>
    <w:rsid w:val="7FAA57E2"/>
    <w:rsid w:val="7FB15F3A"/>
    <w:rsid w:val="7FB56661"/>
    <w:rsid w:val="7FC44AF6"/>
    <w:rsid w:val="7FCD171D"/>
    <w:rsid w:val="7FCE7723"/>
    <w:rsid w:val="7FDB599C"/>
    <w:rsid w:val="7FE40CF4"/>
    <w:rsid w:val="7FE44850"/>
    <w:rsid w:val="7FE7774A"/>
    <w:rsid w:val="7FF32CE5"/>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toc 3"/>
    <w:basedOn w:val="1"/>
    <w:next w:val="1"/>
    <w:autoRedefine/>
    <w:qFormat/>
    <w:uiPriority w:val="0"/>
    <w:pPr>
      <w:ind w:left="840" w:leftChars="4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style>
  <w:style w:type="paragraph" w:styleId="8">
    <w:name w:val="toc 2"/>
    <w:basedOn w:val="1"/>
    <w:next w:val="1"/>
    <w:autoRedefine/>
    <w:qFormat/>
    <w:uiPriority w:val="0"/>
    <w:pPr>
      <w:ind w:left="420" w:left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2024-02-10T13:15:00Z</dcterms:created>
  <dc:creator>wsx</dc:creator>
  <cp:lastModifiedBy>Administrator</cp:lastModifiedBy>
  <cp:lastPrinted>2024-06-20T07:43:00Z</cp:lastPrinted>
  <dcterms:modified xsi:type="dcterms:W3CDTF">2024-06-21T01:33:56Z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6E05B5F84D7C4A7BB2716C2AF7C16B3E_13</vt:lpwstr>
  </property>
</Properties>
</file>