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等线" w:hAnsi="等线" w:eastAsia="等线" w:cs="Times New Roman"/>
          <w:sz w:val="84"/>
          <w:szCs w:val="84"/>
        </w:rPr>
      </w:pPr>
    </w:p>
    <w:p>
      <w:pPr>
        <w:spacing w:line="240" w:lineRule="auto"/>
        <w:jc w:val="center"/>
        <w:rPr>
          <w:rFonts w:ascii="黑体" w:hAnsi="黑体" w:eastAsia="黑体" w:cs="Times New Roman"/>
          <w:sz w:val="72"/>
          <w:szCs w:val="72"/>
        </w:rPr>
      </w:pPr>
      <w:r>
        <w:rPr>
          <w:rFonts w:hint="eastAsia" w:ascii="黑体" w:hAnsi="黑体" w:eastAsia="黑体" w:cs="Times New Roman"/>
          <w:sz w:val="72"/>
          <w:szCs w:val="72"/>
        </w:rPr>
        <w:t>凌源市</w:t>
      </w:r>
      <w:r>
        <w:rPr>
          <w:rFonts w:ascii="黑体" w:hAnsi="黑体" w:eastAsia="黑体" w:cs="Times New Roman"/>
          <w:sz w:val="72"/>
          <w:szCs w:val="72"/>
        </w:rPr>
        <w:t>农村生活污水治理专项规划</w:t>
      </w:r>
    </w:p>
    <w:p>
      <w:pPr>
        <w:spacing w:line="240" w:lineRule="auto"/>
        <w:jc w:val="center"/>
        <w:rPr>
          <w:rFonts w:ascii="黑体" w:hAnsi="黑体" w:eastAsia="黑体" w:cs="黑体"/>
          <w:b/>
          <w:kern w:val="0"/>
          <w:sz w:val="52"/>
          <w:szCs w:val="52"/>
        </w:rPr>
      </w:pPr>
      <w:r>
        <w:rPr>
          <w:rFonts w:hint="eastAsia" w:ascii="黑体" w:hAnsi="黑体" w:eastAsia="黑体" w:cs="黑体"/>
          <w:b/>
          <w:kern w:val="0"/>
          <w:sz w:val="52"/>
          <w:szCs w:val="52"/>
        </w:rPr>
        <w:t>（2021-20</w:t>
      </w:r>
      <w:r>
        <w:rPr>
          <w:rFonts w:hint="eastAsia" w:ascii="黑体" w:hAnsi="黑体" w:eastAsia="黑体" w:cs="黑体"/>
          <w:b/>
          <w:kern w:val="0"/>
          <w:sz w:val="52"/>
          <w:szCs w:val="52"/>
          <w:lang w:val="en-US" w:eastAsia="zh-CN"/>
        </w:rPr>
        <w:t>2</w:t>
      </w:r>
      <w:r>
        <w:rPr>
          <w:rFonts w:hint="eastAsia" w:ascii="黑体" w:hAnsi="黑体" w:eastAsia="黑体" w:cs="黑体"/>
          <w:b/>
          <w:kern w:val="0"/>
          <w:sz w:val="52"/>
          <w:szCs w:val="52"/>
        </w:rPr>
        <w:t>5）</w:t>
      </w:r>
    </w:p>
    <w:p>
      <w:pPr>
        <w:spacing w:line="240" w:lineRule="auto"/>
        <w:jc w:val="center"/>
        <w:rPr>
          <w:rFonts w:ascii="黑体" w:hAnsi="黑体" w:eastAsia="黑体" w:cs="黑体"/>
          <w:b/>
          <w:kern w:val="0"/>
          <w:sz w:val="52"/>
          <w:szCs w:val="52"/>
        </w:rPr>
      </w:pPr>
    </w:p>
    <w:p>
      <w:pPr>
        <w:spacing w:line="240" w:lineRule="auto"/>
        <w:jc w:val="center"/>
        <w:rPr>
          <w:rFonts w:ascii="黑体" w:hAnsi="黑体" w:eastAsia="黑体" w:cs="黑体"/>
          <w:b/>
          <w:kern w:val="0"/>
          <w:sz w:val="52"/>
          <w:szCs w:val="52"/>
        </w:rPr>
      </w:pPr>
    </w:p>
    <w:p>
      <w:pPr>
        <w:spacing w:line="240" w:lineRule="auto"/>
        <w:jc w:val="center"/>
        <w:rPr>
          <w:rFonts w:ascii="等线" w:hAnsi="等线" w:eastAsia="等线" w:cs="Times New Roman"/>
          <w:sz w:val="84"/>
          <w:szCs w:val="84"/>
        </w:rPr>
      </w:pPr>
    </w:p>
    <w:p>
      <w:pPr>
        <w:spacing w:line="240" w:lineRule="auto"/>
        <w:rPr>
          <w:rFonts w:ascii="等线" w:hAnsi="等线" w:eastAsia="等线" w:cs="Times New Roman"/>
          <w:sz w:val="84"/>
          <w:szCs w:val="84"/>
        </w:rPr>
      </w:pPr>
    </w:p>
    <w:p>
      <w:pPr>
        <w:spacing w:line="240" w:lineRule="auto"/>
        <w:rPr>
          <w:rFonts w:ascii="等线" w:hAnsi="等线" w:eastAsia="等线" w:cs="Times New Roman"/>
          <w:sz w:val="84"/>
          <w:szCs w:val="84"/>
        </w:rPr>
      </w:pPr>
    </w:p>
    <w:p>
      <w:pPr>
        <w:spacing w:before="160" w:line="240" w:lineRule="auto"/>
        <w:rPr>
          <w:rFonts w:ascii="黑体" w:hAnsi="黑体" w:eastAsia="黑体" w:cs="Times New Roman"/>
          <w:b/>
          <w:kern w:val="0"/>
          <w:sz w:val="32"/>
          <w:szCs w:val="32"/>
        </w:rPr>
      </w:pPr>
    </w:p>
    <w:p>
      <w:pPr>
        <w:spacing w:before="160" w:line="240" w:lineRule="auto"/>
        <w:jc w:val="center"/>
        <w:rPr>
          <w:rFonts w:hint="eastAsia" w:ascii="黑体" w:hAnsi="黑体" w:eastAsia="黑体" w:cs="Times New Roman"/>
          <w:b/>
          <w:kern w:val="0"/>
          <w:sz w:val="44"/>
          <w:szCs w:val="44"/>
          <w:lang w:eastAsia="zh-CN"/>
        </w:rPr>
      </w:pPr>
      <w:r>
        <w:rPr>
          <w:rFonts w:hint="eastAsia" w:ascii="黑体" w:hAnsi="黑体" w:eastAsia="黑体" w:cs="Times New Roman"/>
          <w:b/>
          <w:kern w:val="0"/>
          <w:sz w:val="44"/>
          <w:szCs w:val="44"/>
          <w:lang w:eastAsia="zh-CN"/>
        </w:rPr>
        <w:t>凌源市人民政府</w:t>
      </w:r>
    </w:p>
    <w:p/>
    <w:p/>
    <w:p/>
    <w:p>
      <w:pPr>
        <w:spacing w:before="640" w:after="320" w:line="240" w:lineRule="auto"/>
        <w:ind w:firstLine="2570" w:firstLineChars="800"/>
        <w:jc w:val="both"/>
        <w:rPr>
          <w:rFonts w:cs="Times New Roman"/>
          <w:b/>
          <w:kern w:val="0"/>
          <w:sz w:val="32"/>
          <w:szCs w:val="20"/>
        </w:rPr>
      </w:pPr>
      <w:r>
        <w:rPr>
          <w:rFonts w:hint="eastAsia" w:cs="Times New Roman"/>
          <w:b/>
          <w:kern w:val="0"/>
          <w:sz w:val="32"/>
          <w:szCs w:val="20"/>
        </w:rPr>
        <w:t>项目编制单位及参编人员</w:t>
      </w:r>
    </w:p>
    <w:p>
      <w:pPr>
        <w:spacing w:before="640" w:after="320" w:line="240" w:lineRule="auto"/>
        <w:jc w:val="center"/>
        <w:rPr>
          <w:rFonts w:cs="Times New Roman"/>
          <w:b/>
          <w:kern w:val="0"/>
          <w:sz w:val="32"/>
          <w:szCs w:val="20"/>
        </w:rPr>
      </w:pPr>
      <w:r>
        <w:rPr>
          <w:rFonts w:hint="eastAsia" w:cs="Times New Roman"/>
          <w:b/>
          <w:kern w:val="0"/>
          <w:sz w:val="32"/>
          <w:szCs w:val="20"/>
        </w:rPr>
        <w:t>编制单位：辽宁山水生态科技有限责任公司</w:t>
      </w:r>
    </w:p>
    <w:p>
      <w:pPr>
        <w:spacing w:line="240" w:lineRule="auto"/>
        <w:jc w:val="both"/>
        <w:rPr>
          <w:rFonts w:cs="Times New Roman"/>
          <w:b/>
          <w:kern w:val="0"/>
          <w:sz w:val="32"/>
          <w:szCs w:val="20"/>
        </w:rPr>
      </w:pPr>
    </w:p>
    <w:p>
      <w:pPr>
        <w:spacing w:line="240" w:lineRule="auto"/>
        <w:jc w:val="center"/>
        <w:rPr>
          <w:rFonts w:cs="Times New Roman"/>
          <w:b/>
          <w:kern w:val="0"/>
          <w:sz w:val="32"/>
          <w:szCs w:val="20"/>
        </w:rPr>
      </w:pPr>
    </w:p>
    <w:p>
      <w:pPr>
        <w:spacing w:line="240" w:lineRule="auto"/>
        <w:jc w:val="center"/>
        <w:rPr>
          <w:rFonts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cs="Times New Roman"/>
          <w:b/>
          <w:kern w:val="0"/>
          <w:sz w:val="32"/>
          <w:szCs w:val="20"/>
        </w:rPr>
      </w:pPr>
      <w:r>
        <w:rPr>
          <w:rFonts w:hint="eastAsia" w:cs="Times New Roman"/>
          <w:b/>
          <w:kern w:val="0"/>
          <w:sz w:val="32"/>
          <w:szCs w:val="20"/>
        </w:rPr>
        <w:t>项目审核人：张震斌</w:t>
      </w:r>
    </w:p>
    <w:p>
      <w:pPr>
        <w:spacing w:line="240" w:lineRule="auto"/>
        <w:ind w:firstLine="2249" w:firstLineChars="700"/>
        <w:jc w:val="left"/>
        <w:rPr>
          <w:rFonts w:cs="Times New Roman"/>
          <w:b/>
          <w:kern w:val="0"/>
          <w:sz w:val="32"/>
          <w:szCs w:val="20"/>
        </w:rPr>
      </w:pPr>
      <w:r>
        <w:rPr>
          <w:rFonts w:hint="eastAsia" w:cs="Times New Roman"/>
          <w:b/>
          <w:kern w:val="0"/>
          <w:sz w:val="32"/>
          <w:szCs w:val="20"/>
        </w:rPr>
        <w:t>项目负责人：单凤君</w:t>
      </w:r>
    </w:p>
    <w:p>
      <w:pPr>
        <w:spacing w:line="240" w:lineRule="auto"/>
        <w:jc w:val="center"/>
        <w:rPr>
          <w:rFonts w:cs="Times New Roman"/>
          <w:b/>
          <w:kern w:val="0"/>
          <w:sz w:val="32"/>
          <w:szCs w:val="20"/>
        </w:rPr>
      </w:pPr>
      <w:r>
        <w:rPr>
          <w:rFonts w:hint="eastAsia" w:cs="Times New Roman"/>
          <w:b/>
          <w:kern w:val="0"/>
          <w:sz w:val="32"/>
          <w:szCs w:val="20"/>
        </w:rPr>
        <w:t>项目组成员：兴长策 陈国伟 朱博 温宇</w:t>
      </w:r>
    </w:p>
    <w:p>
      <w:pPr>
        <w:jc w:val="center"/>
        <w:rPr>
          <w:rFonts w:ascii="宋体" w:hAnsi="宋体"/>
          <w:sz w:val="48"/>
          <w:szCs w:val="48"/>
        </w:rPr>
      </w:pPr>
    </w:p>
    <w:p>
      <w:pPr>
        <w:spacing w:before="389" w:beforeLines="100" w:after="389" w:afterLines="100"/>
        <w:jc w:val="both"/>
        <w:rPr>
          <w:rFonts w:hint="eastAsia"/>
          <w:b/>
          <w:sz w:val="30"/>
          <w:szCs w:val="30"/>
        </w:rPr>
      </w:pPr>
    </w:p>
    <w:p>
      <w:pPr>
        <w:spacing w:before="389" w:beforeLines="100" w:after="389" w:afterLines="100"/>
        <w:jc w:val="both"/>
        <w:rPr>
          <w:rFonts w:hint="eastAsia"/>
          <w:b/>
          <w:sz w:val="30"/>
          <w:szCs w:val="30"/>
        </w:rPr>
      </w:pPr>
    </w:p>
    <w:p>
      <w:pPr>
        <w:spacing w:before="389" w:beforeLines="100" w:after="389" w:afterLines="100"/>
        <w:jc w:val="center"/>
        <w:rPr>
          <w:b/>
          <w:sz w:val="30"/>
          <w:szCs w:val="30"/>
        </w:rPr>
      </w:pPr>
      <w:r>
        <w:rPr>
          <w:rFonts w:hint="eastAsia"/>
          <w:b/>
          <w:sz w:val="30"/>
          <w:szCs w:val="30"/>
        </w:rPr>
        <w:t>前  言</w:t>
      </w:r>
    </w:p>
    <w:p>
      <w:pPr>
        <w:rPr>
          <w:rFonts w:cs="Times New Roman"/>
          <w:szCs w:val="28"/>
        </w:rPr>
      </w:pPr>
      <w:r>
        <w:rPr>
          <w:rFonts w:hint="eastAsia" w:ascii="宋体" w:hAnsi="宋体"/>
          <w:szCs w:val="28"/>
        </w:rPr>
        <w:t xml:space="preserve">    </w:t>
      </w:r>
      <w:r>
        <w:rPr>
          <w:rFonts w:cs="Times New Roman"/>
          <w:szCs w:val="28"/>
        </w:rPr>
        <w:t>农村生活污水治理是改善农村人居环境的重点和难点问题，是加强农村水环境治理的重要方面，也是提升乡村基本公共服务水平、建设美丽乡村、推进城乡发展一体化的重要内容。实现农村生活污水有效治理在推进生态文明建设和农民生活方式现代化中具有标志性意义，也是实现</w:t>
      </w:r>
      <w:r>
        <w:rPr>
          <w:rFonts w:hint="eastAsia" w:cs="Times New Roman"/>
          <w:szCs w:val="28"/>
          <w:lang w:val="en-US" w:eastAsia="zh-CN"/>
        </w:rPr>
        <w:t>全面</w:t>
      </w:r>
      <w:r>
        <w:rPr>
          <w:rFonts w:cs="Times New Roman"/>
          <w:szCs w:val="28"/>
        </w:rPr>
        <w:t>建成小康社会的重要里程碑。</w:t>
      </w:r>
    </w:p>
    <w:p>
      <w:pPr>
        <w:rPr>
          <w:rFonts w:cs="Times New Roman"/>
          <w:szCs w:val="28"/>
        </w:rPr>
      </w:pPr>
      <w:r>
        <w:rPr>
          <w:rFonts w:cs="Times New Roman"/>
          <w:szCs w:val="28"/>
        </w:rPr>
        <w:t xml:space="preserve">    目前，我国农村水污染物排放量维持高位，占全国水污染物排放量超过50%。前瞻产业研究院发布的《2017-2022年中国农村污水处理行业发展前景预测与投资战略规划分析报告》显示：2016年我国农村污水排放量达到202万吨，2010~2016年复合增速超过10%，预测到2020年可达到接近300万吨。由此可见，农村污水排放体量着实惊人。</w:t>
      </w:r>
    </w:p>
    <w:p>
      <w:pPr>
        <w:ind w:firstLine="570"/>
        <w:rPr>
          <w:rFonts w:cs="Times New Roman"/>
          <w:szCs w:val="28"/>
        </w:rPr>
      </w:pPr>
      <w:r>
        <w:rPr>
          <w:rFonts w:cs="Times New Roman"/>
          <w:szCs w:val="28"/>
        </w:rPr>
        <w:t>2018年9月29日，生态环境部、住房和城乡建设部印发了《关于加快制定地方农村生活污水处理排放标准的通知》，标志着国家有了农村生活污水处理排放要求，对指导推动各地加快制定农村生活污水处理排放标准，突破当前农村污水治理的瓶颈，具有划时代、里程碑、历史性的意义。</w:t>
      </w:r>
    </w:p>
    <w:p>
      <w:pPr>
        <w:ind w:firstLine="570"/>
        <w:rPr>
          <w:rFonts w:cs="Times New Roman"/>
          <w:szCs w:val="28"/>
        </w:rPr>
      </w:pPr>
      <w:r>
        <w:rPr>
          <w:rFonts w:cs="Times New Roman"/>
          <w:szCs w:val="28"/>
        </w:rPr>
        <w:t>2018年统计显示辽宁省8.4%的村</w:t>
      </w:r>
      <w:r>
        <w:rPr>
          <w:rFonts w:hint="eastAsia" w:cs="Times New Roman"/>
          <w:szCs w:val="28"/>
          <w:lang w:val="en-US" w:eastAsia="zh-CN"/>
        </w:rPr>
        <w:t>屯</w:t>
      </w:r>
      <w:r>
        <w:rPr>
          <w:rFonts w:cs="Times New Roman"/>
          <w:szCs w:val="28"/>
        </w:rPr>
        <w:t>实现了生活污水集中处理或部分集中处理。辽宁省农村人居环境整治三年行动实施方案</w:t>
      </w:r>
      <w:r>
        <w:rPr>
          <w:rFonts w:hint="eastAsia" w:cs="Times New Roman"/>
          <w:szCs w:val="28"/>
        </w:rPr>
        <w:t>（</w:t>
      </w:r>
      <w:r>
        <w:rPr>
          <w:rFonts w:cs="Times New Roman"/>
          <w:szCs w:val="28"/>
        </w:rPr>
        <w:t>2018</w:t>
      </w:r>
      <w:r>
        <w:rPr>
          <w:rFonts w:hint="eastAsia" w:cs="Times New Roman"/>
          <w:szCs w:val="28"/>
        </w:rPr>
        <w:t>—</w:t>
      </w:r>
      <w:r>
        <w:rPr>
          <w:rFonts w:cs="Times New Roman"/>
          <w:szCs w:val="28"/>
        </w:rPr>
        <w:t>2020</w:t>
      </w:r>
      <w:r>
        <w:rPr>
          <w:rFonts w:hint="eastAsia" w:cs="Times New Roman"/>
          <w:szCs w:val="28"/>
        </w:rPr>
        <w:t>）</w:t>
      </w:r>
      <w:r>
        <w:rPr>
          <w:rFonts w:cs="Times New Roman"/>
          <w:szCs w:val="28"/>
        </w:rPr>
        <w:t>年的要求，2020年，</w:t>
      </w:r>
      <w:r>
        <w:rPr>
          <w:rFonts w:hint="eastAsia" w:cs="Times New Roman"/>
          <w:szCs w:val="28"/>
        </w:rPr>
        <w:t>全省</w:t>
      </w:r>
      <w:r>
        <w:rPr>
          <w:rFonts w:cs="Times New Roman"/>
          <w:szCs w:val="28"/>
          <w:shd w:val="clear" w:color="auto" w:fill="FFFFFF"/>
        </w:rPr>
        <w:t>10%的行政村生活污水实现收集处理，重要饮用水水源地、水质需改善控制单元和重点旅游风景区周边村庄生活污水得到有效治理，</w:t>
      </w:r>
      <w:r>
        <w:rPr>
          <w:rFonts w:cs="Times New Roman"/>
          <w:szCs w:val="28"/>
        </w:rPr>
        <w:t>农村卫生厕所普及率达到85%左右。</w:t>
      </w:r>
    </w:p>
    <w:p>
      <w:pPr>
        <w:ind w:firstLine="573"/>
        <w:rPr>
          <w:rFonts w:cs="Times New Roman"/>
          <w:szCs w:val="28"/>
        </w:rPr>
      </w:pPr>
      <w:r>
        <w:rPr>
          <w:rFonts w:cs="Times New Roman"/>
          <w:szCs w:val="28"/>
        </w:rPr>
        <w:t>规划的编制可全面梳理、掌握县域现有农村生活污水治理设施的建设、使用和损毁情况，为</w:t>
      </w:r>
      <w:r>
        <w:rPr>
          <w:rFonts w:hint="eastAsia" w:cs="Times New Roman"/>
          <w:szCs w:val="28"/>
        </w:rPr>
        <w:t>凌源市</w:t>
      </w:r>
      <w:r>
        <w:rPr>
          <w:rFonts w:cs="Times New Roman"/>
          <w:szCs w:val="28"/>
        </w:rPr>
        <w:t>农村生活污水治理设施规范化建设、运维、整改提升提供依据。使凌源市农村生活污水治理工作取得更大的进步。</w:t>
      </w:r>
    </w:p>
    <w:p>
      <w:pPr>
        <w:rPr>
          <w:rFonts w:ascii="宋体" w:hAnsi="宋体"/>
          <w:color w:val="FF0000"/>
          <w:szCs w:val="28"/>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pStyle w:val="2"/>
        <w:spacing w:before="194" w:beforeLines="50" w:after="389"/>
        <w:rPr>
          <w:rFonts w:hint="eastAsia"/>
        </w:rPr>
      </w:pPr>
      <w:bookmarkStart w:id="0" w:name="_Toc19156_WPSOffice_Level1"/>
      <w:bookmarkStart w:id="1" w:name="_Toc43546601"/>
    </w:p>
    <w:p>
      <w:pPr>
        <w:pStyle w:val="2"/>
        <w:spacing w:before="194" w:beforeLines="50" w:after="389"/>
        <w:rPr>
          <w:rFonts w:hint="eastAsia"/>
        </w:rPr>
      </w:pPr>
    </w:p>
    <w:p>
      <w:pPr>
        <w:pStyle w:val="2"/>
        <w:spacing w:before="194" w:beforeLines="50" w:after="389"/>
      </w:pPr>
      <w:r>
        <w:rPr>
          <w:rFonts w:hint="eastAsia"/>
        </w:rPr>
        <w:t>第1章 规划</w:t>
      </w:r>
      <w:r>
        <w:t>总则</w:t>
      </w:r>
      <w:bookmarkEnd w:id="0"/>
      <w:bookmarkEnd w:id="1"/>
    </w:p>
    <w:p>
      <w:pPr>
        <w:pStyle w:val="3"/>
        <w:spacing w:before="194" w:after="194"/>
      </w:pPr>
      <w:bookmarkStart w:id="2" w:name="_Toc24412_WPSOffice_Level2"/>
      <w:bookmarkStart w:id="3" w:name="_Toc43546602"/>
      <w:r>
        <w:t>1.1 规划背景</w:t>
      </w:r>
      <w:bookmarkEnd w:id="2"/>
      <w:bookmarkEnd w:id="3"/>
    </w:p>
    <w:p>
      <w:r>
        <w:rPr>
          <w:rFonts w:hint="eastAsia"/>
        </w:rPr>
        <w:t xml:space="preserve">    </w:t>
      </w:r>
      <w:r>
        <w:t>开展村庄生活污水治理，是农村水环境治理及人居环境改善的重点和难点所在，对于提升乡村基本公共服务水平、建设美丽宜居乡村、转变农村居民生活方式、推进城乡发展一体化具有重要意义。</w:t>
      </w:r>
      <w:r>
        <w:rPr>
          <w:rFonts w:ascii="宋体" w:hAnsi="宋体"/>
        </w:rPr>
        <w:t>“</w:t>
      </w:r>
      <w:r>
        <w:t>十二五</w:t>
      </w:r>
      <w:r>
        <w:rPr>
          <w:rFonts w:ascii="宋体" w:hAnsi="宋体"/>
        </w:rPr>
        <w:t>”</w:t>
      </w:r>
      <w:r>
        <w:t>以来，党中央、国务院对村庄生活污水治理工作高度重视，国务院多次召开改善农村人居环境工作会议进行部署。同时颁布实施了一系列的政策法规推进农村生活污水治理工作</w:t>
      </w:r>
      <w:r>
        <w:rPr>
          <w:rFonts w:hint="eastAsia"/>
        </w:rPr>
        <w:t>。</w:t>
      </w:r>
    </w:p>
    <w:p>
      <w:pPr>
        <w:ind w:firstLine="570"/>
        <w:rPr>
          <w:rFonts w:cs="Times New Roman"/>
          <w:szCs w:val="28"/>
        </w:rPr>
      </w:pPr>
      <w:r>
        <w:rPr>
          <w:rFonts w:hint="eastAsia" w:cs="Times New Roman"/>
          <w:szCs w:val="28"/>
        </w:rPr>
        <w:t>为建设美丽乡村，加快农村环境综合整治，</w:t>
      </w:r>
      <w:r>
        <w:rPr>
          <w:rFonts w:cs="Times New Roman"/>
          <w:szCs w:val="28"/>
        </w:rPr>
        <w:t>2013年中央一号文件中，第一</w:t>
      </w:r>
      <w:r>
        <w:rPr>
          <w:rFonts w:hint="eastAsia" w:cs="Times New Roman"/>
          <w:szCs w:val="28"/>
        </w:rPr>
        <w:t>次提出了要建设“美丽乡村”的奋斗目标，进一步加强农村生态建设、环境保护和综合整治工作。</w:t>
      </w:r>
    </w:p>
    <w:p>
      <w:pPr>
        <w:ind w:firstLine="570"/>
        <w:rPr>
          <w:rFonts w:cs="Times New Roman"/>
          <w:szCs w:val="28"/>
        </w:rPr>
      </w:pPr>
      <w:r>
        <w:rPr>
          <w:rFonts w:cs="Times New Roman"/>
          <w:szCs w:val="28"/>
        </w:rPr>
        <w:t>2014年5月29日，《国务院办公厅关于改善农村人居环境的指导意见》（国</w:t>
      </w:r>
      <w:r>
        <w:rPr>
          <w:rFonts w:hint="eastAsia" w:cs="Times New Roman"/>
          <w:szCs w:val="28"/>
        </w:rPr>
        <w:t>办发〔</w:t>
      </w:r>
      <w:r>
        <w:rPr>
          <w:rFonts w:cs="Times New Roman"/>
          <w:szCs w:val="28"/>
        </w:rPr>
        <w:t>2014〕25号）指出，到2020年，全国农村居民住房、饮水和出行等基</w:t>
      </w:r>
      <w:r>
        <w:rPr>
          <w:rFonts w:hint="eastAsia" w:cs="Times New Roman"/>
          <w:szCs w:val="28"/>
        </w:rPr>
        <w:t>本生活条件明显改善，人居环境基本实现干净、整洁、便捷，建成一批各具特色的美丽宜居村庄。并应突出重点，即循序渐进改善农村人居环境，大力开展村庄水环境整治。加快农村水环境综合整治，重点治理村庄污水。推行县域污水治理的统一规划、统一建设、统一管理，有条件的地方推进城镇污水处理设施和服务向农村延伸。建立村庄河道保洁制度，推行垃圾就地分类减量和资源回收利用。深入开展城乡环境卫生整洁行动。离城镇较远且人口较多的村庄，可建设村级污水集中处理设施，人口较少的村庄可建设户用污水处理设施。</w:t>
      </w:r>
    </w:p>
    <w:p>
      <w:pPr>
        <w:ind w:firstLine="570"/>
        <w:rPr>
          <w:rFonts w:cs="Times New Roman"/>
          <w:szCs w:val="28"/>
        </w:rPr>
      </w:pPr>
      <w:r>
        <w:rPr>
          <w:rFonts w:cs="Times New Roman"/>
          <w:szCs w:val="28"/>
        </w:rPr>
        <w:t>2015年4月16日，国务院印发《水污染防治行动计划》，提出了2016</w:t>
      </w:r>
      <w:r>
        <w:rPr>
          <w:rFonts w:hint="eastAsia" w:cs="Times New Roman"/>
          <w:szCs w:val="28"/>
        </w:rPr>
        <w:t>~</w:t>
      </w:r>
      <w:r>
        <w:rPr>
          <w:rFonts w:cs="Times New Roman"/>
          <w:szCs w:val="28"/>
        </w:rPr>
        <w:t>2020</w:t>
      </w:r>
      <w:r>
        <w:rPr>
          <w:rFonts w:hint="eastAsia" w:cs="Times New Roman"/>
          <w:szCs w:val="28"/>
        </w:rPr>
        <w:t>年农村环境治理的明确目标，即“以县级行政区为单元，实行农村污水处理统一规划、统一建设、统一管理。深化“以奖促治”政策，实施农村清洁工程，开展河道清淤疏浚，推进农村环境连片整治”。同时，《关于加快推进生态文明建设的意见》提出“加快美丽乡村建设，加大农村污水处理力度。”以改善环境质量为导向，农村污水处理与“生态文明”、“美丽乡村”相结合将是未来的政策发展之路。</w:t>
      </w:r>
    </w:p>
    <w:p>
      <w:pPr>
        <w:ind w:firstLine="570"/>
        <w:rPr>
          <w:rFonts w:cs="Times New Roman"/>
          <w:szCs w:val="28"/>
        </w:rPr>
      </w:pPr>
      <w:r>
        <w:rPr>
          <w:rFonts w:cs="Times New Roman"/>
          <w:szCs w:val="28"/>
        </w:rPr>
        <w:t>2015年住建部提出</w:t>
      </w:r>
      <w:r>
        <w:rPr>
          <w:rFonts w:ascii="宋体" w:hAnsi="宋体" w:cs="Times New Roman"/>
          <w:szCs w:val="28"/>
        </w:rPr>
        <w:t>“</w:t>
      </w:r>
      <w:r>
        <w:rPr>
          <w:rFonts w:cs="Times New Roman"/>
          <w:szCs w:val="28"/>
        </w:rPr>
        <w:t>到2020年，使30%的村镇人口得到比较完善的公共</w:t>
      </w:r>
      <w:r>
        <w:rPr>
          <w:rFonts w:hint="eastAsia" w:cs="Times New Roman"/>
          <w:szCs w:val="28"/>
        </w:rPr>
        <w:t>排水服务，并使中国各重点保护区内的村镇污水污染问题得到全面有效的控制”；“从</w:t>
      </w:r>
      <w:r>
        <w:rPr>
          <w:rFonts w:cs="Times New Roman"/>
          <w:szCs w:val="28"/>
        </w:rPr>
        <w:t>2010年起用大约30年时间，在中国90%的村镇建立完善的排水和污</w:t>
      </w:r>
      <w:r>
        <w:rPr>
          <w:rFonts w:hint="eastAsia" w:cs="Times New Roman"/>
          <w:szCs w:val="28"/>
        </w:rPr>
        <w:t>水处理的设施与服务体系。”</w:t>
      </w:r>
    </w:p>
    <w:p>
      <w:pPr>
        <w:ind w:firstLine="570"/>
        <w:rPr>
          <w:rFonts w:cs="Times New Roman"/>
          <w:szCs w:val="28"/>
        </w:rPr>
      </w:pPr>
      <w:r>
        <w:rPr>
          <w:rFonts w:cs="Times New Roman"/>
          <w:szCs w:val="28"/>
        </w:rPr>
        <w:t>2016年12月，国务院发布的《</w:t>
      </w:r>
      <w:r>
        <w:rPr>
          <w:rFonts w:ascii="宋体" w:hAnsi="宋体" w:cs="Times New Roman"/>
          <w:szCs w:val="28"/>
        </w:rPr>
        <w:t>“</w:t>
      </w:r>
      <w:r>
        <w:rPr>
          <w:rFonts w:cs="Times New Roman"/>
          <w:szCs w:val="28"/>
        </w:rPr>
        <w:t>十三五</w:t>
      </w:r>
      <w:r>
        <w:rPr>
          <w:rFonts w:ascii="宋体" w:hAnsi="宋体" w:cs="Times New Roman"/>
          <w:szCs w:val="28"/>
        </w:rPr>
        <w:t>”</w:t>
      </w:r>
      <w:r>
        <w:rPr>
          <w:rFonts w:cs="Times New Roman"/>
          <w:szCs w:val="28"/>
        </w:rPr>
        <w:t>生态环境保护规划》指出，在</w:t>
      </w:r>
      <w:r>
        <w:rPr>
          <w:rFonts w:ascii="宋体" w:hAnsi="宋体" w:cs="Times New Roman"/>
          <w:szCs w:val="28"/>
        </w:rPr>
        <w:t>“</w:t>
      </w:r>
      <w:r>
        <w:rPr>
          <w:rFonts w:cs="Times New Roman"/>
          <w:szCs w:val="28"/>
        </w:rPr>
        <w:t>十</w:t>
      </w:r>
      <w:r>
        <w:rPr>
          <w:rFonts w:hint="eastAsia" w:cs="Times New Roman"/>
          <w:szCs w:val="28"/>
        </w:rPr>
        <w:t>三五”期间“推进</w:t>
      </w:r>
      <w:r>
        <w:rPr>
          <w:rFonts w:cs="Times New Roman"/>
          <w:szCs w:val="28"/>
        </w:rPr>
        <w:t>13万个行政村环境综合整治，实施农业废弃物资源化利用示</w:t>
      </w:r>
      <w:r>
        <w:rPr>
          <w:rFonts w:hint="eastAsia" w:cs="Times New Roman"/>
          <w:szCs w:val="28"/>
        </w:rPr>
        <w:t>范工程，建设污水垃圾收集处理利用设施，梯次推进农村生活污水治理”。</w:t>
      </w:r>
    </w:p>
    <w:p>
      <w:pPr>
        <w:ind w:firstLine="570"/>
        <w:rPr>
          <w:rFonts w:cs="Times New Roman"/>
          <w:szCs w:val="28"/>
        </w:rPr>
      </w:pPr>
      <w:r>
        <w:rPr>
          <w:rFonts w:cs="Times New Roman"/>
          <w:szCs w:val="28"/>
        </w:rPr>
        <w:t>2017年初，</w:t>
      </w:r>
      <w:r>
        <w:rPr>
          <w:rFonts w:hint="eastAsia" w:cs="Times New Roman"/>
          <w:szCs w:val="28"/>
          <w:lang w:val="en-US" w:eastAsia="zh-CN"/>
        </w:rPr>
        <w:t>生态环境部</w:t>
      </w:r>
      <w:r>
        <w:rPr>
          <w:rFonts w:cs="Times New Roman"/>
          <w:szCs w:val="28"/>
        </w:rPr>
        <w:t>、财政部印发《全国农村环境综合整治</w:t>
      </w:r>
      <w:r>
        <w:rPr>
          <w:rFonts w:ascii="宋体" w:hAnsi="宋体" w:cs="Times New Roman"/>
          <w:szCs w:val="28"/>
        </w:rPr>
        <w:t>“</w:t>
      </w:r>
      <w:r>
        <w:rPr>
          <w:rFonts w:cs="Times New Roman"/>
          <w:szCs w:val="28"/>
        </w:rPr>
        <w:t>十三五</w:t>
      </w:r>
      <w:r>
        <w:rPr>
          <w:rFonts w:ascii="宋体" w:hAnsi="宋体" w:cs="Times New Roman"/>
          <w:szCs w:val="28"/>
        </w:rPr>
        <w:t>”</w:t>
      </w:r>
      <w:r>
        <w:rPr>
          <w:rFonts w:cs="Times New Roman"/>
          <w:szCs w:val="28"/>
        </w:rPr>
        <w:t>规划》，</w:t>
      </w:r>
      <w:r>
        <w:rPr>
          <w:rFonts w:hint="eastAsia" w:cs="Times New Roman"/>
          <w:szCs w:val="28"/>
        </w:rPr>
        <w:t>酝酿已久的农村</w:t>
      </w:r>
      <w:r>
        <w:rPr>
          <w:rFonts w:hint="eastAsia" w:cs="Times New Roman"/>
          <w:szCs w:val="28"/>
          <w:lang w:val="en-US" w:eastAsia="zh-CN"/>
        </w:rPr>
        <w:t>污</w:t>
      </w:r>
      <w:r>
        <w:rPr>
          <w:rFonts w:hint="eastAsia" w:cs="Times New Roman"/>
          <w:szCs w:val="28"/>
        </w:rPr>
        <w:t>水处理市场正式拉开帷幕。按照量体裁衣的模式，该顶层设计明确提出，未来</w:t>
      </w:r>
      <w:r>
        <w:rPr>
          <w:rFonts w:cs="Times New Roman"/>
          <w:szCs w:val="28"/>
        </w:rPr>
        <w:t>4年内，超过10万个建制村将完成环境综合整治，并占到全国</w:t>
      </w:r>
      <w:r>
        <w:rPr>
          <w:rFonts w:hint="eastAsia" w:cs="Times New Roman"/>
          <w:szCs w:val="28"/>
        </w:rPr>
        <w:t>建制村总数的三分之一。</w:t>
      </w:r>
    </w:p>
    <w:p>
      <w:pPr>
        <w:ind w:firstLine="560" w:firstLineChars="200"/>
        <w:rPr>
          <w:rFonts w:cs="Times New Roman"/>
          <w:szCs w:val="28"/>
        </w:rPr>
      </w:pPr>
      <w:r>
        <w:rPr>
          <w:rFonts w:cs="Times New Roman"/>
          <w:szCs w:val="28"/>
        </w:rPr>
        <w:t>2018年2月，中共中央办公厅、国务院办公厅印发了《农村人居环境整治三年行动方案》</w:t>
      </w:r>
      <w:r>
        <w:rPr>
          <w:rFonts w:hint="eastAsia" w:cs="Times New Roman"/>
          <w:szCs w:val="28"/>
        </w:rPr>
        <w:t>，</w:t>
      </w:r>
      <w:r>
        <w:rPr>
          <w:rFonts w:cs="Times New Roman"/>
          <w:szCs w:val="28"/>
        </w:rPr>
        <w:t>2018年11月，生态环境部、农业农村部联合印发了《农业农村污染治理攻坚战行动计划》</w:t>
      </w:r>
      <w:r>
        <w:rPr>
          <w:rFonts w:hint="eastAsia" w:cs="Times New Roman"/>
          <w:szCs w:val="28"/>
        </w:rPr>
        <w:t>，</w:t>
      </w:r>
      <w:r>
        <w:rPr>
          <w:rFonts w:cs="Times New Roman"/>
          <w:szCs w:val="28"/>
        </w:rPr>
        <w:t>2019年7月，中央农办、农业农村部、生态环境部、住房</w:t>
      </w:r>
      <w:r>
        <w:rPr>
          <w:rFonts w:hint="eastAsia" w:cs="Times New Roman"/>
          <w:szCs w:val="28"/>
          <w:lang w:val="en-US" w:eastAsia="zh-CN"/>
        </w:rPr>
        <w:t>和</w:t>
      </w:r>
      <w:r>
        <w:rPr>
          <w:rFonts w:cs="Times New Roman"/>
          <w:szCs w:val="28"/>
        </w:rPr>
        <w:t>城乡建设部、水利部、科技部、国家发展改革委、财政部、银保监会等九部门联合印发了《关于推进农村生活污水治理的指导意见》等。地方为落实国家层面的相关文件及任务，均开展了不同程度的农村生活污水治理工作。</w:t>
      </w:r>
    </w:p>
    <w:p>
      <w:pPr>
        <w:ind w:firstLine="560" w:firstLineChars="200"/>
        <w:rPr>
          <w:rFonts w:cs="Times New Roman"/>
          <w:szCs w:val="28"/>
        </w:rPr>
      </w:pPr>
      <w:r>
        <w:rPr>
          <w:rFonts w:cs="Times New Roman"/>
          <w:szCs w:val="28"/>
        </w:rPr>
        <w:t>《辽宁省城乡环境卫生整洁行动方案（2015—2020年）》制定了结合社会主义新农村、美丽乡村建设、宜居乡村建设、农村社区建设试点工作和卫生城镇创建活动，以完善城乡环境卫生基础设施和长效管理机制为主要内容，以城市环境卫生薄弱地段和农村垃圾污水处理、农村卫生厕所建设为重点，持续深入开展整洁行动，统筹治理城乡环境卫生问题，实现环境卫生基础设施水平全面提升，大气污染、地表水环境污染和噪声污染综合治理取得明显成效，城乡生产生活环境更加整洁有序、健康宜居。</w:t>
      </w:r>
    </w:p>
    <w:p>
      <w:pPr>
        <w:ind w:firstLine="560" w:firstLineChars="200"/>
        <w:rPr>
          <w:b/>
        </w:rPr>
      </w:pPr>
      <w:bookmarkStart w:id="4" w:name="_Toc38373944"/>
      <w:r>
        <w:rPr>
          <w:color w:val="191919"/>
        </w:rPr>
        <w:t>《辽宁省农村人居环境整治三年行动实施方案(2018</w:t>
      </w:r>
      <w:r>
        <w:rPr>
          <w:rFonts w:hint="eastAsia"/>
          <w:color w:val="191919"/>
        </w:rPr>
        <w:t>—</w:t>
      </w:r>
      <w:r>
        <w:rPr>
          <w:color w:val="191919"/>
        </w:rPr>
        <w:t>2020年)》中明确提出2020年工作目标：</w:t>
      </w:r>
      <w:r>
        <w:t>农村生活垃圾处置体系基本实现全覆盖，非正规垃圾堆放点集中整治基本完成，力争实现90%左右的村庄生活垃圾得到治理，新建生活污水集中收集处理系统150套，全省10%的行政村生活污水实现收集处理，重要饮用水水源地、水质需改善控制单元和重点旅游风景区周边村庄生活污水得到有效治理。现有畜禽规模养殖场粪污处理设施装备配套率达到95%以上，村屯基本实现</w:t>
      </w:r>
      <w:r>
        <w:rPr>
          <w:rFonts w:hint="eastAsia"/>
        </w:rPr>
        <w:t>“</w:t>
      </w:r>
      <w:r>
        <w:t>人畜分离</w:t>
      </w:r>
      <w:r>
        <w:rPr>
          <w:rFonts w:hint="eastAsia"/>
        </w:rPr>
        <w:t>”</w:t>
      </w:r>
      <w:r>
        <w:t>。农村卫生厕所普及率达到85%左右，省级及以上卫生县城</w:t>
      </w:r>
      <w:r>
        <w:rPr>
          <w:rFonts w:hint="eastAsia"/>
        </w:rPr>
        <w:t>（</w:t>
      </w:r>
      <w:r>
        <w:t>乡镇</w:t>
      </w:r>
      <w:r>
        <w:rPr>
          <w:rFonts w:hint="eastAsia"/>
        </w:rPr>
        <w:t>）</w:t>
      </w:r>
      <w:r>
        <w:t>比例达到5%。</w:t>
      </w:r>
      <w:bookmarkEnd w:id="4"/>
    </w:p>
    <w:p>
      <w:pPr>
        <w:ind w:firstLine="560" w:firstLineChars="200"/>
        <w:rPr>
          <w:b/>
        </w:rPr>
      </w:pPr>
      <w:bookmarkStart w:id="5" w:name="_Toc38373945"/>
      <w:r>
        <w:t>根据《县域农村生活污水治理专项规划编制指南（试行）》（环办土壤函</w:t>
      </w:r>
      <w:r>
        <w:rPr>
          <w:rFonts w:hint="eastAsia"/>
        </w:rPr>
        <w:t>〔</w:t>
      </w:r>
      <w:r>
        <w:t>2019〕756号），凌源市以此为契机，紧紧围绕</w:t>
      </w:r>
      <w:r>
        <w:rPr>
          <w:rFonts w:hint="eastAsia"/>
        </w:rPr>
        <w:t>“</w:t>
      </w:r>
      <w:r>
        <w:t>削减污染物排放，保护农村水环境，改善农村人居环境</w:t>
      </w:r>
      <w:r>
        <w:rPr>
          <w:rFonts w:hint="eastAsia"/>
        </w:rPr>
        <w:t>”</w:t>
      </w:r>
      <w:r>
        <w:t>和确保农村生活污水治理设施正常运行、持续发挥功效的基本目标，通过现场调研、实地考察、取样分析、广泛收集资料和充分征求各方意见的基础上，特编制《凌源市农村生活污水治理专项规划》</w:t>
      </w:r>
      <w:r>
        <w:rPr>
          <w:rFonts w:hint="eastAsia"/>
        </w:rPr>
        <w:t>（202</w:t>
      </w:r>
      <w:r>
        <w:t>1—2025</w:t>
      </w:r>
      <w:r>
        <w:rPr>
          <w:rFonts w:hint="eastAsia"/>
        </w:rPr>
        <w:t>年）</w:t>
      </w:r>
      <w:r>
        <w:t>。</w:t>
      </w:r>
      <w:bookmarkEnd w:id="5"/>
    </w:p>
    <w:p>
      <w:pPr>
        <w:pStyle w:val="3"/>
        <w:spacing w:before="194" w:after="194"/>
      </w:pPr>
      <w:bookmarkStart w:id="6" w:name="_Toc5052_WPSOffice_Level2"/>
      <w:bookmarkStart w:id="7" w:name="_Toc43546603"/>
      <w:r>
        <w:t>1.2 指导思想</w:t>
      </w:r>
      <w:bookmarkEnd w:id="6"/>
      <w:bookmarkEnd w:id="7"/>
    </w:p>
    <w:p>
      <w:pPr>
        <w:ind w:firstLine="560" w:firstLineChars="200"/>
        <w:rPr>
          <w:rFonts w:cs="Times New Roman"/>
          <w:bCs/>
          <w:kern w:val="36"/>
          <w:szCs w:val="28"/>
        </w:rPr>
      </w:pPr>
      <w:r>
        <w:rPr>
          <w:rFonts w:hint="eastAsia" w:cs="Times New Roman"/>
          <w:bCs/>
          <w:kern w:val="36"/>
          <w:szCs w:val="28"/>
        </w:rPr>
        <w:t>贯彻落实党的十九大和省十四次党代会精神和“绿水青山就是金山银山”理念，结合凌源市的实际情况和发展目标，紧紧围绕“削减污染物排放、改善农村水环境”和确保农村生活污水治理设施正常运行、持续发挥功效的基本目标，为建立生态宜居农村和高水平小康社会提供保障。</w:t>
      </w:r>
    </w:p>
    <w:p>
      <w:pPr>
        <w:pStyle w:val="3"/>
        <w:spacing w:before="194" w:after="194"/>
      </w:pPr>
      <w:bookmarkStart w:id="8" w:name="_Toc28338_WPSOffice_Level2"/>
      <w:bookmarkStart w:id="9" w:name="_Toc43546604"/>
      <w:r>
        <w:t>1.3 编制依据</w:t>
      </w:r>
      <w:bookmarkEnd w:id="8"/>
      <w:bookmarkEnd w:id="9"/>
    </w:p>
    <w:p>
      <w:pPr>
        <w:pStyle w:val="4"/>
        <w:spacing w:before="194" w:after="194"/>
      </w:pPr>
      <w:bookmarkStart w:id="10" w:name="_Toc43546605"/>
      <w:bookmarkStart w:id="11" w:name="_Toc24412_WPSOffice_Level3"/>
      <w:r>
        <w:rPr>
          <w:rFonts w:hint="eastAsia"/>
        </w:rPr>
        <w:t>1.3.1 法律法规</w:t>
      </w:r>
      <w:bookmarkEnd w:id="10"/>
      <w:bookmarkEnd w:id="11"/>
    </w:p>
    <w:p>
      <w:pPr>
        <w:rPr>
          <w:rFonts w:cs="Times New Roman"/>
        </w:rPr>
      </w:pPr>
      <w:r>
        <w:rPr>
          <w:rFonts w:cs="Times New Roman"/>
        </w:rPr>
        <w:t>（1）《中华人民共和国城乡规划法》（2019 年修正）</w:t>
      </w:r>
    </w:p>
    <w:p>
      <w:pPr>
        <w:rPr>
          <w:rFonts w:cs="Times New Roman"/>
        </w:rPr>
      </w:pPr>
      <w:r>
        <w:rPr>
          <w:rFonts w:cs="Times New Roman"/>
        </w:rPr>
        <w:t>（2）《中华人民共和国水法》（2016 年修订）</w:t>
      </w:r>
    </w:p>
    <w:p>
      <w:pPr>
        <w:rPr>
          <w:rFonts w:cs="Times New Roman"/>
        </w:rPr>
      </w:pPr>
      <w:r>
        <w:rPr>
          <w:rFonts w:cs="Times New Roman"/>
        </w:rPr>
        <w:t>（3）《中华人民共和国水污染防治法》（2017 年修正）</w:t>
      </w:r>
    </w:p>
    <w:p>
      <w:pPr>
        <w:rPr>
          <w:rFonts w:cs="Times New Roman"/>
        </w:rPr>
      </w:pPr>
      <w:r>
        <w:rPr>
          <w:rFonts w:cs="Times New Roman"/>
        </w:rPr>
        <w:t>（4）《中华人民共和国环境保护法》（2014 年修订）</w:t>
      </w:r>
    </w:p>
    <w:p>
      <w:pPr>
        <w:rPr>
          <w:rFonts w:cs="Times New Roman"/>
        </w:rPr>
      </w:pPr>
      <w:r>
        <w:rPr>
          <w:rFonts w:cs="Times New Roman"/>
        </w:rPr>
        <w:t>（5）《城市规划编制办法》（建设部令第 146 号）</w:t>
      </w:r>
    </w:p>
    <w:p>
      <w:pPr>
        <w:rPr>
          <w:rFonts w:cs="Times New Roman"/>
        </w:rPr>
      </w:pPr>
      <w:r>
        <w:rPr>
          <w:rFonts w:hint="eastAsia" w:cs="Times New Roman"/>
        </w:rPr>
        <w:t>（6）《城市</w:t>
      </w:r>
      <w:r>
        <w:rPr>
          <w:rFonts w:cs="Times New Roman"/>
        </w:rPr>
        <w:t>供水条例</w:t>
      </w:r>
      <w:r>
        <w:rPr>
          <w:rFonts w:hint="eastAsia" w:cs="Times New Roman"/>
        </w:rPr>
        <w:t>》（2018年3月</w:t>
      </w:r>
      <w:r>
        <w:rPr>
          <w:rFonts w:cs="Times New Roman"/>
        </w:rPr>
        <w:t>修正</w:t>
      </w:r>
      <w:r>
        <w:rPr>
          <w:rFonts w:hint="eastAsia" w:cs="Times New Roman"/>
        </w:rPr>
        <w:t>）</w:t>
      </w:r>
    </w:p>
    <w:p>
      <w:pPr>
        <w:rPr>
          <w:rFonts w:cs="Times New Roman"/>
        </w:rPr>
      </w:pPr>
      <w:r>
        <w:rPr>
          <w:rFonts w:hint="eastAsia" w:cs="Times New Roman"/>
        </w:rPr>
        <w:t>（7）《中华人民</w:t>
      </w:r>
      <w:r>
        <w:rPr>
          <w:rFonts w:cs="Times New Roman"/>
        </w:rPr>
        <w:t>共和国城乡规划法</w:t>
      </w:r>
      <w:r>
        <w:rPr>
          <w:rFonts w:hint="eastAsia" w:cs="Times New Roman"/>
        </w:rPr>
        <w:t>》（201</w:t>
      </w:r>
      <w:r>
        <w:rPr>
          <w:rFonts w:cs="Times New Roman"/>
        </w:rPr>
        <w:t>9</w:t>
      </w:r>
      <w:r>
        <w:rPr>
          <w:rFonts w:hint="eastAsia" w:cs="Times New Roman"/>
        </w:rPr>
        <w:t>年</w:t>
      </w:r>
      <w:r>
        <w:rPr>
          <w:rFonts w:cs="Times New Roman"/>
        </w:rPr>
        <w:t>4</w:t>
      </w:r>
      <w:r>
        <w:rPr>
          <w:rFonts w:hint="eastAsia" w:cs="Times New Roman"/>
        </w:rPr>
        <w:t>月修正）</w:t>
      </w:r>
    </w:p>
    <w:p>
      <w:pPr>
        <w:rPr>
          <w:rFonts w:cs="Times New Roman"/>
        </w:rPr>
      </w:pPr>
      <w:r>
        <w:rPr>
          <w:rFonts w:hint="eastAsia" w:cs="Times New Roman"/>
        </w:rPr>
        <w:t>（8）《饮用水源</w:t>
      </w:r>
      <w:r>
        <w:rPr>
          <w:rFonts w:cs="Times New Roman"/>
        </w:rPr>
        <w:t>保护区污染防治管理条例</w:t>
      </w:r>
      <w:r>
        <w:rPr>
          <w:rFonts w:hint="eastAsia" w:cs="Times New Roman"/>
        </w:rPr>
        <w:t>》（20</w:t>
      </w:r>
      <w:r>
        <w:rPr>
          <w:rFonts w:cs="Times New Roman"/>
        </w:rPr>
        <w:t>10</w:t>
      </w:r>
      <w:r>
        <w:rPr>
          <w:rFonts w:hint="eastAsia" w:cs="Times New Roman"/>
        </w:rPr>
        <w:t>年</w:t>
      </w:r>
      <w:r>
        <w:rPr>
          <w:rFonts w:cs="Times New Roman"/>
        </w:rPr>
        <w:t>12</w:t>
      </w:r>
      <w:r>
        <w:rPr>
          <w:rFonts w:hint="eastAsia" w:cs="Times New Roman"/>
        </w:rPr>
        <w:t>月修正）</w:t>
      </w:r>
    </w:p>
    <w:p>
      <w:pPr>
        <w:rPr>
          <w:rFonts w:cs="Times New Roman"/>
        </w:rPr>
      </w:pPr>
      <w:r>
        <w:rPr>
          <w:rFonts w:hint="eastAsia" w:cs="Times New Roman"/>
        </w:rPr>
        <w:t>（9）《中华人民</w:t>
      </w:r>
      <w:r>
        <w:rPr>
          <w:rFonts w:cs="Times New Roman"/>
        </w:rPr>
        <w:t>共和国固体废物污染环境防治法</w:t>
      </w:r>
      <w:r>
        <w:rPr>
          <w:rFonts w:hint="eastAsia" w:cs="Times New Roman"/>
        </w:rPr>
        <w:t>》（2020年4月29日</w:t>
      </w:r>
      <w:r>
        <w:rPr>
          <w:rFonts w:cs="Times New Roman"/>
        </w:rPr>
        <w:t>修正</w:t>
      </w:r>
      <w:r>
        <w:rPr>
          <w:rFonts w:hint="eastAsia" w:cs="Times New Roman"/>
        </w:rPr>
        <w:t>）</w:t>
      </w:r>
    </w:p>
    <w:p>
      <w:pPr>
        <w:pStyle w:val="4"/>
        <w:spacing w:before="194" w:after="194"/>
      </w:pPr>
      <w:bookmarkStart w:id="12" w:name="_Toc43546606"/>
      <w:bookmarkStart w:id="13" w:name="_Toc5052_WPSOffice_Level3"/>
      <w:r>
        <w:rPr>
          <w:rFonts w:hint="eastAsia"/>
        </w:rPr>
        <w:t>1.3.2 规范</w:t>
      </w:r>
      <w:r>
        <w:t>和标准</w:t>
      </w:r>
      <w:bookmarkEnd w:id="12"/>
      <w:bookmarkEnd w:id="13"/>
    </w:p>
    <w:p>
      <w:r>
        <w:rPr>
          <w:rFonts w:hint="eastAsia"/>
        </w:rPr>
        <w:t>（</w:t>
      </w:r>
      <w:r>
        <w:t>1）《地表水环境质量标准》（GB3838-2002）</w:t>
      </w:r>
    </w:p>
    <w:p>
      <w:r>
        <w:rPr>
          <w:rFonts w:hint="eastAsia"/>
        </w:rPr>
        <w:t>（</w:t>
      </w:r>
      <w:r>
        <w:t>2）《城市给水工程规划规范》（GB50282-2016）</w:t>
      </w:r>
    </w:p>
    <w:p>
      <w:r>
        <w:rPr>
          <w:rFonts w:hint="eastAsia"/>
        </w:rPr>
        <w:t>（</w:t>
      </w:r>
      <w:r>
        <w:t>3）《城市排水工程规范》（GB50318-2017）</w:t>
      </w:r>
    </w:p>
    <w:p>
      <w:r>
        <w:rPr>
          <w:rFonts w:hint="eastAsia"/>
        </w:rPr>
        <w:t>（</w:t>
      </w:r>
      <w:r>
        <w:t>4）《城市水系规划规范》（GB50513-2009）</w:t>
      </w:r>
    </w:p>
    <w:p>
      <w:r>
        <w:rPr>
          <w:rFonts w:hint="eastAsia"/>
        </w:rPr>
        <w:t>（</w:t>
      </w:r>
      <w:r>
        <w:t>5）《室外排水设计规范》（GB50014-2006）</w:t>
      </w:r>
    </w:p>
    <w:p>
      <w:r>
        <w:rPr>
          <w:rFonts w:hint="eastAsia"/>
        </w:rPr>
        <w:t>（</w:t>
      </w:r>
      <w:r>
        <w:t>6）《室外给水设计规范》（GB50013-2006）</w:t>
      </w:r>
    </w:p>
    <w:p>
      <w:r>
        <w:rPr>
          <w:rFonts w:hint="eastAsia"/>
        </w:rPr>
        <w:t>（</w:t>
      </w:r>
      <w:r>
        <w:t>7）《污水综合排放标准》（GB8978-2002）</w:t>
      </w:r>
    </w:p>
    <w:p>
      <w:r>
        <w:rPr>
          <w:rFonts w:hint="eastAsia"/>
        </w:rPr>
        <w:t>（</w:t>
      </w:r>
      <w:r>
        <w:t>8）《城镇污水处理厂污染物排放标准》（GB18918-2002）</w:t>
      </w:r>
    </w:p>
    <w:p>
      <w:r>
        <w:rPr>
          <w:rFonts w:hint="eastAsia"/>
        </w:rPr>
        <w:t>（</w:t>
      </w:r>
      <w:r>
        <w:t>9）《城镇污水处理厂主要水污染物排放标准》（DB33/2169-2018）</w:t>
      </w:r>
    </w:p>
    <w:p>
      <w:r>
        <w:rPr>
          <w:rFonts w:hint="eastAsia"/>
        </w:rPr>
        <w:t>（</w:t>
      </w:r>
      <w:r>
        <w:t>10）《污水排入城市下水道水质标准》（CJ343-2010）</w:t>
      </w:r>
    </w:p>
    <w:p>
      <w:pPr>
        <w:rPr>
          <w:rFonts w:cs="Times New Roman"/>
          <w:szCs w:val="28"/>
        </w:rPr>
      </w:pPr>
      <w:r>
        <w:rPr>
          <w:rFonts w:hint="eastAsia" w:cs="Times New Roman"/>
          <w:szCs w:val="28"/>
        </w:rPr>
        <w:t>（</w:t>
      </w:r>
      <w:r>
        <w:rPr>
          <w:rFonts w:cs="Times New Roman"/>
          <w:szCs w:val="28"/>
        </w:rPr>
        <w:t>11）</w:t>
      </w:r>
      <w:r>
        <w:rPr>
          <w:rFonts w:hint="eastAsia" w:cs="Times New Roman"/>
          <w:szCs w:val="28"/>
        </w:rPr>
        <w:t>《</w:t>
      </w:r>
      <w:r>
        <w:rPr>
          <w:rFonts w:cs="Times New Roman"/>
          <w:szCs w:val="28"/>
        </w:rPr>
        <w:t>海水水质标准</w:t>
      </w:r>
      <w:r>
        <w:rPr>
          <w:rFonts w:hint="eastAsia" w:cs="Times New Roman"/>
          <w:szCs w:val="28"/>
        </w:rPr>
        <w:t>》（</w:t>
      </w:r>
      <w:r>
        <w:rPr>
          <w:rFonts w:cs="Times New Roman"/>
          <w:szCs w:val="28"/>
        </w:rPr>
        <w:t>GB 3097-1997</w:t>
      </w:r>
      <w:r>
        <w:rPr>
          <w:rFonts w:hint="eastAsia" w:cs="Times New Roman"/>
          <w:szCs w:val="28"/>
        </w:rPr>
        <w:t>）</w:t>
      </w:r>
    </w:p>
    <w:p>
      <w:pPr>
        <w:rPr>
          <w:rFonts w:cs="Times New Roman"/>
          <w:szCs w:val="28"/>
        </w:rPr>
      </w:pPr>
      <w:r>
        <w:rPr>
          <w:rFonts w:hint="eastAsia" w:cs="Times New Roman"/>
          <w:szCs w:val="28"/>
        </w:rPr>
        <w:t>（</w:t>
      </w:r>
      <w:r>
        <w:rPr>
          <w:rFonts w:cs="Times New Roman"/>
          <w:szCs w:val="28"/>
        </w:rPr>
        <w:t>12）</w:t>
      </w:r>
      <w:r>
        <w:rPr>
          <w:rFonts w:hint="eastAsia" w:cs="Times New Roman"/>
          <w:szCs w:val="28"/>
        </w:rPr>
        <w:t>《</w:t>
      </w:r>
      <w:r>
        <w:rPr>
          <w:rFonts w:cs="Times New Roman"/>
          <w:szCs w:val="28"/>
        </w:rPr>
        <w:t>农用污泥污染物控制标准</w:t>
      </w:r>
      <w:r>
        <w:rPr>
          <w:rFonts w:hint="eastAsia" w:cs="Times New Roman"/>
          <w:szCs w:val="28"/>
        </w:rPr>
        <w:t>》（</w:t>
      </w:r>
      <w:r>
        <w:rPr>
          <w:rFonts w:cs="Times New Roman"/>
          <w:szCs w:val="28"/>
        </w:rPr>
        <w:t>GB 4284-2018</w:t>
      </w:r>
      <w:r>
        <w:rPr>
          <w:rFonts w:hint="eastAsia" w:cs="Times New Roman"/>
          <w:szCs w:val="28"/>
        </w:rPr>
        <w:t>）</w:t>
      </w:r>
    </w:p>
    <w:p>
      <w:pPr>
        <w:rPr>
          <w:rFonts w:cs="Times New Roman"/>
          <w:szCs w:val="28"/>
        </w:rPr>
      </w:pPr>
      <w:r>
        <w:rPr>
          <w:rFonts w:hint="eastAsia" w:cs="Times New Roman"/>
          <w:szCs w:val="28"/>
        </w:rPr>
        <w:t>（</w:t>
      </w:r>
      <w:r>
        <w:rPr>
          <w:rFonts w:cs="Times New Roman"/>
          <w:szCs w:val="28"/>
        </w:rPr>
        <w:t>13）</w:t>
      </w:r>
      <w:r>
        <w:rPr>
          <w:rFonts w:hint="eastAsia" w:cs="Times New Roman"/>
          <w:szCs w:val="28"/>
        </w:rPr>
        <w:t>《</w:t>
      </w:r>
      <w:r>
        <w:rPr>
          <w:rFonts w:cs="Times New Roman"/>
          <w:szCs w:val="28"/>
        </w:rPr>
        <w:t>农田灌溉水质标准</w:t>
      </w:r>
      <w:r>
        <w:rPr>
          <w:rFonts w:hint="eastAsia" w:cs="Times New Roman"/>
          <w:szCs w:val="28"/>
        </w:rPr>
        <w:t>》（</w:t>
      </w:r>
      <w:r>
        <w:rPr>
          <w:rFonts w:cs="Times New Roman"/>
          <w:szCs w:val="28"/>
        </w:rPr>
        <w:t>GB 5084-2005</w:t>
      </w:r>
      <w:r>
        <w:rPr>
          <w:rFonts w:hint="eastAsia" w:cs="Times New Roman"/>
          <w:szCs w:val="28"/>
        </w:rPr>
        <w:t>）</w:t>
      </w:r>
    </w:p>
    <w:p>
      <w:pPr>
        <w:rPr>
          <w:rFonts w:cs="Times New Roman"/>
          <w:szCs w:val="28"/>
        </w:rPr>
      </w:pPr>
      <w:r>
        <w:rPr>
          <w:rFonts w:hint="eastAsia" w:cs="Times New Roman"/>
          <w:szCs w:val="28"/>
        </w:rPr>
        <w:t>（</w:t>
      </w:r>
      <w:r>
        <w:rPr>
          <w:rFonts w:cs="Times New Roman"/>
          <w:szCs w:val="28"/>
        </w:rPr>
        <w:t>14）</w:t>
      </w:r>
      <w:r>
        <w:rPr>
          <w:rFonts w:hint="eastAsia" w:cs="Times New Roman"/>
          <w:szCs w:val="28"/>
        </w:rPr>
        <w:t>《</w:t>
      </w:r>
      <w:r>
        <w:rPr>
          <w:rFonts w:cs="Times New Roman"/>
          <w:szCs w:val="28"/>
        </w:rPr>
        <w:t>渔业水质标准</w:t>
      </w:r>
      <w:r>
        <w:rPr>
          <w:rFonts w:hint="eastAsia" w:cs="Times New Roman"/>
          <w:szCs w:val="28"/>
        </w:rPr>
        <w:t>》（</w:t>
      </w:r>
      <w:r>
        <w:rPr>
          <w:rFonts w:cs="Times New Roman"/>
          <w:szCs w:val="28"/>
        </w:rPr>
        <w:t>GB 11607-89</w:t>
      </w:r>
      <w:r>
        <w:rPr>
          <w:rFonts w:hint="eastAsia" w:cs="Times New Roman"/>
          <w:szCs w:val="28"/>
        </w:rPr>
        <w:t>）</w:t>
      </w:r>
    </w:p>
    <w:p>
      <w:pPr>
        <w:rPr>
          <w:rFonts w:cs="Times New Roman"/>
          <w:szCs w:val="28"/>
        </w:rPr>
      </w:pPr>
      <w:r>
        <w:rPr>
          <w:rFonts w:hint="eastAsia" w:cs="Times New Roman"/>
          <w:szCs w:val="28"/>
        </w:rPr>
        <w:t>（</w:t>
      </w:r>
      <w:r>
        <w:rPr>
          <w:rFonts w:cs="Times New Roman"/>
          <w:szCs w:val="28"/>
        </w:rPr>
        <w:t>15）</w:t>
      </w:r>
      <w:r>
        <w:rPr>
          <w:rFonts w:hint="eastAsia" w:cs="Times New Roman"/>
          <w:szCs w:val="28"/>
        </w:rPr>
        <w:t>《</w:t>
      </w:r>
      <w:r>
        <w:rPr>
          <w:rFonts w:cs="Times New Roman"/>
          <w:szCs w:val="28"/>
        </w:rPr>
        <w:t>建筑给水排水设计规范</w:t>
      </w:r>
      <w:r>
        <w:rPr>
          <w:rFonts w:hint="eastAsia" w:cs="Times New Roman"/>
          <w:szCs w:val="28"/>
        </w:rPr>
        <w:t>》（</w:t>
      </w:r>
      <w:r>
        <w:rPr>
          <w:rFonts w:cs="Times New Roman"/>
          <w:szCs w:val="28"/>
        </w:rPr>
        <w:t>GB 50015-2019</w:t>
      </w:r>
      <w:r>
        <w:rPr>
          <w:rFonts w:hint="eastAsia" w:cs="Times New Roman"/>
          <w:szCs w:val="28"/>
        </w:rPr>
        <w:t>）</w:t>
      </w:r>
    </w:p>
    <w:p>
      <w:pPr>
        <w:rPr>
          <w:rFonts w:cs="Times New Roman"/>
          <w:szCs w:val="28"/>
        </w:rPr>
      </w:pPr>
      <w:r>
        <w:rPr>
          <w:rFonts w:hint="eastAsia" w:cs="Times New Roman"/>
          <w:szCs w:val="28"/>
        </w:rPr>
        <w:t>（</w:t>
      </w:r>
      <w:r>
        <w:rPr>
          <w:rFonts w:cs="Times New Roman"/>
          <w:szCs w:val="28"/>
        </w:rPr>
        <w:t>16）</w:t>
      </w:r>
      <w:r>
        <w:rPr>
          <w:rFonts w:hint="eastAsia" w:cs="Times New Roman"/>
          <w:szCs w:val="28"/>
        </w:rPr>
        <w:t>《</w:t>
      </w:r>
      <w:r>
        <w:rPr>
          <w:rFonts w:cs="Times New Roman"/>
          <w:szCs w:val="28"/>
        </w:rPr>
        <w:t>村庄整治技术规范</w:t>
      </w:r>
      <w:r>
        <w:rPr>
          <w:rFonts w:hint="eastAsia" w:cs="Times New Roman"/>
          <w:szCs w:val="28"/>
        </w:rPr>
        <w:t>》（</w:t>
      </w:r>
      <w:r>
        <w:rPr>
          <w:rFonts w:cs="Times New Roman"/>
          <w:szCs w:val="28"/>
        </w:rPr>
        <w:t>GB 50445-2008</w:t>
      </w:r>
      <w:r>
        <w:rPr>
          <w:rFonts w:hint="eastAsia" w:cs="Times New Roman"/>
          <w:szCs w:val="28"/>
        </w:rPr>
        <w:t>）</w:t>
      </w:r>
    </w:p>
    <w:p>
      <w:pPr>
        <w:rPr>
          <w:rFonts w:cs="Times New Roman"/>
          <w:szCs w:val="28"/>
        </w:rPr>
      </w:pPr>
      <w:r>
        <w:rPr>
          <w:rFonts w:hint="eastAsia" w:cs="Times New Roman"/>
          <w:szCs w:val="28"/>
        </w:rPr>
        <w:t>（</w:t>
      </w:r>
      <w:r>
        <w:rPr>
          <w:rFonts w:cs="Times New Roman"/>
          <w:szCs w:val="28"/>
        </w:rPr>
        <w:t>17）</w:t>
      </w:r>
      <w:r>
        <w:rPr>
          <w:rFonts w:hint="eastAsia" w:cs="Times New Roman"/>
          <w:szCs w:val="28"/>
        </w:rPr>
        <w:t>《</w:t>
      </w:r>
      <w:r>
        <w:rPr>
          <w:rFonts w:cs="Times New Roman"/>
          <w:szCs w:val="28"/>
        </w:rPr>
        <w:t>城市污水再生利用 景观环境用水水质</w:t>
      </w:r>
      <w:r>
        <w:rPr>
          <w:rFonts w:hint="eastAsia" w:cs="Times New Roman"/>
          <w:szCs w:val="28"/>
        </w:rPr>
        <w:t>》（</w:t>
      </w:r>
      <w:r>
        <w:rPr>
          <w:rFonts w:cs="Times New Roman"/>
          <w:szCs w:val="28"/>
        </w:rPr>
        <w:t>GB/T 18921-2019</w:t>
      </w:r>
      <w:r>
        <w:rPr>
          <w:rFonts w:hint="eastAsia" w:cs="Times New Roman"/>
          <w:szCs w:val="28"/>
        </w:rPr>
        <w:t>）</w:t>
      </w:r>
    </w:p>
    <w:p>
      <w:pPr>
        <w:rPr>
          <w:rFonts w:cs="Times New Roman"/>
          <w:szCs w:val="28"/>
        </w:rPr>
      </w:pPr>
      <w:r>
        <w:rPr>
          <w:rFonts w:hint="eastAsia" w:cs="Times New Roman"/>
          <w:szCs w:val="28"/>
        </w:rPr>
        <w:t>（</w:t>
      </w:r>
      <w:r>
        <w:rPr>
          <w:rFonts w:cs="Times New Roman"/>
          <w:szCs w:val="28"/>
        </w:rPr>
        <w:t>18）</w:t>
      </w:r>
      <w:r>
        <w:rPr>
          <w:rFonts w:hint="eastAsia" w:cs="Times New Roman"/>
          <w:szCs w:val="28"/>
        </w:rPr>
        <w:t>《</w:t>
      </w:r>
      <w:r>
        <w:rPr>
          <w:rFonts w:cs="Times New Roman"/>
          <w:szCs w:val="28"/>
        </w:rPr>
        <w:t>城镇污水处理厂污泥处置 园林绿化用泥质</w:t>
      </w:r>
      <w:r>
        <w:rPr>
          <w:rFonts w:hint="eastAsia" w:cs="Times New Roman"/>
          <w:szCs w:val="28"/>
        </w:rPr>
        <w:t>》（</w:t>
      </w:r>
      <w:r>
        <w:rPr>
          <w:rFonts w:cs="Times New Roman"/>
          <w:szCs w:val="28"/>
        </w:rPr>
        <w:t>GB/T 23486-2009</w:t>
      </w:r>
      <w:r>
        <w:rPr>
          <w:rFonts w:hint="eastAsia" w:cs="Times New Roman"/>
          <w:szCs w:val="28"/>
        </w:rPr>
        <w:t>）</w:t>
      </w:r>
    </w:p>
    <w:p>
      <w:pPr>
        <w:rPr>
          <w:rFonts w:cs="Times New Roman"/>
          <w:szCs w:val="28"/>
        </w:rPr>
      </w:pPr>
      <w:r>
        <w:rPr>
          <w:rFonts w:hint="eastAsia" w:cs="Times New Roman"/>
          <w:szCs w:val="28"/>
        </w:rPr>
        <w:t>（</w:t>
      </w:r>
      <w:r>
        <w:rPr>
          <w:rFonts w:cs="Times New Roman"/>
          <w:szCs w:val="28"/>
        </w:rPr>
        <w:t>19）</w:t>
      </w:r>
      <w:r>
        <w:rPr>
          <w:rFonts w:hint="eastAsia" w:cs="Times New Roman"/>
          <w:szCs w:val="28"/>
        </w:rPr>
        <w:t>《</w:t>
      </w:r>
      <w:r>
        <w:rPr>
          <w:rFonts w:cs="Times New Roman"/>
          <w:szCs w:val="28"/>
        </w:rPr>
        <w:t>农村生活污水处理工程技术标准</w:t>
      </w:r>
      <w:r>
        <w:rPr>
          <w:rFonts w:hint="eastAsia" w:cs="Times New Roman"/>
          <w:szCs w:val="28"/>
        </w:rPr>
        <w:t>》（</w:t>
      </w:r>
      <w:r>
        <w:rPr>
          <w:rFonts w:cs="Times New Roman"/>
          <w:szCs w:val="28"/>
        </w:rPr>
        <w:t>GB/T 51347-2019</w:t>
      </w:r>
      <w:r>
        <w:rPr>
          <w:rFonts w:hint="eastAsia" w:cs="Times New Roman"/>
          <w:szCs w:val="28"/>
        </w:rPr>
        <w:t>）</w:t>
      </w:r>
    </w:p>
    <w:p>
      <w:pPr>
        <w:rPr>
          <w:rFonts w:cs="Times New Roman"/>
          <w:szCs w:val="28"/>
        </w:rPr>
      </w:pPr>
      <w:r>
        <w:rPr>
          <w:rFonts w:hint="eastAsia" w:cs="Times New Roman"/>
          <w:szCs w:val="28"/>
        </w:rPr>
        <w:t>（</w:t>
      </w:r>
      <w:r>
        <w:rPr>
          <w:rFonts w:cs="Times New Roman"/>
          <w:szCs w:val="28"/>
        </w:rPr>
        <w:t>20）</w:t>
      </w:r>
      <w:r>
        <w:rPr>
          <w:rFonts w:hint="eastAsia" w:cs="Times New Roman"/>
          <w:szCs w:val="28"/>
        </w:rPr>
        <w:t>《</w:t>
      </w:r>
      <w:r>
        <w:rPr>
          <w:rFonts w:cs="Times New Roman"/>
          <w:szCs w:val="28"/>
        </w:rPr>
        <w:t>农村生活污染控制技术规范</w:t>
      </w:r>
      <w:r>
        <w:rPr>
          <w:rFonts w:hint="eastAsia" w:cs="Times New Roman"/>
          <w:szCs w:val="28"/>
        </w:rPr>
        <w:t>》（</w:t>
      </w:r>
      <w:r>
        <w:rPr>
          <w:rFonts w:cs="Times New Roman"/>
          <w:szCs w:val="28"/>
        </w:rPr>
        <w:t>HJ 574-2010</w:t>
      </w:r>
      <w:r>
        <w:rPr>
          <w:rFonts w:hint="eastAsia" w:cs="Times New Roman"/>
          <w:szCs w:val="28"/>
        </w:rPr>
        <w:t>）</w:t>
      </w:r>
    </w:p>
    <w:p>
      <w:pPr>
        <w:rPr>
          <w:rFonts w:cs="Times New Roman"/>
          <w:szCs w:val="28"/>
        </w:rPr>
      </w:pPr>
      <w:r>
        <w:rPr>
          <w:rFonts w:hint="eastAsia" w:cs="Times New Roman"/>
          <w:szCs w:val="28"/>
        </w:rPr>
        <w:t>（</w:t>
      </w:r>
      <w:r>
        <w:rPr>
          <w:rFonts w:cs="Times New Roman"/>
          <w:szCs w:val="28"/>
        </w:rPr>
        <w:t>21</w:t>
      </w:r>
      <w:r>
        <w:rPr>
          <w:rFonts w:hint="eastAsia" w:cs="Times New Roman"/>
          <w:szCs w:val="28"/>
        </w:rPr>
        <w:t>）《</w:t>
      </w:r>
      <w:r>
        <w:rPr>
          <w:rFonts w:cs="Times New Roman"/>
          <w:szCs w:val="28"/>
        </w:rPr>
        <w:t>人工湿地污水处理工程技术规范</w:t>
      </w:r>
      <w:r>
        <w:rPr>
          <w:rFonts w:hint="eastAsia" w:cs="Times New Roman"/>
          <w:szCs w:val="28"/>
        </w:rPr>
        <w:t>》（</w:t>
      </w:r>
      <w:r>
        <w:rPr>
          <w:rFonts w:cs="Times New Roman"/>
          <w:szCs w:val="28"/>
        </w:rPr>
        <w:t>HJ 2005-2010</w:t>
      </w:r>
      <w:r>
        <w:rPr>
          <w:rFonts w:hint="eastAsia" w:cs="Times New Roman"/>
          <w:szCs w:val="28"/>
        </w:rPr>
        <w:t>）</w:t>
      </w:r>
    </w:p>
    <w:p>
      <w:r>
        <w:rPr>
          <w:rFonts w:hint="eastAsia"/>
        </w:rPr>
        <w:t>（</w:t>
      </w:r>
      <w:r>
        <w:t>22）《农村生活污水处理和给水与污水处理工程项目建设用地标准》</w:t>
      </w:r>
    </w:p>
    <w:p>
      <w:r>
        <w:rPr>
          <w:rFonts w:hint="eastAsia"/>
        </w:rPr>
        <w:t>（</w:t>
      </w:r>
      <w:r>
        <w:t>23）《城市污水处理工程项目建设标准》</w:t>
      </w:r>
    </w:p>
    <w:p>
      <w:r>
        <w:rPr>
          <w:rFonts w:hint="eastAsia"/>
        </w:rPr>
        <w:t>（</w:t>
      </w:r>
      <w:r>
        <w:t>24）《泵站设计规范》（GB/50265-2010）</w:t>
      </w:r>
    </w:p>
    <w:p>
      <w:r>
        <w:rPr>
          <w:rFonts w:hint="eastAsia"/>
        </w:rPr>
        <w:t>（2</w:t>
      </w:r>
      <w:r>
        <w:t>5</w:t>
      </w:r>
      <w:r>
        <w:rPr>
          <w:rFonts w:hint="eastAsia"/>
        </w:rPr>
        <w:t>）《农村生活污水处理设施水污染物排放标准》（</w:t>
      </w:r>
      <w:r>
        <w:t>DB21/3176-2019</w:t>
      </w:r>
      <w:r>
        <w:rPr>
          <w:rFonts w:hint="eastAsia"/>
        </w:rPr>
        <w:t>）</w:t>
      </w:r>
    </w:p>
    <w:p>
      <w:pPr>
        <w:pStyle w:val="4"/>
        <w:spacing w:before="194" w:after="194"/>
      </w:pPr>
      <w:bookmarkStart w:id="14" w:name="_Toc28338_WPSOffice_Level3"/>
      <w:bookmarkStart w:id="15" w:name="_Toc43546607"/>
      <w:r>
        <w:rPr>
          <w:rFonts w:hint="eastAsia"/>
        </w:rPr>
        <w:t>1.3.3 政策、</w:t>
      </w:r>
      <w:r>
        <w:t>规划及相关文件</w:t>
      </w:r>
      <w:bookmarkEnd w:id="14"/>
      <w:bookmarkEnd w:id="15"/>
    </w:p>
    <w:p>
      <w:r>
        <w:rPr>
          <w:rFonts w:hint="eastAsia"/>
        </w:rPr>
        <w:t>（</w:t>
      </w:r>
      <w:r>
        <w:t>1</w:t>
      </w:r>
      <w:r>
        <w:rPr>
          <w:rFonts w:hint="eastAsia"/>
        </w:rPr>
        <w:t>）《中共中央国务院关于实施乡村振兴战略的意见》</w:t>
      </w:r>
    </w:p>
    <w:p>
      <w:pPr>
        <w:rPr>
          <w:rFonts w:cs="Times New Roman"/>
          <w:szCs w:val="28"/>
        </w:rPr>
      </w:pPr>
      <w:r>
        <w:rPr>
          <w:rFonts w:hint="eastAsia" w:cs="Times New Roman"/>
          <w:szCs w:val="28"/>
        </w:rPr>
        <w:t>（</w:t>
      </w:r>
      <w:r>
        <w:rPr>
          <w:rFonts w:cs="Times New Roman"/>
          <w:szCs w:val="28"/>
        </w:rPr>
        <w:t>2</w:t>
      </w:r>
      <w:r>
        <w:rPr>
          <w:rFonts w:hint="eastAsia" w:cs="Times New Roman"/>
          <w:szCs w:val="28"/>
        </w:rPr>
        <w:t>）《农村生活污水治理设施第三方运维服务机构管理导则（试行）》</w:t>
      </w:r>
    </w:p>
    <w:p>
      <w:pPr>
        <w:rPr>
          <w:rFonts w:cs="Times New Roman"/>
          <w:szCs w:val="28"/>
        </w:rPr>
      </w:pPr>
      <w:r>
        <w:rPr>
          <w:rFonts w:hint="eastAsia" w:cs="Times New Roman"/>
          <w:szCs w:val="28"/>
        </w:rPr>
        <w:t>（</w:t>
      </w:r>
      <w:r>
        <w:rPr>
          <w:rFonts w:cs="Times New Roman"/>
          <w:szCs w:val="28"/>
        </w:rPr>
        <w:t>3</w:t>
      </w:r>
      <w:r>
        <w:rPr>
          <w:rFonts w:hint="eastAsia" w:cs="Times New Roman"/>
          <w:szCs w:val="28"/>
        </w:rPr>
        <w:t>）《农村生活污水厌氧-缺氧-好氧（A</w:t>
      </w:r>
      <w:r>
        <w:rPr>
          <w:rFonts w:hint="eastAsia" w:cs="Times New Roman"/>
          <w:szCs w:val="28"/>
          <w:vertAlign w:val="superscript"/>
        </w:rPr>
        <w:t>2</w:t>
      </w:r>
      <w:r>
        <w:rPr>
          <w:rFonts w:hint="eastAsia" w:cs="Times New Roman"/>
          <w:szCs w:val="28"/>
        </w:rPr>
        <w:t>/O）处理终端维护导则（试行）》</w:t>
      </w:r>
    </w:p>
    <w:p>
      <w:pPr>
        <w:rPr>
          <w:rFonts w:cs="Times New Roman"/>
          <w:szCs w:val="28"/>
        </w:rPr>
      </w:pPr>
      <w:r>
        <w:rPr>
          <w:rFonts w:hint="eastAsia" w:cs="Times New Roman"/>
          <w:szCs w:val="28"/>
        </w:rPr>
        <w:t>（</w:t>
      </w:r>
      <w:r>
        <w:rPr>
          <w:rFonts w:cs="Times New Roman"/>
          <w:szCs w:val="28"/>
        </w:rPr>
        <w:t>4</w:t>
      </w:r>
      <w:r>
        <w:rPr>
          <w:rFonts w:hint="eastAsia" w:cs="Times New Roman"/>
          <w:szCs w:val="28"/>
        </w:rPr>
        <w:t>）《农村生活污水厌氧-好氧（A/O）处理终端维护导则（试行）》</w:t>
      </w:r>
    </w:p>
    <w:p>
      <w:pPr>
        <w:rPr>
          <w:rFonts w:cs="Times New Roman"/>
          <w:szCs w:val="28"/>
        </w:rPr>
      </w:pPr>
      <w:r>
        <w:rPr>
          <w:rFonts w:hint="eastAsia" w:cs="Times New Roman"/>
          <w:szCs w:val="28"/>
        </w:rPr>
        <w:t>（</w:t>
      </w:r>
      <w:r>
        <w:rPr>
          <w:rFonts w:cs="Times New Roman"/>
          <w:szCs w:val="28"/>
        </w:rPr>
        <w:t>5</w:t>
      </w:r>
      <w:r>
        <w:rPr>
          <w:rFonts w:hint="eastAsia" w:cs="Times New Roman"/>
          <w:szCs w:val="28"/>
        </w:rPr>
        <w:t>）《农村生活污水厌氧处理终端运维导则（试行）》</w:t>
      </w:r>
    </w:p>
    <w:p>
      <w:pPr>
        <w:rPr>
          <w:rFonts w:cs="Times New Roman"/>
          <w:szCs w:val="28"/>
        </w:rPr>
      </w:pPr>
      <w:r>
        <w:rPr>
          <w:rFonts w:hint="eastAsia" w:cs="Times New Roman"/>
          <w:szCs w:val="28"/>
        </w:rPr>
        <w:t>（</w:t>
      </w:r>
      <w:r>
        <w:rPr>
          <w:rFonts w:cs="Times New Roman"/>
          <w:szCs w:val="28"/>
        </w:rPr>
        <w:t>6</w:t>
      </w:r>
      <w:r>
        <w:rPr>
          <w:rFonts w:hint="eastAsia" w:cs="Times New Roman"/>
          <w:szCs w:val="28"/>
        </w:rPr>
        <w:t>）《农村生活污水处理罐运行维护导则（试行）》</w:t>
      </w:r>
    </w:p>
    <w:p>
      <w:pPr>
        <w:rPr>
          <w:rFonts w:cs="Times New Roman"/>
        </w:rPr>
      </w:pPr>
      <w:r>
        <w:rPr>
          <w:rFonts w:cs="Times New Roman"/>
        </w:rPr>
        <w:t>（7）《乡村振兴战略规划（2018</w:t>
      </w:r>
      <w:r>
        <w:rPr>
          <w:rFonts w:hint="eastAsia" w:cs="Times New Roman"/>
        </w:rPr>
        <w:t>-</w:t>
      </w:r>
      <w:r>
        <w:rPr>
          <w:rFonts w:cs="Times New Roman"/>
        </w:rPr>
        <w:t>2022年）》</w:t>
      </w:r>
    </w:p>
    <w:p>
      <w:pPr>
        <w:rPr>
          <w:rFonts w:cs="Times New Roman"/>
          <w:szCs w:val="28"/>
        </w:rPr>
      </w:pPr>
      <w:r>
        <w:rPr>
          <w:rFonts w:hint="eastAsia" w:cs="Times New Roman"/>
          <w:szCs w:val="28"/>
        </w:rPr>
        <w:t>（</w:t>
      </w:r>
      <w:r>
        <w:rPr>
          <w:rFonts w:hint="eastAsia" w:cs="Times New Roman"/>
          <w:szCs w:val="28"/>
          <w:lang w:val="en-US" w:eastAsia="zh-CN"/>
        </w:rPr>
        <w:t>8</w:t>
      </w:r>
      <w:r>
        <w:rPr>
          <w:rFonts w:hint="eastAsia" w:cs="Times New Roman"/>
          <w:szCs w:val="28"/>
        </w:rPr>
        <w:t>）《农村环境连片整治技术指南》（</w:t>
      </w:r>
      <w:r>
        <w:rPr>
          <w:rFonts w:eastAsia="微软雅黑" w:cs="Times New Roman"/>
          <w:color w:val="333333"/>
          <w:szCs w:val="28"/>
        </w:rPr>
        <w:t>HJ 2031-2013</w:t>
      </w:r>
      <w:r>
        <w:rPr>
          <w:rFonts w:hint="eastAsia" w:cs="Times New Roman"/>
          <w:szCs w:val="28"/>
        </w:rPr>
        <w:t>）</w:t>
      </w:r>
    </w:p>
    <w:p>
      <w:pPr>
        <w:rPr>
          <w:rFonts w:cs="Times New Roman"/>
          <w:szCs w:val="28"/>
        </w:rPr>
      </w:pPr>
      <w:r>
        <w:rPr>
          <w:rFonts w:hint="eastAsia" w:cs="Times New Roman"/>
          <w:szCs w:val="28"/>
        </w:rPr>
        <w:t>（</w:t>
      </w:r>
      <w:r>
        <w:rPr>
          <w:rFonts w:hint="eastAsia" w:cs="Times New Roman"/>
          <w:szCs w:val="28"/>
          <w:lang w:val="en-US" w:eastAsia="zh-CN"/>
        </w:rPr>
        <w:t>9</w:t>
      </w:r>
      <w:r>
        <w:rPr>
          <w:rFonts w:hint="eastAsia" w:cs="Times New Roman"/>
          <w:szCs w:val="28"/>
        </w:rPr>
        <w:t>）《村镇生活污染防治最佳可行技术指南》（试行）（</w:t>
      </w:r>
      <w:r>
        <w:rPr>
          <w:rFonts w:cs="Times New Roman"/>
          <w:szCs w:val="28"/>
        </w:rPr>
        <w:t>HJ-BAT-9</w:t>
      </w:r>
      <w:r>
        <w:rPr>
          <w:rFonts w:hint="eastAsia" w:cs="Times New Roman"/>
          <w:szCs w:val="28"/>
        </w:rPr>
        <w:t>）</w:t>
      </w:r>
    </w:p>
    <w:p>
      <w:pPr>
        <w:rPr>
          <w:rFonts w:cs="Times New Roman"/>
          <w:szCs w:val="28"/>
        </w:rPr>
      </w:pPr>
      <w:r>
        <w:rPr>
          <w:rFonts w:hint="eastAsia" w:cs="Times New Roman"/>
          <w:szCs w:val="28"/>
        </w:rPr>
        <w:t>（</w:t>
      </w:r>
      <w:r>
        <w:rPr>
          <w:rFonts w:cs="Times New Roman"/>
          <w:szCs w:val="28"/>
        </w:rPr>
        <w:t>1</w:t>
      </w:r>
      <w:r>
        <w:rPr>
          <w:rFonts w:hint="eastAsia" w:cs="Times New Roman"/>
          <w:szCs w:val="28"/>
          <w:lang w:val="en-US" w:eastAsia="zh-CN"/>
        </w:rPr>
        <w:t>0</w:t>
      </w:r>
      <w:r>
        <w:rPr>
          <w:rFonts w:hint="eastAsia" w:cs="Times New Roman"/>
          <w:szCs w:val="28"/>
        </w:rPr>
        <w:t>）</w:t>
      </w:r>
      <w:r>
        <w:rPr>
          <w:rFonts w:cs="Times New Roman"/>
          <w:szCs w:val="28"/>
        </w:rPr>
        <w:t>《</w:t>
      </w:r>
      <w:r>
        <w:rPr>
          <w:rFonts w:hint="eastAsia" w:cs="Times New Roman"/>
          <w:szCs w:val="28"/>
        </w:rPr>
        <w:t>辽宁省</w:t>
      </w:r>
      <w:r>
        <w:rPr>
          <w:rFonts w:cs="Times New Roman"/>
          <w:szCs w:val="28"/>
        </w:rPr>
        <w:t>农村人居环境整治三年行动实施方案</w:t>
      </w:r>
      <w:r>
        <w:rPr>
          <w:rFonts w:hint="eastAsia" w:cs="Times New Roman"/>
          <w:szCs w:val="28"/>
        </w:rPr>
        <w:t>（2018-2020年）</w:t>
      </w:r>
      <w:r>
        <w:rPr>
          <w:rFonts w:cs="Times New Roman"/>
          <w:szCs w:val="28"/>
        </w:rPr>
        <w:t>》</w:t>
      </w:r>
    </w:p>
    <w:p>
      <w:pPr>
        <w:rPr>
          <w:rFonts w:cs="Times New Roman"/>
          <w:szCs w:val="28"/>
        </w:rPr>
      </w:pPr>
      <w:r>
        <w:rPr>
          <w:rFonts w:hint="eastAsia" w:cs="Times New Roman"/>
          <w:szCs w:val="28"/>
        </w:rPr>
        <w:t>（</w:t>
      </w:r>
      <w:r>
        <w:rPr>
          <w:rFonts w:cs="Times New Roman"/>
          <w:szCs w:val="28"/>
        </w:rPr>
        <w:t>1</w:t>
      </w:r>
      <w:r>
        <w:rPr>
          <w:rFonts w:hint="eastAsia" w:cs="Times New Roman"/>
          <w:szCs w:val="28"/>
          <w:lang w:val="en-US" w:eastAsia="zh-CN"/>
        </w:rPr>
        <w:t>1</w:t>
      </w:r>
      <w:r>
        <w:rPr>
          <w:rFonts w:hint="eastAsia" w:cs="Times New Roman"/>
          <w:szCs w:val="28"/>
        </w:rPr>
        <w:t>）《辽宁省</w:t>
      </w:r>
      <w:r>
        <w:rPr>
          <w:rFonts w:cs="Times New Roman"/>
          <w:szCs w:val="28"/>
        </w:rPr>
        <w:t>城乡环境卫生整治行动方案（</w:t>
      </w:r>
      <w:r>
        <w:rPr>
          <w:rFonts w:hint="eastAsia" w:cs="Times New Roman"/>
          <w:szCs w:val="28"/>
        </w:rPr>
        <w:t>2015-2020年</w:t>
      </w:r>
      <w:r>
        <w:rPr>
          <w:rFonts w:cs="Times New Roman"/>
          <w:szCs w:val="28"/>
        </w:rPr>
        <w:t>）</w:t>
      </w:r>
      <w:r>
        <w:rPr>
          <w:rFonts w:hint="eastAsia" w:cs="Times New Roman"/>
          <w:szCs w:val="28"/>
        </w:rPr>
        <w:t>》</w:t>
      </w:r>
    </w:p>
    <w:p>
      <w:pPr>
        <w:rPr>
          <w:rFonts w:cs="Times New Roman"/>
          <w:szCs w:val="28"/>
        </w:rPr>
      </w:pPr>
      <w:r>
        <w:rPr>
          <w:rFonts w:hint="eastAsia" w:cs="Times New Roman"/>
          <w:szCs w:val="28"/>
        </w:rPr>
        <w:t>（</w:t>
      </w:r>
      <w:r>
        <w:rPr>
          <w:rFonts w:cs="Times New Roman"/>
          <w:szCs w:val="28"/>
        </w:rPr>
        <w:t>1</w:t>
      </w:r>
      <w:r>
        <w:rPr>
          <w:rFonts w:hint="eastAsia" w:cs="Times New Roman"/>
          <w:szCs w:val="28"/>
          <w:lang w:val="en-US" w:eastAsia="zh-CN"/>
        </w:rPr>
        <w:t>2</w:t>
      </w:r>
      <w:r>
        <w:rPr>
          <w:rFonts w:hint="eastAsia" w:cs="Times New Roman"/>
          <w:szCs w:val="28"/>
        </w:rPr>
        <w:t>）《辽宁省</w:t>
      </w:r>
      <w:r>
        <w:rPr>
          <w:rFonts w:cs="Times New Roman"/>
          <w:szCs w:val="28"/>
        </w:rPr>
        <w:t>农村分散型污水治理技术指南（</w:t>
      </w:r>
      <w:r>
        <w:rPr>
          <w:rFonts w:hint="eastAsia" w:cs="Times New Roman"/>
          <w:szCs w:val="28"/>
        </w:rPr>
        <w:t>试行</w:t>
      </w:r>
      <w:r>
        <w:rPr>
          <w:rFonts w:cs="Times New Roman"/>
          <w:szCs w:val="28"/>
        </w:rPr>
        <w:t>）</w:t>
      </w:r>
      <w:r>
        <w:rPr>
          <w:rFonts w:hint="eastAsia" w:cs="Times New Roman"/>
          <w:szCs w:val="28"/>
        </w:rPr>
        <w:t>》</w:t>
      </w:r>
    </w:p>
    <w:p>
      <w:pPr>
        <w:rPr>
          <w:rFonts w:cs="Times New Roman"/>
          <w:szCs w:val="28"/>
        </w:rPr>
      </w:pPr>
      <w:r>
        <w:rPr>
          <w:rFonts w:hint="eastAsia" w:cs="Times New Roman"/>
          <w:szCs w:val="28"/>
        </w:rPr>
        <w:t>（</w:t>
      </w:r>
      <w:r>
        <w:rPr>
          <w:rFonts w:cs="Times New Roman"/>
          <w:szCs w:val="28"/>
        </w:rPr>
        <w:t>1</w:t>
      </w:r>
      <w:r>
        <w:rPr>
          <w:rFonts w:hint="eastAsia" w:cs="Times New Roman"/>
          <w:szCs w:val="28"/>
          <w:lang w:val="en-US" w:eastAsia="zh-CN"/>
        </w:rPr>
        <w:t>3</w:t>
      </w:r>
      <w:r>
        <w:rPr>
          <w:rFonts w:hint="eastAsia" w:cs="Times New Roman"/>
          <w:szCs w:val="28"/>
        </w:rPr>
        <w:t>）《辽宁省关于</w:t>
      </w:r>
      <w:r>
        <w:rPr>
          <w:rFonts w:cs="Times New Roman"/>
          <w:szCs w:val="28"/>
        </w:rPr>
        <w:t>推进全省乡镇污水处理设施建设工作意见</w:t>
      </w:r>
      <w:r>
        <w:rPr>
          <w:rFonts w:hint="eastAsia" w:cs="Times New Roman"/>
          <w:szCs w:val="28"/>
        </w:rPr>
        <w:t>》</w:t>
      </w:r>
    </w:p>
    <w:p>
      <w:pPr>
        <w:rPr>
          <w:rFonts w:cs="Times New Roman"/>
          <w:szCs w:val="28"/>
        </w:rPr>
      </w:pPr>
      <w:r>
        <w:rPr>
          <w:rFonts w:hint="eastAsia" w:cs="Times New Roman"/>
          <w:szCs w:val="28"/>
        </w:rPr>
        <w:t>（</w:t>
      </w:r>
      <w:r>
        <w:rPr>
          <w:rFonts w:cs="Times New Roman"/>
          <w:szCs w:val="28"/>
        </w:rPr>
        <w:t>1</w:t>
      </w:r>
      <w:r>
        <w:rPr>
          <w:rFonts w:hint="eastAsia" w:cs="Times New Roman"/>
          <w:szCs w:val="28"/>
          <w:lang w:val="en-US" w:eastAsia="zh-CN"/>
        </w:rPr>
        <w:t>4</w:t>
      </w:r>
      <w:r>
        <w:rPr>
          <w:rFonts w:hint="eastAsia" w:cs="Times New Roman"/>
          <w:szCs w:val="28"/>
        </w:rPr>
        <w:t>）《辽宁省</w:t>
      </w:r>
      <w:r>
        <w:rPr>
          <w:rFonts w:cs="Times New Roman"/>
          <w:szCs w:val="28"/>
        </w:rPr>
        <w:t>生态</w:t>
      </w:r>
      <w:r>
        <w:rPr>
          <w:rFonts w:hint="eastAsia" w:cs="Times New Roman"/>
          <w:szCs w:val="28"/>
        </w:rPr>
        <w:t>环境厅</w:t>
      </w:r>
      <w:r>
        <w:rPr>
          <w:rFonts w:cs="Times New Roman"/>
          <w:szCs w:val="28"/>
        </w:rPr>
        <w:t>关于下达</w:t>
      </w:r>
      <w:r>
        <w:rPr>
          <w:rFonts w:hint="eastAsia" w:cs="Times New Roman"/>
          <w:szCs w:val="28"/>
        </w:rPr>
        <w:t>2018年</w:t>
      </w:r>
      <w:r>
        <w:rPr>
          <w:rFonts w:cs="Times New Roman"/>
          <w:szCs w:val="28"/>
        </w:rPr>
        <w:t>农村环境整治项目计划的通知</w:t>
      </w:r>
      <w:r>
        <w:rPr>
          <w:rFonts w:hint="eastAsia" w:cs="Times New Roman"/>
          <w:szCs w:val="28"/>
        </w:rPr>
        <w:t>》</w:t>
      </w:r>
      <w:r>
        <w:rPr>
          <w:rFonts w:cs="Times New Roman"/>
          <w:szCs w:val="28"/>
        </w:rPr>
        <w:t>（</w:t>
      </w:r>
      <w:r>
        <w:rPr>
          <w:rFonts w:hint="eastAsia" w:cs="Times New Roman"/>
          <w:szCs w:val="28"/>
        </w:rPr>
        <w:t>辽环函〔</w:t>
      </w:r>
      <w:r>
        <w:rPr>
          <w:rFonts w:cs="Times New Roman"/>
          <w:szCs w:val="28"/>
        </w:rPr>
        <w:t>2019〕14</w:t>
      </w:r>
      <w:r>
        <w:rPr>
          <w:rFonts w:hint="eastAsia" w:cs="Times New Roman"/>
          <w:szCs w:val="28"/>
        </w:rPr>
        <w:t>号</w:t>
      </w:r>
      <w:r>
        <w:rPr>
          <w:rFonts w:cs="Times New Roman"/>
          <w:szCs w:val="28"/>
        </w:rPr>
        <w:t>）</w:t>
      </w:r>
    </w:p>
    <w:p>
      <w:pPr>
        <w:rPr>
          <w:rFonts w:cs="Times New Roman"/>
          <w:szCs w:val="28"/>
        </w:rPr>
      </w:pPr>
      <w:r>
        <w:rPr>
          <w:rFonts w:hint="eastAsia" w:cs="Times New Roman"/>
          <w:szCs w:val="28"/>
        </w:rPr>
        <w:t>（</w:t>
      </w:r>
      <w:r>
        <w:rPr>
          <w:rFonts w:cs="Times New Roman"/>
          <w:szCs w:val="28"/>
        </w:rPr>
        <w:t>1</w:t>
      </w:r>
      <w:r>
        <w:rPr>
          <w:rFonts w:hint="eastAsia" w:cs="Times New Roman"/>
          <w:szCs w:val="28"/>
          <w:lang w:val="en-US" w:eastAsia="zh-CN"/>
        </w:rPr>
        <w:t>5</w:t>
      </w:r>
      <w:r>
        <w:rPr>
          <w:rFonts w:hint="eastAsia" w:cs="Times New Roman"/>
          <w:szCs w:val="28"/>
        </w:rPr>
        <w:t>）《农村生活污水处理设施水污染物排放控制规范编制工作指南（试行）》（环办土壤函〔2019〕403 号）</w:t>
      </w:r>
    </w:p>
    <w:p>
      <w:pPr>
        <w:rPr>
          <w:rFonts w:cs="Times New Roman"/>
          <w:szCs w:val="28"/>
        </w:rPr>
      </w:pPr>
      <w:r>
        <w:rPr>
          <w:rFonts w:hint="eastAsia" w:cs="Times New Roman"/>
          <w:szCs w:val="28"/>
        </w:rPr>
        <w:t>（</w:t>
      </w:r>
      <w:r>
        <w:rPr>
          <w:rFonts w:cs="Times New Roman"/>
          <w:szCs w:val="28"/>
        </w:rPr>
        <w:t>1</w:t>
      </w:r>
      <w:r>
        <w:rPr>
          <w:rFonts w:hint="eastAsia" w:cs="Times New Roman"/>
          <w:szCs w:val="28"/>
          <w:lang w:val="en-US" w:eastAsia="zh-CN"/>
        </w:rPr>
        <w:t>6</w:t>
      </w:r>
      <w:r>
        <w:rPr>
          <w:rFonts w:hint="eastAsia" w:cs="Times New Roman"/>
          <w:szCs w:val="28"/>
        </w:rPr>
        <w:t>）《县（市）域城乡污水统筹治理导则（试行）》（建村〔2014〕6 号）</w:t>
      </w:r>
    </w:p>
    <w:p>
      <w:pPr>
        <w:pStyle w:val="7"/>
        <w:spacing w:beforeLines="0" w:afterLines="0" w:line="360" w:lineRule="auto"/>
        <w:ind w:firstLine="0" w:firstLineChars="0"/>
        <w:rPr>
          <w:rFonts w:eastAsia="宋体" w:cs="Times New Roman"/>
        </w:rPr>
      </w:pPr>
      <w:r>
        <w:rPr>
          <w:rFonts w:hint="eastAsia" w:cs="Times New Roman"/>
          <w:szCs w:val="28"/>
        </w:rPr>
        <w:t>（</w:t>
      </w:r>
      <w:r>
        <w:rPr>
          <w:rFonts w:cs="Times New Roman"/>
          <w:szCs w:val="28"/>
        </w:rPr>
        <w:t>1</w:t>
      </w:r>
      <w:r>
        <w:rPr>
          <w:rFonts w:hint="eastAsia" w:cs="Times New Roman"/>
          <w:szCs w:val="28"/>
          <w:lang w:val="en-US" w:eastAsia="zh-CN"/>
        </w:rPr>
        <w:t>7</w:t>
      </w:r>
      <w:r>
        <w:rPr>
          <w:rFonts w:hint="eastAsia" w:cs="Times New Roman"/>
          <w:szCs w:val="28"/>
        </w:rPr>
        <w:t>）</w:t>
      </w:r>
      <w:r>
        <w:rPr>
          <w:rFonts w:eastAsia="宋体" w:cs="Times New Roman"/>
          <w:szCs w:val="28"/>
        </w:rPr>
        <w:t>《关于加强农村改厕与生活污水治理的有效衔接扎实推进农业农村污染治理攻坚战有效改善农村人居环境的通知》（辽环函〔2019〕76号）</w:t>
      </w:r>
    </w:p>
    <w:p>
      <w:pPr>
        <w:rPr>
          <w:rFonts w:cs="Times New Roman"/>
          <w:szCs w:val="28"/>
        </w:rPr>
      </w:pPr>
      <w:r>
        <w:rPr>
          <w:rFonts w:hint="eastAsia" w:cs="Times New Roman"/>
          <w:szCs w:val="28"/>
        </w:rPr>
        <w:t>（</w:t>
      </w:r>
      <w:r>
        <w:rPr>
          <w:rFonts w:cs="Times New Roman"/>
          <w:szCs w:val="28"/>
        </w:rPr>
        <w:t>1</w:t>
      </w:r>
      <w:r>
        <w:rPr>
          <w:rFonts w:hint="eastAsia" w:cs="Times New Roman"/>
          <w:szCs w:val="28"/>
          <w:lang w:val="en-US" w:eastAsia="zh-CN"/>
        </w:rPr>
        <w:t>8</w:t>
      </w:r>
      <w:r>
        <w:rPr>
          <w:rFonts w:hint="eastAsia" w:cs="Times New Roman"/>
          <w:szCs w:val="28"/>
        </w:rPr>
        <w:t>）</w:t>
      </w:r>
      <w:r>
        <w:rPr>
          <w:rFonts w:cs="Times New Roman"/>
        </w:rPr>
        <w:t>辽宁省污染防治与生态建设和保护攻坚行动计划</w:t>
      </w:r>
      <w:bookmarkStart w:id="38" w:name="_GoBack"/>
      <w:bookmarkEnd w:id="38"/>
      <w:r>
        <w:rPr>
          <w:rFonts w:cs="Times New Roman"/>
        </w:rPr>
        <w:t>（2017-2020年）》（辽政发〔2017〕22号）</w:t>
      </w:r>
    </w:p>
    <w:p>
      <w:pPr>
        <w:rPr>
          <w:rFonts w:cs="Times New Roman"/>
          <w:szCs w:val="28"/>
        </w:rPr>
      </w:pPr>
      <w:r>
        <w:rPr>
          <w:rFonts w:hint="eastAsia" w:cs="Times New Roman"/>
          <w:szCs w:val="28"/>
        </w:rPr>
        <w:t>（</w:t>
      </w:r>
      <w:r>
        <w:rPr>
          <w:rFonts w:hint="eastAsia" w:cs="Times New Roman"/>
          <w:szCs w:val="28"/>
          <w:lang w:val="en-US" w:eastAsia="zh-CN"/>
        </w:rPr>
        <w:t>19</w:t>
      </w:r>
      <w:r>
        <w:rPr>
          <w:rFonts w:hint="eastAsia" w:cs="Times New Roman"/>
          <w:szCs w:val="28"/>
        </w:rPr>
        <w:t>）《农村生活污水处理项目建设与投资指南》</w:t>
      </w:r>
    </w:p>
    <w:p>
      <w:pPr>
        <w:jc w:val="left"/>
        <w:rPr>
          <w:rFonts w:cs="Times New Roman"/>
          <w:szCs w:val="28"/>
        </w:rPr>
      </w:pPr>
      <w:r>
        <w:rPr>
          <w:rFonts w:hint="eastAsia" w:cs="Times New Roman"/>
          <w:szCs w:val="28"/>
        </w:rPr>
        <w:t>（</w:t>
      </w:r>
      <w:r>
        <w:rPr>
          <w:rFonts w:cs="Times New Roman"/>
          <w:szCs w:val="28"/>
        </w:rPr>
        <w:t>2</w:t>
      </w:r>
      <w:r>
        <w:rPr>
          <w:rFonts w:hint="eastAsia" w:cs="Times New Roman"/>
          <w:szCs w:val="28"/>
          <w:lang w:val="en-US" w:eastAsia="zh-CN"/>
        </w:rPr>
        <w:t>0</w:t>
      </w:r>
      <w:r>
        <w:rPr>
          <w:rFonts w:hint="eastAsia" w:cs="Times New Roman"/>
          <w:szCs w:val="28"/>
        </w:rPr>
        <w:t>）《</w:t>
      </w:r>
      <w:r>
        <w:rPr>
          <w:rFonts w:hint="eastAsia" w:hAnsi="宋体"/>
          <w:szCs w:val="28"/>
        </w:rPr>
        <w:t>凌源市生态保护红线划定技术报告</w:t>
      </w:r>
      <w:r>
        <w:rPr>
          <w:rFonts w:hint="eastAsia" w:cs="Times New Roman"/>
          <w:szCs w:val="28"/>
        </w:rPr>
        <w:t>》</w:t>
      </w:r>
    </w:p>
    <w:p>
      <w:pPr>
        <w:jc w:val="left"/>
        <w:rPr>
          <w:rFonts w:cs="Times New Roman"/>
          <w:szCs w:val="28"/>
        </w:rPr>
      </w:pPr>
      <w:r>
        <w:rPr>
          <w:rFonts w:hint="eastAsia" w:cs="Times New Roman"/>
          <w:szCs w:val="28"/>
        </w:rPr>
        <w:t>（2</w:t>
      </w:r>
      <w:r>
        <w:rPr>
          <w:rFonts w:hint="eastAsia" w:cs="Times New Roman"/>
          <w:szCs w:val="28"/>
          <w:lang w:val="en-US" w:eastAsia="zh-CN"/>
        </w:rPr>
        <w:t>1</w:t>
      </w:r>
      <w:r>
        <w:rPr>
          <w:rFonts w:hint="eastAsia" w:cs="Times New Roman"/>
          <w:szCs w:val="28"/>
        </w:rPr>
        <w:t>）《朝阳市环境保护“十三五”规划》</w:t>
      </w:r>
    </w:p>
    <w:p>
      <w:pPr>
        <w:jc w:val="left"/>
        <w:rPr>
          <w:rFonts w:cs="Times New Roman"/>
          <w:szCs w:val="28"/>
        </w:rPr>
      </w:pPr>
      <w:r>
        <w:rPr>
          <w:rFonts w:hint="eastAsia" w:cs="Times New Roman"/>
          <w:szCs w:val="28"/>
        </w:rPr>
        <w:t>（2</w:t>
      </w:r>
      <w:r>
        <w:rPr>
          <w:rFonts w:hint="eastAsia" w:cs="Times New Roman"/>
          <w:szCs w:val="28"/>
          <w:lang w:val="en-US" w:eastAsia="zh-CN"/>
        </w:rPr>
        <w:t>2</w:t>
      </w:r>
      <w:r>
        <w:rPr>
          <w:rFonts w:hint="eastAsia" w:cs="Times New Roman"/>
          <w:szCs w:val="28"/>
        </w:rPr>
        <w:t>）《县域农村生活污水治理专项规划编制指南（试行）》（环办土壤函〔</w:t>
      </w:r>
      <w:r>
        <w:rPr>
          <w:rFonts w:cs="Times New Roman"/>
          <w:szCs w:val="28"/>
        </w:rPr>
        <w:t>2019〕756</w:t>
      </w:r>
      <w:r>
        <w:rPr>
          <w:rFonts w:hint="eastAsia" w:cs="Times New Roman"/>
          <w:szCs w:val="28"/>
        </w:rPr>
        <w:t>号）</w:t>
      </w:r>
    </w:p>
    <w:p>
      <w:pPr>
        <w:jc w:val="left"/>
        <w:rPr>
          <w:rFonts w:cs="Times New Roman"/>
          <w:szCs w:val="28"/>
        </w:rPr>
      </w:pPr>
      <w:r>
        <w:rPr>
          <w:rFonts w:hint="eastAsia" w:cs="Times New Roman"/>
          <w:szCs w:val="28"/>
        </w:rPr>
        <w:t>（2</w:t>
      </w:r>
      <w:r>
        <w:rPr>
          <w:rFonts w:hint="eastAsia" w:cs="Times New Roman"/>
          <w:szCs w:val="28"/>
          <w:lang w:val="en-US" w:eastAsia="zh-CN"/>
        </w:rPr>
        <w:t>3</w:t>
      </w:r>
      <w:r>
        <w:rPr>
          <w:rFonts w:hint="eastAsia" w:cs="Times New Roman"/>
          <w:szCs w:val="28"/>
        </w:rPr>
        <w:t>）</w:t>
      </w:r>
      <w:r>
        <w:rPr>
          <w:rFonts w:hint="eastAsia"/>
          <w:shd w:val="clear" w:color="auto" w:fill="FFFFFF"/>
        </w:rPr>
        <w:t>《辽宁省农村生活污水处理技术指南》</w:t>
      </w:r>
      <w:r>
        <w:rPr>
          <w:rFonts w:hint="eastAsia"/>
          <w:szCs w:val="28"/>
          <w:shd w:val="clear" w:color="auto" w:fill="FFFFFF"/>
        </w:rPr>
        <w:t>（</w:t>
      </w:r>
      <w:r>
        <w:rPr>
          <w:rFonts w:hint="eastAsia"/>
          <w:color w:val="080808"/>
          <w:szCs w:val="28"/>
        </w:rPr>
        <w:t>DB21/T 2943-2018</w:t>
      </w:r>
      <w:r>
        <w:rPr>
          <w:rFonts w:hint="eastAsia"/>
          <w:szCs w:val="28"/>
          <w:shd w:val="clear" w:color="auto" w:fill="FFFFFF"/>
        </w:rPr>
        <w:t>）</w:t>
      </w:r>
    </w:p>
    <w:p>
      <w:pPr>
        <w:pStyle w:val="3"/>
        <w:spacing w:before="194" w:after="194"/>
      </w:pPr>
      <w:bookmarkStart w:id="16" w:name="_Toc7807_WPSOffice_Level2"/>
      <w:bookmarkStart w:id="17" w:name="_Toc43546608"/>
      <w:r>
        <w:rPr>
          <w:rFonts w:hint="eastAsia"/>
        </w:rPr>
        <w:t>1.4 基本原则</w:t>
      </w:r>
      <w:bookmarkEnd w:id="16"/>
      <w:bookmarkEnd w:id="17"/>
    </w:p>
    <w:p>
      <w:pPr>
        <w:ind w:firstLine="562" w:firstLineChars="200"/>
        <w:rPr>
          <w:b/>
        </w:rPr>
      </w:pPr>
      <w:bookmarkStart w:id="18" w:name="_Toc7807_WPSOffice_Level3"/>
      <w:r>
        <w:rPr>
          <w:rFonts w:hint="eastAsia"/>
          <w:b/>
        </w:rPr>
        <w:t>（1）科学规划，统筹安排</w:t>
      </w:r>
      <w:bookmarkEnd w:id="18"/>
    </w:p>
    <w:p>
      <w:pPr>
        <w:ind w:firstLine="560" w:firstLineChars="200"/>
      </w:pPr>
      <w:r>
        <w:rPr>
          <w:rFonts w:hint="eastAsia"/>
        </w:rPr>
        <w:t>以县域总体规划为先导，结合生态保护红线、村庄规划、水环境功能区划、给排水、改厕和黑臭水体治理等工作，充分考虑农村经济社会状况、生活污水产排规律、环境容量、村民意愿等因素，以污水减量化、分类就地处理、循环利用为导向，科学规划和安排农村生活污水治理工作。</w:t>
      </w:r>
    </w:p>
    <w:p>
      <w:pPr>
        <w:ind w:firstLine="562" w:firstLineChars="200"/>
        <w:rPr>
          <w:b/>
        </w:rPr>
      </w:pPr>
      <w:bookmarkStart w:id="19" w:name="_Toc4667_WPSOffice_Level3"/>
      <w:r>
        <w:rPr>
          <w:rFonts w:hint="eastAsia"/>
          <w:b/>
        </w:rPr>
        <w:t>（2）突出重点，梯次推进</w:t>
      </w:r>
      <w:bookmarkEnd w:id="19"/>
    </w:p>
    <w:p>
      <w:pPr>
        <w:ind w:firstLine="560" w:firstLineChars="200"/>
      </w:pPr>
      <w:r>
        <w:rPr>
          <w:rFonts w:hint="eastAsia"/>
        </w:rPr>
        <w:t>坚持短期目标与长远规划相结合，既尽力而为，又量力而行。综合考虑现阶段城乡发展趋势、财政投入能力、农民接受程度等，合理确定污水治理任务目标。优先整治生态环境敏感、人口集聚、发展乡村旅游以及水质需改善控制单元范围内的村庄，通过试点示范不断探索，梯次推进，全面覆盖。</w:t>
      </w:r>
    </w:p>
    <w:p>
      <w:pPr>
        <w:ind w:firstLine="562" w:firstLineChars="200"/>
        <w:rPr>
          <w:b/>
        </w:rPr>
      </w:pPr>
      <w:bookmarkStart w:id="20" w:name="_Toc7697_WPSOffice_Level3"/>
      <w:r>
        <w:rPr>
          <w:rFonts w:hint="eastAsia"/>
          <w:b/>
        </w:rPr>
        <w:t>（3）因地制宜，分类治理</w:t>
      </w:r>
      <w:bookmarkEnd w:id="20"/>
    </w:p>
    <w:p>
      <w:pPr>
        <w:ind w:firstLine="560" w:firstLineChars="200"/>
      </w:pPr>
      <w:r>
        <w:rPr>
          <w:rFonts w:hint="eastAsia"/>
        </w:rPr>
        <w:t>综合考虑村庄自然禀赋、经济社会发展、污水产排状况、生态环境敏感程度、受纳水体环境容量等，科学确定本地区农村生活污水治理方式。靠近城镇、有条件的村庄，生活污水纳入城镇污水管网统一处理。人口集聚、利用空间不足、经济条件较好的村庄，可采取管网收集-集中处理-达标排放的治理方式。污水产生量较少、居住较为分散、地形地貌复杂的村庄，优先采用资源化利用的治理方式。</w:t>
      </w:r>
    </w:p>
    <w:p>
      <w:pPr>
        <w:ind w:firstLine="562" w:firstLineChars="200"/>
        <w:rPr>
          <w:b/>
        </w:rPr>
      </w:pPr>
      <w:bookmarkStart w:id="21" w:name="_Toc13339_WPSOffice_Level3"/>
      <w:r>
        <w:rPr>
          <w:rFonts w:hint="eastAsia"/>
          <w:b/>
        </w:rPr>
        <w:t>（4）建管并重，长效运行</w:t>
      </w:r>
      <w:bookmarkEnd w:id="21"/>
    </w:p>
    <w:p>
      <w:pPr>
        <w:ind w:firstLine="560" w:firstLineChars="200"/>
      </w:pPr>
      <w:r>
        <w:rPr>
          <w:rFonts w:hint="eastAsia"/>
        </w:rPr>
        <w:t>坚持先建机制、后建工程，推动以县级行政区域为单元，实行农村生活污水处理统一规划、统一建设、统一运行、统一管理。鼓励规模化、专业化、社会化建设和运行管理。有条件的地区，探索建立污水处理受益农户付费制度和多元化的运行保障机制，确保治理长效。</w:t>
      </w:r>
    </w:p>
    <w:p>
      <w:pPr>
        <w:ind w:firstLine="562" w:firstLineChars="200"/>
        <w:rPr>
          <w:b/>
        </w:rPr>
      </w:pPr>
      <w:bookmarkStart w:id="22" w:name="_Toc14665_WPSOffice_Level3"/>
      <w:r>
        <w:rPr>
          <w:rFonts w:hint="eastAsia"/>
          <w:b/>
        </w:rPr>
        <w:t>（5）经济实用，易于推广</w:t>
      </w:r>
      <w:bookmarkEnd w:id="22"/>
    </w:p>
    <w:p>
      <w:pPr>
        <w:ind w:firstLine="560" w:firstLineChars="200"/>
      </w:pPr>
      <w:r>
        <w:rPr>
          <w:rFonts w:hint="eastAsia"/>
        </w:rPr>
        <w:t>充分调查农村水环境质量、污水排放现状和治理需求，考虑当地经济发展水平、污水产生规模和农民生产生活习惯，综合评判农村生活污水治理的环境效益、经济效益和社会效益，选择技术成熟、经济实用、管理方便、运行稳定的农村生活污水治理手段和途径。</w:t>
      </w:r>
    </w:p>
    <w:p>
      <w:pPr>
        <w:ind w:firstLine="562" w:firstLineChars="200"/>
        <w:rPr>
          <w:b/>
        </w:rPr>
      </w:pPr>
      <w:bookmarkStart w:id="23" w:name="_Toc14350_WPSOffice_Level3"/>
      <w:r>
        <w:rPr>
          <w:rFonts w:hint="eastAsia"/>
          <w:b/>
        </w:rPr>
        <w:t>（6）政府主导，社会参与</w:t>
      </w:r>
      <w:bookmarkEnd w:id="23"/>
    </w:p>
    <w:p>
      <w:pPr>
        <w:ind w:firstLine="560" w:firstLineChars="200"/>
      </w:pPr>
      <w:r>
        <w:rPr>
          <w:rFonts w:hint="eastAsia"/>
        </w:rPr>
        <w:t>强化地方政府主体责任，加大财政资金投入力度，引导农民以投工投劳等方式参与设施建设、运行和管理，鼓励采用政府和社会资本合作（PPP）等方式，引导企业和金融机构积极参与，推动农村生活污水第三方治理。</w:t>
      </w:r>
    </w:p>
    <w:p>
      <w:pPr>
        <w:pStyle w:val="3"/>
        <w:spacing w:before="194" w:after="194"/>
      </w:pPr>
      <w:bookmarkStart w:id="24" w:name="_Toc43546609"/>
      <w:bookmarkStart w:id="25" w:name="_Toc4667_WPSOffice_Level2"/>
      <w:r>
        <w:rPr>
          <w:rFonts w:hint="eastAsia"/>
        </w:rPr>
        <w:t>1.5 规划</w:t>
      </w:r>
      <w:r>
        <w:t>内容</w:t>
      </w:r>
      <w:bookmarkEnd w:id="24"/>
      <w:bookmarkEnd w:id="25"/>
    </w:p>
    <w:p>
      <w:pPr>
        <w:ind w:firstLine="560" w:firstLineChars="200"/>
      </w:pPr>
      <w:r>
        <w:rPr>
          <w:rFonts w:hint="eastAsia"/>
        </w:rPr>
        <w:t>凌源市农村生活污水治理专项规划包括农村生活污水处理设施建设改造规划和农村生活污水处理设施运维管理规划两部分内容。</w:t>
      </w:r>
    </w:p>
    <w:p>
      <w:pPr>
        <w:ind w:firstLine="562" w:firstLineChars="200"/>
        <w:rPr>
          <w:b/>
        </w:rPr>
      </w:pPr>
      <w:bookmarkStart w:id="26" w:name="_Toc9284_WPSOffice_Level3"/>
      <w:r>
        <w:rPr>
          <w:rFonts w:hint="eastAsia"/>
          <w:b/>
        </w:rPr>
        <w:t>（1）农村生活污水处理设施建设改造规划</w:t>
      </w:r>
      <w:bookmarkEnd w:id="26"/>
    </w:p>
    <w:p>
      <w:pPr>
        <w:ind w:firstLine="560" w:firstLineChars="200"/>
      </w:pPr>
      <w:r>
        <w:rPr>
          <w:rFonts w:hint="eastAsia" w:ascii="宋体" w:hAnsi="宋体"/>
        </w:rPr>
        <w:t>①</w:t>
      </w:r>
      <w:r>
        <w:rPr>
          <w:rFonts w:hint="eastAsia"/>
        </w:rPr>
        <w:t>对农村污水处理设施运行情况进行排查，对存在的问题提出改造计划或解决措施，并制定实施方案逐年落实。</w:t>
      </w:r>
    </w:p>
    <w:p>
      <w:pPr>
        <w:ind w:firstLine="560" w:firstLineChars="200"/>
      </w:pPr>
      <w:r>
        <w:rPr>
          <w:rFonts w:hint="eastAsia" w:ascii="宋体" w:hAnsi="宋体"/>
        </w:rPr>
        <w:t>②</w:t>
      </w:r>
      <w:r>
        <w:rPr>
          <w:rFonts w:hint="eastAsia"/>
        </w:rPr>
        <w:t>对常住户数</w:t>
      </w:r>
      <w:r>
        <w:t>及有水冲式厕所</w:t>
      </w:r>
      <w:r>
        <w:rPr>
          <w:rFonts w:hint="eastAsia"/>
        </w:rPr>
        <w:t>户数</w:t>
      </w:r>
      <w:r>
        <w:t>较多的行政村制定</w:t>
      </w:r>
      <w:r>
        <w:rPr>
          <w:rFonts w:hint="eastAsia"/>
        </w:rPr>
        <w:t>5</w:t>
      </w:r>
      <w:r>
        <w:t>年生活污水治理专项规划，并逐年</w:t>
      </w:r>
      <w:r>
        <w:rPr>
          <w:rFonts w:hint="eastAsia"/>
        </w:rPr>
        <w:t>实施</w:t>
      </w:r>
      <w:r>
        <w:t>建设。</w:t>
      </w:r>
    </w:p>
    <w:p>
      <w:pPr>
        <w:ind w:firstLine="562" w:firstLineChars="200"/>
        <w:rPr>
          <w:b/>
        </w:rPr>
      </w:pPr>
      <w:bookmarkStart w:id="27" w:name="_Toc11201_WPSOffice_Level3"/>
      <w:r>
        <w:rPr>
          <w:rFonts w:hint="eastAsia"/>
          <w:b/>
        </w:rPr>
        <w:t>（2）农村生活污水处理设施运维管理规划</w:t>
      </w:r>
      <w:bookmarkEnd w:id="27"/>
    </w:p>
    <w:p>
      <w:pPr>
        <w:ind w:firstLine="560" w:firstLineChars="200"/>
      </w:pPr>
      <w:r>
        <w:rPr>
          <w:rFonts w:hint="eastAsia" w:ascii="宋体" w:hAnsi="宋体"/>
        </w:rPr>
        <w:t>①</w:t>
      </w:r>
      <w:r>
        <w:rPr>
          <w:rFonts w:hint="eastAsia"/>
        </w:rPr>
        <w:t>落实以县级政府为责任主体、乡镇政府（街道办事处）为管理主体、村级组织为落实主体、农户为受益主体以及第三方专业服务机构为服务主体的县域农村生活污水处理设施运行维护管理体系；</w:t>
      </w:r>
    </w:p>
    <w:p>
      <w:pPr>
        <w:ind w:firstLine="560" w:firstLineChars="200"/>
      </w:pPr>
      <w:r>
        <w:rPr>
          <w:rFonts w:hint="eastAsia" w:ascii="宋体" w:hAnsi="宋体"/>
        </w:rPr>
        <w:t>②</w:t>
      </w:r>
      <w:r>
        <w:rPr>
          <w:rFonts w:hint="eastAsia"/>
        </w:rPr>
        <w:t>健全农村生活污水治理设施运维管理组织架构；</w:t>
      </w:r>
    </w:p>
    <w:p>
      <w:pPr>
        <w:ind w:firstLine="560" w:firstLineChars="200"/>
      </w:pPr>
      <w:r>
        <w:rPr>
          <w:rFonts w:hint="eastAsia" w:ascii="宋体" w:hAnsi="宋体"/>
        </w:rPr>
        <w:t>③</w:t>
      </w:r>
      <w:r>
        <w:rPr>
          <w:rFonts w:hint="eastAsia"/>
        </w:rPr>
        <w:t>确定农村生活污水处理设施运维管理规划布局；</w:t>
      </w:r>
    </w:p>
    <w:p>
      <w:pPr>
        <w:ind w:firstLine="560" w:firstLineChars="200"/>
      </w:pPr>
      <w:r>
        <w:rPr>
          <w:rFonts w:hint="eastAsia" w:ascii="宋体" w:hAnsi="宋体"/>
        </w:rPr>
        <w:t>④</w:t>
      </w:r>
      <w:r>
        <w:rPr>
          <w:rFonts w:hint="eastAsia"/>
        </w:rPr>
        <w:t>确立农村生活污水处理设施竣工与运维移交准则；</w:t>
      </w:r>
    </w:p>
    <w:p>
      <w:pPr>
        <w:ind w:firstLine="560" w:firstLineChars="200"/>
      </w:pPr>
      <w:r>
        <w:rPr>
          <w:rFonts w:hint="eastAsia" w:ascii="宋体" w:hAnsi="宋体"/>
        </w:rPr>
        <w:t>⑤</w:t>
      </w:r>
      <w:r>
        <w:rPr>
          <w:rFonts w:hint="eastAsia"/>
        </w:rPr>
        <w:t>强化运维管理平台和信息系统的建设和管理；</w:t>
      </w:r>
    </w:p>
    <w:p>
      <w:pPr>
        <w:ind w:firstLine="560" w:firstLineChars="200"/>
      </w:pPr>
      <w:r>
        <w:rPr>
          <w:rFonts w:hint="eastAsia" w:ascii="宋体" w:hAnsi="宋体"/>
        </w:rPr>
        <w:t>⑥</w:t>
      </w:r>
      <w:r>
        <w:rPr>
          <w:rFonts w:hint="eastAsia"/>
        </w:rPr>
        <w:t>制定第三方运维管理评价与考核体系。</w:t>
      </w:r>
    </w:p>
    <w:p>
      <w:pPr>
        <w:pStyle w:val="3"/>
        <w:spacing w:before="194" w:after="194"/>
      </w:pPr>
      <w:bookmarkStart w:id="28" w:name="_Toc43546610"/>
      <w:bookmarkStart w:id="29" w:name="_Toc7697_WPSOffice_Level2"/>
      <w:r>
        <w:rPr>
          <w:rFonts w:hint="eastAsia"/>
        </w:rPr>
        <w:t>1.6 规划范围</w:t>
      </w:r>
      <w:bookmarkEnd w:id="28"/>
      <w:bookmarkEnd w:id="29"/>
    </w:p>
    <w:p>
      <w:pPr>
        <w:ind w:firstLine="560" w:firstLineChars="200"/>
      </w:pPr>
      <w:r>
        <w:t>本规划范围为凌源市县域所有村庄，包括</w:t>
      </w:r>
      <w:r>
        <w:rPr>
          <w:shd w:val="clear" w:color="auto" w:fill="FFFFFF"/>
        </w:rPr>
        <w:t>下辖7个乡（前进乡、北炉乡、河坎子乡、佛爷洞乡、三家子乡、刘杖子乡、大王杖子乡、），15个镇（三道河子</w:t>
      </w:r>
      <w:r>
        <w:rPr>
          <w:rFonts w:hint="eastAsia"/>
          <w:shd w:val="clear" w:color="auto" w:fill="FFFFFF"/>
        </w:rPr>
        <w:t>镇</w:t>
      </w:r>
      <w:r>
        <w:rPr>
          <w:shd w:val="clear" w:color="auto" w:fill="FFFFFF"/>
        </w:rPr>
        <w:t>、宋杖子镇、三十家子镇、万元店镇、松岭子镇、刀尔登镇、杨杖子镇、沟门子镇、四合当镇、四官营子镇、乌兰白镇、小城子镇、瓦房店镇、大河北镇、牛营子镇），3个街道</w:t>
      </w:r>
      <w:r>
        <w:rPr>
          <w:rFonts w:hint="eastAsia"/>
          <w:shd w:val="clear" w:color="auto" w:fill="FFFFFF"/>
        </w:rPr>
        <w:t>，</w:t>
      </w:r>
      <w:r>
        <w:t>共243个行政村，总面积为</w:t>
      </w:r>
      <w:r>
        <w:rPr>
          <w:bCs/>
          <w:shd w:val="clear" w:color="auto" w:fill="FFFFFF"/>
        </w:rPr>
        <w:t>3278平方千米</w:t>
      </w:r>
      <w:r>
        <w:t>。</w:t>
      </w:r>
      <w:r>
        <w:rPr>
          <w:rFonts w:hint="eastAsia"/>
        </w:rPr>
        <w:t>农户</w:t>
      </w:r>
      <w:r>
        <w:rPr>
          <w:rFonts w:hint="eastAsia"/>
          <w:lang w:val="en-US" w:eastAsia="zh-CN"/>
        </w:rPr>
        <w:t>共计</w:t>
      </w:r>
      <w:r>
        <w:t>141610</w:t>
      </w:r>
      <w:r>
        <w:rPr>
          <w:rFonts w:hint="eastAsia"/>
        </w:rPr>
        <w:t>户，农村人口</w:t>
      </w:r>
      <w:r>
        <w:t>496706</w:t>
      </w:r>
      <w:r>
        <w:rPr>
          <w:rFonts w:hint="eastAsia"/>
        </w:rPr>
        <w:t>人。凌源市</w:t>
      </w:r>
      <w:r>
        <w:t>农村生活污水治理</w:t>
      </w:r>
      <w:r>
        <w:rPr>
          <w:rFonts w:hint="eastAsia"/>
        </w:rPr>
        <w:t>规划</w:t>
      </w:r>
      <w:r>
        <w:t>范围示意图如图</w:t>
      </w:r>
      <w:r>
        <w:rPr>
          <w:rFonts w:hint="eastAsia"/>
        </w:rPr>
        <w:t>1</w:t>
      </w:r>
      <w:r>
        <w:t>-6-1</w:t>
      </w:r>
      <w:r>
        <w:rPr>
          <w:rFonts w:hint="eastAsia"/>
        </w:rPr>
        <w:t>所示</w:t>
      </w:r>
      <w:r>
        <w:t>。</w:t>
      </w:r>
    </w:p>
    <w:p>
      <w:pPr>
        <w:ind w:firstLine="560" w:firstLineChars="200"/>
      </w:pPr>
      <w:r>
        <w:rPr>
          <w:rFonts w:hint="eastAsia"/>
        </w:rPr>
        <w:drawing>
          <wp:inline distT="0" distB="0" distL="0" distR="0">
            <wp:extent cx="4988560" cy="4939030"/>
            <wp:effectExtent l="0" t="0" r="254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998148" cy="4948226"/>
                    </a:xfrm>
                    <a:prstGeom prst="rect">
                      <a:avLst/>
                    </a:prstGeom>
                  </pic:spPr>
                </pic:pic>
              </a:graphicData>
            </a:graphic>
          </wp:inline>
        </w:drawing>
      </w:r>
    </w:p>
    <w:p>
      <w:pPr>
        <w:spacing w:before="194" w:beforeLines="50" w:after="194" w:afterLines="50"/>
        <w:ind w:firstLine="482" w:firstLineChars="200"/>
        <w:jc w:val="center"/>
        <w:rPr>
          <w:rFonts w:cs="Times New Roman"/>
          <w:b/>
          <w:sz w:val="24"/>
          <w:szCs w:val="24"/>
        </w:rPr>
      </w:pPr>
      <w:r>
        <w:rPr>
          <w:rFonts w:hint="eastAsia" w:cs="Times New Roman"/>
          <w:b/>
          <w:sz w:val="24"/>
          <w:szCs w:val="24"/>
        </w:rPr>
        <w:t>图1</w:t>
      </w:r>
      <w:r>
        <w:rPr>
          <w:rFonts w:cs="Times New Roman"/>
          <w:b/>
          <w:sz w:val="24"/>
          <w:szCs w:val="24"/>
        </w:rPr>
        <w:t>-6-1</w:t>
      </w:r>
      <w:r>
        <w:rPr>
          <w:rFonts w:hint="eastAsia" w:cs="Times New Roman"/>
          <w:b/>
          <w:sz w:val="24"/>
          <w:szCs w:val="24"/>
        </w:rPr>
        <w:t xml:space="preserve"> 凌源市</w:t>
      </w:r>
      <w:r>
        <w:rPr>
          <w:rFonts w:cs="Times New Roman"/>
          <w:b/>
          <w:sz w:val="24"/>
          <w:szCs w:val="24"/>
        </w:rPr>
        <w:t>农村生活污水治理</w:t>
      </w:r>
      <w:r>
        <w:rPr>
          <w:rFonts w:hint="eastAsia" w:cs="Times New Roman"/>
          <w:b/>
          <w:sz w:val="24"/>
          <w:szCs w:val="24"/>
        </w:rPr>
        <w:t>规划范围</w:t>
      </w:r>
      <w:r>
        <w:rPr>
          <w:rFonts w:cs="Times New Roman"/>
          <w:b/>
          <w:sz w:val="24"/>
          <w:szCs w:val="24"/>
        </w:rPr>
        <w:t>示意图</w:t>
      </w:r>
    </w:p>
    <w:p>
      <w:pPr>
        <w:pStyle w:val="3"/>
        <w:spacing w:before="194" w:after="194"/>
      </w:pPr>
      <w:bookmarkStart w:id="30" w:name="_Toc43546611"/>
      <w:bookmarkStart w:id="31" w:name="_Toc13339_WPSOffice_Level2"/>
      <w:r>
        <w:rPr>
          <w:rFonts w:hint="eastAsia"/>
        </w:rPr>
        <w:t>1.7 规划</w:t>
      </w:r>
      <w:r>
        <w:t>技术路线</w:t>
      </w:r>
      <w:bookmarkEnd w:id="30"/>
      <w:bookmarkEnd w:id="31"/>
    </w:p>
    <w:p>
      <w:pPr>
        <w:ind w:firstLine="560" w:firstLineChars="200"/>
      </w:pPr>
      <w:r>
        <w:rPr>
          <w:rFonts w:hint="eastAsia"/>
        </w:rPr>
        <w:t>规划从凌源市农村生活污水治理现状和存在问题，结合区域发展趋势，通过对现状特征分析和已有规划的分析，在多系统融合分析的前提下，形成本次的农村生活污水处理设施建设改造规划与农村生活污水处理设施运维管理规划。规划技术</w:t>
      </w:r>
      <w:r>
        <w:t>路线如图</w:t>
      </w:r>
      <w:r>
        <w:rPr>
          <w:rFonts w:hint="eastAsia"/>
        </w:rPr>
        <w:t>1</w:t>
      </w:r>
      <w:r>
        <w:t>-7-1</w:t>
      </w:r>
      <w:r>
        <w:rPr>
          <w:rFonts w:hint="eastAsia"/>
        </w:rPr>
        <w:t>所示</w:t>
      </w:r>
      <w:r>
        <w:t>。</w:t>
      </w:r>
    </w:p>
    <w:p>
      <w:pPr>
        <w:ind w:firstLine="560" w:firstLineChars="200"/>
      </w:pPr>
      <w:r>
        <w:rPr>
          <w:rFonts w:hint="eastAsia"/>
        </w:rPr>
        <mc:AlternateContent>
          <mc:Choice Requires="wps">
            <w:drawing>
              <wp:anchor distT="0" distB="0" distL="114300" distR="114300" simplePos="0" relativeHeight="251663360" behindDoc="0" locked="0" layoutInCell="1" allowOverlap="1">
                <wp:simplePos x="0" y="0"/>
                <wp:positionH relativeFrom="column">
                  <wp:posOffset>3117215</wp:posOffset>
                </wp:positionH>
                <wp:positionV relativeFrom="paragraph">
                  <wp:posOffset>4648835</wp:posOffset>
                </wp:positionV>
                <wp:extent cx="0" cy="239395"/>
                <wp:effectExtent l="38100" t="0" r="38100" b="8255"/>
                <wp:wrapNone/>
                <wp:docPr id="992" name="直接箭头连接符 210"/>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12700">
                          <a:solidFill>
                            <a:schemeClr val="tx1">
                              <a:lumMod val="100000"/>
                              <a:lumOff val="0"/>
                            </a:schemeClr>
                          </a:solidFill>
                          <a:miter lim="800000"/>
                          <a:tailEnd type="triangle" w="med" len="med"/>
                        </a:ln>
                      </wps:spPr>
                      <wps:bodyPr/>
                    </wps:wsp>
                  </a:graphicData>
                </a:graphic>
              </wp:anchor>
            </w:drawing>
          </mc:Choice>
          <mc:Fallback>
            <w:pict>
              <v:shape id="直接箭头连接符 210" o:spid="_x0000_s1026" o:spt="32" type="#_x0000_t32" style="position:absolute;left:0pt;margin-left:245.45pt;margin-top:366.05pt;height:18.85pt;width:0pt;z-index:251663360;mso-width-relative:page;mso-height-relative:page;" filled="f" stroked="t" coordsize="21600,21600" o:gfxdata="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8h6tgAAAALAQAADwAAAAAAAAAB&#10;ACAAAAAiAAAAZHJzL2Rvd25yZXYueG1sUEsBAhQAFAAAAAgAh07iQGKFWygQAgAA5QMAAA4AAAAA&#10;AAAAAQAgAAAAJwEAAGRycy9lMm9Eb2MueG1sUEsFBgAAAAAGAAYAWQEAAKkFAAAAAA==&#10;">
                <v:fill on="f" focussize="0,0"/>
                <v:stroke weight="1pt" color="#000000 [3229]" miterlimit="8" joinstyle="miter"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3132455</wp:posOffset>
                </wp:positionH>
                <wp:positionV relativeFrom="paragraph">
                  <wp:posOffset>2268220</wp:posOffset>
                </wp:positionV>
                <wp:extent cx="0" cy="151765"/>
                <wp:effectExtent l="6350" t="0" r="12700" b="635"/>
                <wp:wrapNone/>
                <wp:docPr id="993"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12700">
                          <a:solidFill>
                            <a:schemeClr val="tx1">
                              <a:lumMod val="100000"/>
                              <a:lumOff val="0"/>
                            </a:schemeClr>
                          </a:solidFill>
                          <a:miter lim="800000"/>
                        </a:ln>
                      </wps:spPr>
                      <wps:bodyPr/>
                    </wps:wsp>
                  </a:graphicData>
                </a:graphic>
              </wp:anchor>
            </w:drawing>
          </mc:Choice>
          <mc:Fallback>
            <w:pict>
              <v:line id="直接连接符 12" o:spid="_x0000_s1026" o:spt="20" style="position:absolute;left:0pt;margin-left:246.65pt;margin-top:178.6pt;height:11.95pt;width:0pt;z-index:251662336;mso-width-relative:page;mso-height-relative:page;" filled="f" stroked="t" coordsize="21600,21600" o:gfxdata="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SfRvNkA&#10;AAALAQAADwAAAAAAAAABACAAAAAiAAAAZHJzL2Rvd25yZXYueG1sUEsBAhQAFAAAAAgAh07iQPwx&#10;CCTlAQAAogMAAA4AAAAAAAAAAQAgAAAAKAEAAGRycy9lMm9Eb2MueG1sUEsFBgAAAAAGAAYAWQEA&#10;AH8FAAAAAA==&#10;">
                <v:fill on="f" focussize="0,0"/>
                <v:stroke weight="1pt" color="#000000 [3229]" miterlimit="8" joinstyle="miter"/>
                <v:imagedata o:title=""/>
                <o:lock v:ext="edit" aspectratio="f"/>
              </v:line>
            </w:pict>
          </mc:Fallback>
        </mc:AlternateContent>
      </w:r>
      <w:r>
        <mc:AlternateContent>
          <mc:Choice Requires="wpg">
            <w:drawing>
              <wp:inline distT="0" distB="0" distL="114300" distR="114300">
                <wp:extent cx="4926965" cy="6256655"/>
                <wp:effectExtent l="4445" t="4445" r="21590" b="6350"/>
                <wp:docPr id="224" name="Group 112"/>
                <wp:cNvGraphicFramePr/>
                <a:graphic xmlns:a="http://schemas.openxmlformats.org/drawingml/2006/main">
                  <a:graphicData uri="http://schemas.microsoft.com/office/word/2010/wordprocessingGroup">
                    <wpg:wgp>
                      <wpg:cNvGrpSpPr/>
                      <wpg:grpSpPr>
                        <a:xfrm>
                          <a:off x="0" y="0"/>
                          <a:ext cx="4926965" cy="6256655"/>
                          <a:chOff x="2302" y="4620"/>
                          <a:chExt cx="7759" cy="9853"/>
                        </a:xfrm>
                      </wpg:grpSpPr>
                      <wpg:grpSp>
                        <wpg:cNvPr id="225" name="Group 110"/>
                        <wpg:cNvGrpSpPr/>
                        <wpg:grpSpPr>
                          <a:xfrm>
                            <a:off x="2302" y="8315"/>
                            <a:ext cx="7759" cy="6158"/>
                            <a:chOff x="2302" y="8315"/>
                            <a:chExt cx="7759" cy="6158"/>
                          </a:xfrm>
                        </wpg:grpSpPr>
                        <wpg:grpSp>
                          <wpg:cNvPr id="226" name="Group 109"/>
                          <wpg:cNvGrpSpPr/>
                          <wpg:grpSpPr>
                            <a:xfrm>
                              <a:off x="3559" y="12205"/>
                              <a:ext cx="6158" cy="2268"/>
                              <a:chOff x="3559" y="12205"/>
                              <a:chExt cx="6158" cy="2268"/>
                            </a:xfrm>
                          </wpg:grpSpPr>
                          <wps:wsp>
                            <wps:cNvPr id="227" name="文本框 211"/>
                            <wps:cNvSpPr txBox="1">
                              <a:spLocks noChangeArrowheads="1"/>
                            </wps:cNvSpPr>
                            <wps:spPr bwMode="auto">
                              <a:xfrm>
                                <a:off x="3559" y="12205"/>
                                <a:ext cx="6158" cy="1464"/>
                              </a:xfrm>
                              <a:prstGeom prst="rect">
                                <a:avLst/>
                              </a:prstGeom>
                              <a:solidFill>
                                <a:schemeClr val="lt1">
                                  <a:lumMod val="100000"/>
                                  <a:lumOff val="0"/>
                                </a:schemeClr>
                              </a:solidFill>
                              <a:ln w="6350">
                                <a:solidFill>
                                  <a:srgbClr val="000000"/>
                                </a:solidFill>
                                <a:miter lim="800000"/>
                              </a:ln>
                            </wps:spPr>
                            <wps:txbx>
                              <w:txbxContent>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规划文本</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说明书</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附件</w:t>
                                  </w:r>
                                </w:p>
                              </w:txbxContent>
                            </wps:txbx>
                            <wps:bodyPr rot="0" vert="horz" wrap="square" lIns="91440" tIns="45720" rIns="91440" bIns="45720" anchor="t" anchorCtr="0" upright="1">
                              <a:noAutofit/>
                            </wps:bodyPr>
                          </wps:wsp>
                          <wps:wsp>
                            <wps:cNvPr id="228" name="直接箭头连接符 212"/>
                            <wps:cNvCnPr>
                              <a:cxnSpLocks noChangeShapeType="1"/>
                            </wps:cNvCnPr>
                            <wps:spPr bwMode="auto">
                              <a:xfrm>
                                <a:off x="6622" y="13655"/>
                                <a:ext cx="0" cy="343"/>
                              </a:xfrm>
                              <a:prstGeom prst="straightConnector1">
                                <a:avLst/>
                              </a:prstGeom>
                              <a:noFill/>
                              <a:ln w="12700">
                                <a:solidFill>
                                  <a:schemeClr val="tx1">
                                    <a:lumMod val="100000"/>
                                    <a:lumOff val="0"/>
                                  </a:schemeClr>
                                </a:solidFill>
                                <a:miter lim="800000"/>
                                <a:tailEnd type="triangle" w="med" len="med"/>
                              </a:ln>
                            </wps:spPr>
                            <wps:bodyPr/>
                          </wps:wsp>
                          <wps:wsp>
                            <wps:cNvPr id="229" name="文本框 2"/>
                            <wps:cNvSpPr txBox="1">
                              <a:spLocks noChangeArrowheads="1"/>
                            </wps:cNvSpPr>
                            <wps:spPr bwMode="auto">
                              <a:xfrm>
                                <a:off x="5205" y="13990"/>
                                <a:ext cx="2826"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规划审核报批</w:t>
                                  </w:r>
                                </w:p>
                              </w:txbxContent>
                            </wps:txbx>
                            <wps:bodyPr rot="0" vert="horz" wrap="square" lIns="0" tIns="0" rIns="0" bIns="0" anchor="t" anchorCtr="0" upright="1">
                              <a:spAutoFit/>
                            </wps:bodyPr>
                          </wps:wsp>
                        </wpg:grpSp>
                        <wpg:grpSp>
                          <wpg:cNvPr id="230" name="组合 208"/>
                          <wpg:cNvGrpSpPr/>
                          <wpg:grpSpPr>
                            <a:xfrm>
                              <a:off x="2302" y="8315"/>
                              <a:ext cx="7759" cy="3557"/>
                              <a:chOff x="0" y="0"/>
                              <a:chExt cx="49266" cy="22587"/>
                            </a:xfrm>
                          </wpg:grpSpPr>
                          <wpg:grpSp>
                            <wpg:cNvPr id="231" name="组合 207"/>
                            <wpg:cNvGrpSpPr/>
                            <wpg:grpSpPr>
                              <a:xfrm>
                                <a:off x="0" y="0"/>
                                <a:ext cx="49266" cy="20057"/>
                                <a:chOff x="0" y="0"/>
                                <a:chExt cx="49266" cy="20057"/>
                              </a:xfrm>
                            </wpg:grpSpPr>
                            <wps:wsp>
                              <wps:cNvPr id="232" name="直接连接符 13"/>
                              <wps:cNvCnPr>
                                <a:cxnSpLocks noChangeShapeType="1"/>
                              </wps:cNvCnPr>
                              <wps:spPr bwMode="auto">
                                <a:xfrm>
                                  <a:off x="1705" y="68"/>
                                  <a:ext cx="45853" cy="335"/>
                                </a:xfrm>
                                <a:prstGeom prst="line">
                                  <a:avLst/>
                                </a:prstGeom>
                                <a:noFill/>
                                <a:ln w="12700">
                                  <a:solidFill>
                                    <a:schemeClr val="tx1">
                                      <a:lumMod val="100000"/>
                                      <a:lumOff val="0"/>
                                    </a:schemeClr>
                                  </a:solidFill>
                                  <a:miter lim="800000"/>
                                </a:ln>
                              </wps:spPr>
                              <wps:bodyPr/>
                            </wps:wsp>
                            <wpg:grpSp>
                              <wpg:cNvPr id="233" name="组合 16"/>
                              <wpg:cNvGrpSpPr/>
                              <wpg:grpSpPr>
                                <a:xfrm>
                                  <a:off x="0" y="0"/>
                                  <a:ext cx="3410" cy="12760"/>
                                  <a:chOff x="0" y="0"/>
                                  <a:chExt cx="3410" cy="12760"/>
                                </a:xfrm>
                              </wpg:grpSpPr>
                              <wps:wsp>
                                <wps:cNvPr id="234" name="直接箭头连接符 14"/>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35" name="文本框 15"/>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jc w:val="left"/>
                                        <w:rPr>
                                          <w:sz w:val="24"/>
                                          <w:szCs w:val="24"/>
                                        </w:rPr>
                                      </w:pPr>
                                      <w:r>
                                        <w:rPr>
                                          <w:rFonts w:hint="eastAsia"/>
                                          <w:sz w:val="24"/>
                                          <w:szCs w:val="24"/>
                                        </w:rPr>
                                        <w:t>规划范围</w:t>
                                      </w:r>
                                    </w:p>
                                  </w:txbxContent>
                                </wps:txbx>
                                <wps:bodyPr rot="0" vert="eaVert" wrap="square" lIns="0" tIns="216000" rIns="0" bIns="0" anchor="t" anchorCtr="0" upright="1">
                                  <a:noAutofit/>
                                </wps:bodyPr>
                              </wps:wsp>
                            </wpg:grpSp>
                            <wpg:grpSp>
                              <wpg:cNvPr id="236" name="组合 17"/>
                              <wpg:cNvGrpSpPr/>
                              <wpg:grpSpPr>
                                <a:xfrm>
                                  <a:off x="6346" y="136"/>
                                  <a:ext cx="3410" cy="12757"/>
                                  <a:chOff x="0" y="0"/>
                                  <a:chExt cx="3410" cy="12760"/>
                                </a:xfrm>
                              </wpg:grpSpPr>
                              <wps:wsp>
                                <wps:cNvPr id="237" name="直接箭头连接符 18"/>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38" name="文本框 19"/>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规划期限 </w:t>
                                      </w:r>
                                    </w:p>
                                  </w:txbxContent>
                                </wps:txbx>
                                <wps:bodyPr rot="0" vert="eaVert" wrap="square" lIns="0" tIns="216000" rIns="0" bIns="0" anchor="t" anchorCtr="0" upright="1">
                                  <a:noAutofit/>
                                </wps:bodyPr>
                              </wps:wsp>
                            </wpg:grpSp>
                            <wpg:grpSp>
                              <wpg:cNvPr id="239" name="组合 20"/>
                              <wpg:cNvGrpSpPr/>
                              <wpg:grpSpPr>
                                <a:xfrm>
                                  <a:off x="12965" y="136"/>
                                  <a:ext cx="3410" cy="12761"/>
                                  <a:chOff x="0" y="0"/>
                                  <a:chExt cx="3410" cy="12760"/>
                                </a:xfrm>
                              </wpg:grpSpPr>
                              <wps:wsp>
                                <wps:cNvPr id="240" name="直接箭头连接符 21"/>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41" name="文本框 22"/>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规划目标 </w:t>
                                      </w:r>
                                    </w:p>
                                  </w:txbxContent>
                                </wps:txbx>
                                <wps:bodyPr rot="0" vert="eaVert" wrap="square" lIns="0" tIns="216000" rIns="0" bIns="0" anchor="t" anchorCtr="0" upright="1">
                                  <a:noAutofit/>
                                </wps:bodyPr>
                              </wps:wsp>
                            </wpg:grpSp>
                            <wpg:grpSp>
                              <wpg:cNvPr id="242" name="组合 23"/>
                              <wpg:cNvGrpSpPr/>
                              <wpg:grpSpPr>
                                <a:xfrm>
                                  <a:off x="20062" y="272"/>
                                  <a:ext cx="3410" cy="14877"/>
                                  <a:chOff x="0" y="0"/>
                                  <a:chExt cx="3410" cy="14880"/>
                                </a:xfrm>
                              </wpg:grpSpPr>
                              <wps:wsp>
                                <wps:cNvPr id="243" name="直接箭头连接符 24"/>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44" name="文本框 25"/>
                                <wps:cNvSpPr txBox="1">
                                  <a:spLocks noChangeArrowheads="1"/>
                                </wps:cNvSpPr>
                                <wps:spPr bwMode="auto">
                                  <a:xfrm>
                                    <a:off x="0" y="2114"/>
                                    <a:ext cx="3410" cy="12766"/>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处理设施建设</w:t>
                                      </w:r>
                                    </w:p>
                                  </w:txbxContent>
                                </wps:txbx>
                                <wps:bodyPr rot="0" vert="eaVert" wrap="square" lIns="0" tIns="216000" rIns="0" bIns="0" anchor="t" anchorCtr="0" upright="1">
                                  <a:noAutofit/>
                                </wps:bodyPr>
                              </wps:wsp>
                            </wpg:grpSp>
                            <wpg:grpSp>
                              <wpg:cNvPr id="245" name="组合 26"/>
                              <wpg:cNvGrpSpPr/>
                              <wpg:grpSpPr>
                                <a:xfrm>
                                  <a:off x="26135" y="341"/>
                                  <a:ext cx="3410" cy="12757"/>
                                  <a:chOff x="0" y="0"/>
                                  <a:chExt cx="3410" cy="12760"/>
                                </a:xfrm>
                              </wpg:grpSpPr>
                              <wps:wsp>
                                <wps:cNvPr id="246" name="直接箭头连接符 27"/>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47" name="文本框 28"/>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运维管理</w:t>
                                      </w:r>
                                    </w:p>
                                  </w:txbxContent>
                                </wps:txbx>
                                <wps:bodyPr rot="0" vert="eaVert" wrap="square" lIns="0" tIns="216000" rIns="0" bIns="0" anchor="t" anchorCtr="0" upright="1">
                                  <a:noAutofit/>
                                </wps:bodyPr>
                              </wps:wsp>
                            </wpg:grpSp>
                            <wpg:grpSp>
                              <wpg:cNvPr id="248" name="组合 29"/>
                              <wpg:cNvGrpSpPr/>
                              <wpg:grpSpPr>
                                <a:xfrm>
                                  <a:off x="32618" y="341"/>
                                  <a:ext cx="3410" cy="19716"/>
                                  <a:chOff x="0" y="0"/>
                                  <a:chExt cx="3410" cy="19721"/>
                                </a:xfrm>
                              </wpg:grpSpPr>
                              <wps:wsp>
                                <wps:cNvPr id="249" name="直接箭头连接符 30"/>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50" name="文本框 31"/>
                                <wps:cNvSpPr txBox="1">
                                  <a:spLocks noChangeArrowheads="1"/>
                                </wps:cNvSpPr>
                                <wps:spPr bwMode="auto">
                                  <a:xfrm>
                                    <a:off x="0" y="2114"/>
                                    <a:ext cx="3410" cy="17607"/>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工程</w:t>
                                      </w:r>
                                      <w:r>
                                        <w:rPr>
                                          <w:sz w:val="24"/>
                                          <w:szCs w:val="24"/>
                                        </w:rPr>
                                        <w:t>估算与资金筹措</w:t>
                                      </w:r>
                                      <w:r>
                                        <w:rPr>
                                          <w:rFonts w:hint="eastAsia"/>
                                          <w:sz w:val="24"/>
                                          <w:szCs w:val="24"/>
                                        </w:rPr>
                                        <w:t xml:space="preserve"> </w:t>
                                      </w:r>
                                    </w:p>
                                  </w:txbxContent>
                                </wps:txbx>
                                <wps:bodyPr rot="0" vert="eaVert" wrap="square" lIns="0" tIns="216000" rIns="0" bIns="0" anchor="t" anchorCtr="0" upright="1">
                                  <a:noAutofit/>
                                </wps:bodyPr>
                              </wps:wsp>
                            </wpg:grpSp>
                            <wpg:grpSp>
                              <wpg:cNvPr id="251" name="组合 192"/>
                              <wpg:cNvGrpSpPr/>
                              <wpg:grpSpPr>
                                <a:xfrm>
                                  <a:off x="45856" y="341"/>
                                  <a:ext cx="3410" cy="12760"/>
                                  <a:chOff x="0" y="0"/>
                                  <a:chExt cx="3410" cy="12760"/>
                                </a:xfrm>
                              </wpg:grpSpPr>
                              <wps:wsp>
                                <wps:cNvPr id="252" name="直接箭头连接符 193"/>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53" name="文本框 194"/>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保障措施</w:t>
                                      </w:r>
                                    </w:p>
                                  </w:txbxContent>
                                </wps:txbx>
                                <wps:bodyPr rot="0" vert="eaVert" wrap="square" lIns="0" tIns="216000" rIns="0" bIns="0" anchor="t" anchorCtr="0" upright="1">
                                  <a:noAutofit/>
                                </wps:bodyPr>
                              </wps:wsp>
                            </wpg:grpSp>
                            <wpg:grpSp>
                              <wpg:cNvPr id="254" name="组合 195"/>
                              <wpg:cNvGrpSpPr/>
                              <wpg:grpSpPr>
                                <a:xfrm>
                                  <a:off x="38896" y="409"/>
                                  <a:ext cx="3410" cy="12761"/>
                                  <a:chOff x="0" y="0"/>
                                  <a:chExt cx="3410" cy="12760"/>
                                </a:xfrm>
                              </wpg:grpSpPr>
                              <wps:wsp>
                                <wps:cNvPr id="255" name="直接箭头连接符 196"/>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56" name="文本框 197"/>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效益分析 </w:t>
                                      </w:r>
                                    </w:p>
                                  </w:txbxContent>
                                </wps:txbx>
                                <wps:bodyPr rot="0" vert="eaVert" wrap="square" lIns="0" tIns="216000" rIns="0" bIns="0" anchor="t" anchorCtr="0" upright="1">
                                  <a:noAutofit/>
                                </wps:bodyPr>
                              </wps:wsp>
                            </wpg:grpSp>
                          </wpg:grpSp>
                          <wps:wsp>
                            <wps:cNvPr id="257" name="直接连接符 198"/>
                            <wps:cNvCnPr>
                              <a:cxnSpLocks noChangeShapeType="1"/>
                            </wps:cNvCnPr>
                            <wps:spPr bwMode="auto">
                              <a:xfrm>
                                <a:off x="34392" y="20062"/>
                                <a:ext cx="0" cy="2392"/>
                              </a:xfrm>
                              <a:prstGeom prst="line">
                                <a:avLst/>
                              </a:prstGeom>
                              <a:noFill/>
                              <a:ln w="12700">
                                <a:solidFill>
                                  <a:schemeClr val="tx1">
                                    <a:lumMod val="100000"/>
                                    <a:lumOff val="0"/>
                                  </a:schemeClr>
                                </a:solidFill>
                                <a:miter lim="800000"/>
                              </a:ln>
                            </wps:spPr>
                            <wps:bodyPr/>
                          </wps:wsp>
                          <wps:wsp>
                            <wps:cNvPr id="258" name="直接连接符 199"/>
                            <wps:cNvCnPr>
                              <a:cxnSpLocks noChangeShapeType="1"/>
                            </wps:cNvCnPr>
                            <wps:spPr bwMode="auto">
                              <a:xfrm flipH="1">
                                <a:off x="1433" y="12760"/>
                                <a:ext cx="136" cy="9554"/>
                              </a:xfrm>
                              <a:prstGeom prst="line">
                                <a:avLst/>
                              </a:prstGeom>
                              <a:noFill/>
                              <a:ln w="12700">
                                <a:solidFill>
                                  <a:schemeClr val="tx1">
                                    <a:lumMod val="100000"/>
                                    <a:lumOff val="0"/>
                                  </a:schemeClr>
                                </a:solidFill>
                                <a:miter lim="800000"/>
                              </a:ln>
                            </wps:spPr>
                            <wps:bodyPr/>
                          </wps:wsp>
                          <wps:wsp>
                            <wps:cNvPr id="259" name="直接连接符 200"/>
                            <wps:cNvCnPr>
                              <a:cxnSpLocks noChangeShapeType="1"/>
                            </wps:cNvCnPr>
                            <wps:spPr bwMode="auto">
                              <a:xfrm>
                                <a:off x="1433" y="22382"/>
                                <a:ext cx="46129" cy="205"/>
                              </a:xfrm>
                              <a:prstGeom prst="line">
                                <a:avLst/>
                              </a:prstGeom>
                              <a:noFill/>
                              <a:ln w="12700">
                                <a:solidFill>
                                  <a:schemeClr val="tx1">
                                    <a:lumMod val="100000"/>
                                    <a:lumOff val="0"/>
                                  </a:schemeClr>
                                </a:solidFill>
                                <a:miter lim="800000"/>
                              </a:ln>
                            </wps:spPr>
                            <wps:bodyPr/>
                          </wps:wsp>
                          <wps:wsp>
                            <wps:cNvPr id="260" name="直接连接符 201"/>
                            <wps:cNvCnPr>
                              <a:cxnSpLocks noChangeShapeType="1"/>
                            </wps:cNvCnPr>
                            <wps:spPr bwMode="auto">
                              <a:xfrm flipH="1">
                                <a:off x="7915" y="12828"/>
                                <a:ext cx="137" cy="9554"/>
                              </a:xfrm>
                              <a:prstGeom prst="line">
                                <a:avLst/>
                              </a:prstGeom>
                              <a:noFill/>
                              <a:ln w="12700">
                                <a:solidFill>
                                  <a:schemeClr val="tx1">
                                    <a:lumMod val="100000"/>
                                    <a:lumOff val="0"/>
                                  </a:schemeClr>
                                </a:solidFill>
                                <a:miter lim="800000"/>
                              </a:ln>
                            </wps:spPr>
                            <wps:bodyPr/>
                          </wps:wsp>
                          <wps:wsp>
                            <wps:cNvPr id="261" name="直接连接符 202"/>
                            <wps:cNvCnPr>
                              <a:cxnSpLocks noChangeShapeType="1"/>
                            </wps:cNvCnPr>
                            <wps:spPr bwMode="auto">
                              <a:xfrm flipH="1">
                                <a:off x="14466" y="12828"/>
                                <a:ext cx="137" cy="9554"/>
                              </a:xfrm>
                              <a:prstGeom prst="line">
                                <a:avLst/>
                              </a:prstGeom>
                              <a:noFill/>
                              <a:ln w="12700">
                                <a:solidFill>
                                  <a:schemeClr val="tx1">
                                    <a:lumMod val="100000"/>
                                    <a:lumOff val="0"/>
                                  </a:schemeClr>
                                </a:solidFill>
                                <a:miter lim="800000"/>
                              </a:ln>
                            </wps:spPr>
                            <wps:bodyPr/>
                          </wps:wsp>
                          <wps:wsp>
                            <wps:cNvPr id="262" name="直接连接符 203"/>
                            <wps:cNvCnPr>
                              <a:cxnSpLocks noChangeShapeType="1"/>
                            </wps:cNvCnPr>
                            <wps:spPr bwMode="auto">
                              <a:xfrm flipH="1">
                                <a:off x="27636" y="13170"/>
                                <a:ext cx="135" cy="9415"/>
                              </a:xfrm>
                              <a:prstGeom prst="line">
                                <a:avLst/>
                              </a:prstGeom>
                              <a:noFill/>
                              <a:ln w="12700">
                                <a:solidFill>
                                  <a:schemeClr val="tx1">
                                    <a:lumMod val="100000"/>
                                    <a:lumOff val="0"/>
                                  </a:schemeClr>
                                </a:solidFill>
                                <a:miter lim="800000"/>
                              </a:ln>
                            </wps:spPr>
                            <wps:bodyPr/>
                          </wps:wsp>
                          <wps:wsp>
                            <wps:cNvPr id="263" name="直接连接符 204"/>
                            <wps:cNvCnPr>
                              <a:cxnSpLocks noChangeShapeType="1"/>
                            </wps:cNvCnPr>
                            <wps:spPr bwMode="auto">
                              <a:xfrm flipH="1">
                                <a:off x="40465" y="13170"/>
                                <a:ext cx="64" cy="9207"/>
                              </a:xfrm>
                              <a:prstGeom prst="line">
                                <a:avLst/>
                              </a:prstGeom>
                              <a:noFill/>
                              <a:ln w="12700">
                                <a:solidFill>
                                  <a:schemeClr val="tx1">
                                    <a:lumMod val="100000"/>
                                    <a:lumOff val="0"/>
                                  </a:schemeClr>
                                </a:solidFill>
                                <a:miter lim="800000"/>
                              </a:ln>
                            </wps:spPr>
                            <wps:bodyPr/>
                          </wps:wsp>
                          <wps:wsp>
                            <wps:cNvPr id="264" name="直接连接符 205"/>
                            <wps:cNvCnPr>
                              <a:cxnSpLocks noChangeShapeType="1"/>
                            </wps:cNvCnPr>
                            <wps:spPr bwMode="auto">
                              <a:xfrm flipH="1">
                                <a:off x="47494" y="13101"/>
                                <a:ext cx="60" cy="9484"/>
                              </a:xfrm>
                              <a:prstGeom prst="line">
                                <a:avLst/>
                              </a:prstGeom>
                              <a:noFill/>
                              <a:ln w="12700">
                                <a:solidFill>
                                  <a:schemeClr val="tx1">
                                    <a:lumMod val="100000"/>
                                    <a:lumOff val="0"/>
                                  </a:schemeClr>
                                </a:solidFill>
                                <a:miter lim="800000"/>
                              </a:ln>
                            </wps:spPr>
                            <wps:bodyPr/>
                          </wps:wsp>
                          <wps:wsp>
                            <wps:cNvPr id="265" name="直接连接符 206"/>
                            <wps:cNvCnPr>
                              <a:cxnSpLocks noChangeShapeType="1"/>
                            </wps:cNvCnPr>
                            <wps:spPr bwMode="auto">
                              <a:xfrm flipH="1">
                                <a:off x="21631" y="15149"/>
                                <a:ext cx="0" cy="7162"/>
                              </a:xfrm>
                              <a:prstGeom prst="line">
                                <a:avLst/>
                              </a:prstGeom>
                              <a:noFill/>
                              <a:ln w="12700">
                                <a:solidFill>
                                  <a:schemeClr val="tx1">
                                    <a:lumMod val="100000"/>
                                    <a:lumOff val="0"/>
                                  </a:schemeClr>
                                </a:solidFill>
                                <a:miter lim="800000"/>
                              </a:ln>
                            </wps:spPr>
                            <wps:bodyPr/>
                          </wps:wsp>
                        </wpg:grpSp>
                      </wpg:grpSp>
                      <wpg:grpSp>
                        <wpg:cNvPr id="266" name="Group 111"/>
                        <wpg:cNvGrpSpPr/>
                        <wpg:grpSpPr>
                          <a:xfrm>
                            <a:off x="5268" y="4620"/>
                            <a:ext cx="2837" cy="3404"/>
                            <a:chOff x="5268" y="4620"/>
                            <a:chExt cx="2837" cy="3404"/>
                          </a:xfrm>
                        </wpg:grpSpPr>
                        <wps:wsp>
                          <wps:cNvPr id="267" name="文本框 2"/>
                          <wps:cNvSpPr txBox="1">
                            <a:spLocks noChangeArrowheads="1"/>
                          </wps:cNvSpPr>
                          <wps:spPr bwMode="auto">
                            <a:xfrm>
                              <a:off x="5312" y="4620"/>
                              <a:ext cx="2752" cy="483"/>
                            </a:xfrm>
                            <a:prstGeom prst="rect">
                              <a:avLst/>
                            </a:prstGeom>
                            <a:solidFill>
                              <a:srgbClr val="FFFFFF"/>
                            </a:solidFill>
                            <a:ln w="9525">
                              <a:solidFill>
                                <a:srgbClr val="000000"/>
                              </a:solidFill>
                              <a:miter lim="800000"/>
                            </a:ln>
                          </wps:spPr>
                          <wps:txbx>
                            <w:txbxContent>
                              <w:p>
                                <w:pPr>
                                  <w:ind w:firstLine="240" w:firstLineChars="100"/>
                                  <w:rPr>
                                    <w:sz w:val="24"/>
                                    <w:szCs w:val="24"/>
                                  </w:rPr>
                                </w:pPr>
                                <w:r>
                                  <w:rPr>
                                    <w:rFonts w:hint="eastAsia"/>
                                    <w:sz w:val="24"/>
                                    <w:szCs w:val="24"/>
                                  </w:rPr>
                                  <w:t>数据资料</w:t>
                                </w:r>
                                <w:r>
                                  <w:rPr>
                                    <w:sz w:val="24"/>
                                    <w:szCs w:val="24"/>
                                  </w:rPr>
                                  <w:t>收集与分析</w:t>
                                </w:r>
                              </w:p>
                            </w:txbxContent>
                          </wps:txbx>
                          <wps:bodyPr rot="0" vert="horz" wrap="square" lIns="0" tIns="0" rIns="0" bIns="0" anchor="t" anchorCtr="0" upright="1">
                            <a:spAutoFit/>
                          </wps:bodyPr>
                        </wps:wsp>
                        <wps:wsp>
                          <wps:cNvPr id="268" name="直接箭头连接符 3"/>
                          <wps:cNvCnPr>
                            <a:cxnSpLocks noChangeShapeType="1"/>
                          </wps:cNvCnPr>
                          <wps:spPr bwMode="auto">
                            <a:xfrm>
                              <a:off x="6676" y="5190"/>
                              <a:ext cx="1" cy="390"/>
                            </a:xfrm>
                            <a:prstGeom prst="straightConnector1">
                              <a:avLst/>
                            </a:prstGeom>
                            <a:noFill/>
                            <a:ln w="12700">
                              <a:solidFill>
                                <a:schemeClr val="tx1">
                                  <a:lumMod val="100000"/>
                                  <a:lumOff val="0"/>
                                </a:schemeClr>
                              </a:solidFill>
                              <a:miter lim="800000"/>
                              <a:tailEnd type="triangle" w="med" len="med"/>
                            </a:ln>
                          </wps:spPr>
                          <wps:bodyPr/>
                        </wps:wsp>
                        <wps:wsp>
                          <wps:cNvPr id="269" name="文本框 2"/>
                          <wps:cNvSpPr txBox="1">
                            <a:spLocks noChangeArrowheads="1"/>
                          </wps:cNvSpPr>
                          <wps:spPr bwMode="auto">
                            <a:xfrm>
                              <a:off x="5279" y="5580"/>
                              <a:ext cx="2772"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设施建设</w:t>
                                </w:r>
                                <w:r>
                                  <w:rPr>
                                    <w:sz w:val="24"/>
                                    <w:szCs w:val="24"/>
                                  </w:rPr>
                                  <w:t>需求分析</w:t>
                                </w:r>
                              </w:p>
                            </w:txbxContent>
                          </wps:txbx>
                          <wps:bodyPr rot="0" vert="horz" wrap="square" lIns="0" tIns="0" rIns="0" bIns="0" anchor="t" anchorCtr="0" upright="1">
                            <a:spAutoFit/>
                          </wps:bodyPr>
                        </wps:wsp>
                        <wps:wsp>
                          <wps:cNvPr id="270" name="直接箭头连接符 7"/>
                          <wps:cNvCnPr>
                            <a:cxnSpLocks noChangeShapeType="1"/>
                          </wps:cNvCnPr>
                          <wps:spPr bwMode="auto">
                            <a:xfrm>
                              <a:off x="6676" y="6176"/>
                              <a:ext cx="1" cy="405"/>
                            </a:xfrm>
                            <a:prstGeom prst="straightConnector1">
                              <a:avLst/>
                            </a:prstGeom>
                            <a:noFill/>
                            <a:ln w="12700">
                              <a:solidFill>
                                <a:schemeClr val="tx1">
                                  <a:lumMod val="100000"/>
                                  <a:lumOff val="0"/>
                                </a:schemeClr>
                              </a:solidFill>
                              <a:miter lim="800000"/>
                              <a:tailEnd type="triangle" w="med" len="med"/>
                            </a:ln>
                          </wps:spPr>
                          <wps:bodyPr/>
                        </wps:wsp>
                        <wps:wsp>
                          <wps:cNvPr id="271" name="直接箭头连接符 9"/>
                          <wps:cNvCnPr>
                            <a:cxnSpLocks noChangeShapeType="1"/>
                          </wps:cNvCnPr>
                          <wps:spPr bwMode="auto">
                            <a:xfrm>
                              <a:off x="6676" y="7150"/>
                              <a:ext cx="1" cy="404"/>
                            </a:xfrm>
                            <a:prstGeom prst="straightConnector1">
                              <a:avLst/>
                            </a:prstGeom>
                            <a:noFill/>
                            <a:ln w="12700">
                              <a:solidFill>
                                <a:schemeClr val="tx1">
                                  <a:lumMod val="100000"/>
                                  <a:lumOff val="0"/>
                                </a:schemeClr>
                              </a:solidFill>
                              <a:miter lim="800000"/>
                              <a:tailEnd type="triangle" w="med" len="med"/>
                            </a:ln>
                          </wps:spPr>
                          <wps:bodyPr/>
                        </wps:wsp>
                        <wps:wsp>
                          <wps:cNvPr id="272" name="文本框 2"/>
                          <wps:cNvSpPr txBox="1">
                            <a:spLocks noChangeArrowheads="1"/>
                          </wps:cNvSpPr>
                          <wps:spPr bwMode="auto">
                            <a:xfrm>
                              <a:off x="5279" y="6569"/>
                              <a:ext cx="2826"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实地调查</w:t>
                                </w:r>
                                <w:r>
                                  <w:rPr>
                                    <w:sz w:val="24"/>
                                    <w:szCs w:val="24"/>
                                  </w:rPr>
                                  <w:t>与污染源调查</w:t>
                                </w:r>
                              </w:p>
                            </w:txbxContent>
                          </wps:txbx>
                          <wps:bodyPr rot="0" vert="horz" wrap="square" lIns="0" tIns="0" rIns="0" bIns="0" anchor="t" anchorCtr="0" upright="1">
                            <a:spAutoFit/>
                          </wps:bodyPr>
                        </wps:wsp>
                        <wps:wsp>
                          <wps:cNvPr id="273" name="文本框 2"/>
                          <wps:cNvSpPr txBox="1">
                            <a:spLocks noChangeArrowheads="1"/>
                          </wps:cNvSpPr>
                          <wps:spPr bwMode="auto">
                            <a:xfrm>
                              <a:off x="5268" y="7541"/>
                              <a:ext cx="2826" cy="483"/>
                            </a:xfrm>
                            <a:prstGeom prst="rect">
                              <a:avLst/>
                            </a:prstGeom>
                            <a:solidFill>
                              <a:srgbClr val="FFFFFF"/>
                            </a:solidFill>
                            <a:ln w="9525">
                              <a:solidFill>
                                <a:srgbClr val="000000"/>
                              </a:solidFill>
                              <a:miter lim="800000"/>
                            </a:ln>
                          </wps:spPr>
                          <wps:txbx>
                            <w:txbxContent>
                              <w:p>
                                <w:pPr>
                                  <w:ind w:firstLine="240" w:firstLineChars="100"/>
                                  <w:rPr>
                                    <w:sz w:val="24"/>
                                    <w:szCs w:val="24"/>
                                  </w:rPr>
                                </w:pPr>
                                <w:r>
                                  <w:rPr>
                                    <w:rFonts w:hint="eastAsia"/>
                                    <w:sz w:val="24"/>
                                    <w:szCs w:val="24"/>
                                  </w:rPr>
                                  <w:t>建设</w:t>
                                </w:r>
                                <w:r>
                                  <w:rPr>
                                    <w:sz w:val="24"/>
                                    <w:szCs w:val="24"/>
                                  </w:rPr>
                                  <w:t>规模与规划目标</w:t>
                                </w:r>
                              </w:p>
                            </w:txbxContent>
                          </wps:txbx>
                          <wps:bodyPr rot="0" vert="horz" wrap="square" lIns="0" tIns="0" rIns="0" bIns="0" anchor="t" anchorCtr="0" upright="1">
                            <a:spAutoFit/>
                          </wps:bodyPr>
                        </wps:wsp>
                      </wpg:grpSp>
                    </wpg:wgp>
                  </a:graphicData>
                </a:graphic>
              </wp:inline>
            </w:drawing>
          </mc:Choice>
          <mc:Fallback>
            <w:pict>
              <v:group id="Group 112" o:spid="_x0000_s1026" o:spt="203" style="height:492.65pt;width:387.95pt;" coordorigin="2302,4620" coordsize="7759,9853" o:gfxdata="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">
                <o:lock v:ext="edit" aspectratio="f"/>
                <v:group id="Group 110" o:spid="_x0000_s1026" o:spt="203" style="position:absolute;left:2302;top:8315;height:6158;width:7759;" coordorigin="2302,8315" coordsize="7759,6158" o:gfxdata="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19A1W+AAAA3AAAAA8AAAAAAAAAAQAgAAAAIgAAAGRycy9kb3ducmV2Lnht&#10;bFBLAQIUABQAAAAIAIdO4kAzLwWeOwAAADkAAAAVAAAAAAAAAAEAIAAAAA0BAABkcnMvZ3JvdXBz&#10;aGFwZXhtbC54bWxQSwUGAAAAAAYABgBgAQAAygMAAAAA&#10;">
                  <o:lock v:ext="edit" aspectratio="f"/>
                  <v:group id="Group 109" o:spid="_x0000_s1026" o:spt="203" style="position:absolute;left:3559;top:12205;height:2268;width:6158;" coordorigin="3559,12205" coordsize="6158,2268"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shape id="文本框 211" o:spid="_x0000_s1026" o:spt="202" type="#_x0000_t202" style="position:absolute;left:3559;top:12205;height:1464;width:6158;" fillcolor="#FFFFFF [3217]" filled="t" stroked="t" coordsize="21600,21600" o:gfxdata="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3bNetwAAANwAAAAP&#10;AAAAAAAAAAEAIAAAACIAAABkcnMvZG93bnJldi54bWxQSwECFAAUAAAACACHTuJAMy8FnjsAAAA5&#10;AAAAEAAAAAAAAAABACAAAAAGAQAAZHJzL3NoYXBleG1sLnhtbFBLBQYAAAAABgAGAFsBAACwAwAA&#10;AAA=&#10;">
                      <v:fill on="t" focussize="0,0"/>
                      <v:stroke weight="0.5pt" color="#000000" miterlimit="8" joinstyle="miter"/>
                      <v:imagedata o:title=""/>
                      <o:lock v:ext="edit" aspectratio="f"/>
                      <v:textbox>
                        <w:txbxContent>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规划文本</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说明书</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附件</w:t>
                            </w:r>
                          </w:p>
                        </w:txbxContent>
                      </v:textbox>
                    </v:shape>
                    <v:shape id="直接箭头连接符 212" o:spid="_x0000_s1026" o:spt="32" type="#_x0000_t32" style="position:absolute;left:6622;top:13655;height:343;width:0;" filled="f" stroked="t" coordsize="21600,21600" o:gfxdata="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hSpC8AAAA&#10;3A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 o:spid="_x0000_s1026" o:spt="202" type="#_x0000_t202" style="position:absolute;left:5205;top:13990;height:483;width:2826;" fillcolor="#FFFFFF" filled="t" stroked="t" coordsize="21600,21600" o:gfxdata="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Mwu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规划审核报批</w:t>
                            </w:r>
                          </w:p>
                        </w:txbxContent>
                      </v:textbox>
                    </v:shape>
                  </v:group>
                  <v:group id="组合 208" o:spid="_x0000_s1026" o:spt="203" style="position:absolute;left:2302;top:8315;height:3557;width:7759;" coordsize="49266,22587"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group id="组合 207" o:spid="_x0000_s1026" o:spt="203" style="position:absolute;left:0;top:0;height:20057;width:49266;" coordsize="49266,20057"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line id="直接连接符 13" o:spid="_x0000_s1026" o:spt="20" style="position:absolute;left:1705;top:68;height:335;width:45853;" filled="f" stroked="t" coordsize="21600,21600" o:gfxdata="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pn3S/&#10;AAAA3A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line>
                      <v:group id="组合 16" o:spid="_x0000_s1026" o:spt="203" style="position:absolute;left:0;top:0;height:12760;width:3410;" coordsize="3410,1276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shape id="直接箭头连接符 14" o:spid="_x0000_s1026" o:spt="32" type="#_x0000_t32" style="position:absolute;left:1637;top:0;flip:x;height:2115;width:68;" filled="f" stroked="t" coordsize="21600,21600" o:gfxdata="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6MZ7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15" o:spid="_x0000_s1026" o:spt="202" type="#_x0000_t202" style="position:absolute;left:0;top:2115;height:10645;width:3410;" fillcolor="#FFFFFF [3217]" filled="t" stroked="t" coordsize="21600,21600" o:gfxdata="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VLN7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jc w:val="left"/>
                                  <w:rPr>
                                    <w:sz w:val="24"/>
                                    <w:szCs w:val="24"/>
                                  </w:rPr>
                                </w:pPr>
                                <w:r>
                                  <w:rPr>
                                    <w:rFonts w:hint="eastAsia"/>
                                    <w:sz w:val="24"/>
                                    <w:szCs w:val="24"/>
                                  </w:rPr>
                                  <w:t>规划范围</w:t>
                                </w:r>
                              </w:p>
                            </w:txbxContent>
                          </v:textbox>
                        </v:shape>
                      </v:group>
                      <v:group id="组合 17" o:spid="_x0000_s1026" o:spt="203" style="position:absolute;left:6346;top:136;height:12757;width:3410;" coordsize="3410,12760"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shape id="直接箭头连接符 18" o:spid="_x0000_s1026" o:spt="32" type="#_x0000_t32" style="position:absolute;left:1637;top:0;flip:x;height:2115;width:68;" filled="f" stroked="t" coordsize="21600,21600" o:gfxdata="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wSE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19" o:spid="_x0000_s1026" o:spt="202" type="#_x0000_t202" style="position:absolute;left:0;top:2115;height:10645;width:3410;" fillcolor="#FFFFFF [3217]" filled="t" stroked="t" coordsize="21600,21600" o:gfxdata="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TkqbsAAADc&#10;AAAADwAAAAAAAAABACAAAAAiAAAAZHJzL2Rvd25yZXYueG1sUEsBAhQAFAAAAAgAh07iQDMvBZ47&#10;AAAAOQAAABAAAAAAAAAAAQAgAAAACgEAAGRycy9zaGFwZXhtbC54bWxQSwUGAAAAAAYABgBbAQAA&#10;tA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规划期限 </w:t>
                                </w:r>
                              </w:p>
                            </w:txbxContent>
                          </v:textbox>
                        </v:shape>
                      </v:group>
                      <v:group id="组合 20" o:spid="_x0000_s1026" o:spt="203" style="position:absolute;left:12965;top:136;height:12761;width:3410;" coordsize="3410,12760" o:gfxdata="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6Z+NvwAAANwAAAAPAAAAAAAAAAEAIAAAACIAAABkcnMvZG93bnJldi54&#10;bWxQSwECFAAUAAAACACHTuJAMy8FnjsAAAA5AAAAFQAAAAAAAAABACAAAAAOAQAAZHJzL2dyb3Vw&#10;c2hhcGV4bWwueG1sUEsFBgAAAAAGAAYAYAEAAMsDAAAAAA==&#10;">
                        <o:lock v:ext="edit" aspectratio="f"/>
                        <v:shape id="直接箭头连接符 21" o:spid="_x0000_s1026" o:spt="32" type="#_x0000_t32" style="position:absolute;left:1637;top:0;flip:x;height:2115;width:68;" filled="f" stroked="t" coordsize="21600,21600" o:gfxdata="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0P5GbsAAADc&#10;AAAADwAAAAAAAAABACAAAAAiAAAAZHJzL2Rvd25yZXYueG1sUEsBAhQAFAAAAAgAh07iQDMvBZ47&#10;AAAAOQAAABAAAAAAAAAAAQAgAAAACgEAAGRycy9zaGFwZXhtbC54bWxQSwUGAAAAAAYABgBbAQAA&#10;tAMAAAAA&#10;">
                          <v:fill on="f" focussize="0,0"/>
                          <v:stroke weight="1pt" color="#000000 [3229]" miterlimit="8" joinstyle="miter" endarrow="block"/>
                          <v:imagedata o:title=""/>
                          <o:lock v:ext="edit" aspectratio="f"/>
                        </v:shape>
                        <v:shape id="文本框 22" o:spid="_x0000_s1026" o:spt="202" type="#_x0000_t202" style="position:absolute;left:0;top:2115;height:10645;width:3410;" fillcolor="#FFFFFF [3217]" filled="t" stroked="t" coordsize="21600,21600" o:gfxdata="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g+Sb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规划目标 </w:t>
                                </w:r>
                              </w:p>
                            </w:txbxContent>
                          </v:textbox>
                        </v:shape>
                      </v:group>
                      <v:group id="组合 23" o:spid="_x0000_s1026" o:spt="203" style="position:absolute;left:20062;top:272;height:14877;width:3410;" coordsize="3410,14880"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shape id="直接箭头连接符 24" o:spid="_x0000_s1026" o:spt="32" type="#_x0000_t32" style="position:absolute;left:1637;top:0;flip:x;height:2115;width:68;" filled="f" stroked="t" coordsize="21600,21600" o:gfxdata="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Fnbr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25" o:spid="_x0000_s1026" o:spt="202" type="#_x0000_t202" style="position:absolute;left:0;top:2114;height:12766;width:3410;" fillcolor="#FFFFFF [3217]" filled="t" stroked="t" coordsize="21600,21600" o:gfxdata="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0b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处理设施建设</w:t>
                                </w:r>
                              </w:p>
                            </w:txbxContent>
                          </v:textbox>
                        </v:shape>
                      </v:group>
                      <v:group id="组合 26" o:spid="_x0000_s1026" o:spt="203" style="position:absolute;left:26135;top:341;height:12757;width:3410;" coordsize="3410,12760"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shape id="直接箭头连接符 27" o:spid="_x0000_s1026" o:spt="32" type="#_x0000_t32" style="position:absolute;left:1637;top:0;flip:x;height:2115;width:68;" filled="f" stroked="t" coordsize="21600,21600" o:gfxdata="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E9r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28" o:spid="_x0000_s1026" o:spt="202" type="#_x0000_t202" style="position:absolute;left:0;top:2115;height:10645;width:3410;" fillcolor="#FFFFFF [3217]" filled="t" stroked="t" coordsize="21600,21600" o:gfxdata="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0Dpr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运维管理</w:t>
                                </w:r>
                              </w:p>
                            </w:txbxContent>
                          </v:textbox>
                        </v:shape>
                      </v:group>
                      <v:group id="组合 29" o:spid="_x0000_s1026" o:spt="203" style="position:absolute;left:32618;top:341;height:19716;width:3410;" coordsize="3410,19721"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shape id="直接箭头连接符 30" o:spid="_x0000_s1026" o:spt="32" type="#_x0000_t32" style="position:absolute;left:1637;top:0;flip:x;height:2115;width:68;" filled="f" stroked="t" coordsize="21600,21600" o:gfxdata="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lQh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31" o:spid="_x0000_s1026" o:spt="202" type="#_x0000_t202" style="position:absolute;left:0;top:2114;height:17607;width:3410;" fillcolor="#FFFFFF [3217]" filled="t" stroked="t" coordsize="21600,21600" o:gfxdata="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bQ0PugAAANwA&#10;AAAPAAAAAAAAAAEAIAAAACIAAABkcnMvZG93bnJldi54bWxQSwECFAAUAAAACACHTuJAMy8FnjsA&#10;AAA5AAAAEAAAAAAAAAABACAAAAAJAQAAZHJzL3NoYXBleG1sLnhtbFBLBQYAAAAABgAGAFsBAACz&#10;Aw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工程</w:t>
                                </w:r>
                                <w:r>
                                  <w:rPr>
                                    <w:sz w:val="24"/>
                                    <w:szCs w:val="24"/>
                                  </w:rPr>
                                  <w:t>估算与资金筹措</w:t>
                                </w:r>
                                <w:r>
                                  <w:rPr>
                                    <w:rFonts w:hint="eastAsia"/>
                                    <w:sz w:val="24"/>
                                    <w:szCs w:val="24"/>
                                  </w:rPr>
                                  <w:t xml:space="preserve"> </w:t>
                                </w:r>
                              </w:p>
                            </w:txbxContent>
                          </v:textbox>
                        </v:shape>
                      </v:group>
                      <v:group id="组合 192" o:spid="_x0000_s1026" o:spt="203" style="position:absolute;left:45856;top:341;height:12760;width:3410;" coordsize="3410,12760" o:gfxdata="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QHYrvwAAANwAAAAPAAAAAAAAAAEAIAAAACIAAABkcnMvZG93bnJldi54&#10;bWxQSwECFAAUAAAACACHTuJAMy8FnjsAAAA5AAAAFQAAAAAAAAABACAAAAAOAQAAZHJzL2dyb3Vw&#10;c2hhcGV4bWwueG1sUEsFBgAAAAAGAAYAYAEAAMsDAAAAAA==&#10;">
                        <o:lock v:ext="edit" aspectratio="f"/>
                        <v:shape id="直接箭头连接符 193" o:spid="_x0000_s1026" o:spt="32" type="#_x0000_t32" style="position:absolute;left:1637;top:0;flip:x;height:2115;width:68;" filled="f" stroked="t" coordsize="21600,21600" o:gfxdata="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RUK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194" o:spid="_x0000_s1026" o:spt="202" type="#_x0000_t202" style="position:absolute;left:0;top:2115;height:10645;width:3410;" fillcolor="#FFFFFF [3217]" filled="t" stroked="t" coordsize="21600,21600" o:gfxdata="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TeL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保障措施</w:t>
                                </w:r>
                              </w:p>
                            </w:txbxContent>
                          </v:textbox>
                        </v:shape>
                      </v:group>
                      <v:group id="组合 195" o:spid="_x0000_s1026" o:spt="203" style="position:absolute;left:38896;top:409;height:12761;width:3410;" coordsize="3410,12760" o:gfxdata="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N9WzvwAAANwAAAAPAAAAAAAAAAEAIAAAACIAAABkcnMvZG93bnJldi54&#10;bWxQSwECFAAUAAAACACHTuJAMy8FnjsAAAA5AAAAFQAAAAAAAAABACAAAAAOAQAAZHJzL2dyb3Vw&#10;c2hhcGV4bWwueG1sUEsFBgAAAAAGAAYAYAEAAMsDAAAAAA==&#10;">
                        <o:lock v:ext="edit" aspectratio="f"/>
                        <v:shape id="直接箭头连接符 196" o:spid="_x0000_s1026" o:spt="32" type="#_x0000_t32" style="position:absolute;left:1637;top:0;flip:x;height:2115;width:68;" filled="f" stroked="t" coordsize="21600,21600" o:gfxdata="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3MX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197" o:spid="_x0000_s1026" o:spt="202" type="#_x0000_t202" style="position:absolute;left:0;top:2115;height:10645;width:3410;" fillcolor="#FFFFFF [3217]" filled="t" stroked="t" coordsize="21600,21600" o:gfxdata="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8gw4L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效益分析 </w:t>
                                </w:r>
                              </w:p>
                            </w:txbxContent>
                          </v:textbox>
                        </v:shape>
                      </v:group>
                    </v:group>
                    <v:line id="直接连接符 198" o:spid="_x0000_s1026" o:spt="20" style="position:absolute;left:34392;top:20062;height:2392;width:0;" filled="f" stroked="t" coordsize="21600,21600" o:gfxdata="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QdlM&#10;wAAAANwAAAAPAAAAAAAAAAEAIAAAACIAAABkcnMvZG93bnJldi54bWxQSwECFAAUAAAACACHTuJA&#10;My8FnjsAAAA5AAAAEAAAAAAAAAABACAAAAAPAQAAZHJzL3NoYXBleG1sLnhtbFBLBQYAAAAABgAG&#10;AFsBAAC5AwAAAAA=&#10;">
                      <v:fill on="f" focussize="0,0"/>
                      <v:stroke weight="1pt" color="#000000 [3229]" miterlimit="8" joinstyle="miter"/>
                      <v:imagedata o:title=""/>
                      <o:lock v:ext="edit" aspectratio="f"/>
                    </v:line>
                    <v:line id="直接连接符 199" o:spid="_x0000_s1026" o:spt="20" style="position:absolute;left:1433;top:12760;flip:x;height:9554;width:136;" filled="f" stroked="t" coordsize="21600,21600" o:gfxdata="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zwMm5AAAA3AAA&#10;AA8AAAAAAAAAAQAgAAAAIgAAAGRycy9kb3ducmV2LnhtbFBLAQIUABQAAAAIAIdO4kAzLwWeOwAA&#10;ADkAAAAQAAAAAAAAAAEAIAAAAAgBAABkcnMvc2hhcGV4bWwueG1sUEsFBgAAAAAGAAYAWwEAALID&#10;AAAAAA==&#10;">
                      <v:fill on="f" focussize="0,0"/>
                      <v:stroke weight="1pt" color="#000000 [3229]" miterlimit="8" joinstyle="miter"/>
                      <v:imagedata o:title=""/>
                      <o:lock v:ext="edit" aspectratio="f"/>
                    </v:line>
                    <v:line id="直接连接符 200" o:spid="_x0000_s1026" o:spt="20" style="position:absolute;left:1433;top:22382;height:205;width:46129;" filled="f" stroked="t" coordsize="21600,21600" o:gfxdata="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S6KW/&#10;AAAA3A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line>
                    <v:line id="直接连接符 201" o:spid="_x0000_s1026" o:spt="20" style="position:absolute;left:7915;top:12828;flip:x;height:9554;width:137;" filled="f" stroked="t" coordsize="21600,21600" o:gfxdata="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pBnK5AAAA3AAA&#10;AA8AAAAAAAAAAQAgAAAAIgAAAGRycy9kb3ducmV2LnhtbFBLAQIUABQAAAAIAIdO4kAzLwWeOwAA&#10;ADkAAAAQAAAAAAAAAAEAIAAAAAgBAABkcnMvc2hhcGV4bWwueG1sUEsFBgAAAAAGAAYAWwEAALID&#10;AAAAAA==&#10;">
                      <v:fill on="f" focussize="0,0"/>
                      <v:stroke weight="1pt" color="#000000 [3229]" miterlimit="8" joinstyle="miter"/>
                      <v:imagedata o:title=""/>
                      <o:lock v:ext="edit" aspectratio="f"/>
                    </v:line>
                    <v:line id="直接连接符 202" o:spid="_x0000_s1026" o:spt="20" style="position:absolute;left:14466;top:12828;flip:x;height:9554;width:137;" filled="f" stroked="t" coordsize="21600,21600" o:gfxdata="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JaPpvQAA&#10;ANw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line id="直接连接符 203" o:spid="_x0000_s1026" o:spt="20" style="position:absolute;left:27636;top:13170;flip:x;height:9415;width:135;" filled="f" stroked="t" coordsize="21600,21600" o:gfxdata="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3PZ68AAAA&#10;3A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line id="直接连接符 204" o:spid="_x0000_s1026" o:spt="20" style="position:absolute;left:40465;top:13170;flip:x;height:9207;width:64;" filled="f" stroked="t" coordsize="21600,21600" o:gfxdata="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7mAW8AAAA&#10;3A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line id="直接连接符 205" o:spid="_x0000_s1026" o:spt="20" style="position:absolute;left:47494;top:13101;flip:x;height:9484;width:60;" filled="f" stroked="t" coordsize="21600,21600" o:gfxdata="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UgBxvQAA&#10;ANw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line id="直接连接符 206" o:spid="_x0000_s1026" o:spt="20" style="position:absolute;left:21631;top:15149;flip:x;height:7162;width:0;" filled="f" stroked="t" coordsize="21600,21600" o:gfxdata="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HqXqvQAA&#10;ANw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group>
                </v:group>
                <v:group id="Group 111" o:spid="_x0000_s1026" o:spt="203" style="position:absolute;left:5268;top:4620;height:3404;width:2837;" coordorigin="5268,4620" coordsize="2837,3404" o:gfxdata="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xSTi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5312;top:4620;height:483;width:2752;" fillcolor="#FFFFFF" filled="t" stroked="t" coordsize="21600,21600" o:gfxdata="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Kg7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rPr>
                              <w:sz w:val="24"/>
                              <w:szCs w:val="24"/>
                            </w:rPr>
                          </w:pPr>
                          <w:r>
                            <w:rPr>
                              <w:rFonts w:hint="eastAsia"/>
                              <w:sz w:val="24"/>
                              <w:szCs w:val="24"/>
                            </w:rPr>
                            <w:t>数据资料</w:t>
                          </w:r>
                          <w:r>
                            <w:rPr>
                              <w:sz w:val="24"/>
                              <w:szCs w:val="24"/>
                            </w:rPr>
                            <w:t>收集与分析</w:t>
                          </w:r>
                        </w:p>
                      </w:txbxContent>
                    </v:textbox>
                  </v:shape>
                  <v:shape id="直接箭头连接符 3" o:spid="_x0000_s1026" o:spt="32" type="#_x0000_t32" style="position:absolute;left:6676;top:5190;height:390;width:1;" filled="f" stroked="t" coordsize="21600,21600" o:gfxdata="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C/NQugAAANwA&#10;AAAPAAAAAAAAAAEAIAAAACIAAABkcnMvZG93bnJldi54bWxQSwECFAAUAAAACACHTuJAMy8FnjsA&#10;AAA5AAAAEAAAAAAAAAABACAAAAAJAQAAZHJzL3NoYXBleG1sLnhtbFBLBQYAAAAABgAGAFsBAACz&#10;AwAAAAA=&#10;">
                    <v:fill on="f" focussize="0,0"/>
                    <v:stroke weight="1pt" color="#000000 [3229]" miterlimit="8" joinstyle="miter" endarrow="block"/>
                    <v:imagedata o:title=""/>
                    <o:lock v:ext="edit" aspectratio="f"/>
                  </v:shape>
                  <v:shape id="文本框 2" o:spid="_x0000_s1026" o:spt="202" type="#_x0000_t202" style="position:absolute;left:5279;top:5580;height:483;width:2772;" fillcolor="#FFFFFF" filled="t" stroked="t" coordsize="21600,21600" o:gfxdata="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WbJ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设施建设</w:t>
                          </w:r>
                          <w:r>
                            <w:rPr>
                              <w:sz w:val="24"/>
                              <w:szCs w:val="24"/>
                            </w:rPr>
                            <w:t>需求分析</w:t>
                          </w:r>
                        </w:p>
                      </w:txbxContent>
                    </v:textbox>
                  </v:shape>
                  <v:shape id="直接箭头连接符 7" o:spid="_x0000_s1026" o:spt="32" type="#_x0000_t32" style="position:absolute;left:6676;top:6176;height:405;width:1;" filled="f" stroked="t" coordsize="21600,21600" o:gfxdata="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pGmLugAAANwA&#10;AAAPAAAAAAAAAAEAIAAAACIAAABkcnMvZG93bnJldi54bWxQSwECFAAUAAAACACHTuJAMy8FnjsA&#10;AAA5AAAAEAAAAAAAAAABACAAAAAJAQAAZHJzL3NoYXBleG1sLnhtbFBLBQYAAAAABgAGAFsBAACz&#10;AwAAAAA=&#10;">
                    <v:fill on="f" focussize="0,0"/>
                    <v:stroke weight="1pt" color="#000000 [3229]" miterlimit="8" joinstyle="miter" endarrow="block"/>
                    <v:imagedata o:title=""/>
                    <o:lock v:ext="edit" aspectratio="f"/>
                  </v:shape>
                  <v:shape id="直接箭头连接符 9" o:spid="_x0000_s1026" o:spt="32" type="#_x0000_t32" style="position:absolute;left:6676;top:7150;height:404;width:1;" filled="f" stroked="t" coordsize="21600,21600" o:gfxdata="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jME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2" o:spid="_x0000_s1026" o:spt="202" type="#_x0000_t202" style="position:absolute;left:5279;top:6569;height:483;width:2826;" fillcolor="#FFFFFF" filled="t" stroked="t" coordsize="21600,21600" o:gfxdata="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S29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实地调查</w:t>
                          </w:r>
                          <w:r>
                            <w:rPr>
                              <w:sz w:val="24"/>
                              <w:szCs w:val="24"/>
                            </w:rPr>
                            <w:t>与污染源调查</w:t>
                          </w:r>
                        </w:p>
                      </w:txbxContent>
                    </v:textbox>
                  </v:shape>
                  <v:shape id="文本框 2" o:spid="_x0000_s1026" o:spt="202" type="#_x0000_t202" style="position:absolute;left:5268;top:7541;height:483;width:2826;" fillcolor="#FFFFFF" filled="t" stroked="t" coordsize="21600,21600" o:gfxdata="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aBN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style="mso-fit-shape-to-text:t;">
                      <w:txbxContent>
                        <w:p>
                          <w:pPr>
                            <w:ind w:firstLine="240" w:firstLineChars="100"/>
                            <w:rPr>
                              <w:sz w:val="24"/>
                              <w:szCs w:val="24"/>
                            </w:rPr>
                          </w:pPr>
                          <w:r>
                            <w:rPr>
                              <w:rFonts w:hint="eastAsia"/>
                              <w:sz w:val="24"/>
                              <w:szCs w:val="24"/>
                            </w:rPr>
                            <w:t>建设</w:t>
                          </w:r>
                          <w:r>
                            <w:rPr>
                              <w:sz w:val="24"/>
                              <w:szCs w:val="24"/>
                            </w:rPr>
                            <w:t>规模与规划目标</w:t>
                          </w:r>
                        </w:p>
                      </w:txbxContent>
                    </v:textbox>
                  </v:shape>
                </v:group>
                <w10:wrap type="none"/>
                <w10:anchorlock/>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547370</wp:posOffset>
                </wp:positionH>
                <wp:positionV relativeFrom="paragraph">
                  <wp:posOffset>17093565</wp:posOffset>
                </wp:positionV>
                <wp:extent cx="4926965" cy="6256655"/>
                <wp:effectExtent l="4445" t="4445" r="21590" b="6350"/>
                <wp:wrapNone/>
                <wp:docPr id="994" name="Group 112"/>
                <wp:cNvGraphicFramePr/>
                <a:graphic xmlns:a="http://schemas.openxmlformats.org/drawingml/2006/main">
                  <a:graphicData uri="http://schemas.microsoft.com/office/word/2010/wordprocessingGroup">
                    <wpg:wgp>
                      <wpg:cNvGrpSpPr/>
                      <wpg:grpSpPr>
                        <a:xfrm>
                          <a:off x="0" y="0"/>
                          <a:ext cx="4926965" cy="6256655"/>
                          <a:chOff x="2302" y="4620"/>
                          <a:chExt cx="7759" cy="9853"/>
                        </a:xfrm>
                      </wpg:grpSpPr>
                      <wpg:grpSp>
                        <wpg:cNvPr id="995" name="Group 110"/>
                        <wpg:cNvGrpSpPr/>
                        <wpg:grpSpPr>
                          <a:xfrm>
                            <a:off x="2302" y="8315"/>
                            <a:ext cx="7759" cy="6158"/>
                            <a:chOff x="2302" y="8315"/>
                            <a:chExt cx="7759" cy="6158"/>
                          </a:xfrm>
                        </wpg:grpSpPr>
                        <wpg:grpSp>
                          <wpg:cNvPr id="996" name="Group 109"/>
                          <wpg:cNvGrpSpPr/>
                          <wpg:grpSpPr>
                            <a:xfrm>
                              <a:off x="3559" y="12205"/>
                              <a:ext cx="6158" cy="2268"/>
                              <a:chOff x="3559" y="12205"/>
                              <a:chExt cx="6158" cy="2268"/>
                            </a:xfrm>
                          </wpg:grpSpPr>
                          <wps:wsp>
                            <wps:cNvPr id="997" name="文本框 211"/>
                            <wps:cNvSpPr txBox="1">
                              <a:spLocks noChangeArrowheads="1"/>
                            </wps:cNvSpPr>
                            <wps:spPr bwMode="auto">
                              <a:xfrm>
                                <a:off x="3559" y="12205"/>
                                <a:ext cx="6158" cy="1464"/>
                              </a:xfrm>
                              <a:prstGeom prst="rect">
                                <a:avLst/>
                              </a:prstGeom>
                              <a:solidFill>
                                <a:schemeClr val="lt1">
                                  <a:lumMod val="100000"/>
                                  <a:lumOff val="0"/>
                                </a:schemeClr>
                              </a:solidFill>
                              <a:ln w="6350">
                                <a:solidFill>
                                  <a:srgbClr val="000000"/>
                                </a:solidFill>
                                <a:miter lim="800000"/>
                              </a:ln>
                            </wps:spPr>
                            <wps:txbx>
                              <w:txbxContent>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规划文本</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说明书</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附件</w:t>
                                  </w:r>
                                </w:p>
                              </w:txbxContent>
                            </wps:txbx>
                            <wps:bodyPr rot="0" vert="horz" wrap="square" lIns="91440" tIns="45720" rIns="91440" bIns="45720" anchor="t" anchorCtr="0" upright="1">
                              <a:noAutofit/>
                            </wps:bodyPr>
                          </wps:wsp>
                          <wps:wsp>
                            <wps:cNvPr id="998" name="直接箭头连接符 212"/>
                            <wps:cNvCnPr>
                              <a:cxnSpLocks noChangeShapeType="1"/>
                            </wps:cNvCnPr>
                            <wps:spPr bwMode="auto">
                              <a:xfrm>
                                <a:off x="6622" y="13655"/>
                                <a:ext cx="0" cy="343"/>
                              </a:xfrm>
                              <a:prstGeom prst="straightConnector1">
                                <a:avLst/>
                              </a:prstGeom>
                              <a:noFill/>
                              <a:ln w="12700">
                                <a:solidFill>
                                  <a:schemeClr val="tx1">
                                    <a:lumMod val="100000"/>
                                    <a:lumOff val="0"/>
                                  </a:schemeClr>
                                </a:solidFill>
                                <a:miter lim="800000"/>
                                <a:tailEnd type="triangle" w="med" len="med"/>
                              </a:ln>
                            </wps:spPr>
                            <wps:bodyPr/>
                          </wps:wsp>
                          <wps:wsp>
                            <wps:cNvPr id="999" name="文本框 2"/>
                            <wps:cNvSpPr txBox="1">
                              <a:spLocks noChangeArrowheads="1"/>
                            </wps:cNvSpPr>
                            <wps:spPr bwMode="auto">
                              <a:xfrm>
                                <a:off x="5205" y="13990"/>
                                <a:ext cx="2826"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规划审核报批</w:t>
                                  </w:r>
                                </w:p>
                              </w:txbxContent>
                            </wps:txbx>
                            <wps:bodyPr rot="0" vert="horz" wrap="square" lIns="0" tIns="0" rIns="0" bIns="0" anchor="t" anchorCtr="0" upright="1">
                              <a:spAutoFit/>
                            </wps:bodyPr>
                          </wps:wsp>
                        </wpg:grpSp>
                        <wpg:grpSp>
                          <wpg:cNvPr id="1000" name="组合 208"/>
                          <wpg:cNvGrpSpPr/>
                          <wpg:grpSpPr>
                            <a:xfrm>
                              <a:off x="2302" y="8315"/>
                              <a:ext cx="7759" cy="3557"/>
                              <a:chOff x="0" y="0"/>
                              <a:chExt cx="49266" cy="22587"/>
                            </a:xfrm>
                          </wpg:grpSpPr>
                          <wpg:grpSp>
                            <wpg:cNvPr id="1001" name="组合 207"/>
                            <wpg:cNvGrpSpPr/>
                            <wpg:grpSpPr>
                              <a:xfrm>
                                <a:off x="0" y="0"/>
                                <a:ext cx="49266" cy="20057"/>
                                <a:chOff x="0" y="0"/>
                                <a:chExt cx="49266" cy="20057"/>
                              </a:xfrm>
                            </wpg:grpSpPr>
                            <wps:wsp>
                              <wps:cNvPr id="1002" name="直接连接符 13"/>
                              <wps:cNvCnPr>
                                <a:cxnSpLocks noChangeShapeType="1"/>
                              </wps:cNvCnPr>
                              <wps:spPr bwMode="auto">
                                <a:xfrm>
                                  <a:off x="1705" y="68"/>
                                  <a:ext cx="45853" cy="335"/>
                                </a:xfrm>
                                <a:prstGeom prst="line">
                                  <a:avLst/>
                                </a:prstGeom>
                                <a:noFill/>
                                <a:ln w="12700">
                                  <a:solidFill>
                                    <a:schemeClr val="tx1">
                                      <a:lumMod val="100000"/>
                                      <a:lumOff val="0"/>
                                    </a:schemeClr>
                                  </a:solidFill>
                                  <a:miter lim="800000"/>
                                </a:ln>
                              </wps:spPr>
                              <wps:bodyPr/>
                            </wps:wsp>
                            <wpg:grpSp>
                              <wpg:cNvPr id="1003" name="组合 16"/>
                              <wpg:cNvGrpSpPr/>
                              <wpg:grpSpPr>
                                <a:xfrm>
                                  <a:off x="0" y="0"/>
                                  <a:ext cx="3410" cy="12760"/>
                                  <a:chOff x="0" y="0"/>
                                  <a:chExt cx="3410" cy="12760"/>
                                </a:xfrm>
                              </wpg:grpSpPr>
                              <wps:wsp>
                                <wps:cNvPr id="1004" name="直接箭头连接符 14"/>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05" name="文本框 15"/>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jc w:val="left"/>
                                        <w:rPr>
                                          <w:sz w:val="24"/>
                                          <w:szCs w:val="24"/>
                                        </w:rPr>
                                      </w:pPr>
                                      <w:r>
                                        <w:rPr>
                                          <w:rFonts w:hint="eastAsia"/>
                                          <w:sz w:val="24"/>
                                          <w:szCs w:val="24"/>
                                        </w:rPr>
                                        <w:t>规划范围</w:t>
                                      </w:r>
                                    </w:p>
                                  </w:txbxContent>
                                </wps:txbx>
                                <wps:bodyPr rot="0" vert="eaVert" wrap="square" lIns="0" tIns="216000" rIns="0" bIns="0" anchor="t" anchorCtr="0" upright="1">
                                  <a:noAutofit/>
                                </wps:bodyPr>
                              </wps:wsp>
                            </wpg:grpSp>
                            <wpg:grpSp>
                              <wpg:cNvPr id="1006" name="组合 17"/>
                              <wpg:cNvGrpSpPr/>
                              <wpg:grpSpPr>
                                <a:xfrm>
                                  <a:off x="6346" y="136"/>
                                  <a:ext cx="3410" cy="12757"/>
                                  <a:chOff x="0" y="0"/>
                                  <a:chExt cx="3410" cy="12760"/>
                                </a:xfrm>
                              </wpg:grpSpPr>
                              <wps:wsp>
                                <wps:cNvPr id="1007" name="直接箭头连接符 18"/>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08" name="文本框 19"/>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规划期限 </w:t>
                                      </w:r>
                                    </w:p>
                                  </w:txbxContent>
                                </wps:txbx>
                                <wps:bodyPr rot="0" vert="eaVert" wrap="square" lIns="0" tIns="216000" rIns="0" bIns="0" anchor="t" anchorCtr="0" upright="1">
                                  <a:noAutofit/>
                                </wps:bodyPr>
                              </wps:wsp>
                            </wpg:grpSp>
                            <wpg:grpSp>
                              <wpg:cNvPr id="1009" name="组合 20"/>
                              <wpg:cNvGrpSpPr/>
                              <wpg:grpSpPr>
                                <a:xfrm>
                                  <a:off x="12965" y="136"/>
                                  <a:ext cx="3410" cy="12761"/>
                                  <a:chOff x="0" y="0"/>
                                  <a:chExt cx="3410" cy="12760"/>
                                </a:xfrm>
                              </wpg:grpSpPr>
                              <wps:wsp>
                                <wps:cNvPr id="1010" name="直接箭头连接符 21"/>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11" name="文本框 22"/>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规划目标 </w:t>
                                      </w:r>
                                    </w:p>
                                  </w:txbxContent>
                                </wps:txbx>
                                <wps:bodyPr rot="0" vert="eaVert" wrap="square" lIns="0" tIns="216000" rIns="0" bIns="0" anchor="t" anchorCtr="0" upright="1">
                                  <a:noAutofit/>
                                </wps:bodyPr>
                              </wps:wsp>
                            </wpg:grpSp>
                            <wpg:grpSp>
                              <wpg:cNvPr id="1012" name="组合 23"/>
                              <wpg:cNvGrpSpPr/>
                              <wpg:grpSpPr>
                                <a:xfrm>
                                  <a:off x="20062" y="272"/>
                                  <a:ext cx="3410" cy="14877"/>
                                  <a:chOff x="0" y="0"/>
                                  <a:chExt cx="3410" cy="14880"/>
                                </a:xfrm>
                              </wpg:grpSpPr>
                              <wps:wsp>
                                <wps:cNvPr id="1013" name="直接箭头连接符 24"/>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14" name="文本框 25"/>
                                <wps:cNvSpPr txBox="1">
                                  <a:spLocks noChangeArrowheads="1"/>
                                </wps:cNvSpPr>
                                <wps:spPr bwMode="auto">
                                  <a:xfrm>
                                    <a:off x="0" y="2114"/>
                                    <a:ext cx="3410" cy="12766"/>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处理设施建设</w:t>
                                      </w:r>
                                    </w:p>
                                  </w:txbxContent>
                                </wps:txbx>
                                <wps:bodyPr rot="0" vert="eaVert" wrap="square" lIns="0" tIns="216000" rIns="0" bIns="0" anchor="t" anchorCtr="0" upright="1">
                                  <a:noAutofit/>
                                </wps:bodyPr>
                              </wps:wsp>
                            </wpg:grpSp>
                            <wpg:grpSp>
                              <wpg:cNvPr id="1015" name="组合 26"/>
                              <wpg:cNvGrpSpPr/>
                              <wpg:grpSpPr>
                                <a:xfrm>
                                  <a:off x="26135" y="341"/>
                                  <a:ext cx="3410" cy="12757"/>
                                  <a:chOff x="0" y="0"/>
                                  <a:chExt cx="3410" cy="12760"/>
                                </a:xfrm>
                              </wpg:grpSpPr>
                              <wps:wsp>
                                <wps:cNvPr id="1016" name="直接箭头连接符 27"/>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17" name="文本框 28"/>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运维管理</w:t>
                                      </w:r>
                                    </w:p>
                                  </w:txbxContent>
                                </wps:txbx>
                                <wps:bodyPr rot="0" vert="eaVert" wrap="square" lIns="0" tIns="216000" rIns="0" bIns="0" anchor="t" anchorCtr="0" upright="1">
                                  <a:noAutofit/>
                                </wps:bodyPr>
                              </wps:wsp>
                            </wpg:grpSp>
                            <wpg:grpSp>
                              <wpg:cNvPr id="1018" name="组合 29"/>
                              <wpg:cNvGrpSpPr/>
                              <wpg:grpSpPr>
                                <a:xfrm>
                                  <a:off x="32618" y="341"/>
                                  <a:ext cx="3410" cy="19716"/>
                                  <a:chOff x="0" y="0"/>
                                  <a:chExt cx="3410" cy="19721"/>
                                </a:xfrm>
                              </wpg:grpSpPr>
                              <wps:wsp>
                                <wps:cNvPr id="1019" name="直接箭头连接符 30"/>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20" name="文本框 31"/>
                                <wps:cNvSpPr txBox="1">
                                  <a:spLocks noChangeArrowheads="1"/>
                                </wps:cNvSpPr>
                                <wps:spPr bwMode="auto">
                                  <a:xfrm>
                                    <a:off x="0" y="2114"/>
                                    <a:ext cx="3410" cy="17607"/>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工程</w:t>
                                      </w:r>
                                      <w:r>
                                        <w:rPr>
                                          <w:sz w:val="24"/>
                                          <w:szCs w:val="24"/>
                                        </w:rPr>
                                        <w:t>估算与资金筹措</w:t>
                                      </w:r>
                                      <w:r>
                                        <w:rPr>
                                          <w:rFonts w:hint="eastAsia"/>
                                          <w:sz w:val="24"/>
                                          <w:szCs w:val="24"/>
                                        </w:rPr>
                                        <w:t xml:space="preserve"> </w:t>
                                      </w:r>
                                    </w:p>
                                  </w:txbxContent>
                                </wps:txbx>
                                <wps:bodyPr rot="0" vert="eaVert" wrap="square" lIns="0" tIns="216000" rIns="0" bIns="0" anchor="t" anchorCtr="0" upright="1">
                                  <a:noAutofit/>
                                </wps:bodyPr>
                              </wps:wsp>
                            </wpg:grpSp>
                            <wpg:grpSp>
                              <wpg:cNvPr id="1021" name="组合 192"/>
                              <wpg:cNvGrpSpPr/>
                              <wpg:grpSpPr>
                                <a:xfrm>
                                  <a:off x="45856" y="341"/>
                                  <a:ext cx="3410" cy="12760"/>
                                  <a:chOff x="0" y="0"/>
                                  <a:chExt cx="3410" cy="12760"/>
                                </a:xfrm>
                              </wpg:grpSpPr>
                              <wps:wsp>
                                <wps:cNvPr id="1022" name="直接箭头连接符 193"/>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23" name="文本框 194"/>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保障措施</w:t>
                                      </w:r>
                                    </w:p>
                                  </w:txbxContent>
                                </wps:txbx>
                                <wps:bodyPr rot="0" vert="eaVert" wrap="square" lIns="0" tIns="216000" rIns="0" bIns="0" anchor="t" anchorCtr="0" upright="1">
                                  <a:noAutofit/>
                                </wps:bodyPr>
                              </wps:wsp>
                            </wpg:grpSp>
                            <wpg:grpSp>
                              <wpg:cNvPr id="1024" name="组合 195"/>
                              <wpg:cNvGrpSpPr/>
                              <wpg:grpSpPr>
                                <a:xfrm>
                                  <a:off x="38896" y="409"/>
                                  <a:ext cx="3410" cy="12761"/>
                                  <a:chOff x="0" y="0"/>
                                  <a:chExt cx="3410" cy="12760"/>
                                </a:xfrm>
                              </wpg:grpSpPr>
                              <wps:wsp>
                                <wps:cNvPr id="1025" name="直接箭头连接符 196"/>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26" name="文本框 197"/>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效益分析 </w:t>
                                      </w:r>
                                    </w:p>
                                  </w:txbxContent>
                                </wps:txbx>
                                <wps:bodyPr rot="0" vert="eaVert" wrap="square" lIns="0" tIns="216000" rIns="0" bIns="0" anchor="t" anchorCtr="0" upright="1">
                                  <a:noAutofit/>
                                </wps:bodyPr>
                              </wps:wsp>
                            </wpg:grpSp>
                          </wpg:grpSp>
                          <wps:wsp>
                            <wps:cNvPr id="1027" name="直接连接符 198"/>
                            <wps:cNvCnPr>
                              <a:cxnSpLocks noChangeShapeType="1"/>
                            </wps:cNvCnPr>
                            <wps:spPr bwMode="auto">
                              <a:xfrm>
                                <a:off x="34392" y="20062"/>
                                <a:ext cx="0" cy="2392"/>
                              </a:xfrm>
                              <a:prstGeom prst="line">
                                <a:avLst/>
                              </a:prstGeom>
                              <a:noFill/>
                              <a:ln w="12700">
                                <a:solidFill>
                                  <a:schemeClr val="tx1">
                                    <a:lumMod val="100000"/>
                                    <a:lumOff val="0"/>
                                  </a:schemeClr>
                                </a:solidFill>
                                <a:miter lim="800000"/>
                              </a:ln>
                            </wps:spPr>
                            <wps:bodyPr/>
                          </wps:wsp>
                          <wps:wsp>
                            <wps:cNvPr id="1028" name="直接连接符 199"/>
                            <wps:cNvCnPr>
                              <a:cxnSpLocks noChangeShapeType="1"/>
                            </wps:cNvCnPr>
                            <wps:spPr bwMode="auto">
                              <a:xfrm flipH="1">
                                <a:off x="1433" y="12760"/>
                                <a:ext cx="136" cy="9554"/>
                              </a:xfrm>
                              <a:prstGeom prst="line">
                                <a:avLst/>
                              </a:prstGeom>
                              <a:noFill/>
                              <a:ln w="12700">
                                <a:solidFill>
                                  <a:schemeClr val="tx1">
                                    <a:lumMod val="100000"/>
                                    <a:lumOff val="0"/>
                                  </a:schemeClr>
                                </a:solidFill>
                                <a:miter lim="800000"/>
                              </a:ln>
                            </wps:spPr>
                            <wps:bodyPr/>
                          </wps:wsp>
                          <wps:wsp>
                            <wps:cNvPr id="1029" name="直接连接符 200"/>
                            <wps:cNvCnPr>
                              <a:cxnSpLocks noChangeShapeType="1"/>
                            </wps:cNvCnPr>
                            <wps:spPr bwMode="auto">
                              <a:xfrm>
                                <a:off x="1433" y="22382"/>
                                <a:ext cx="46129" cy="205"/>
                              </a:xfrm>
                              <a:prstGeom prst="line">
                                <a:avLst/>
                              </a:prstGeom>
                              <a:noFill/>
                              <a:ln w="12700">
                                <a:solidFill>
                                  <a:schemeClr val="tx1">
                                    <a:lumMod val="100000"/>
                                    <a:lumOff val="0"/>
                                  </a:schemeClr>
                                </a:solidFill>
                                <a:miter lim="800000"/>
                              </a:ln>
                            </wps:spPr>
                            <wps:bodyPr/>
                          </wps:wsp>
                          <wps:wsp>
                            <wps:cNvPr id="1030" name="直接连接符 201"/>
                            <wps:cNvCnPr>
                              <a:cxnSpLocks noChangeShapeType="1"/>
                            </wps:cNvCnPr>
                            <wps:spPr bwMode="auto">
                              <a:xfrm flipH="1">
                                <a:off x="7915" y="12828"/>
                                <a:ext cx="137" cy="9554"/>
                              </a:xfrm>
                              <a:prstGeom prst="line">
                                <a:avLst/>
                              </a:prstGeom>
                              <a:noFill/>
                              <a:ln w="12700">
                                <a:solidFill>
                                  <a:schemeClr val="tx1">
                                    <a:lumMod val="100000"/>
                                    <a:lumOff val="0"/>
                                  </a:schemeClr>
                                </a:solidFill>
                                <a:miter lim="800000"/>
                              </a:ln>
                            </wps:spPr>
                            <wps:bodyPr/>
                          </wps:wsp>
                          <wps:wsp>
                            <wps:cNvPr id="1031" name="直接连接符 202"/>
                            <wps:cNvCnPr>
                              <a:cxnSpLocks noChangeShapeType="1"/>
                            </wps:cNvCnPr>
                            <wps:spPr bwMode="auto">
                              <a:xfrm flipH="1">
                                <a:off x="14466" y="12828"/>
                                <a:ext cx="137" cy="9554"/>
                              </a:xfrm>
                              <a:prstGeom prst="line">
                                <a:avLst/>
                              </a:prstGeom>
                              <a:noFill/>
                              <a:ln w="12700">
                                <a:solidFill>
                                  <a:schemeClr val="tx1">
                                    <a:lumMod val="100000"/>
                                    <a:lumOff val="0"/>
                                  </a:schemeClr>
                                </a:solidFill>
                                <a:miter lim="800000"/>
                              </a:ln>
                            </wps:spPr>
                            <wps:bodyPr/>
                          </wps:wsp>
                          <wps:wsp>
                            <wps:cNvPr id="1032" name="直接连接符 203"/>
                            <wps:cNvCnPr>
                              <a:cxnSpLocks noChangeShapeType="1"/>
                            </wps:cNvCnPr>
                            <wps:spPr bwMode="auto">
                              <a:xfrm flipH="1">
                                <a:off x="27636" y="13170"/>
                                <a:ext cx="135" cy="9415"/>
                              </a:xfrm>
                              <a:prstGeom prst="line">
                                <a:avLst/>
                              </a:prstGeom>
                              <a:noFill/>
                              <a:ln w="12700">
                                <a:solidFill>
                                  <a:schemeClr val="tx1">
                                    <a:lumMod val="100000"/>
                                    <a:lumOff val="0"/>
                                  </a:schemeClr>
                                </a:solidFill>
                                <a:miter lim="800000"/>
                              </a:ln>
                            </wps:spPr>
                            <wps:bodyPr/>
                          </wps:wsp>
                          <wps:wsp>
                            <wps:cNvPr id="1033" name="直接连接符 204"/>
                            <wps:cNvCnPr>
                              <a:cxnSpLocks noChangeShapeType="1"/>
                            </wps:cNvCnPr>
                            <wps:spPr bwMode="auto">
                              <a:xfrm flipH="1">
                                <a:off x="40465" y="13170"/>
                                <a:ext cx="64" cy="9207"/>
                              </a:xfrm>
                              <a:prstGeom prst="line">
                                <a:avLst/>
                              </a:prstGeom>
                              <a:noFill/>
                              <a:ln w="12700">
                                <a:solidFill>
                                  <a:schemeClr val="tx1">
                                    <a:lumMod val="100000"/>
                                    <a:lumOff val="0"/>
                                  </a:schemeClr>
                                </a:solidFill>
                                <a:miter lim="800000"/>
                              </a:ln>
                            </wps:spPr>
                            <wps:bodyPr/>
                          </wps:wsp>
                          <wps:wsp>
                            <wps:cNvPr id="1034" name="直接连接符 205"/>
                            <wps:cNvCnPr>
                              <a:cxnSpLocks noChangeShapeType="1"/>
                            </wps:cNvCnPr>
                            <wps:spPr bwMode="auto">
                              <a:xfrm flipH="1">
                                <a:off x="47494" y="13101"/>
                                <a:ext cx="60" cy="9484"/>
                              </a:xfrm>
                              <a:prstGeom prst="line">
                                <a:avLst/>
                              </a:prstGeom>
                              <a:noFill/>
                              <a:ln w="12700">
                                <a:solidFill>
                                  <a:schemeClr val="tx1">
                                    <a:lumMod val="100000"/>
                                    <a:lumOff val="0"/>
                                  </a:schemeClr>
                                </a:solidFill>
                                <a:miter lim="800000"/>
                              </a:ln>
                            </wps:spPr>
                            <wps:bodyPr/>
                          </wps:wsp>
                          <wps:wsp>
                            <wps:cNvPr id="1035" name="直接连接符 206"/>
                            <wps:cNvCnPr>
                              <a:cxnSpLocks noChangeShapeType="1"/>
                            </wps:cNvCnPr>
                            <wps:spPr bwMode="auto">
                              <a:xfrm flipH="1">
                                <a:off x="21631" y="15149"/>
                                <a:ext cx="0" cy="7162"/>
                              </a:xfrm>
                              <a:prstGeom prst="line">
                                <a:avLst/>
                              </a:prstGeom>
                              <a:noFill/>
                              <a:ln w="12700">
                                <a:solidFill>
                                  <a:schemeClr val="tx1">
                                    <a:lumMod val="100000"/>
                                    <a:lumOff val="0"/>
                                  </a:schemeClr>
                                </a:solidFill>
                                <a:miter lim="800000"/>
                              </a:ln>
                            </wps:spPr>
                            <wps:bodyPr/>
                          </wps:wsp>
                        </wpg:grpSp>
                      </wpg:grpSp>
                      <wpg:grpSp>
                        <wpg:cNvPr id="1036" name="Group 111"/>
                        <wpg:cNvGrpSpPr/>
                        <wpg:grpSpPr>
                          <a:xfrm>
                            <a:off x="5268" y="4620"/>
                            <a:ext cx="2837" cy="3404"/>
                            <a:chOff x="5268" y="4620"/>
                            <a:chExt cx="2837" cy="3404"/>
                          </a:xfrm>
                        </wpg:grpSpPr>
                        <wps:wsp>
                          <wps:cNvPr id="1037" name="文本框 2"/>
                          <wps:cNvSpPr txBox="1">
                            <a:spLocks noChangeArrowheads="1"/>
                          </wps:cNvSpPr>
                          <wps:spPr bwMode="auto">
                            <a:xfrm>
                              <a:off x="5312" y="4620"/>
                              <a:ext cx="2752" cy="483"/>
                            </a:xfrm>
                            <a:prstGeom prst="rect">
                              <a:avLst/>
                            </a:prstGeom>
                            <a:solidFill>
                              <a:srgbClr val="FFFFFF"/>
                            </a:solidFill>
                            <a:ln w="9525">
                              <a:solidFill>
                                <a:srgbClr val="000000"/>
                              </a:solidFill>
                              <a:miter lim="800000"/>
                            </a:ln>
                          </wps:spPr>
                          <wps:txbx>
                            <w:txbxContent>
                              <w:p>
                                <w:pPr>
                                  <w:ind w:firstLine="240" w:firstLineChars="100"/>
                                  <w:rPr>
                                    <w:sz w:val="24"/>
                                    <w:szCs w:val="24"/>
                                  </w:rPr>
                                </w:pPr>
                                <w:r>
                                  <w:rPr>
                                    <w:rFonts w:hint="eastAsia"/>
                                    <w:sz w:val="24"/>
                                    <w:szCs w:val="24"/>
                                  </w:rPr>
                                  <w:t>数据资料</w:t>
                                </w:r>
                                <w:r>
                                  <w:rPr>
                                    <w:sz w:val="24"/>
                                    <w:szCs w:val="24"/>
                                  </w:rPr>
                                  <w:t>收集与分析</w:t>
                                </w:r>
                              </w:p>
                            </w:txbxContent>
                          </wps:txbx>
                          <wps:bodyPr rot="0" vert="horz" wrap="square" lIns="0" tIns="0" rIns="0" bIns="0" anchor="t" anchorCtr="0" upright="1">
                            <a:spAutoFit/>
                          </wps:bodyPr>
                        </wps:wsp>
                        <wps:wsp>
                          <wps:cNvPr id="1038" name="直接箭头连接符 3"/>
                          <wps:cNvCnPr>
                            <a:cxnSpLocks noChangeShapeType="1"/>
                          </wps:cNvCnPr>
                          <wps:spPr bwMode="auto">
                            <a:xfrm>
                              <a:off x="6676" y="5190"/>
                              <a:ext cx="1" cy="390"/>
                            </a:xfrm>
                            <a:prstGeom prst="straightConnector1">
                              <a:avLst/>
                            </a:prstGeom>
                            <a:noFill/>
                            <a:ln w="12700">
                              <a:solidFill>
                                <a:schemeClr val="tx1">
                                  <a:lumMod val="100000"/>
                                  <a:lumOff val="0"/>
                                </a:schemeClr>
                              </a:solidFill>
                              <a:miter lim="800000"/>
                              <a:tailEnd type="triangle" w="med" len="med"/>
                            </a:ln>
                          </wps:spPr>
                          <wps:bodyPr/>
                        </wps:wsp>
                        <wps:wsp>
                          <wps:cNvPr id="1039" name="文本框 2"/>
                          <wps:cNvSpPr txBox="1">
                            <a:spLocks noChangeArrowheads="1"/>
                          </wps:cNvSpPr>
                          <wps:spPr bwMode="auto">
                            <a:xfrm>
                              <a:off x="5279" y="5580"/>
                              <a:ext cx="2772"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设施建设</w:t>
                                </w:r>
                                <w:r>
                                  <w:rPr>
                                    <w:sz w:val="24"/>
                                    <w:szCs w:val="24"/>
                                  </w:rPr>
                                  <w:t>需求分析</w:t>
                                </w:r>
                              </w:p>
                            </w:txbxContent>
                          </wps:txbx>
                          <wps:bodyPr rot="0" vert="horz" wrap="square" lIns="0" tIns="0" rIns="0" bIns="0" anchor="t" anchorCtr="0" upright="1">
                            <a:spAutoFit/>
                          </wps:bodyPr>
                        </wps:wsp>
                        <wps:wsp>
                          <wps:cNvPr id="1040" name="直接箭头连接符 7"/>
                          <wps:cNvCnPr>
                            <a:cxnSpLocks noChangeShapeType="1"/>
                          </wps:cNvCnPr>
                          <wps:spPr bwMode="auto">
                            <a:xfrm>
                              <a:off x="6676" y="6176"/>
                              <a:ext cx="1" cy="405"/>
                            </a:xfrm>
                            <a:prstGeom prst="straightConnector1">
                              <a:avLst/>
                            </a:prstGeom>
                            <a:noFill/>
                            <a:ln w="12700">
                              <a:solidFill>
                                <a:schemeClr val="tx1">
                                  <a:lumMod val="100000"/>
                                  <a:lumOff val="0"/>
                                </a:schemeClr>
                              </a:solidFill>
                              <a:miter lim="800000"/>
                              <a:tailEnd type="triangle" w="med" len="med"/>
                            </a:ln>
                          </wps:spPr>
                          <wps:bodyPr/>
                        </wps:wsp>
                        <wps:wsp>
                          <wps:cNvPr id="1041" name="直接箭头连接符 9"/>
                          <wps:cNvCnPr>
                            <a:cxnSpLocks noChangeShapeType="1"/>
                          </wps:cNvCnPr>
                          <wps:spPr bwMode="auto">
                            <a:xfrm>
                              <a:off x="6676" y="7150"/>
                              <a:ext cx="1" cy="404"/>
                            </a:xfrm>
                            <a:prstGeom prst="straightConnector1">
                              <a:avLst/>
                            </a:prstGeom>
                            <a:noFill/>
                            <a:ln w="12700">
                              <a:solidFill>
                                <a:schemeClr val="tx1">
                                  <a:lumMod val="100000"/>
                                  <a:lumOff val="0"/>
                                </a:schemeClr>
                              </a:solidFill>
                              <a:miter lim="800000"/>
                              <a:tailEnd type="triangle" w="med" len="med"/>
                            </a:ln>
                          </wps:spPr>
                          <wps:bodyPr/>
                        </wps:wsp>
                        <wps:wsp>
                          <wps:cNvPr id="1042" name="文本框 2"/>
                          <wps:cNvSpPr txBox="1">
                            <a:spLocks noChangeArrowheads="1"/>
                          </wps:cNvSpPr>
                          <wps:spPr bwMode="auto">
                            <a:xfrm>
                              <a:off x="5279" y="6569"/>
                              <a:ext cx="2826"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实地调查</w:t>
                                </w:r>
                                <w:r>
                                  <w:rPr>
                                    <w:sz w:val="24"/>
                                    <w:szCs w:val="24"/>
                                  </w:rPr>
                                  <w:t>与污染源调查</w:t>
                                </w:r>
                              </w:p>
                            </w:txbxContent>
                          </wps:txbx>
                          <wps:bodyPr rot="0" vert="horz" wrap="square" lIns="0" tIns="0" rIns="0" bIns="0" anchor="t" anchorCtr="0" upright="1">
                            <a:spAutoFit/>
                          </wps:bodyPr>
                        </wps:wsp>
                        <wps:wsp>
                          <wps:cNvPr id="1043" name="文本框 2"/>
                          <wps:cNvSpPr txBox="1">
                            <a:spLocks noChangeArrowheads="1"/>
                          </wps:cNvSpPr>
                          <wps:spPr bwMode="auto">
                            <a:xfrm>
                              <a:off x="5268" y="7541"/>
                              <a:ext cx="2826" cy="483"/>
                            </a:xfrm>
                            <a:prstGeom prst="rect">
                              <a:avLst/>
                            </a:prstGeom>
                            <a:solidFill>
                              <a:srgbClr val="FFFFFF"/>
                            </a:solidFill>
                            <a:ln w="9525">
                              <a:solidFill>
                                <a:srgbClr val="000000"/>
                              </a:solidFill>
                              <a:miter lim="800000"/>
                            </a:ln>
                          </wps:spPr>
                          <wps:txbx>
                            <w:txbxContent>
                              <w:p>
                                <w:pPr>
                                  <w:ind w:firstLine="240" w:firstLineChars="100"/>
                                  <w:rPr>
                                    <w:sz w:val="24"/>
                                    <w:szCs w:val="24"/>
                                  </w:rPr>
                                </w:pPr>
                                <w:r>
                                  <w:rPr>
                                    <w:rFonts w:hint="eastAsia"/>
                                    <w:sz w:val="24"/>
                                    <w:szCs w:val="24"/>
                                  </w:rPr>
                                  <w:t>建设</w:t>
                                </w:r>
                                <w:r>
                                  <w:rPr>
                                    <w:sz w:val="24"/>
                                    <w:szCs w:val="24"/>
                                  </w:rPr>
                                  <w:t>规模与规划目标</w:t>
                                </w:r>
                              </w:p>
                            </w:txbxContent>
                          </wps:txbx>
                          <wps:bodyPr rot="0" vert="horz" wrap="square" lIns="0" tIns="0" rIns="0" bIns="0" anchor="t" anchorCtr="0" upright="1">
                            <a:spAutoFit/>
                          </wps:bodyPr>
                        </wps:wsp>
                      </wpg:grpSp>
                    </wpg:wgp>
                  </a:graphicData>
                </a:graphic>
              </wp:anchor>
            </w:drawing>
          </mc:Choice>
          <mc:Fallback>
            <w:pict>
              <v:group id="Group 112" o:spid="_x0000_s1026" o:spt="203" style="position:absolute;left:0pt;margin-left:43.1pt;margin-top:1345.95pt;height:492.65pt;width:387.95pt;z-index:251661312;mso-width-relative:page;mso-height-relative:page;" coordorigin="2302,4620" coordsize="7759,9853" o:gfxdata="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">
                <o:lock v:ext="edit" aspectratio="f"/>
                <v:group id="Group 110" o:spid="_x0000_s1026" o:spt="203" style="position:absolute;left:2302;top:8315;height:6158;width:7759;" coordorigin="2302,8315" coordsize="7759,6158" o:gfxdata="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58v2+AAAA3AAAAA8AAAAAAAAAAQAgAAAAIgAAAGRycy9kb3ducmV2Lnht&#10;bFBLAQIUABQAAAAIAIdO4kAzLwWeOwAAADkAAAAVAAAAAAAAAAEAIAAAAA0BAABkcnMvZ3JvdXBz&#10;aGFwZXhtbC54bWxQSwUGAAAAAAYABgBgAQAAygMAAAAA&#10;">
                  <o:lock v:ext="edit" aspectratio="f"/>
                  <v:group id="Group 109" o:spid="_x0000_s1026" o:spt="203" style="position:absolute;left:3559;top:12205;height:2268;width:6158;" coordorigin="3559,12205" coordsize="6158,2268" o:gfxdata="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K2yKvwAAANwAAAAPAAAAAAAAAAEAIAAAACIAAABkcnMvZG93bnJldi54&#10;bWxQSwECFAAUAAAACACHTuJAMy8FnjsAAAA5AAAAFQAAAAAAAAABACAAAAAOAQAAZHJzL2dyb3Vw&#10;c2hhcGV4bWwueG1sUEsFBgAAAAAGAAYAYAEAAMsDAAAAAA==&#10;">
                    <o:lock v:ext="edit" aspectratio="f"/>
                    <v:shape id="文本框 211" o:spid="_x0000_s1026" o:spt="202" type="#_x0000_t202" style="position:absolute;left:3559;top:12205;height:1464;width:6158;" fillcolor="#FFFFFF [3217]" filled="t" stroked="t" coordsize="21600,21600" o:gfxdata="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VlC9rgAAADcAAAA&#10;DwAAAAAAAAABACAAAAAiAAAAZHJzL2Rvd25yZXYueG1sUEsBAhQAFAAAAAgAh07iQDMvBZ47AAAA&#10;OQAAABAAAAAAAAAAAQAgAAAABwEAAGRycy9zaGFwZXhtbC54bWxQSwUGAAAAAAYABgBbAQAAsQMA&#10;AAAA&#10;">
                      <v:fill on="t" focussize="0,0"/>
                      <v:stroke weight="0.5pt" color="#000000" miterlimit="8" joinstyle="miter"/>
                      <v:imagedata o:title=""/>
                      <o:lock v:ext="edit" aspectratio="f"/>
                      <v:textbox>
                        <w:txbxContent>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规划文本</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说明书</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附件</w:t>
                            </w:r>
                          </w:p>
                        </w:txbxContent>
                      </v:textbox>
                    </v:shape>
                    <v:shape id="直接箭头连接符 212" o:spid="_x0000_s1026" o:spt="32" type="#_x0000_t32" style="position:absolute;left:6622;top:13655;height:343;width:0;" filled="f" stroked="t" coordsize="21600,21600" o:gfxdata="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luzi8AAAA&#10;3A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 o:spid="_x0000_s1026" o:spt="202" type="#_x0000_t202" style="position:absolute;left:5205;top:13990;height:483;width:2826;" fillcolor="#FFFFFF" filled="t" stroked="t" coordsize="21600,21600" o:gfxdata="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t/o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规划审核报批</w:t>
                            </w:r>
                          </w:p>
                        </w:txbxContent>
                      </v:textbox>
                    </v:shape>
                  </v:group>
                  <v:group id="组合 208" o:spid="_x0000_s1026" o:spt="203" style="position:absolute;left:2302;top:8315;height:3557;width:7759;" coordsize="49266,22587" o:gfxdata="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PrjEcAAAADdAAAADwAAAAAAAAABACAAAAAiAAAAZHJzL2Rvd25yZXYu&#10;eG1sUEsBAhQAFAAAAAgAh07iQDMvBZ47AAAAOQAAABUAAAAAAAAAAQAgAAAADwEAAGRycy9ncm91&#10;cHNoYXBleG1sLnhtbFBLBQYAAAAABgAGAGABAADMAwAAAAA=&#10;">
                    <o:lock v:ext="edit" aspectratio="f"/>
                    <v:group id="组合 207" o:spid="_x0000_s1026" o:spt="203" style="position:absolute;left:0;top:0;height:20057;width:49266;" coordsize="49266,20057" o:gfxdata="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btkaKvAAAAN0AAAAPAAAAAAAAAAEAIAAAACIAAABkcnMvZG93bnJldi54bWxQ&#10;SwECFAAUAAAACACHTuJAMy8FnjsAAAA5AAAAFQAAAAAAAAABACAAAAALAQAAZHJzL2dyb3Vwc2hh&#10;cGV4bWwueG1sUEsFBgAAAAAGAAYAYAEAAMgDAAAAAA==&#10;">
                      <o:lock v:ext="edit" aspectratio="f"/>
                      <v:line id="直接连接符 13" o:spid="_x0000_s1026" o:spt="20" style="position:absolute;left:1705;top:68;height:335;width:45853;" filled="f" stroked="t" coordsize="21600,21600" o:gfxdata="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yz31vQAA&#10;AN0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group id="组合 16" o:spid="_x0000_s1026" o:spt="203" style="position:absolute;left:0;top:0;height:12760;width:3410;" coordsize="3410,12760" o:gfxdata="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EKH1mvAAAAN0AAAAPAAAAAAAAAAEAIAAAACIAAABkcnMvZG93bnJldi54bWxQ&#10;SwECFAAUAAAACACHTuJAMy8FnjsAAAA5AAAAFQAAAAAAAAABACAAAAALAQAAZHJzL2dyb3Vwc2hh&#10;cGV4bWwueG1sUEsFBgAAAAAGAAYAYAEAAMgDAAAAAA==&#10;">
                        <o:lock v:ext="edit" aspectratio="f"/>
                        <v:shape id="直接箭头连接符 14" o:spid="_x0000_s1026" o:spt="32" type="#_x0000_t32" style="position:absolute;left:1637;top:0;flip:x;height:2115;width:68;" filled="f" stroked="t" coordsize="21600,21600" o:gfxdata="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aSDG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15" o:spid="_x0000_s1026" o:spt="202" type="#_x0000_t202" style="position:absolute;left:0;top:2115;height:10645;width:3410;" fillcolor="#FFFFFF [3217]" filled="t" stroked="t" coordsize="21600,21600" o:gfxdata="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zLRG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jc w:val="left"/>
                                  <w:rPr>
                                    <w:sz w:val="24"/>
                                    <w:szCs w:val="24"/>
                                  </w:rPr>
                                </w:pPr>
                                <w:r>
                                  <w:rPr>
                                    <w:rFonts w:hint="eastAsia"/>
                                    <w:sz w:val="24"/>
                                    <w:szCs w:val="24"/>
                                  </w:rPr>
                                  <w:t>规划范围</w:t>
                                </w:r>
                              </w:p>
                            </w:txbxContent>
                          </v:textbox>
                        </v:shape>
                      </v:group>
                      <v:group id="组合 17" o:spid="_x0000_s1026" o:spt="203" style="position:absolute;left:6346;top:136;height:12757;width:3410;" coordsize="3410,12760" o:gfxdata="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Rf3v6+AAAA3QAAAA8AAAAAAAAAAQAgAAAAIgAAAGRycy9kb3ducmV2Lnht&#10;bFBLAQIUABQAAAAIAIdO4kAzLwWeOwAAADkAAAAVAAAAAAAAAAEAIAAAAA0BAABkcnMvZ3JvdXBz&#10;aGFwZXhtbC54bWxQSwUGAAAAAAYABgBgAQAAygMAAAAA&#10;">
                        <o:lock v:ext="edit" aspectratio="f"/>
                        <v:shape id="直接箭头连接符 18" o:spid="_x0000_s1026" o:spt="32" type="#_x0000_t32" style="position:absolute;left:1637;top:0;flip:x;height:2115;width:68;" filled="f" stroked="t" coordsize="21600,21600" o:gfxdata="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I1ka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19" o:spid="_x0000_s1026" o:spt="202" type="#_x0000_t202" style="position:absolute;left:0;top:2115;height:10645;width:3410;" fillcolor="#FFFFFF [3217]" filled="t" stroked="t" coordsize="21600,21600" o:gfxdata="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KCj74A&#10;AADd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规划期限 </w:t>
                                </w:r>
                              </w:p>
                            </w:txbxContent>
                          </v:textbox>
                        </v:shape>
                      </v:group>
                      <v:group id="组合 20" o:spid="_x0000_s1026" o:spt="203" style="position:absolute;left:12965;top:136;height:12761;width:3410;" coordsize="3410,12760" o:gfxdata="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XASoy+AAAA3QAAAA8AAAAAAAAAAQAgAAAAIgAAAGRycy9kb3ducmV2Lnht&#10;bFBLAQIUABQAAAAIAIdO4kAzLwWeOwAAADkAAAAVAAAAAAAAAAEAIAAAAA0BAABkcnMvZ3JvdXBz&#10;aGFwZXhtbC54bWxQSwUGAAAAAAYABgBgAQAAygMAAAAA&#10;">
                        <o:lock v:ext="edit" aspectratio="f"/>
                        <v:shape id="直接箭头连接符 21" o:spid="_x0000_s1026" o:spt="32" type="#_x0000_t32" style="position:absolute;left:1637;top:0;flip:x;height:2115;width:68;" filled="f" stroked="t" coordsize="21600,21600" o:gfxdata="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jY774A&#10;AADd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22" o:spid="_x0000_s1026" o:spt="202" type="#_x0000_t202" style="position:absolute;left:0;top:2115;height:10645;width:3410;" fillcolor="#FFFFFF [3217]" filled="t" stroked="t" coordsize="21600,21600" o:gfxdata="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Rvc+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规划目标 </w:t>
                                </w:r>
                              </w:p>
                            </w:txbxContent>
                          </v:textbox>
                        </v:shape>
                      </v:group>
                      <v:group id="组合 23" o:spid="_x0000_s1026" o:spt="203" style="position:absolute;left:20062;top:272;height:14877;width:3410;" coordsize="3410,14880" o:gfxdata="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r1OIL0AAADdAAAADwAAAAAAAAABACAAAAAiAAAAZHJzL2Rvd25yZXYueG1s&#10;UEsBAhQAFAAAAAgAh07iQDMvBZ47AAAAOQAAABUAAAAAAAAAAQAgAAAADAEAAGRycy9ncm91cHNo&#10;YXBleG1sLnhtbFBLBQYAAAAABgAGAGABAADJAwAAAAA=&#10;">
                        <o:lock v:ext="edit" aspectratio="f"/>
                        <v:shape id="直接箭头连接符 24" o:spid="_x0000_s1026" o:spt="32" type="#_x0000_t32" style="position:absolute;left:1637;top:0;flip:x;height:2115;width:68;" filled="f" stroked="t" coordsize="21600,21600" o:gfxdata="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qRpi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5" o:spid="_x0000_s1026" o:spt="202" type="#_x0000_t202" style="position:absolute;left:0;top:2114;height:12766;width:3410;" fillcolor="#FFFFFF [3217]" filled="t" stroked="t" coordsize="21600,21600" o:gfxdata="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mHle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处理设施建设</w:t>
                                </w:r>
                              </w:p>
                            </w:txbxContent>
                          </v:textbox>
                        </v:shape>
                      </v:group>
                      <v:group id="组合 26" o:spid="_x0000_s1026" o:spt="203" style="position:absolute;left:26135;top:341;height:12757;width:3410;" coordsize="3410,12760" o:gfxdata="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VTWVL0AAADdAAAADwAAAAAAAAABACAAAAAiAAAAZHJzL2Rvd25yZXYueG1s&#10;UEsBAhQAFAAAAAgAh07iQDMvBZ47AAAAOQAAABUAAAAAAAAAAQAgAAAADAEAAGRycy9ncm91cHNo&#10;YXBleG1sLnhtbFBLBQYAAAAABgAGAGABAADJAwAAAAA=&#10;">
                        <o:lock v:ext="edit" aspectratio="f"/>
                        <v:shape id="直接箭头连接符 27" o:spid="_x0000_s1026" o:spt="32" type="#_x0000_t32" style="position:absolute;left:1637;top:0;flip:x;height:2115;width:68;" filled="f" stroked="t" coordsize="21600,21600" o:gfxdata="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d5QC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8" o:spid="_x0000_s1026" o:spt="202" type="#_x0000_t202" style="position:absolute;left:0;top:2115;height:10645;width:3410;" fillcolor="#FFFFFF [3217]" filled="t" stroked="t" coordsize="21600,21600" o:gfxdata="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0gCC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运维管理</w:t>
                                </w:r>
                              </w:p>
                            </w:txbxContent>
                          </v:textbox>
                        </v:shape>
                      </v:group>
                      <v:group id="组合 29" o:spid="_x0000_s1026" o:spt="203" style="position:absolute;left:32618;top:341;height:19716;width:3410;" coordsize="3410,19721" o:gfxdata="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1V5ysAAAADdAAAADwAAAAAAAAABACAAAAAiAAAAZHJzL2Rvd25yZXYu&#10;eG1sUEsBAhQAFAAAAAgAh07iQDMvBZ47AAAAOQAAABUAAAAAAAAAAQAgAAAADwEAAGRycy9ncm91&#10;cHNoYXBleG1sLnhtbFBLBQYAAAAABgAGAGABAADMAwAAAAA=&#10;">
                        <o:lock v:ext="edit" aspectratio="f"/>
                        <v:shape id="直接箭头连接符 30" o:spid="_x0000_s1026" o:spt="32" type="#_x0000_t32" style="position:absolute;left:1637;top:0;flip:x;height:2115;width:68;" filled="f" stroked="t" coordsize="21600,21600" o:gfxdata="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CcXK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31" o:spid="_x0000_s1026" o:spt="202" type="#_x0000_t202" style="position:absolute;left:0;top:2114;height:17607;width:3410;" fillcolor="#FFFFFF [3217]" filled="t" stroked="t" coordsize="21600,21600" o:gfxdata="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HS6b4A&#10;AADd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工程</w:t>
                                </w:r>
                                <w:r>
                                  <w:rPr>
                                    <w:sz w:val="24"/>
                                    <w:szCs w:val="24"/>
                                  </w:rPr>
                                  <w:t>估算与资金筹措</w:t>
                                </w:r>
                                <w:r>
                                  <w:rPr>
                                    <w:rFonts w:hint="eastAsia"/>
                                    <w:sz w:val="24"/>
                                    <w:szCs w:val="24"/>
                                  </w:rPr>
                                  <w:t xml:space="preserve"> </w:t>
                                </w:r>
                              </w:p>
                            </w:txbxContent>
                          </v:textbox>
                        </v:shape>
                      </v:group>
                      <v:group id="组合 192" o:spid="_x0000_s1026" o:spt="203" style="position:absolute;left:45856;top:341;height:12760;width:3410;" coordsize="3410,12760" o:gfxdata="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AMa6r0AAADdAAAADwAAAAAAAAABACAAAAAiAAAAZHJzL2Rvd25yZXYueG1s&#10;UEsBAhQAFAAAAAgAh07iQDMvBZ47AAAAOQAAABUAAAAAAAAAAQAgAAAADAEAAGRycy9ncm91cHNo&#10;YXBleG1sLnhtbFBLBQYAAAAABgAGAGABAADJAwAAAAA=&#10;">
                        <o:lock v:ext="edit" aspectratio="f"/>
                        <v:shape id="直接箭头连接符 193" o:spid="_x0000_s1026" o:spt="32" type="#_x0000_t32" style="position:absolute;left:1637;top:0;flip:x;height:2115;width:68;" filled="f" stroked="t" coordsize="21600,21600" o:gfxdata="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KKb6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194" o:spid="_x0000_s1026" o:spt="202" type="#_x0000_t202" style="position:absolute;left:0;top:2115;height:10645;width:3410;" fillcolor="#FFFFFF [3217]" filled="t" stroked="t" coordsize="21600,21600" o:gfxdata="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jTJ6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保障措施</w:t>
                                </w:r>
                              </w:p>
                            </w:txbxContent>
                          </v:textbox>
                        </v:shape>
                      </v:group>
                      <v:group id="组合 195" o:spid="_x0000_s1026" o:spt="203" style="position:absolute;left:38896;top:409;height:12761;width:3410;" coordsize="3410,12760" o:gfxdata="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HS5cr0AAADdAAAADwAAAAAAAAABACAAAAAiAAAAZHJzL2Rvd25yZXYueG1s&#10;UEsBAhQAFAAAAAgAh07iQDMvBZ47AAAAOQAAABUAAAAAAAAAAQAgAAAADAEAAGRycy9ncm91cHNo&#10;YXBleG1sLnhtbFBLBQYAAAAABgAGAGABAADJAwAAAAA=&#10;">
                        <o:lock v:ext="edit" aspectratio="f"/>
                        <v:shape id="直接箭头连接符 196" o:spid="_x0000_s1026" o:spt="32" type="#_x0000_t32" style="position:absolute;left:1637;top:0;flip:x;height:2115;width:68;" filled="f" stroked="t" coordsize="21600,21600" o:gfxdata="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jscq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197" o:spid="_x0000_s1026" o:spt="202" type="#_x0000_t202" style="position:absolute;left:0;top:2115;height:10645;width:3410;" fillcolor="#FFFFFF [3217]" filled="t" stroked="t" coordsize="21600,21600" o:gfxdata="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U7wa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效益分析 </w:t>
                                </w:r>
                              </w:p>
                            </w:txbxContent>
                          </v:textbox>
                        </v:shape>
                      </v:group>
                    </v:group>
                    <v:line id="直接连接符 198" o:spid="_x0000_s1026" o:spt="20" style="position:absolute;left:34392;top:20062;height:2392;width:0;" filled="f" stroked="t" coordsize="21600,21600" o:gfxdata="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CcINvQAA&#10;AN0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line id="直接连接符 199" o:spid="_x0000_s1026" o:spt="20" style="position:absolute;left:1433;top:12760;flip:x;height:9554;width:136;" filled="f" stroked="t" coordsize="21600,21600" o:gfxdata="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mnFr4A&#10;AADdAAAADwAAAAAAAAABACAAAAAiAAAAZHJzL2Rvd25yZXYueG1sUEsBAhQAFAAAAAgAh07iQDMv&#10;BZ47AAAAOQAAABAAAAAAAAAAAQAgAAAADQEAAGRycy9zaGFwZXhtbC54bWxQSwUGAAAAAAYABgBb&#10;AQAAtwMAAAAA&#10;">
                      <v:fill on="f" focussize="0,0"/>
                      <v:stroke weight="1pt" color="#000000 [3229]" miterlimit="8" joinstyle="miter"/>
                      <v:imagedata o:title=""/>
                      <o:lock v:ext="edit" aspectratio="f"/>
                    </v:line>
                    <v:line id="直接连接符 200" o:spid="_x0000_s1026" o:spt="20" style="position:absolute;left:1433;top:22382;height:205;width:46129;" filled="f" stroked="t" coordsize="21600,21600" o:gfxdata="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rz5L4A&#10;AADdAAAADwAAAAAAAAABACAAAAAiAAAAZHJzL2Rvd25yZXYueG1sUEsBAhQAFAAAAAgAh07iQDMv&#10;BZ47AAAAOQAAABAAAAAAAAAAAQAgAAAADQEAAGRycy9zaGFwZXhtbC54bWxQSwUGAAAAAAYABgBb&#10;AQAAtwMAAAAA&#10;">
                      <v:fill on="f" focussize="0,0"/>
                      <v:stroke weight="1pt" color="#000000 [3229]" miterlimit="8" joinstyle="miter"/>
                      <v:imagedata o:title=""/>
                      <o:lock v:ext="edit" aspectratio="f"/>
                    </v:line>
                    <v:line id="直接连接符 201" o:spid="_x0000_s1026" o:spt="20" style="position:absolute;left:7915;top:12828;flip:x;height:9554;width:137;" filled="f" stroked="t" coordsize="21600,21600" o:gfxdata="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2Pc2/&#10;AAAA3Q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line>
                    <v:line id="直接连接符 202" o:spid="_x0000_s1026" o:spt="20" style="position:absolute;left:14466;top:12828;flip:x;height:9554;width:137;" filled="f" stroked="t" coordsize="21600,21600" o:gfxdata="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qYVrsAAADd&#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line>
                    <v:line id="直接连接符 203" o:spid="_x0000_s1026" o:spt="20" style="position:absolute;left:27636;top:13170;flip:x;height:9415;width:135;" filled="f" stroked="t" coordsize="21600,21600" o:gfxdata="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BiG8AAAA&#10;3Q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line id="直接连接符 204" o:spid="_x0000_s1026" o:spt="20" style="position:absolute;left:40465;top:13170;flip:x;height:9207;width:64;" filled="f" stroked="t" coordsize="21600,21600" o:gfxdata="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SjursAAADd&#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line>
                    <v:line id="直接连接符 205" o:spid="_x0000_s1026" o:spt="20" style="position:absolute;left:47494;top:13101;flip:x;height:9484;width:60;" filled="f" stroked="t" coordsize="21600,21600" o:gfxdata="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NO868AAAA&#10;3Q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line id="直接连接符 206" o:spid="_x0000_s1026" o:spt="20" style="position:absolute;left:21631;top:15149;flip:x;height:7162;width:0;" filled="f" stroked="t" coordsize="21600,21600" o:gfxdata="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BnlW8AAAA&#10;3Q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group>
                </v:group>
                <v:group id="Group 111" o:spid="_x0000_s1026" o:spt="203" style="position:absolute;left:5268;top:4620;height:3404;width:2837;" coordorigin="5268,4620" coordsize="2837,3404" o:gfxdata="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aMxRDvAAAAN0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5312;top:4620;height:483;width:2752;" fillcolor="#FFFFFF" filled="t" stroked="t" coordsize="21600,21600" o:gfxdata="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JcVq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rPr>
                              <w:sz w:val="24"/>
                              <w:szCs w:val="24"/>
                            </w:rPr>
                          </w:pPr>
                          <w:r>
                            <w:rPr>
                              <w:rFonts w:hint="eastAsia"/>
                              <w:sz w:val="24"/>
                              <w:szCs w:val="24"/>
                            </w:rPr>
                            <w:t>数据资料</w:t>
                          </w:r>
                          <w:r>
                            <w:rPr>
                              <w:sz w:val="24"/>
                              <w:szCs w:val="24"/>
                            </w:rPr>
                            <w:t>收集与分析</w:t>
                          </w:r>
                        </w:p>
                      </w:txbxContent>
                    </v:textbox>
                  </v:shape>
                  <v:shape id="直接箭头连接符 3" o:spid="_x0000_s1026" o:spt="32" type="#_x0000_t32" style="position:absolute;left:6676;top:5190;height:390;width:1;" filled="f" stroked="t" coordsize="21600,21600" o:gfxdata="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nzOe/&#10;AAAA3QAAAA8AAAAAAAAAAQAgAAAAIgAAAGRycy9kb3ducmV2LnhtbFBLAQIUABQAAAAIAIdO4kAz&#10;LwWeOwAAADkAAAAQAAAAAAAAAAEAIAAAAA4BAABkcnMvc2hhcGV4bWwueG1sUEsFBgAAAAAGAAYA&#10;WwEAALgDAAAAAA==&#10;">
                    <v:fill on="f" focussize="0,0"/>
                    <v:stroke weight="1pt" color="#000000 [3229]" miterlimit="8" joinstyle="miter" endarrow="block"/>
                    <v:imagedata o:title=""/>
                    <o:lock v:ext="edit" aspectratio="f"/>
                  </v:shape>
                  <v:shape id="文本框 2" o:spid="_x0000_s1026" o:spt="202" type="#_x0000_t202" style="position:absolute;left:5279;top:5580;height:483;width:2772;" fillcolor="#FFFFFF" filled="t" stroked="t" coordsize="21600,21600" o:gfxdata="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aQLO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设施建设</w:t>
                          </w:r>
                          <w:r>
                            <w:rPr>
                              <w:sz w:val="24"/>
                              <w:szCs w:val="24"/>
                            </w:rPr>
                            <w:t>需求分析</w:t>
                          </w:r>
                        </w:p>
                      </w:txbxContent>
                    </v:textbox>
                  </v:shape>
                  <v:shape id="直接箭头连接符 7" o:spid="_x0000_s1026" o:spt="32" type="#_x0000_t32" style="position:absolute;left:6676;top:6176;height:405;width:1;" filled="f" stroked="t" coordsize="21600,21600" o:gfxdata="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F7Oc&#10;wAAAAN0AAAAPAAAAAAAAAAEAIAAAACIAAABkcnMvZG93bnJldi54bWxQSwECFAAUAAAACACHTuJA&#10;My8FnjsAAAA5AAAAEAAAAAAAAAABACAAAAAPAQAAZHJzL3NoYXBleG1sLnhtbFBLBQYAAAAABgAG&#10;AFsBAAC5AwAAAAA=&#10;">
                    <v:fill on="f" focussize="0,0"/>
                    <v:stroke weight="1pt" color="#000000 [3229]" miterlimit="8" joinstyle="miter" endarrow="block"/>
                    <v:imagedata o:title=""/>
                    <o:lock v:ext="edit" aspectratio="f"/>
                  </v:shape>
                  <v:shape id="直接箭头连接符 9" o:spid="_x0000_s1026" o:spt="32" type="#_x0000_t32" style="position:absolute;left:6676;top:7150;height:404;width:1;" filled="f" stroked="t" coordsize="21600,21600" o:gfxdata="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bFge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 o:spid="_x0000_s1026" o:spt="202" type="#_x0000_t202" style="position:absolute;left:5279;top:6569;height:483;width:2826;" fillcolor="#FFFFFF" filled="t" stroked="t" coordsize="21600,21600" o:gfxdata="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ob+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实地调查</w:t>
                          </w:r>
                          <w:r>
                            <w:rPr>
                              <w:sz w:val="24"/>
                              <w:szCs w:val="24"/>
                            </w:rPr>
                            <w:t>与污染源调查</w:t>
                          </w:r>
                        </w:p>
                      </w:txbxContent>
                    </v:textbox>
                  </v:shape>
                  <v:shape id="文本框 2" o:spid="_x0000_s1026" o:spt="202" type="#_x0000_t202" style="position:absolute;left:5268;top:7541;height:483;width:2826;" fillcolor="#FFFFFF" filled="t" stroked="t" coordsize="21600,21600" o:gfxdata="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0BCS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rPr>
                              <w:sz w:val="24"/>
                              <w:szCs w:val="24"/>
                            </w:rPr>
                          </w:pPr>
                          <w:r>
                            <w:rPr>
                              <w:rFonts w:hint="eastAsia"/>
                              <w:sz w:val="24"/>
                              <w:szCs w:val="24"/>
                            </w:rPr>
                            <w:t>建设</w:t>
                          </w:r>
                          <w:r>
                            <w:rPr>
                              <w:sz w:val="24"/>
                              <w:szCs w:val="24"/>
                            </w:rPr>
                            <w:t>规模与规划目标</w:t>
                          </w:r>
                        </w:p>
                      </w:txbxContent>
                    </v:textbox>
                  </v:shape>
                </v:group>
              </v:group>
            </w:pict>
          </mc:Fallback>
        </mc:AlternateContent>
      </w:r>
    </w:p>
    <w:p>
      <w:pPr>
        <w:spacing w:before="583" w:beforeLines="150"/>
        <w:jc w:val="center"/>
        <w:rPr>
          <w:b/>
          <w:sz w:val="24"/>
          <w:szCs w:val="24"/>
        </w:rPr>
      </w:pPr>
      <w:r>
        <w:rPr>
          <w:rFonts w:hint="eastAsia"/>
          <w:b/>
          <w:sz w:val="24"/>
          <w:szCs w:val="24"/>
        </w:rPr>
        <w:t>图1</w:t>
      </w:r>
      <w:r>
        <w:rPr>
          <w:b/>
          <w:sz w:val="24"/>
          <w:szCs w:val="24"/>
        </w:rPr>
        <w:t>-7-1</w:t>
      </w:r>
      <w:r>
        <w:rPr>
          <w:rFonts w:hint="eastAsia"/>
          <w:b/>
          <w:sz w:val="24"/>
          <w:szCs w:val="24"/>
        </w:rPr>
        <w:t xml:space="preserve"> 凌源市</w:t>
      </w:r>
      <w:r>
        <w:rPr>
          <w:b/>
          <w:sz w:val="24"/>
          <w:szCs w:val="24"/>
        </w:rPr>
        <w:t>农村生活污水治理规划技术路线</w:t>
      </w:r>
      <w:bookmarkStart w:id="32" w:name="_Toc14665_WPSOffice_Level2"/>
    </w:p>
    <w:p>
      <w:pPr>
        <w:pStyle w:val="3"/>
        <w:spacing w:before="194" w:after="194"/>
        <w:rPr>
          <w:sz w:val="24"/>
          <w:szCs w:val="24"/>
        </w:rPr>
      </w:pPr>
      <w:bookmarkStart w:id="33" w:name="_Toc43546612"/>
      <w:r>
        <w:rPr>
          <w:rFonts w:hint="eastAsia"/>
        </w:rPr>
        <w:t>1.8 规划年限</w:t>
      </w:r>
      <w:bookmarkEnd w:id="32"/>
      <w:bookmarkEnd w:id="33"/>
    </w:p>
    <w:p>
      <w:pPr>
        <w:ind w:firstLine="560" w:firstLineChars="200"/>
      </w:pPr>
      <w:bookmarkStart w:id="34" w:name="_Toc14350_WPSOffice_Level2"/>
      <w:r>
        <w:rPr>
          <w:rFonts w:hint="eastAsia"/>
        </w:rPr>
        <w:t>规划期限：2021~20</w:t>
      </w:r>
      <w:r>
        <w:rPr>
          <w:rFonts w:hint="eastAsia"/>
          <w:lang w:val="en-US" w:eastAsia="zh-CN"/>
        </w:rPr>
        <w:t>3</w:t>
      </w:r>
      <w:r>
        <w:rPr>
          <w:rFonts w:hint="eastAsia"/>
        </w:rPr>
        <w:t>5 年；</w:t>
      </w:r>
    </w:p>
    <w:p>
      <w:pPr>
        <w:ind w:firstLine="560" w:firstLineChars="200"/>
      </w:pPr>
      <w:r>
        <w:rPr>
          <w:rFonts w:hint="eastAsia"/>
        </w:rPr>
        <w:t>其中近期为 2021~2025 年，远期到 2035 年。</w:t>
      </w:r>
    </w:p>
    <w:p>
      <w:pPr>
        <w:pStyle w:val="3"/>
        <w:spacing w:before="194" w:after="194"/>
      </w:pPr>
      <w:bookmarkStart w:id="35" w:name="_Toc43546613"/>
      <w:r>
        <w:rPr>
          <w:rFonts w:hint="eastAsia"/>
        </w:rPr>
        <w:t>1.9 规划目标</w:t>
      </w:r>
      <w:bookmarkEnd w:id="34"/>
      <w:bookmarkEnd w:id="35"/>
    </w:p>
    <w:p>
      <w:pPr>
        <w:ind w:firstLine="560" w:firstLineChars="200"/>
      </w:pPr>
      <w:r>
        <w:rPr>
          <w:rFonts w:hint="eastAsia"/>
        </w:rPr>
        <w:t>在全面梳理国家和地方资金支持的农村生活污水治理各类项目任务完成情况的基础上，根据《乡村振兴战略规划（2018—2022年）》、《农村人居环境整治三年行动方案》、《水污染防治行动计划》和《农业农村污染治理攻坚战行动计划》等部署要求，合理确定近期规划目标。</w:t>
      </w:r>
      <w:bookmarkStart w:id="36" w:name="_Toc24542_WPSOffice_Level3"/>
    </w:p>
    <w:p>
      <w:pPr>
        <w:ind w:firstLine="562" w:firstLineChars="200"/>
        <w:rPr>
          <w:b/>
        </w:rPr>
      </w:pPr>
      <w:r>
        <w:rPr>
          <w:rFonts w:hint="eastAsia"/>
          <w:b/>
        </w:rPr>
        <w:t>近期目标</w:t>
      </w:r>
      <w:bookmarkEnd w:id="36"/>
      <w:r>
        <w:rPr>
          <w:rFonts w:hint="eastAsia"/>
          <w:b/>
        </w:rPr>
        <w:t>：</w:t>
      </w:r>
    </w:p>
    <w:p>
      <w:pPr>
        <w:ind w:firstLine="560" w:firstLineChars="200"/>
      </w:pPr>
      <w:r>
        <w:rPr>
          <w:rFonts w:hint="eastAsia"/>
        </w:rPr>
        <w:t>2021</w:t>
      </w:r>
      <w:r>
        <w:t>~2022</w:t>
      </w:r>
      <w:r>
        <w:rPr>
          <w:rFonts w:hint="eastAsia"/>
        </w:rPr>
        <w:t>年：</w:t>
      </w:r>
    </w:p>
    <w:p>
      <w:pPr>
        <w:ind w:firstLine="560" w:firstLineChars="200"/>
        <w:rPr>
          <w:szCs w:val="28"/>
        </w:rPr>
      </w:pPr>
      <w:r>
        <w:rPr>
          <w:rFonts w:hint="eastAsia"/>
          <w:szCs w:val="28"/>
        </w:rPr>
        <w:t>以</w:t>
      </w:r>
      <w:r>
        <w:rPr>
          <w:szCs w:val="28"/>
        </w:rPr>
        <w:t>饮用水</w:t>
      </w:r>
      <w:r>
        <w:rPr>
          <w:rFonts w:hint="eastAsia"/>
          <w:szCs w:val="28"/>
        </w:rPr>
        <w:t>资源</w:t>
      </w:r>
      <w:r>
        <w:rPr>
          <w:szCs w:val="28"/>
        </w:rPr>
        <w:t>（</w:t>
      </w:r>
      <w:r>
        <w:rPr>
          <w:rFonts w:hint="eastAsia"/>
          <w:szCs w:val="28"/>
        </w:rPr>
        <w:t>大凌河</w:t>
      </w:r>
      <w:r>
        <w:rPr>
          <w:szCs w:val="28"/>
        </w:rPr>
        <w:t>和青龙河）</w:t>
      </w:r>
      <w:r>
        <w:rPr>
          <w:rFonts w:hint="eastAsia"/>
          <w:szCs w:val="28"/>
        </w:rPr>
        <w:t>、</w:t>
      </w:r>
      <w:r>
        <w:rPr>
          <w:szCs w:val="28"/>
        </w:rPr>
        <w:t>水源涵养功能生态红线</w:t>
      </w:r>
      <w:r>
        <w:rPr>
          <w:rFonts w:hint="eastAsia"/>
          <w:szCs w:val="28"/>
        </w:rPr>
        <w:t>及</w:t>
      </w:r>
      <w:r>
        <w:rPr>
          <w:szCs w:val="28"/>
        </w:rPr>
        <w:t>经济发展较好</w:t>
      </w:r>
      <w:r>
        <w:rPr>
          <w:rFonts w:hint="eastAsia"/>
          <w:szCs w:val="28"/>
          <w:lang w:val="en-US" w:eastAsia="zh-CN"/>
        </w:rPr>
        <w:t>的</w:t>
      </w:r>
      <w:r>
        <w:rPr>
          <w:szCs w:val="28"/>
        </w:rPr>
        <w:t>乡镇</w:t>
      </w:r>
      <w:r>
        <w:rPr>
          <w:rFonts w:hint="eastAsia"/>
          <w:szCs w:val="28"/>
          <w:lang w:val="en-US" w:eastAsia="zh-CN"/>
        </w:rPr>
        <w:t>行政</w:t>
      </w:r>
      <w:r>
        <w:rPr>
          <w:szCs w:val="28"/>
        </w:rPr>
        <w:t>村</w:t>
      </w:r>
      <w:r>
        <w:rPr>
          <w:rFonts w:hint="eastAsia"/>
          <w:szCs w:val="28"/>
        </w:rPr>
        <w:t>的</w:t>
      </w:r>
      <w:r>
        <w:rPr>
          <w:szCs w:val="28"/>
        </w:rPr>
        <w:t>农村生活污水作为</w:t>
      </w:r>
      <w:r>
        <w:rPr>
          <w:rFonts w:hint="eastAsia"/>
          <w:szCs w:val="28"/>
        </w:rPr>
        <w:t>近期</w:t>
      </w:r>
      <w:r>
        <w:rPr>
          <w:szCs w:val="28"/>
        </w:rPr>
        <w:t>重点规划</w:t>
      </w:r>
      <w:r>
        <w:rPr>
          <w:rFonts w:hint="eastAsia"/>
          <w:szCs w:val="28"/>
        </w:rPr>
        <w:t>对象</w:t>
      </w:r>
      <w:r>
        <w:rPr>
          <w:szCs w:val="28"/>
        </w:rPr>
        <w:t>，实现以下目标：</w:t>
      </w:r>
    </w:p>
    <w:p>
      <w:pPr>
        <w:ind w:firstLine="560" w:firstLineChars="200"/>
        <w:rPr>
          <w:szCs w:val="28"/>
        </w:rPr>
      </w:pPr>
      <w:r>
        <w:rPr>
          <w:rFonts w:hint="eastAsia"/>
          <w:szCs w:val="28"/>
        </w:rPr>
        <w:t>（1）农村</w:t>
      </w:r>
      <w:r>
        <w:rPr>
          <w:szCs w:val="28"/>
        </w:rPr>
        <w:t>生活污水治理行政村覆盖率达到</w:t>
      </w:r>
      <w:r>
        <w:rPr>
          <w:rFonts w:hint="eastAsia"/>
          <w:szCs w:val="28"/>
        </w:rPr>
        <w:t>20</w:t>
      </w:r>
      <w:r>
        <w:rPr>
          <w:szCs w:val="28"/>
        </w:rPr>
        <w:t>%，农户</w:t>
      </w:r>
      <w:r>
        <w:rPr>
          <w:rFonts w:hint="eastAsia"/>
          <w:szCs w:val="28"/>
        </w:rPr>
        <w:t>受益</w:t>
      </w:r>
      <w:r>
        <w:rPr>
          <w:szCs w:val="28"/>
        </w:rPr>
        <w:t>率</w:t>
      </w:r>
      <w:r>
        <w:rPr>
          <w:rFonts w:hint="eastAsia"/>
          <w:szCs w:val="28"/>
        </w:rPr>
        <w:t>达到23</w:t>
      </w:r>
      <w:r>
        <w:rPr>
          <w:szCs w:val="28"/>
        </w:rPr>
        <w:t>%</w:t>
      </w:r>
      <w:r>
        <w:rPr>
          <w:rFonts w:hint="eastAsia"/>
          <w:szCs w:val="28"/>
        </w:rPr>
        <w:t>。</w:t>
      </w:r>
    </w:p>
    <w:p>
      <w:pPr>
        <w:ind w:firstLine="560" w:firstLineChars="200"/>
        <w:rPr>
          <w:szCs w:val="28"/>
        </w:rPr>
      </w:pPr>
      <w:r>
        <w:rPr>
          <w:rFonts w:hint="eastAsia"/>
          <w:szCs w:val="28"/>
        </w:rPr>
        <w:t>（2）农村生活污水治理设施所覆盖区域内的农户应实现应接尽接，农户受益率达到</w:t>
      </w:r>
      <w:r>
        <w:rPr>
          <w:szCs w:val="28"/>
        </w:rPr>
        <w:t>25</w:t>
      </w:r>
      <w:r>
        <w:rPr>
          <w:rFonts w:hint="eastAsia"/>
          <w:szCs w:val="28"/>
        </w:rPr>
        <w:t>%。</w:t>
      </w:r>
    </w:p>
    <w:p>
      <w:pPr>
        <w:ind w:firstLine="560" w:firstLineChars="200"/>
        <w:rPr>
          <w:szCs w:val="28"/>
        </w:rPr>
      </w:pPr>
      <w:r>
        <w:rPr>
          <w:rFonts w:hint="eastAsia"/>
          <w:szCs w:val="28"/>
        </w:rPr>
        <w:t>（3）至规划近期（202</w:t>
      </w:r>
      <w:r>
        <w:rPr>
          <w:szCs w:val="28"/>
        </w:rPr>
        <w:t>2</w:t>
      </w:r>
      <w:r>
        <w:rPr>
          <w:rFonts w:hint="eastAsia"/>
          <w:szCs w:val="28"/>
        </w:rPr>
        <w:t>年），农村污水治理</w:t>
      </w:r>
      <w:r>
        <w:rPr>
          <w:szCs w:val="28"/>
        </w:rPr>
        <w:t>设施出水水质</w:t>
      </w:r>
      <w:r>
        <w:rPr>
          <w:rFonts w:hint="eastAsia"/>
          <w:szCs w:val="28"/>
        </w:rPr>
        <w:t>按</w:t>
      </w:r>
      <w:r>
        <w:rPr>
          <w:rFonts w:hint="eastAsia"/>
        </w:rPr>
        <w:t>《农村生活污水处理设施水污染物排放标准》（</w:t>
      </w:r>
      <w:r>
        <w:t>DB21/3176-2019</w:t>
      </w:r>
      <w:r>
        <w:rPr>
          <w:rFonts w:hint="eastAsia"/>
        </w:rPr>
        <w:t>）</w:t>
      </w:r>
      <w:r>
        <w:rPr>
          <w:rFonts w:hint="eastAsia"/>
          <w:szCs w:val="28"/>
        </w:rPr>
        <w:t>二级标准执行，其中自然生态红线区内按</w:t>
      </w:r>
      <w:r>
        <w:rPr>
          <w:rFonts w:hint="eastAsia"/>
        </w:rPr>
        <w:t>《农村生活污水处理设施水污染物排放标准》（</w:t>
      </w:r>
      <w:r>
        <w:t>DB21/3176-2019</w:t>
      </w:r>
      <w:r>
        <w:rPr>
          <w:rFonts w:hint="eastAsia"/>
        </w:rPr>
        <w:t>）</w:t>
      </w:r>
      <w:r>
        <w:rPr>
          <w:rFonts w:hint="eastAsia"/>
          <w:szCs w:val="28"/>
        </w:rPr>
        <w:t>一级标准执行；农村生活污水处理终端出水污染物排放达标率不低于80%。</w:t>
      </w:r>
    </w:p>
    <w:p>
      <w:pPr>
        <w:ind w:firstLine="560" w:firstLineChars="200"/>
        <w:rPr>
          <w:szCs w:val="28"/>
        </w:rPr>
      </w:pPr>
      <w:r>
        <w:rPr>
          <w:rFonts w:hint="eastAsia"/>
          <w:szCs w:val="28"/>
        </w:rPr>
        <w:t>（4）日处理设计规模30吨及以上农村生活污水处理设施实现100%标准化运维。</w:t>
      </w:r>
      <w:bookmarkStart w:id="37" w:name="_Toc5885_WPSOffice_Level3"/>
    </w:p>
    <w:p>
      <w:pPr>
        <w:ind w:firstLine="560" w:firstLineChars="200"/>
        <w:rPr>
          <w:szCs w:val="28"/>
        </w:rPr>
      </w:pPr>
      <w:r>
        <w:rPr>
          <w:rFonts w:hint="eastAsia"/>
        </w:rPr>
        <w:t>202</w:t>
      </w:r>
      <w:r>
        <w:t>3~2025</w:t>
      </w:r>
      <w:r>
        <w:rPr>
          <w:rFonts w:hint="eastAsia"/>
        </w:rPr>
        <w:t>年</w:t>
      </w:r>
      <w:bookmarkEnd w:id="37"/>
      <w:r>
        <w:rPr>
          <w:rFonts w:hint="eastAsia"/>
        </w:rPr>
        <w:t>：</w:t>
      </w:r>
    </w:p>
    <w:p>
      <w:pPr>
        <w:ind w:firstLine="560" w:firstLineChars="200"/>
        <w:rPr>
          <w:szCs w:val="28"/>
        </w:rPr>
      </w:pPr>
      <w:r>
        <w:rPr>
          <w:rFonts w:hint="eastAsia"/>
          <w:szCs w:val="28"/>
        </w:rPr>
        <w:t>以人口</w:t>
      </w:r>
      <w:r>
        <w:rPr>
          <w:szCs w:val="28"/>
        </w:rPr>
        <w:t>比较密集</w:t>
      </w:r>
      <w:r>
        <w:rPr>
          <w:rFonts w:hint="eastAsia"/>
          <w:szCs w:val="28"/>
        </w:rPr>
        <w:t>及</w:t>
      </w:r>
      <w:r>
        <w:rPr>
          <w:szCs w:val="28"/>
        </w:rPr>
        <w:t>经济发展较好的乡镇行政村</w:t>
      </w:r>
      <w:r>
        <w:rPr>
          <w:rFonts w:hint="eastAsia"/>
          <w:szCs w:val="28"/>
        </w:rPr>
        <w:t>的</w:t>
      </w:r>
      <w:r>
        <w:rPr>
          <w:szCs w:val="28"/>
        </w:rPr>
        <w:t>农村生活污水作为</w:t>
      </w:r>
      <w:r>
        <w:rPr>
          <w:rFonts w:hint="eastAsia"/>
          <w:szCs w:val="28"/>
        </w:rPr>
        <w:t>远期</w:t>
      </w:r>
      <w:r>
        <w:rPr>
          <w:szCs w:val="28"/>
        </w:rPr>
        <w:t>重点规划</w:t>
      </w:r>
      <w:r>
        <w:rPr>
          <w:rFonts w:hint="eastAsia"/>
          <w:szCs w:val="28"/>
        </w:rPr>
        <w:t>对象</w:t>
      </w:r>
      <w:r>
        <w:rPr>
          <w:szCs w:val="28"/>
        </w:rPr>
        <w:t>，实现以下目标：</w:t>
      </w:r>
    </w:p>
    <w:p>
      <w:pPr>
        <w:ind w:firstLine="560" w:firstLineChars="200"/>
        <w:rPr>
          <w:szCs w:val="28"/>
        </w:rPr>
      </w:pPr>
      <w:r>
        <w:rPr>
          <w:rFonts w:hint="eastAsia"/>
          <w:szCs w:val="28"/>
        </w:rPr>
        <w:t>（1）农村生活污水治理行政村覆盖率达到</w:t>
      </w:r>
      <w:r>
        <w:rPr>
          <w:szCs w:val="28"/>
        </w:rPr>
        <w:t>50</w:t>
      </w:r>
      <w:r>
        <w:rPr>
          <w:rFonts w:hint="eastAsia"/>
          <w:szCs w:val="28"/>
        </w:rPr>
        <w:t>%，农户受益率达到</w:t>
      </w:r>
      <w:r>
        <w:rPr>
          <w:szCs w:val="28"/>
        </w:rPr>
        <w:t>58</w:t>
      </w:r>
      <w:r>
        <w:rPr>
          <w:rFonts w:hint="eastAsia"/>
          <w:szCs w:val="28"/>
        </w:rPr>
        <w:t>%。</w:t>
      </w:r>
    </w:p>
    <w:p>
      <w:pPr>
        <w:ind w:firstLine="560" w:firstLineChars="200"/>
        <w:rPr>
          <w:szCs w:val="28"/>
        </w:rPr>
      </w:pPr>
      <w:r>
        <w:rPr>
          <w:rFonts w:hint="eastAsia"/>
          <w:szCs w:val="28"/>
        </w:rPr>
        <w:t>（2）建有处理设施村的农户污水应接尽接，完善接户工程，对化粪池漏损或无化粪池的农户进行改厕，实现农村雨污分流全面改造，对部分工艺相对落后的和处理能力不足的终端进行提升改造。</w:t>
      </w:r>
    </w:p>
    <w:p>
      <w:pPr>
        <w:ind w:firstLine="560" w:firstLineChars="200"/>
        <w:rPr>
          <w:szCs w:val="28"/>
        </w:rPr>
      </w:pPr>
      <w:r>
        <w:rPr>
          <w:rFonts w:hint="eastAsia"/>
          <w:szCs w:val="28"/>
        </w:rPr>
        <w:t>（3）完善“五位一体”的县域农村生活污水治理设施运维管理体系。</w:t>
      </w:r>
    </w:p>
    <w:p>
      <w:pPr>
        <w:ind w:firstLine="560" w:firstLineChars="200"/>
        <w:rPr>
          <w:szCs w:val="28"/>
        </w:rPr>
      </w:pPr>
      <w:r>
        <w:rPr>
          <w:rFonts w:hint="eastAsia"/>
          <w:szCs w:val="28"/>
        </w:rPr>
        <w:t>（4）其他</w:t>
      </w:r>
      <w:r>
        <w:rPr>
          <w:szCs w:val="28"/>
        </w:rPr>
        <w:t>50%行政村生活污水得到有效管控，农村生活污水治理管控</w:t>
      </w:r>
      <w:r>
        <w:rPr>
          <w:rFonts w:hint="eastAsia"/>
          <w:szCs w:val="28"/>
        </w:rPr>
        <w:t>实现</w:t>
      </w:r>
      <w:r>
        <w:rPr>
          <w:szCs w:val="28"/>
        </w:rPr>
        <w:t>全覆盖。</w:t>
      </w:r>
    </w:p>
    <w:p>
      <w:pPr>
        <w:ind w:firstLine="562" w:firstLineChars="200"/>
        <w:rPr>
          <w:b/>
          <w:szCs w:val="28"/>
        </w:rPr>
      </w:pPr>
      <w:r>
        <w:rPr>
          <w:rFonts w:hint="eastAsia"/>
          <w:b/>
          <w:szCs w:val="28"/>
        </w:rPr>
        <w:t>远期目标（2026-20</w:t>
      </w:r>
      <w:r>
        <w:rPr>
          <w:rFonts w:hint="eastAsia"/>
          <w:b/>
          <w:szCs w:val="28"/>
          <w:lang w:val="en-US" w:eastAsia="zh-CN"/>
        </w:rPr>
        <w:t>3</w:t>
      </w:r>
      <w:r>
        <w:rPr>
          <w:rFonts w:hint="eastAsia"/>
          <w:b/>
          <w:szCs w:val="28"/>
        </w:rPr>
        <w:t>5年）</w:t>
      </w:r>
      <w:r>
        <w:rPr>
          <w:b/>
          <w:szCs w:val="28"/>
        </w:rPr>
        <w:t>：</w:t>
      </w:r>
    </w:p>
    <w:p>
      <w:pPr>
        <w:ind w:firstLine="560" w:firstLineChars="200"/>
        <w:rPr>
          <w:szCs w:val="28"/>
        </w:rPr>
      </w:pPr>
      <w:r>
        <w:rPr>
          <w:rFonts w:hint="eastAsia"/>
          <w:szCs w:val="28"/>
        </w:rPr>
        <w:t>（1）逐步完成</w:t>
      </w:r>
      <w:r>
        <w:rPr>
          <w:szCs w:val="28"/>
        </w:rPr>
        <w:t>其他</w:t>
      </w:r>
      <w:r>
        <w:rPr>
          <w:rFonts w:hint="eastAsia"/>
          <w:szCs w:val="28"/>
        </w:rPr>
        <w:t>50</w:t>
      </w:r>
      <w:r>
        <w:rPr>
          <w:szCs w:val="28"/>
        </w:rPr>
        <w:t>%</w:t>
      </w:r>
      <w:r>
        <w:rPr>
          <w:rFonts w:hint="eastAsia"/>
          <w:szCs w:val="28"/>
          <w:lang w:eastAsia="zh-CN"/>
        </w:rPr>
        <w:t>，</w:t>
      </w:r>
      <w:r>
        <w:rPr>
          <w:szCs w:val="28"/>
        </w:rPr>
        <w:t>形成</w:t>
      </w:r>
      <w:r>
        <w:rPr>
          <w:rFonts w:hint="eastAsia"/>
          <w:szCs w:val="28"/>
          <w:lang w:val="en-US" w:eastAsia="zh-CN"/>
        </w:rPr>
        <w:t>农</w:t>
      </w:r>
      <w:r>
        <w:rPr>
          <w:szCs w:val="28"/>
        </w:rPr>
        <w:t>村生活污水集中处理，实现农村生活污水治理全</w:t>
      </w:r>
      <w:r>
        <w:rPr>
          <w:rFonts w:hint="eastAsia"/>
          <w:szCs w:val="28"/>
          <w:lang w:val="en-US" w:eastAsia="zh-CN"/>
        </w:rPr>
        <w:t>面</w:t>
      </w:r>
      <w:r>
        <w:rPr>
          <w:szCs w:val="28"/>
        </w:rPr>
        <w:t>覆盖。</w:t>
      </w:r>
      <w:r>
        <w:rPr>
          <w:rFonts w:hint="eastAsia"/>
          <w:szCs w:val="28"/>
        </w:rPr>
        <w:t xml:space="preserve">所涉及的村屯农户接管率达到 </w:t>
      </w:r>
      <w:r>
        <w:rPr>
          <w:szCs w:val="28"/>
        </w:rPr>
        <w:t>8</w:t>
      </w:r>
      <w:r>
        <w:rPr>
          <w:rFonts w:hint="eastAsia"/>
          <w:szCs w:val="28"/>
        </w:rPr>
        <w:t>0%。</w:t>
      </w:r>
    </w:p>
    <w:p>
      <w:pPr>
        <w:ind w:firstLine="560" w:firstLineChars="200"/>
      </w:pPr>
      <w:r>
        <w:rPr>
          <w:rFonts w:hint="eastAsia"/>
          <w:szCs w:val="28"/>
        </w:rPr>
        <w:t>（2）形成相对完善的农村生活污水治理设施运维管理体系。</w:t>
      </w:r>
    </w:p>
    <w:p>
      <w:pPr>
        <w:spacing w:before="640" w:after="320" w:line="240" w:lineRule="auto"/>
        <w:jc w:val="center"/>
        <w:rPr>
          <w:rFonts w:cs="Times New Roman"/>
          <w:b/>
          <w:kern w:val="0"/>
          <w:sz w:val="32"/>
          <w:szCs w:val="2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ODM1NzY0NmFjNzExZWNlZmMyZDI5ZjdjZTRkYWYifQ=="/>
  </w:docVars>
  <w:rsids>
    <w:rsidRoot w:val="25E351CB"/>
    <w:rsid w:val="0AD05D27"/>
    <w:rsid w:val="0BF81A36"/>
    <w:rsid w:val="0FE871A3"/>
    <w:rsid w:val="17601293"/>
    <w:rsid w:val="25E351CB"/>
    <w:rsid w:val="35465E25"/>
    <w:rsid w:val="375A66B6"/>
    <w:rsid w:val="3F4C7015"/>
    <w:rsid w:val="41CF1349"/>
    <w:rsid w:val="44DF4F67"/>
    <w:rsid w:val="54D32B97"/>
    <w:rsid w:val="620D44CC"/>
    <w:rsid w:val="657D1378"/>
    <w:rsid w:val="65DF77E5"/>
    <w:rsid w:val="731C41B1"/>
    <w:rsid w:val="75730212"/>
    <w:rsid w:val="785C62DA"/>
    <w:rsid w:val="7B4D4118"/>
    <w:rsid w:val="7E86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8"/>
      <w:szCs w:val="22"/>
      <w:lang w:val="en-US" w:eastAsia="zh-CN" w:bidi="ar-SA"/>
    </w:rPr>
  </w:style>
  <w:style w:type="paragraph" w:styleId="2">
    <w:name w:val="heading 1"/>
    <w:basedOn w:val="1"/>
    <w:next w:val="1"/>
    <w:qFormat/>
    <w:uiPriority w:val="0"/>
    <w:pPr>
      <w:widowControl/>
      <w:spacing w:beforeLines="100" w:afterLines="100"/>
      <w:jc w:val="center"/>
      <w:outlineLvl w:val="0"/>
    </w:pPr>
    <w:rPr>
      <w:rFonts w:cs="宋体"/>
      <w:b/>
      <w:bCs/>
      <w:kern w:val="36"/>
      <w:sz w:val="30"/>
      <w:szCs w:val="48"/>
    </w:rPr>
  </w:style>
  <w:style w:type="paragraph" w:styleId="3">
    <w:name w:val="heading 2"/>
    <w:basedOn w:val="1"/>
    <w:next w:val="1"/>
    <w:unhideWhenUsed/>
    <w:qFormat/>
    <w:uiPriority w:val="0"/>
    <w:pPr>
      <w:keepNext/>
      <w:keepLines/>
      <w:spacing w:beforeLines="50" w:afterLines="50"/>
      <w:outlineLvl w:val="1"/>
    </w:pPr>
    <w:rPr>
      <w:rFonts w:cstheme="majorBidi"/>
      <w:b/>
      <w:bCs/>
      <w:szCs w:val="32"/>
    </w:rPr>
  </w:style>
  <w:style w:type="paragraph" w:styleId="4">
    <w:name w:val="heading 3"/>
    <w:basedOn w:val="1"/>
    <w:next w:val="1"/>
    <w:unhideWhenUsed/>
    <w:qFormat/>
    <w:uiPriority w:val="0"/>
    <w:pPr>
      <w:keepNext/>
      <w:keepLines/>
      <w:spacing w:beforeLines="50" w:afterLines="50"/>
      <w:outlineLvl w:val="2"/>
    </w:pPr>
    <w:rPr>
      <w:b/>
      <w:bCs/>
      <w:szCs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1"/>
    <w:qFormat/>
    <w:uiPriority w:val="0"/>
    <w:pPr>
      <w:spacing w:beforeLines="50" w:afterLines="50" w:line="240" w:lineRule="auto"/>
      <w:ind w:firstLine="420" w:firstLineChars="200"/>
    </w:pPr>
    <w:rPr>
      <w:rFonts w:eastAsia="仿宋_GB231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6564</Words>
  <Characters>7284</Characters>
  <Lines>0</Lines>
  <Paragraphs>0</Paragraphs>
  <TotalTime>10</TotalTime>
  <ScaleCrop>false</ScaleCrop>
  <LinksUpToDate>false</LinksUpToDate>
  <CharactersWithSpaces>7345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2022-05-24T02:49:00Z</dcterms:created>
  <dc:creator>WPS_1649205685</dc:creator>
  <cp:lastModifiedBy>Administrator</cp:lastModifiedBy>
  <dcterms:modified xsi:type="dcterms:W3CDTF">2022-05-30T01:25:21Z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68373F876BE44BA2979384B7372B2D12</vt:lpwstr>
  </property>
</Properties>
</file>