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firstLine="723" w:firstLineChars="2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  <w:t>养老机构责任保险补贴资金管理办法</w:t>
      </w:r>
    </w:p>
    <w:p>
      <w:pPr>
        <w:numPr>
          <w:ilvl w:val="0"/>
          <w:numId w:val="0"/>
        </w:numPr>
        <w:ind w:left="0" w:leftChars="0" w:firstLine="723" w:firstLineChars="2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="0" w:leftChars="0" w:firstLine="640" w:firstLineChars="200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本着降低养老机构运营风险，防范老年人意外事故、造成服务对象遭受人身损害等责任角度出发来投保，以养老机构与保险公司签订投保协议条款为准。到位资金及时拨入中国人保凌源支公司账户，保险公司随时赔付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iMWI4MTliOWFjZTJkN2M5NGMwNmM5NTZkZDMwMmEifQ=="/>
  </w:docVars>
  <w:rsids>
    <w:rsidRoot w:val="068672F0"/>
    <w:rsid w:val="0686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2022-06-23T06:31:00Z</dcterms:created>
  <dc:creator>Administrator</dc:creator>
  <cp:lastModifiedBy>Administrator</cp:lastModifiedBy>
  <dcterms:modified xsi:type="dcterms:W3CDTF">2022-06-23T06:32:36Z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751806BA06D84C18AC89F8823BF75A79</vt:lpwstr>
  </property>
</Properties>
</file>