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z w:val="44"/>
          <w:szCs w:val="44"/>
        </w:rPr>
      </w:pP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1</w:t>
      </w:r>
      <w:r>
        <w:rPr>
          <w:rFonts w:hint="eastAsia" w:ascii="方正小标宋简体" w:eastAsia="方正小标宋简体"/>
          <w:sz w:val="44"/>
          <w:szCs w:val="44"/>
        </w:rPr>
        <w:t>年预算绩效工作开展情况</w:t>
      </w:r>
    </w:p>
    <w:p>
      <w:pPr>
        <w:spacing w:line="560" w:lineRule="exact"/>
        <w:jc w:val="center"/>
        <w:rPr>
          <w:rFonts w:ascii="方正小标宋简体" w:eastAsia="方正小标宋简体"/>
          <w:sz w:val="44"/>
          <w:szCs w:val="44"/>
        </w:rPr>
      </w:pP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近几年来，我</w:t>
      </w:r>
      <w:r>
        <w:rPr>
          <w:rFonts w:hint="eastAsia" w:ascii="仿宋_GB2312" w:eastAsia="仿宋_GB2312"/>
          <w:sz w:val="32"/>
          <w:szCs w:val="32"/>
          <w:lang w:eastAsia="zh-CN"/>
        </w:rPr>
        <w:t>乡</w:t>
      </w:r>
      <w:r>
        <w:rPr>
          <w:rFonts w:hint="eastAsia" w:ascii="仿宋_GB2312" w:eastAsia="仿宋_GB2312"/>
          <w:sz w:val="32"/>
          <w:szCs w:val="32"/>
        </w:rPr>
        <w:t>预算绩效管理工作在省市财政部门指导下，不断扩大完善预算绩效管理范围，将全部项目列入绩效评价范围，重点对扶贫项目开展了支出预算绩效评价，并坚持日常检查，季度督导，半年通报，建立工作档案，圆满完成省对下财政管理综合绩效考评工作。</w:t>
      </w:r>
    </w:p>
    <w:p>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一、预算绩效管理体系不断健全完善</w:t>
      </w:r>
    </w:p>
    <w:p>
      <w:pPr>
        <w:spacing w:line="560" w:lineRule="exact"/>
        <w:ind w:firstLine="640" w:firstLineChars="200"/>
        <w:jc w:val="left"/>
        <w:rPr>
          <w:rFonts w:ascii="仿宋_GB2312" w:eastAsia="仿宋_GB2312"/>
          <w:sz w:val="32"/>
          <w:szCs w:val="32"/>
        </w:rPr>
      </w:pPr>
      <w:r>
        <w:rPr>
          <w:rFonts w:hint="eastAsia" w:ascii="楷体_GB2312" w:eastAsia="楷体_GB2312"/>
          <w:sz w:val="32"/>
          <w:szCs w:val="32"/>
        </w:rPr>
        <w:t>（一）组织机构方面。</w:t>
      </w:r>
      <w:r>
        <w:rPr>
          <w:rFonts w:hint="eastAsia" w:ascii="仿宋_GB2312" w:eastAsia="仿宋_GB2312"/>
          <w:sz w:val="32"/>
          <w:szCs w:val="32"/>
        </w:rPr>
        <w:t>成立了以</w:t>
      </w:r>
      <w:r>
        <w:rPr>
          <w:rFonts w:hint="eastAsia" w:ascii="仿宋_GB2312" w:eastAsia="仿宋_GB2312"/>
          <w:sz w:val="32"/>
          <w:szCs w:val="32"/>
          <w:lang w:eastAsia="zh-CN"/>
        </w:rPr>
        <w:t>乡</w:t>
      </w:r>
      <w:r>
        <w:rPr>
          <w:rFonts w:hint="eastAsia" w:ascii="仿宋_GB2312" w:eastAsia="仿宋_GB2312"/>
          <w:sz w:val="32"/>
          <w:szCs w:val="32"/>
        </w:rPr>
        <w:t>长为组长、各分管副</w:t>
      </w:r>
      <w:r>
        <w:rPr>
          <w:rFonts w:hint="eastAsia" w:ascii="仿宋_GB2312" w:eastAsia="仿宋_GB2312"/>
          <w:sz w:val="32"/>
          <w:szCs w:val="32"/>
          <w:lang w:eastAsia="zh-CN"/>
        </w:rPr>
        <w:t>乡</w:t>
      </w:r>
      <w:r>
        <w:rPr>
          <w:rFonts w:hint="eastAsia" w:ascii="仿宋_GB2312" w:eastAsia="仿宋_GB2312"/>
          <w:sz w:val="32"/>
          <w:szCs w:val="32"/>
        </w:rPr>
        <w:t>长为副组长，相关业务站办为成员的凌源市</w:t>
      </w:r>
      <w:r>
        <w:rPr>
          <w:rFonts w:hint="eastAsia" w:ascii="仿宋_GB2312" w:eastAsia="仿宋_GB2312"/>
          <w:sz w:val="32"/>
          <w:szCs w:val="32"/>
          <w:lang w:eastAsia="zh-CN"/>
        </w:rPr>
        <w:t>佛爷洞乡</w:t>
      </w:r>
      <w:r>
        <w:rPr>
          <w:rFonts w:hint="eastAsia" w:ascii="仿宋_GB2312" w:eastAsia="仿宋_GB2312"/>
          <w:sz w:val="32"/>
          <w:szCs w:val="32"/>
        </w:rPr>
        <w:t>预算绩效管理领导小组，明确了各责任单位工作重点及承担的具体工作职责,规范了工作程序，明确了分阶段工作任务，强化了预算绩效在预算编制、执行中的全过程管理。</w:t>
      </w:r>
    </w:p>
    <w:p>
      <w:pPr>
        <w:spacing w:line="560" w:lineRule="exact"/>
        <w:ind w:firstLine="640" w:firstLineChars="200"/>
        <w:jc w:val="left"/>
        <w:rPr>
          <w:rFonts w:ascii="仿宋_GB2312" w:eastAsia="仿宋_GB2312"/>
          <w:sz w:val="32"/>
          <w:szCs w:val="32"/>
        </w:rPr>
      </w:pPr>
      <w:r>
        <w:rPr>
          <w:rFonts w:hint="eastAsia" w:ascii="楷体_GB2312" w:eastAsia="楷体_GB2312"/>
          <w:sz w:val="32"/>
          <w:szCs w:val="32"/>
        </w:rPr>
        <w:t>（二）宣传培训方面。</w:t>
      </w:r>
      <w:r>
        <w:rPr>
          <w:rFonts w:hint="eastAsia" w:ascii="仿宋_GB2312" w:eastAsia="仿宋_GB2312"/>
          <w:sz w:val="32"/>
          <w:szCs w:val="32"/>
        </w:rPr>
        <w:t>通过讲座、座谈、调研等形式就绩效管理理论、制度、办法和操作流程等方面，对预算部门开展业务培训</w:t>
      </w:r>
      <w:r>
        <w:rPr>
          <w:rFonts w:hint="eastAsia" w:ascii="仿宋_GB2312" w:eastAsia="仿宋_GB2312"/>
          <w:sz w:val="32"/>
          <w:szCs w:val="32"/>
          <w:lang w:val="en-US" w:eastAsia="zh-CN"/>
        </w:rPr>
        <w:t>30</w:t>
      </w:r>
      <w:r>
        <w:rPr>
          <w:rFonts w:hint="eastAsia" w:ascii="仿宋_GB2312" w:eastAsia="仿宋_GB2312"/>
          <w:sz w:val="32"/>
          <w:szCs w:val="32"/>
        </w:rPr>
        <w:t>余人次，促使其有理念、知内涵、懂方法。</w:t>
      </w:r>
    </w:p>
    <w:p>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二、预算绩效工作扎实开展</w:t>
      </w:r>
    </w:p>
    <w:p>
      <w:pPr>
        <w:spacing w:line="560" w:lineRule="exact"/>
        <w:ind w:firstLine="640" w:firstLineChars="200"/>
        <w:jc w:val="left"/>
        <w:rPr>
          <w:rFonts w:hint="eastAsia" w:ascii="楷体_GB2312" w:eastAsia="楷体_GB2312"/>
          <w:sz w:val="32"/>
          <w:szCs w:val="32"/>
        </w:rPr>
      </w:pPr>
      <w:r>
        <w:rPr>
          <w:rFonts w:hint="eastAsia" w:ascii="楷体_GB2312" w:eastAsia="楷体_GB2312"/>
          <w:sz w:val="32"/>
          <w:szCs w:val="32"/>
          <w:lang w:val="en-US" w:eastAsia="zh-CN"/>
        </w:rPr>
        <w:t>2021年</w:t>
      </w:r>
      <w:r>
        <w:rPr>
          <w:rFonts w:hint="eastAsia" w:ascii="楷体_GB2312" w:eastAsia="楷体_GB2312"/>
          <w:sz w:val="32"/>
          <w:szCs w:val="32"/>
        </w:rPr>
        <w:t>我们紧紧围绕财政中心工作，积极推进预算绩效管理工作，具体做了如下工作。</w:t>
      </w:r>
    </w:p>
    <w:p>
      <w:pPr>
        <w:spacing w:line="560" w:lineRule="exact"/>
        <w:ind w:firstLine="640" w:firstLineChars="200"/>
        <w:jc w:val="left"/>
        <w:rPr>
          <w:rFonts w:hint="eastAsia" w:ascii="楷体_GB2312" w:eastAsia="楷体_GB2312"/>
          <w:sz w:val="32"/>
          <w:szCs w:val="32"/>
        </w:rPr>
      </w:pPr>
      <w:r>
        <w:rPr>
          <w:rFonts w:hint="eastAsia" w:ascii="楷体_GB2312" w:eastAsia="楷体_GB2312"/>
          <w:sz w:val="32"/>
          <w:szCs w:val="32"/>
        </w:rPr>
        <w:t>1.认真完成20</w:t>
      </w:r>
      <w:r>
        <w:rPr>
          <w:rFonts w:hint="eastAsia" w:ascii="楷体_GB2312" w:eastAsia="楷体_GB2312"/>
          <w:sz w:val="32"/>
          <w:szCs w:val="32"/>
          <w:lang w:val="en-US" w:eastAsia="zh-CN"/>
        </w:rPr>
        <w:t>20</w:t>
      </w:r>
      <w:r>
        <w:rPr>
          <w:rFonts w:hint="eastAsia" w:ascii="楷体_GB2312" w:eastAsia="楷体_GB2312"/>
          <w:sz w:val="32"/>
          <w:szCs w:val="32"/>
        </w:rPr>
        <w:t>年度绩效评价。对20</w:t>
      </w:r>
      <w:r>
        <w:rPr>
          <w:rFonts w:hint="eastAsia" w:ascii="楷体_GB2312" w:eastAsia="楷体_GB2312"/>
          <w:sz w:val="32"/>
          <w:szCs w:val="32"/>
          <w:lang w:val="en-US" w:eastAsia="zh-CN"/>
        </w:rPr>
        <w:t>20</w:t>
      </w:r>
      <w:r>
        <w:rPr>
          <w:rFonts w:hint="eastAsia" w:ascii="楷体_GB2312" w:eastAsia="楷体_GB2312"/>
          <w:sz w:val="32"/>
          <w:szCs w:val="32"/>
        </w:rPr>
        <w:t>年度所有纳入预算绩效管理的部门单位及项目实施了绩效评价。</w:t>
      </w:r>
    </w:p>
    <w:p>
      <w:pPr>
        <w:spacing w:line="560" w:lineRule="exact"/>
        <w:ind w:firstLine="640" w:firstLineChars="200"/>
        <w:jc w:val="left"/>
        <w:rPr>
          <w:rFonts w:ascii="仿宋_GB2312" w:eastAsia="仿宋_GB2312"/>
          <w:sz w:val="32"/>
          <w:szCs w:val="32"/>
        </w:rPr>
      </w:pPr>
      <w:r>
        <w:rPr>
          <w:rFonts w:hint="eastAsia" w:ascii="楷体_GB2312" w:eastAsia="楷体_GB2312"/>
          <w:sz w:val="32"/>
          <w:szCs w:val="32"/>
        </w:rPr>
        <w:t>2.积极开展预算绩效目标编制。坚持把预算绩效目标的编制纳入</w:t>
      </w:r>
      <w:r>
        <w:rPr>
          <w:rFonts w:hint="eastAsia" w:ascii="仿宋_GB2312" w:eastAsia="仿宋_GB2312"/>
          <w:sz w:val="32"/>
          <w:szCs w:val="32"/>
        </w:rPr>
        <w:t>年初预算编制体系，预算单位申报预算时，其项目支出同步申报绩效目标，全面推进了项目绩效目标编报工作。</w:t>
      </w:r>
      <w:r>
        <w:rPr>
          <w:rFonts w:hint="eastAsia" w:ascii="仿宋_GB2312" w:eastAsia="仿宋_GB2312"/>
          <w:b/>
          <w:sz w:val="32"/>
          <w:szCs w:val="32"/>
        </w:rPr>
        <w:t>3. 全面加强绩效监控。</w:t>
      </w:r>
      <w:r>
        <w:rPr>
          <w:rFonts w:hint="eastAsia" w:ascii="仿宋_GB2312" w:eastAsia="仿宋_GB2312"/>
          <w:sz w:val="32"/>
          <w:szCs w:val="32"/>
        </w:rPr>
        <w:t>对预算单位纳入目标管理的项目支出进行了全面绩效跟踪管理工作，采取项目单位自行监控和财政部门重点监控相结合的方式，项目单位按照预算绩效管理的有关规定，对照项目绩效目标，对所负责项目执行过程以及资金使用和管理情况进行跟踪监控。财政部门按季度调度各预算单位绩效监控情况。</w:t>
      </w:r>
    </w:p>
    <w:p>
      <w:pPr>
        <w:spacing w:line="560" w:lineRule="exact"/>
        <w:ind w:firstLine="643" w:firstLineChars="200"/>
        <w:jc w:val="left"/>
        <w:rPr>
          <w:rFonts w:ascii="仿宋_GB2312" w:eastAsia="仿宋_GB2312"/>
          <w:b/>
          <w:sz w:val="32"/>
          <w:szCs w:val="32"/>
        </w:rPr>
      </w:pPr>
      <w:r>
        <w:rPr>
          <w:rFonts w:hint="eastAsia" w:ascii="仿宋_GB2312" w:eastAsia="仿宋_GB2312"/>
          <w:b/>
          <w:sz w:val="32"/>
          <w:szCs w:val="32"/>
        </w:rPr>
        <w:t>4.不断强化绩效宣传。</w:t>
      </w:r>
      <w:r>
        <w:rPr>
          <w:rFonts w:hint="eastAsia" w:ascii="仿宋_GB2312" w:eastAsia="仿宋_GB2312"/>
          <w:sz w:val="32"/>
          <w:szCs w:val="32"/>
        </w:rPr>
        <w:t>年初组织开展了1次业务培训，对有关问题组织座谈，并现场进行答疑解惑。同时，在财政系统的工作会议上多次反复强调要积极配合开展预算绩效管理工作，对各种绩效管理办法制度、操作流程及上级有关精神等下发了文件。</w:t>
      </w:r>
    </w:p>
    <w:p>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三、下一步预算绩效工作重点</w:t>
      </w:r>
    </w:p>
    <w:p>
      <w:pPr>
        <w:spacing w:line="560" w:lineRule="exact"/>
        <w:ind w:firstLine="640" w:firstLineChars="200"/>
        <w:jc w:val="left"/>
        <w:rPr>
          <w:rFonts w:ascii="黑体" w:hAnsi="黑体" w:eastAsia="黑体"/>
          <w:sz w:val="32"/>
          <w:szCs w:val="32"/>
        </w:rPr>
      </w:pPr>
      <w:r>
        <w:rPr>
          <w:rFonts w:hint="eastAsia" w:ascii="楷体_GB2312" w:hAnsi="黑体" w:eastAsia="楷体_GB2312"/>
          <w:sz w:val="32"/>
          <w:szCs w:val="32"/>
        </w:rPr>
        <w:t>（一）增强预算绩效管理理念。</w:t>
      </w:r>
      <w:r>
        <w:rPr>
          <w:rFonts w:hint="eastAsia" w:ascii="仿宋_GB2312" w:hAnsi="黑体" w:eastAsia="仿宋_GB2312"/>
          <w:sz w:val="32"/>
          <w:szCs w:val="32"/>
        </w:rPr>
        <w:t>准确理解绩效内涵，牢固树立“讲绩效、重绩效、用绩效”、“用钱必问效、无效必问责”的绩效管理理念，树立“用钱要问效、无效要问责”的理念。</w:t>
      </w:r>
    </w:p>
    <w:p>
      <w:pPr>
        <w:spacing w:line="560" w:lineRule="exact"/>
        <w:ind w:firstLine="640" w:firstLineChars="200"/>
        <w:jc w:val="left"/>
        <w:rPr>
          <w:rFonts w:ascii="仿宋_GB2312" w:hAnsi="黑体" w:eastAsia="仿宋_GB2312"/>
          <w:sz w:val="32"/>
          <w:szCs w:val="32"/>
        </w:rPr>
      </w:pPr>
      <w:r>
        <w:rPr>
          <w:rFonts w:hint="eastAsia" w:ascii="楷体_GB2312" w:hAnsi="黑体" w:eastAsia="楷体_GB2312"/>
          <w:sz w:val="32"/>
          <w:szCs w:val="32"/>
        </w:rPr>
        <w:t>（二）规范预算绩效目标管理。</w:t>
      </w:r>
      <w:r>
        <w:rPr>
          <w:rFonts w:hint="eastAsia" w:ascii="仿宋_GB2312" w:hAnsi="黑体" w:eastAsia="仿宋_GB2312"/>
          <w:sz w:val="32"/>
          <w:szCs w:val="32"/>
        </w:rPr>
        <w:t>按照“谁申请资金、谁编制目标”、“谁安排分配资金，谁审核绩效目标”的原则，做到绩效目标与预算编制同步申报、同步审核、同步批复，从流程上保证预算绩效管理与部门预算的结合。</w:t>
      </w:r>
    </w:p>
    <w:p>
      <w:pPr>
        <w:spacing w:line="560" w:lineRule="exact"/>
        <w:ind w:firstLine="640" w:firstLineChars="200"/>
        <w:jc w:val="left"/>
        <w:rPr>
          <w:rFonts w:ascii="仿宋_GB2312" w:hAnsi="黑体" w:eastAsia="仿宋_GB2312"/>
          <w:sz w:val="32"/>
          <w:szCs w:val="32"/>
        </w:rPr>
      </w:pPr>
      <w:r>
        <w:rPr>
          <w:rFonts w:hint="eastAsia" w:ascii="楷体_GB2312" w:hAnsi="黑体" w:eastAsia="楷体_GB2312"/>
          <w:sz w:val="32"/>
          <w:szCs w:val="32"/>
        </w:rPr>
        <w:t>（三）提高预算绩效评价水平，加强绩效评价结果应用。</w:t>
      </w:r>
      <w:r>
        <w:rPr>
          <w:rFonts w:hint="eastAsia" w:ascii="仿宋_GB2312" w:hAnsi="黑体" w:eastAsia="仿宋_GB2312"/>
          <w:sz w:val="32"/>
          <w:szCs w:val="32"/>
        </w:rPr>
        <w:t>逐步扩大绩效评价的范围，加强对重点支出和重大投资项目的绩效评价；建立绩效问责机制，将预算绩效管理纳入政府绩效评估范围，本着“谁用款、谁负责”的原则，对预算执行低，甚至零绩效的预算部门及其责任人</w:t>
      </w:r>
      <w:bookmarkStart w:id="0" w:name="_GoBack"/>
      <w:bookmarkEnd w:id="0"/>
      <w:r>
        <w:rPr>
          <w:rFonts w:hint="eastAsia" w:ascii="仿宋_GB2312" w:hAnsi="黑体" w:eastAsia="仿宋_GB2312"/>
          <w:sz w:val="32"/>
          <w:szCs w:val="32"/>
        </w:rPr>
        <w:t>实行绩效问责。</w:t>
      </w:r>
    </w:p>
    <w:p>
      <w:pPr>
        <w:spacing w:line="540" w:lineRule="exact"/>
        <w:jc w:val="left"/>
        <w:rPr>
          <w:rFonts w:ascii="仿宋_GB2312" w:hAnsi="黑体" w:eastAsia="仿宋_GB2312"/>
          <w:sz w:val="32"/>
          <w:szCs w:val="32"/>
        </w:rPr>
      </w:pPr>
    </w:p>
    <w:p>
      <w:pPr>
        <w:spacing w:line="560" w:lineRule="exact"/>
        <w:ind w:firstLine="640" w:firstLineChars="200"/>
        <w:jc w:val="left"/>
        <w:rPr>
          <w:rFonts w:ascii="仿宋" w:hAnsi="仿宋" w:eastAsia="仿宋"/>
          <w:sz w:val="32"/>
          <w:szCs w:val="32"/>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137352"/>
      <w:docPartObj>
        <w:docPartGallery w:val="autotext"/>
      </w:docPartObj>
    </w:sdtPr>
    <w:sdtContent>
      <w:p>
        <w:pPr>
          <w:pStyle w:val="3"/>
          <w:jc w:val="center"/>
        </w:pPr>
        <w:r>
          <w:rPr>
            <w:rFonts w:hint="eastAsia"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E2YzEwOWI4MmUyMzU0NWM5ZDAyODNkMmViNGUzNDEifQ=="/>
  </w:docVars>
  <w:rsids>
    <w:rsidRoot w:val="00B67DA9"/>
    <w:rsid w:val="00050256"/>
    <w:rsid w:val="000E201C"/>
    <w:rsid w:val="000F4AB3"/>
    <w:rsid w:val="001342C9"/>
    <w:rsid w:val="00140D47"/>
    <w:rsid w:val="00154829"/>
    <w:rsid w:val="001D2B28"/>
    <w:rsid w:val="002751CA"/>
    <w:rsid w:val="002A50DE"/>
    <w:rsid w:val="002C13C4"/>
    <w:rsid w:val="002F1ED7"/>
    <w:rsid w:val="00385087"/>
    <w:rsid w:val="003974A0"/>
    <w:rsid w:val="00422175"/>
    <w:rsid w:val="0051611F"/>
    <w:rsid w:val="005533A7"/>
    <w:rsid w:val="00572FD5"/>
    <w:rsid w:val="005B72A0"/>
    <w:rsid w:val="005F49EA"/>
    <w:rsid w:val="005F5935"/>
    <w:rsid w:val="006176EE"/>
    <w:rsid w:val="00636409"/>
    <w:rsid w:val="00737787"/>
    <w:rsid w:val="007423D7"/>
    <w:rsid w:val="00762A05"/>
    <w:rsid w:val="007B52AA"/>
    <w:rsid w:val="007C6BE3"/>
    <w:rsid w:val="007F4109"/>
    <w:rsid w:val="008A15D4"/>
    <w:rsid w:val="008A209F"/>
    <w:rsid w:val="008A21BC"/>
    <w:rsid w:val="008C28A1"/>
    <w:rsid w:val="008E2B1C"/>
    <w:rsid w:val="008E6FB8"/>
    <w:rsid w:val="00903FA8"/>
    <w:rsid w:val="00986331"/>
    <w:rsid w:val="009D6E44"/>
    <w:rsid w:val="00A24F05"/>
    <w:rsid w:val="00A55AEC"/>
    <w:rsid w:val="00A71554"/>
    <w:rsid w:val="00A763E8"/>
    <w:rsid w:val="00B1086A"/>
    <w:rsid w:val="00B67DA9"/>
    <w:rsid w:val="00BA54EE"/>
    <w:rsid w:val="00BB0834"/>
    <w:rsid w:val="00BD7C98"/>
    <w:rsid w:val="00C71600"/>
    <w:rsid w:val="00CA362C"/>
    <w:rsid w:val="00CC6EE6"/>
    <w:rsid w:val="00D355EA"/>
    <w:rsid w:val="00D91371"/>
    <w:rsid w:val="00D92E12"/>
    <w:rsid w:val="00DA099C"/>
    <w:rsid w:val="00DA70E5"/>
    <w:rsid w:val="00DB04A7"/>
    <w:rsid w:val="00DB0568"/>
    <w:rsid w:val="00E25C3E"/>
    <w:rsid w:val="00E84C44"/>
    <w:rsid w:val="00EC7A1D"/>
    <w:rsid w:val="00EE4D20"/>
    <w:rsid w:val="00F36060"/>
    <w:rsid w:val="00FD1CEB"/>
    <w:rsid w:val="00FE5183"/>
    <w:rsid w:val="218D60F8"/>
    <w:rsid w:val="26B92A9C"/>
    <w:rsid w:val="2BD4483E"/>
    <w:rsid w:val="4F2A360B"/>
    <w:rsid w:val="5E6D3AB3"/>
    <w:rsid w:val="643A10AA"/>
    <w:rsid w:val="79DC7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日期 Char"/>
    <w:basedOn w:val="7"/>
    <w:link w:val="2"/>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7AD5A-0908-4B81-92A3-714EFAD5115C}">
  <ds:schemaRefs/>
</ds:datastoreItem>
</file>

<file path=docProps/app.xml><?xml version="1.0" encoding="utf-8"?>
<Properties xmlns="http://schemas.openxmlformats.org/officeDocument/2006/extended-properties" xmlns:vt="http://schemas.openxmlformats.org/officeDocument/2006/docPropsVTypes">
  <Template>Normal</Template>
  <Company>www.dadighost.com</Company>
  <Pages>3</Pages>
  <Words>1089</Words>
  <Characters>1106</Characters>
  <Lines>18</Lines>
  <Paragraphs>5</Paragraphs>
  <TotalTime>6</TotalTime>
  <ScaleCrop>false</ScaleCrop>
  <LinksUpToDate>false</LinksUpToDate>
  <CharactersWithSpaces>1107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2020-07-24T07:28:00Z</dcterms:created>
  <dc:creator>Windows 用户</dc:creator>
  <cp:lastModifiedBy>Administrator</cp:lastModifiedBy>
  <dcterms:modified xsi:type="dcterms:W3CDTF">2022-08-25T06:47:29Z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1088710C268E471D8E45CEDEA2D35A0C</vt:lpwstr>
  </property>
</Properties>
</file>