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sz w:val="32"/>
          <w:szCs w:val="32"/>
        </w:rPr>
      </w:pPr>
      <w:r>
        <w:rPr>
          <w:rFonts w:hint="eastAsia" w:ascii="黑体" w:hAnsi="黑体" w:eastAsia="黑体"/>
          <w:sz w:val="32"/>
          <w:szCs w:val="32"/>
        </w:rPr>
        <w:t>附件2：</w:t>
      </w:r>
    </w:p>
    <w:p>
      <w:pPr>
        <w:spacing w:line="440" w:lineRule="exact"/>
        <w:jc w:val="center"/>
        <w:rPr>
          <w:rFonts w:hint="eastAsia" w:ascii="方正小标宋简体" w:eastAsia="方正小标宋简体"/>
          <w:sz w:val="44"/>
          <w:szCs w:val="44"/>
        </w:rPr>
      </w:pPr>
      <w:r>
        <w:rPr>
          <w:rFonts w:hint="eastAsia" w:ascii="方正小标宋简体" w:eastAsia="方正小标宋简体"/>
          <w:sz w:val="44"/>
          <w:szCs w:val="44"/>
        </w:rPr>
        <w:t>凌源市城镇燃气安全监管工作任务清单</w:t>
      </w:r>
    </w:p>
    <w:p>
      <w:pPr>
        <w:spacing w:line="240" w:lineRule="exact"/>
        <w:ind w:firstLine="420" w:firstLineChars="200"/>
      </w:pPr>
    </w:p>
    <w:tbl>
      <w:tblPr>
        <w:tblStyle w:val="6"/>
        <w:tblW w:w="15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7"/>
        <w:gridCol w:w="1399"/>
        <w:gridCol w:w="1816"/>
        <w:gridCol w:w="2205"/>
        <w:gridCol w:w="1514"/>
        <w:gridCol w:w="7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tblHeader/>
          <w:jc w:val="center"/>
        </w:trPr>
        <w:tc>
          <w:tcPr>
            <w:tcW w:w="647" w:type="dxa"/>
            <w:noWrap w:val="0"/>
            <w:tcMar>
              <w:left w:w="57" w:type="dxa"/>
              <w:right w:w="57" w:type="dxa"/>
            </w:tcMar>
            <w:vAlign w:val="center"/>
          </w:tcPr>
          <w:p>
            <w:pPr>
              <w:widowControl/>
              <w:spacing w:line="360" w:lineRule="exact"/>
              <w:jc w:val="center"/>
              <w:rPr>
                <w:rFonts w:hint="eastAsia" w:ascii="宋体" w:hAnsi="宋体"/>
                <w:b/>
                <w:sz w:val="24"/>
              </w:rPr>
            </w:pPr>
            <w:r>
              <w:rPr>
                <w:rFonts w:hint="eastAsia" w:ascii="宋体" w:hAnsi="宋体"/>
                <w:b/>
                <w:sz w:val="24"/>
              </w:rPr>
              <w:t>序号</w:t>
            </w:r>
          </w:p>
        </w:tc>
        <w:tc>
          <w:tcPr>
            <w:tcW w:w="1399" w:type="dxa"/>
            <w:noWrap w:val="0"/>
            <w:tcMar>
              <w:left w:w="57" w:type="dxa"/>
              <w:right w:w="57" w:type="dxa"/>
            </w:tcMar>
            <w:vAlign w:val="center"/>
          </w:tcPr>
          <w:p>
            <w:pPr>
              <w:widowControl/>
              <w:spacing w:line="360" w:lineRule="exact"/>
              <w:jc w:val="center"/>
              <w:rPr>
                <w:rFonts w:hint="eastAsia" w:ascii="宋体" w:hAnsi="宋体"/>
                <w:b/>
                <w:sz w:val="24"/>
              </w:rPr>
            </w:pPr>
            <w:r>
              <w:rPr>
                <w:rFonts w:hint="eastAsia" w:ascii="宋体" w:hAnsi="宋体"/>
                <w:b/>
                <w:sz w:val="24"/>
              </w:rPr>
              <w:t>工作分类</w:t>
            </w:r>
          </w:p>
        </w:tc>
        <w:tc>
          <w:tcPr>
            <w:tcW w:w="1816" w:type="dxa"/>
            <w:noWrap w:val="0"/>
            <w:tcMar>
              <w:left w:w="57" w:type="dxa"/>
              <w:right w:w="57" w:type="dxa"/>
            </w:tcMar>
            <w:vAlign w:val="center"/>
          </w:tcPr>
          <w:p>
            <w:pPr>
              <w:widowControl/>
              <w:spacing w:line="360" w:lineRule="exact"/>
              <w:jc w:val="center"/>
              <w:rPr>
                <w:rFonts w:hint="eastAsia" w:ascii="宋体" w:hAnsi="宋体"/>
                <w:b/>
                <w:sz w:val="24"/>
              </w:rPr>
            </w:pPr>
            <w:r>
              <w:rPr>
                <w:rFonts w:hint="eastAsia" w:ascii="宋体" w:hAnsi="宋体"/>
                <w:b/>
                <w:sz w:val="24"/>
              </w:rPr>
              <w:t>工作任务</w:t>
            </w:r>
          </w:p>
        </w:tc>
        <w:tc>
          <w:tcPr>
            <w:tcW w:w="2205" w:type="dxa"/>
            <w:noWrap w:val="0"/>
            <w:tcMar>
              <w:left w:w="57" w:type="dxa"/>
              <w:right w:w="57" w:type="dxa"/>
            </w:tcMar>
            <w:vAlign w:val="center"/>
          </w:tcPr>
          <w:p>
            <w:pPr>
              <w:widowControl/>
              <w:spacing w:line="360" w:lineRule="exact"/>
              <w:jc w:val="center"/>
              <w:rPr>
                <w:rFonts w:hint="eastAsia" w:ascii="宋体" w:hAnsi="宋体"/>
                <w:b/>
                <w:sz w:val="24"/>
              </w:rPr>
            </w:pPr>
            <w:r>
              <w:rPr>
                <w:rFonts w:hint="eastAsia" w:ascii="宋体" w:hAnsi="宋体"/>
                <w:b/>
                <w:sz w:val="24"/>
              </w:rPr>
              <w:t>责任单位</w:t>
            </w:r>
          </w:p>
        </w:tc>
        <w:tc>
          <w:tcPr>
            <w:tcW w:w="1514" w:type="dxa"/>
            <w:noWrap w:val="0"/>
            <w:tcMar>
              <w:left w:w="57" w:type="dxa"/>
              <w:right w:w="57" w:type="dxa"/>
            </w:tcMar>
            <w:vAlign w:val="center"/>
          </w:tcPr>
          <w:p>
            <w:pPr>
              <w:widowControl/>
              <w:spacing w:line="360" w:lineRule="exact"/>
              <w:jc w:val="center"/>
              <w:rPr>
                <w:rFonts w:hint="eastAsia" w:ascii="宋体" w:hAnsi="宋体"/>
                <w:b/>
                <w:sz w:val="24"/>
              </w:rPr>
            </w:pPr>
            <w:r>
              <w:rPr>
                <w:rFonts w:hint="eastAsia" w:ascii="宋体" w:hAnsi="宋体"/>
                <w:b/>
                <w:sz w:val="24"/>
              </w:rPr>
              <w:t>完成时限</w:t>
            </w:r>
          </w:p>
        </w:tc>
        <w:tc>
          <w:tcPr>
            <w:tcW w:w="7719" w:type="dxa"/>
            <w:noWrap w:val="0"/>
            <w:tcMar>
              <w:left w:w="57" w:type="dxa"/>
              <w:right w:w="57" w:type="dxa"/>
            </w:tcMar>
            <w:vAlign w:val="center"/>
          </w:tcPr>
          <w:p>
            <w:pPr>
              <w:widowControl/>
              <w:spacing w:line="360" w:lineRule="exact"/>
              <w:jc w:val="center"/>
              <w:rPr>
                <w:rFonts w:hint="eastAsia" w:ascii="宋体" w:hAnsi="宋体"/>
                <w:b/>
                <w:sz w:val="24"/>
              </w:rPr>
            </w:pPr>
            <w:r>
              <w:rPr>
                <w:rFonts w:hint="eastAsia" w:ascii="宋体" w:hAnsi="宋体"/>
                <w:b/>
                <w:sz w:val="24"/>
              </w:rPr>
              <w:t>具体工作要求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97"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ascii="宋体" w:hAnsi="宋体"/>
                <w:sz w:val="24"/>
              </w:rPr>
              <w:t>1</w:t>
            </w:r>
          </w:p>
        </w:tc>
        <w:tc>
          <w:tcPr>
            <w:tcW w:w="1399" w:type="dxa"/>
            <w:vMerge w:val="restart"/>
            <w:noWrap w:val="0"/>
            <w:tcMar>
              <w:left w:w="57" w:type="dxa"/>
              <w:right w:w="57" w:type="dxa"/>
            </w:tcMar>
            <w:vAlign w:val="center"/>
          </w:tcPr>
          <w:p>
            <w:pPr>
              <w:widowControl/>
              <w:spacing w:line="360" w:lineRule="exact"/>
              <w:jc w:val="center"/>
              <w:rPr>
                <w:rFonts w:hint="eastAsia" w:ascii="宋体" w:hAnsi="宋体"/>
                <w:sz w:val="24"/>
              </w:rPr>
            </w:pPr>
            <w:r>
              <w:rPr>
                <w:rFonts w:ascii="宋体" w:hAnsi="宋体"/>
                <w:sz w:val="24"/>
              </w:rPr>
              <w:t>完善城镇燃气法规制度</w:t>
            </w:r>
          </w:p>
        </w:tc>
        <w:tc>
          <w:tcPr>
            <w:tcW w:w="1816" w:type="dxa"/>
            <w:noWrap w:val="0"/>
            <w:tcMar>
              <w:left w:w="57" w:type="dxa"/>
              <w:right w:w="57" w:type="dxa"/>
            </w:tcMar>
            <w:vAlign w:val="center"/>
          </w:tcPr>
          <w:p>
            <w:pPr>
              <w:widowControl/>
              <w:spacing w:line="360" w:lineRule="exact"/>
              <w:jc w:val="center"/>
              <w:rPr>
                <w:rFonts w:hint="eastAsia" w:ascii="宋体" w:hAnsi="宋体"/>
                <w:spacing w:val="-10"/>
                <w:sz w:val="24"/>
              </w:rPr>
            </w:pPr>
            <w:r>
              <w:rPr>
                <w:rFonts w:hint="eastAsia" w:ascii="宋体" w:hAnsi="宋体"/>
                <w:spacing w:val="-10"/>
                <w:sz w:val="24"/>
              </w:rPr>
              <w:t>按照《</w:t>
            </w:r>
            <w:r>
              <w:rPr>
                <w:rFonts w:ascii="宋体" w:hAnsi="宋体"/>
                <w:spacing w:val="-10"/>
                <w:sz w:val="24"/>
              </w:rPr>
              <w:t>城镇燃气管理条例</w:t>
            </w:r>
            <w:r>
              <w:rPr>
                <w:rFonts w:hint="eastAsia" w:ascii="宋体" w:hAnsi="宋体"/>
                <w:spacing w:val="-10"/>
                <w:sz w:val="24"/>
              </w:rPr>
              <w:t>》、</w:t>
            </w:r>
            <w:r>
              <w:rPr>
                <w:rFonts w:ascii="宋体" w:hAnsi="宋体"/>
                <w:spacing w:val="-10"/>
                <w:sz w:val="24"/>
              </w:rPr>
              <w:t>《辽宁省城镇燃气管理条例》</w:t>
            </w:r>
            <w:r>
              <w:rPr>
                <w:rFonts w:hint="eastAsia" w:ascii="宋体" w:hAnsi="宋体"/>
                <w:spacing w:val="-10"/>
                <w:sz w:val="24"/>
              </w:rPr>
              <w:t>明确职责</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w:t>
            </w:r>
            <w:r>
              <w:rPr>
                <w:rFonts w:ascii="宋体" w:hAnsi="宋体"/>
                <w:sz w:val="24"/>
              </w:rPr>
              <w:t>司法局、</w:t>
            </w:r>
            <w:r>
              <w:rPr>
                <w:rFonts w:hint="eastAsia" w:ascii="宋体" w:hAnsi="宋体"/>
                <w:sz w:val="24"/>
              </w:rPr>
              <w:t>市</w:t>
            </w:r>
            <w:r>
              <w:rPr>
                <w:rFonts w:ascii="宋体" w:hAnsi="宋体"/>
                <w:sz w:val="24"/>
              </w:rPr>
              <w:t>住建局</w:t>
            </w:r>
          </w:p>
        </w:tc>
        <w:tc>
          <w:tcPr>
            <w:tcW w:w="1514" w:type="dxa"/>
            <w:noWrap w:val="0"/>
            <w:tcMar>
              <w:left w:w="57" w:type="dxa"/>
              <w:right w:w="57" w:type="dxa"/>
            </w:tcMar>
            <w:vAlign w:val="center"/>
          </w:tcPr>
          <w:p>
            <w:pPr>
              <w:widowControl/>
              <w:spacing w:line="360" w:lineRule="exact"/>
              <w:jc w:val="center"/>
              <w:rPr>
                <w:rFonts w:hint="eastAsia" w:ascii="宋体" w:hAnsi="宋体"/>
                <w:sz w:val="24"/>
              </w:rPr>
            </w:pPr>
            <w:r>
              <w:rPr>
                <w:rFonts w:ascii="宋体" w:hAnsi="宋体"/>
                <w:sz w:val="24"/>
              </w:rPr>
              <w:t>202</w:t>
            </w:r>
            <w:r>
              <w:rPr>
                <w:rFonts w:hint="eastAsia" w:ascii="宋体" w:hAnsi="宋体"/>
                <w:sz w:val="24"/>
              </w:rPr>
              <w:t>2</w:t>
            </w:r>
            <w:r>
              <w:rPr>
                <w:rFonts w:ascii="宋体" w:hAnsi="宋体"/>
                <w:sz w:val="24"/>
              </w:rPr>
              <w:t>年12月</w:t>
            </w:r>
          </w:p>
        </w:tc>
        <w:tc>
          <w:tcPr>
            <w:tcW w:w="7719" w:type="dxa"/>
            <w:noWrap w:val="0"/>
            <w:tcMar>
              <w:left w:w="57" w:type="dxa"/>
              <w:right w:w="57" w:type="dxa"/>
            </w:tcMar>
            <w:vAlign w:val="center"/>
          </w:tcPr>
          <w:p>
            <w:pPr>
              <w:widowControl/>
              <w:spacing w:line="360" w:lineRule="exact"/>
              <w:rPr>
                <w:rFonts w:hint="eastAsia" w:ascii="宋体" w:hAnsi="宋体"/>
                <w:sz w:val="24"/>
              </w:rPr>
            </w:pPr>
            <w:r>
              <w:rPr>
                <w:rFonts w:ascii="宋体" w:hAnsi="宋体"/>
                <w:sz w:val="24"/>
              </w:rPr>
              <w:t>在“三管三必须”基础上，通过再排查再整治，建立城镇燃气重大安全风险隐患动态清零机制；</w:t>
            </w:r>
            <w:r>
              <w:rPr>
                <w:rFonts w:hint="eastAsia" w:ascii="宋体" w:hAnsi="宋体"/>
                <w:sz w:val="24"/>
              </w:rPr>
              <w:t>按照《城镇燃气管理条例》、</w:t>
            </w:r>
            <w:r>
              <w:rPr>
                <w:rFonts w:ascii="宋体" w:hAnsi="宋体"/>
                <w:sz w:val="24"/>
              </w:rPr>
              <w:t>《辽宁省城镇燃气管理条例》, 进一步明确部门职责和联动工作机制。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7" w:hRule="atLeast"/>
          <w:jc w:val="center"/>
        </w:trPr>
        <w:tc>
          <w:tcPr>
            <w:tcW w:w="647"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2</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noWrap w:val="0"/>
            <w:tcMar>
              <w:left w:w="57" w:type="dxa"/>
              <w:right w:w="57" w:type="dxa"/>
            </w:tcMar>
            <w:vAlign w:val="center"/>
          </w:tcPr>
          <w:p>
            <w:pPr>
              <w:widowControl/>
              <w:spacing w:line="360" w:lineRule="exact"/>
              <w:jc w:val="center"/>
              <w:rPr>
                <w:rFonts w:hint="eastAsia" w:ascii="宋体" w:hAnsi="宋体"/>
                <w:sz w:val="24"/>
              </w:rPr>
            </w:pPr>
            <w:r>
              <w:rPr>
                <w:rFonts w:ascii="宋体" w:hAnsi="宋体"/>
                <w:sz w:val="24"/>
              </w:rPr>
              <w:t>安全责任体系健全落实</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w:t>
            </w:r>
            <w:r>
              <w:rPr>
                <w:rFonts w:ascii="宋体" w:hAnsi="宋体"/>
                <w:sz w:val="24"/>
              </w:rPr>
              <w:t>司法局、</w:t>
            </w:r>
            <w:r>
              <w:rPr>
                <w:rFonts w:hint="eastAsia" w:ascii="宋体" w:hAnsi="宋体"/>
                <w:sz w:val="24"/>
              </w:rPr>
              <w:t>市</w:t>
            </w:r>
            <w:r>
              <w:rPr>
                <w:rFonts w:ascii="宋体" w:hAnsi="宋体"/>
                <w:sz w:val="24"/>
              </w:rPr>
              <w:t>住建局</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长期推进</w:t>
            </w:r>
          </w:p>
        </w:tc>
        <w:tc>
          <w:tcPr>
            <w:tcW w:w="7719" w:type="dxa"/>
            <w:noWrap w:val="0"/>
            <w:tcMar>
              <w:left w:w="57" w:type="dxa"/>
              <w:right w:w="57" w:type="dxa"/>
            </w:tcMar>
            <w:vAlign w:val="center"/>
          </w:tcPr>
          <w:p>
            <w:pPr>
              <w:widowControl/>
              <w:spacing w:line="360" w:lineRule="exact"/>
              <w:rPr>
                <w:rFonts w:ascii="宋体" w:hAnsi="宋体"/>
                <w:sz w:val="24"/>
              </w:rPr>
            </w:pPr>
            <w:r>
              <w:rPr>
                <w:rFonts w:ascii="宋体" w:hAnsi="宋体"/>
                <w:sz w:val="24"/>
              </w:rPr>
              <w:t>实现城镇燃气法规制度基本完善，安全责任体系健全落实，市场经营规范有序，安全意识深入人心，社会共治形成合力，安全生产水平显著提升。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3" w:hRule="atLeast"/>
          <w:jc w:val="center"/>
        </w:trPr>
        <w:tc>
          <w:tcPr>
            <w:tcW w:w="647"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3</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进一步加强燃气运输安全监管</w:t>
            </w:r>
          </w:p>
        </w:tc>
        <w:tc>
          <w:tcPr>
            <w:tcW w:w="1816"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加强燃气运输企业监管</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市交通运输局、各燃气运输企业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2022年10月</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逐一排查已许可的燃气运输企业的资质条件，对不符合企业资质条件的，责令企业限期整改。每个月至少开展一次安全生产全面检查工作，指导、督促企业在规定期限内将问题整改到位。督促燃气运输企业建立安全生产领导机构和管理机构，配备与本单位安全生产工作相适应的专职安全管理人员。落实安全生产目标管理制度，层层签订目标责任书。每月对安全生产各要素和环节进行安全隐患排查，建立隐患排查档案，落实隐患整改责任、措施、资金、时限、预案，及时消除安全隐患。制定安全生产应急预案，开展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9"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4</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加强从业人员管理</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市交通运输局、各燃气运输企业</w:t>
            </w:r>
          </w:p>
        </w:tc>
        <w:tc>
          <w:tcPr>
            <w:tcW w:w="1514"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2022年10月</w:t>
            </w:r>
          </w:p>
        </w:tc>
        <w:tc>
          <w:tcPr>
            <w:tcW w:w="7719" w:type="dxa"/>
            <w:noWrap w:val="0"/>
            <w:tcMar>
              <w:left w:w="57" w:type="dxa"/>
              <w:right w:w="57" w:type="dxa"/>
            </w:tcMar>
            <w:vAlign w:val="center"/>
          </w:tcPr>
          <w:p>
            <w:pPr>
              <w:widowControl/>
              <w:spacing w:line="360" w:lineRule="exact"/>
              <w:rPr>
                <w:rFonts w:hint="eastAsia" w:ascii="宋体" w:hAnsi="宋体"/>
                <w:sz w:val="24"/>
              </w:rPr>
            </w:pPr>
            <w:r>
              <w:rPr>
                <w:rFonts w:hint="eastAsia" w:ascii="宋体" w:hAnsi="宋体"/>
                <w:sz w:val="24"/>
              </w:rPr>
              <w:t>建立从业人员聘用前排查机制，全面排查驾驶员、装卸管理人员、押运员的从业资格，对列入联合惩戒名单的从业人员依法实施联合惩戒。督促燃气运输企业按要求配足动态监控专职人员，不得兼职，做好人员的上岗培训和考试，使其掌握卫星定位监控平台系统的各项功能和具体操作；定期对驾驶员、押运员等从业人员开展包括法律法规、专业知识、业务技能、应急处置、警示案例等内容的教育培训、考核活动，培训学时每周不少于2小时，并做好相关记录和资料存档工作，建立健全从业人员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4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5</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进一步加强燃气运输安全监管</w:t>
            </w:r>
          </w:p>
        </w:tc>
        <w:tc>
          <w:tcPr>
            <w:tcW w:w="1816"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加强车辆技术管理</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市交通运输局、各燃气运输企业</w:t>
            </w:r>
          </w:p>
        </w:tc>
        <w:tc>
          <w:tcPr>
            <w:tcW w:w="1514"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2022年10月</w:t>
            </w:r>
          </w:p>
        </w:tc>
        <w:tc>
          <w:tcPr>
            <w:tcW w:w="771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sz w:val="24"/>
              </w:rPr>
            </w:pPr>
            <w:r>
              <w:rPr>
                <w:rFonts w:hint="eastAsia" w:ascii="宋体" w:hAnsi="宋体"/>
                <w:sz w:val="24"/>
              </w:rPr>
              <w:t>相关部门要全面排查所属车辆是否按照《道路运输危险货物车辆标志》（GB13392）要求安装、更新标志；落实综合性能检测周期和频率。自首次经国家机动车辆注册登记主管部门登记注册不满60个月的，每12个月进行1次检测和评定；超过60个月的，每6个月进行1次检测和评定，以保持车辆技术状况良好。燃气运输企业要建立健全车辆技术档案，为车辆配备符合有关国家标准以及与所载运的危险货物相适应的应急处理器材和安全防护设备，保证车辆的标志灯、标牌等警示标识齐全；不得使用不符合安全运行技术条件的车辆以及其他不符合国家规定的车辆从事危险货物运输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6</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加强动态监控管理</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市交通运输局、各燃气运输企业</w:t>
            </w:r>
          </w:p>
        </w:tc>
        <w:tc>
          <w:tcPr>
            <w:tcW w:w="1514"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2022年10月</w:t>
            </w:r>
          </w:p>
        </w:tc>
        <w:tc>
          <w:tcPr>
            <w:tcW w:w="771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sz w:val="24"/>
              </w:rPr>
            </w:pPr>
            <w:r>
              <w:rPr>
                <w:rFonts w:hint="eastAsia" w:ascii="宋体" w:hAnsi="宋体"/>
                <w:sz w:val="24"/>
              </w:rPr>
              <w:t>燃气运输企业应当保证危险货物运输车辆卫星定位装置及监控平台运行良好，建立动态监控工作台账，对所属车辆运行情况和从业人员操作行为进行实时监控和管理。实行24小时全天候监控管理，每天必须排查所属车辆，并逐一记录每部车的运行情况，排查率必须达到100%；同时，全面记录所属车辆的报警信息和处置结果，处置率必须达到100%；做好动态监控数据的保存工作，至少保存6个月，违法驾驶信息及处理情况至少保存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8"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7</w:t>
            </w:r>
          </w:p>
        </w:tc>
        <w:tc>
          <w:tcPr>
            <w:tcW w:w="1399"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进一步加强管道燃气安全监管</w:t>
            </w:r>
          </w:p>
        </w:tc>
        <w:tc>
          <w:tcPr>
            <w:tcW w:w="1816"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加强燃气管道排查整治</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市综合执法局、市住建局、市自然资源局、各乡镇街、各管道燃气企业</w:t>
            </w:r>
          </w:p>
        </w:tc>
        <w:tc>
          <w:tcPr>
            <w:tcW w:w="1514" w:type="dxa"/>
            <w:noWrap w:val="0"/>
            <w:tcMar>
              <w:left w:w="57" w:type="dxa"/>
              <w:right w:w="57" w:type="dxa"/>
            </w:tcMar>
            <w:vAlign w:val="center"/>
          </w:tcPr>
          <w:p>
            <w:pPr>
              <w:widowControl/>
              <w:spacing w:line="360" w:lineRule="exact"/>
              <w:jc w:val="center"/>
              <w:rPr>
                <w:rFonts w:hint="eastAsia" w:ascii="宋体" w:hAnsi="宋体"/>
                <w:sz w:val="24"/>
              </w:rPr>
            </w:pPr>
            <w:r>
              <w:rPr>
                <w:rFonts w:ascii="宋体" w:hAnsi="宋体"/>
                <w:sz w:val="24"/>
              </w:rPr>
              <w:t>202</w:t>
            </w:r>
            <w:r>
              <w:rPr>
                <w:rFonts w:hint="eastAsia" w:ascii="宋体" w:hAnsi="宋体"/>
                <w:sz w:val="24"/>
              </w:rPr>
              <w:t>2</w:t>
            </w:r>
            <w:r>
              <w:rPr>
                <w:rFonts w:ascii="宋体" w:hAnsi="宋体"/>
                <w:sz w:val="24"/>
              </w:rPr>
              <w:t>年12月</w:t>
            </w:r>
          </w:p>
        </w:tc>
        <w:tc>
          <w:tcPr>
            <w:tcW w:w="771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sz w:val="24"/>
              </w:rPr>
            </w:pPr>
            <w:r>
              <w:rPr>
                <w:rFonts w:hint="eastAsia" w:ascii="宋体" w:hAnsi="宋体"/>
                <w:sz w:val="24"/>
              </w:rPr>
              <w:t>对建（构）筑物占压燃气管道问题进行动态排查整治，先有管道后有违法占压的，由属地政府负责整治，对主城区范围内的违法建（构）筑物建设行为，由市综合执法局进行查处，相关职能部门配合，会同属地政府组织强制拆除；先有建（构）筑物后有管道的，由燃气企业为主负责整治。督促管道燃气企业进一步深入排查城镇燃气管道材质、使用年限、运行状况及周边环境，20年以上的聚乙烯PE管道、运行年限满20年或运行年限不满20年但存在安全隐患的燃气管道，周边环境存在自然或地质灾害、潮湿腐蚀、暗沟、密闭空间的管道，以及农贸市场、老旧小区、人员密集场所等周边管道立即开展评估，建立问题清单，制定整治计划，有力有序实施。2022年底前，完成既有违法占压管道整治。即日起，对违法占压燃气管道问题，实行挂牌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8</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进一步加强管道燃气安全监管</w:t>
            </w:r>
          </w:p>
        </w:tc>
        <w:tc>
          <w:tcPr>
            <w:tcW w:w="1816"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加强燃气</w:t>
            </w:r>
            <w:r>
              <w:rPr>
                <w:rFonts w:hint="eastAsia" w:ascii="宋体" w:hAnsi="宋体"/>
                <w:sz w:val="24"/>
              </w:rPr>
              <w:t>场站设施</w:t>
            </w:r>
            <w:r>
              <w:rPr>
                <w:rFonts w:ascii="宋体" w:hAnsi="宋体"/>
                <w:sz w:val="24"/>
              </w:rPr>
              <w:t>排查整治</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市住建局</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40" w:lineRule="exact"/>
              <w:rPr>
                <w:rFonts w:hint="eastAsia" w:ascii="宋体" w:hAnsi="宋体"/>
                <w:sz w:val="24"/>
              </w:rPr>
            </w:pPr>
            <w:r>
              <w:rPr>
                <w:rFonts w:ascii="宋体" w:hAnsi="宋体"/>
                <w:sz w:val="24"/>
              </w:rPr>
              <w:t>督促管道燃气企业加强燃气场站设施巡查巡检，实现压力系统在线动态监测，及时发现并处置燃气泄漏等重大安全风险隐患。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6" w:hRule="atLeast"/>
          <w:jc w:val="center"/>
        </w:trPr>
        <w:tc>
          <w:tcPr>
            <w:tcW w:w="647"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9</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市住建局、市综合执法局、市公安局、市自然资源局、各乡镇街、各管道燃气企业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2022年</w:t>
            </w:r>
            <w:r>
              <w:rPr>
                <w:rFonts w:hint="eastAsia" w:ascii="宋体" w:hAnsi="宋体"/>
                <w:sz w:val="24"/>
              </w:rPr>
              <w:t>12</w:t>
            </w:r>
            <w:r>
              <w:rPr>
                <w:rFonts w:ascii="宋体" w:hAnsi="宋体"/>
                <w:sz w:val="24"/>
              </w:rPr>
              <w:t>月</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组织对燃气场站设施站外间距问题进行动态排查整治，对场站外间距不足的违法建（构）筑物，由属地政府依法予以拆除，对主城区范围内的违法建（构）筑物建设行为，由市综合执法局进行查处，相关职能部门配合，会同属地政府依法予以拆除；属于合法建（构）筑物的，通过协商搬迁或协调燃气场站设施重新选址搬迁方式予以整改。在整改完成前，应控制场站设施燃气储量，必要时停产停业或者停止使用相关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6"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10</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市住建局</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hint="eastAsia" w:ascii="宋体" w:hAnsi="宋体"/>
                <w:sz w:val="24"/>
              </w:rPr>
            </w:pPr>
            <w:r>
              <w:rPr>
                <w:rFonts w:hint="eastAsia" w:ascii="宋体" w:hAnsi="宋体"/>
                <w:sz w:val="24"/>
              </w:rPr>
              <w:t>督促燃气企业完善并严格执行门站、高中压调压站、阀室、阀井及管道附属设施的日常维护和检查管理制度。每年对燃气场站进行不少于一次的安全评估，对不符合安评要求、不予整改落实的场站，予以停产停业，存在严重安全隐患的场站，立即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11</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各管道燃气企业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hint="eastAsia" w:ascii="宋体" w:hAnsi="宋体"/>
                <w:spacing w:val="-6"/>
                <w:sz w:val="24"/>
              </w:rPr>
            </w:pPr>
            <w:r>
              <w:rPr>
                <w:rFonts w:ascii="宋体" w:hAnsi="宋体"/>
                <w:spacing w:val="-6"/>
                <w:sz w:val="24"/>
              </w:rPr>
              <w:t>进一步强化燃气场站人防、物防、技防措施，严格落实反恐怖防范工作要求。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6"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12</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加强燃气管网运行维护管理</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市住建局、市综合执法局、市市场监管局、各乡镇街、各管道燃气企业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ascii="宋体" w:hAnsi="宋体"/>
                <w:sz w:val="24"/>
              </w:rPr>
              <w:t>督促</w:t>
            </w:r>
            <w:r>
              <w:rPr>
                <w:rFonts w:hint="eastAsia" w:ascii="宋体" w:hAnsi="宋体"/>
                <w:sz w:val="24"/>
              </w:rPr>
              <w:t>燃气企业严格落实巡线制度，实行分片、分段包干，责任到人，提高巡线质量，及时发现、处置燃气管道安全风险隐患，加强巡检情况的检查督查，并对企业落实情况进行定期不定期抽查。管道燃气企业要及时补齐、更新燃气管道地面标识标志，确保规范、清晰</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6"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13</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hint="eastAsia" w:ascii="宋体" w:hAnsi="宋体"/>
                <w:spacing w:val="-12"/>
                <w:sz w:val="24"/>
              </w:rPr>
            </w:pPr>
            <w:r>
              <w:rPr>
                <w:rFonts w:hint="eastAsia" w:ascii="宋体" w:hAnsi="宋体"/>
                <w:spacing w:val="-12"/>
                <w:sz w:val="24"/>
              </w:rPr>
              <w:t>市住建局、市市场监管局、各管道燃气企业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ascii="宋体" w:hAnsi="宋体"/>
                <w:sz w:val="24"/>
              </w:rPr>
              <w:t>提升压力管道、压力容器依法实施法定检验覆盖率，实现应检尽检。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3"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14</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市住建局、各管道燃气企业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2024年12月</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燃气企业建立完善GIS（地理信息）、SCADA（数据采集与监视控制）系统，增加监测点位，扩大压力和流量数据采集，实现对泄漏点快速定位、及时处置，运用信息手段动态监控燃气管网运行状态；实现地下燃气管线定位科技化，提升管线信息精准度。管道燃气企业引进先进燃气泄漏检测设备，升级燃气泄漏检测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4" w:hRule="atLeast"/>
          <w:jc w:val="center"/>
        </w:trPr>
        <w:tc>
          <w:tcPr>
            <w:tcW w:w="647"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1</w:t>
            </w:r>
            <w:r>
              <w:rPr>
                <w:rFonts w:hint="eastAsia" w:ascii="宋体" w:hAnsi="宋体"/>
                <w:sz w:val="24"/>
              </w:rPr>
              <w:t>5</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进一步加强管道燃气安全监管</w:t>
            </w:r>
          </w:p>
        </w:tc>
        <w:tc>
          <w:tcPr>
            <w:tcW w:w="1816"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从严管控第三方施工行为</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市住建局、市自然资源局、各乡镇街、市发改局、市公安局、各管道燃气企业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项目建设单位在实施动土作业工程施工前，要向可能涉及地下管路、线路等行业主管部门（住建、武装部、供电、供热、供水、市政、移动、联通、电信等）报备审批，共同研究制定预案后方可施工；各行业主管部门要向施工单位递交安全告知书，对施工现场进行地下管路、线路专项安全技术交底，明确责任人。同时，还要采用喷红漆、插彩旗等方式，为施工方明示位置，做好安全警示标识。市住建局要从严查处施工破坏燃气管道行为，依法追究建设、施工单位相关责任，相关部门对破坏燃气管道引发事故的施工单位依法依规联合开展失信惩戒。违法违规施工的，相关主管部门应依法采取责令停工、罚款、扣除施工企业和项目负责人信用分、暂扣资质证书等措施；涉嫌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6" w:hRule="atLeast"/>
          <w:jc w:val="center"/>
        </w:trPr>
        <w:tc>
          <w:tcPr>
            <w:tcW w:w="647"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1</w:t>
            </w:r>
            <w:r>
              <w:rPr>
                <w:rFonts w:hint="eastAsia" w:ascii="宋体" w:hAnsi="宋体"/>
                <w:sz w:val="24"/>
              </w:rPr>
              <w:t>6</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市住建局、市综合执法局、各乡镇街、各管道燃气企业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hint="eastAsia" w:ascii="宋体" w:hAnsi="宋体"/>
                <w:sz w:val="24"/>
              </w:rPr>
            </w:pPr>
            <w:r>
              <w:rPr>
                <w:rFonts w:hint="eastAsia" w:ascii="宋体" w:hAnsi="宋体"/>
                <w:sz w:val="24"/>
              </w:rPr>
              <w:t>建立完善建筑工程施工许可事项、城市道路挖掘审批事项与管道权属单位实时共享机制，及时推送燃气管道周边施工信息至管道燃气企业，实现风险预控。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1</w:t>
            </w:r>
            <w:r>
              <w:rPr>
                <w:rFonts w:hint="eastAsia" w:ascii="宋体" w:hAnsi="宋体"/>
                <w:sz w:val="24"/>
              </w:rPr>
              <w:t>7</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进一步加强瓶装液化气安全监管</w:t>
            </w:r>
          </w:p>
        </w:tc>
        <w:tc>
          <w:tcPr>
            <w:tcW w:w="1816"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加大瓶装液化气市场整合力度</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市住建局、市市场监管局、各乡镇街、各瓶装液化气企业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202</w:t>
            </w:r>
            <w:r>
              <w:rPr>
                <w:rFonts w:hint="eastAsia" w:ascii="宋体" w:hAnsi="宋体"/>
                <w:sz w:val="24"/>
              </w:rPr>
              <w:t>3</w:t>
            </w:r>
            <w:r>
              <w:rPr>
                <w:rFonts w:ascii="宋体" w:hAnsi="宋体"/>
                <w:sz w:val="24"/>
              </w:rPr>
              <w:t>年12月</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严格按照《凌源市城镇燃气及汽车加气站建设项目布局（2016-2030）规划》，充分考虑区域大小、用户数量、便民服务等因素，合理确定本地区瓶装液化气企业数量。引导现有瓶装液化气企业通过资产并购重组或资本参股等方式，在2023年底前基本完成瓶装液化气市场整合，实施区域化统一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1</w:t>
            </w:r>
            <w:r>
              <w:rPr>
                <w:rFonts w:hint="eastAsia" w:ascii="宋体" w:hAnsi="宋体"/>
                <w:sz w:val="24"/>
              </w:rPr>
              <w:t>8</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加大瓶装液化气市场整合力度</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市住建局、各乡镇街、各瓶装液化气企业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2022年12月</w:t>
            </w:r>
          </w:p>
        </w:tc>
        <w:tc>
          <w:tcPr>
            <w:tcW w:w="7719" w:type="dxa"/>
            <w:noWrap w:val="0"/>
            <w:tcMar>
              <w:left w:w="57" w:type="dxa"/>
              <w:right w:w="57" w:type="dxa"/>
            </w:tcMar>
            <w:vAlign w:val="center"/>
          </w:tcPr>
          <w:p>
            <w:pPr>
              <w:widowControl/>
              <w:spacing w:line="360" w:lineRule="exact"/>
              <w:rPr>
                <w:rFonts w:hint="eastAsia" w:ascii="宋体" w:hAnsi="宋体"/>
                <w:sz w:val="24"/>
              </w:rPr>
            </w:pPr>
            <w:r>
              <w:rPr>
                <w:rFonts w:hint="eastAsia" w:ascii="宋体" w:hAnsi="宋体"/>
                <w:sz w:val="24"/>
              </w:rPr>
              <w:t>严控新增瓶装液化气储配站，淘汰过剩、低端产能，优先整合储气容量过低的储配站。按照优化布局、便民惠民原则，通过搬迁、改造、设立配送瓶装液化气服务站点等方式，对现有配送瓶装液化气服务站点进行布局调整，原则上每个乡镇设置1个瓶装液化气服务站点（较大或较偏远乡镇根据服务需要合理设置），构建规模化经营、规范化管理、专业化发展、标准化服务的市场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7" w:hRule="atLeast"/>
          <w:jc w:val="center"/>
        </w:trPr>
        <w:tc>
          <w:tcPr>
            <w:tcW w:w="647"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1</w:t>
            </w:r>
            <w:r>
              <w:rPr>
                <w:rFonts w:hint="eastAsia" w:ascii="宋体" w:hAnsi="宋体"/>
                <w:sz w:val="24"/>
              </w:rPr>
              <w:t>9</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进一步加强瓶装液化气安全监管</w:t>
            </w:r>
          </w:p>
        </w:tc>
        <w:tc>
          <w:tcPr>
            <w:tcW w:w="1816" w:type="dxa"/>
            <w:vMerge w:val="restart"/>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强化</w:t>
            </w:r>
            <w:r>
              <w:rPr>
                <w:rFonts w:ascii="宋体" w:hAnsi="宋体"/>
                <w:sz w:val="24"/>
              </w:rPr>
              <w:t>瓶装液化气全链条管</w:t>
            </w:r>
            <w:r>
              <w:rPr>
                <w:rFonts w:hint="eastAsia" w:ascii="宋体" w:hAnsi="宋体"/>
                <w:sz w:val="24"/>
              </w:rPr>
              <w:t>控</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市市场监管局、市财政局、市住建局、各乡镇街、市公安局、各瓶装液化气企业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2022年12月</w:t>
            </w:r>
          </w:p>
        </w:tc>
        <w:tc>
          <w:tcPr>
            <w:tcW w:w="7719" w:type="dxa"/>
            <w:noWrap w:val="0"/>
            <w:tcMar>
              <w:left w:w="57" w:type="dxa"/>
              <w:right w:w="57" w:type="dxa"/>
            </w:tcMar>
            <w:vAlign w:val="center"/>
          </w:tcPr>
          <w:p>
            <w:pPr>
              <w:widowControl/>
              <w:spacing w:line="360" w:lineRule="exact"/>
              <w:rPr>
                <w:rFonts w:hint="eastAsia" w:ascii="宋体" w:hAnsi="宋体"/>
                <w:sz w:val="24"/>
              </w:rPr>
            </w:pPr>
            <w:r>
              <w:rPr>
                <w:rFonts w:hint="eastAsia" w:ascii="宋体" w:hAnsi="宋体"/>
                <w:sz w:val="24"/>
              </w:rPr>
              <w:t>严格落实气瓶充装管理制度，严格执行“一瓶一码”“一扫一充”，严禁充装不合格气瓶。在2022年底前居民用户进行旧气瓶换新气瓶的，燃气经营企业对检验合格有效期内气瓶减免更换瓶阀和检验费用，并报市场监管部门备案，每免费更换200只气瓶的，给予10000元财政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20</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市市场监管局、市住建局、各乡镇街、各瓶装液化气企业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建立完善瓶装液化气统一配送服务平台，对送气工、送气车辆实施统一管理，严格落实购气实名制和配送服务制，实行用户档案管理，签订供用气合同，对气瓶实施从充装、配送到用户全流程追溯。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2"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21</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各瓶装液化气企业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燃气企业负责制定入户安检和随瓶安检制度。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22</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市市场监管局、市住建局、市公安局、各乡镇街、各瓶装液化气企业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强化瓶装液化气安全监管信息和气瓶充装系统应用，完善燃气企业用户服务信息，充分发挥监管效能，实现“来源可溯、去向可追、责任可究”监管目标。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16"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23</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严厉打击“倒气”违法行为</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市公安局、市住建局、市现代服务业发展服务中心、市市场监管局、各乡镇街</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建立完善打击“倒气”联动工作机制，加强部门协同和联合执法，整顿“倒气”市场。要拓展“倒气”案源线索渠道，大力宣传有奖举报电话，充分调动城镇居民和从业人员举报“倒气”的积极性；借助基层网格力量，及时发现上报非法储存经营燃气线索；依托区域警务合作平台，加强对危化品运输车辆及运送气瓶车辆的关注和临检布控，挖掘跨地区非法经营、运输燃气的线索；强化餐饮等重点用户供气合同检查，从使用端倒查“倒气”线索。要优化线索移交流程，提高违法行为查处效率。对查实的“倒气”线索，妨害公共安全的，依法给予治安管理处罚；构成犯罪的，要依法追究刑事责任，形成社会震慑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00" w:hRule="atLeast"/>
          <w:jc w:val="center"/>
        </w:trPr>
        <w:tc>
          <w:tcPr>
            <w:tcW w:w="647"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2</w:t>
            </w:r>
            <w:r>
              <w:rPr>
                <w:rFonts w:hint="eastAsia" w:ascii="宋体" w:hAnsi="宋体"/>
                <w:sz w:val="24"/>
              </w:rPr>
              <w:t>4</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进一步加强燃气使用安全监管</w:t>
            </w:r>
          </w:p>
        </w:tc>
        <w:tc>
          <w:tcPr>
            <w:tcW w:w="1816"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加强重点场所燃气使用安全监管</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市住建局、市市场监管局、市发改局、市教育局、市现代服务业发展服务中心、市文旅广电局、市卫健委、市应急局、各乡镇街、各燃气企业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2022年12月</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加强对公众聚集场所、住宅底商、学校、医院、其他人员密集场所等重点场所燃气使用安全监督检查，重点检查“灶管阀”、通风环境、燃气泄漏安全保护装置等部位，督促用气单位（用气人）使用合法气源，及时更换不合格“灶管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25</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w:t>
            </w:r>
            <w:r>
              <w:rPr>
                <w:rFonts w:ascii="宋体" w:hAnsi="宋体"/>
                <w:sz w:val="24"/>
              </w:rPr>
              <w:t>消防救援</w:t>
            </w:r>
            <w:r>
              <w:rPr>
                <w:rFonts w:hint="eastAsia" w:ascii="宋体" w:hAnsi="宋体"/>
                <w:sz w:val="24"/>
              </w:rPr>
              <w:t>大</w:t>
            </w:r>
            <w:r>
              <w:rPr>
                <w:rFonts w:ascii="宋体" w:hAnsi="宋体"/>
                <w:sz w:val="24"/>
              </w:rPr>
              <w:t>队</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重点场所燃气用具的安装、使用及其线路、管路的设计、铺设、维护保养、检测必须符合消防技术标准和管理规定。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2"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26</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restart"/>
            <w:noWrap w:val="0"/>
            <w:tcMar>
              <w:left w:w="57" w:type="dxa"/>
              <w:right w:w="57" w:type="dxa"/>
            </w:tcMar>
            <w:vAlign w:val="center"/>
          </w:tcPr>
          <w:p>
            <w:pPr>
              <w:spacing w:line="360" w:lineRule="exact"/>
              <w:jc w:val="center"/>
              <w:rPr>
                <w:rFonts w:ascii="宋体" w:hAnsi="宋体"/>
                <w:sz w:val="24"/>
              </w:rPr>
            </w:pPr>
            <w:r>
              <w:rPr>
                <w:rFonts w:ascii="宋体" w:hAnsi="宋体"/>
                <w:sz w:val="24"/>
              </w:rPr>
              <w:t>加强重点场所燃气使用安全监管</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市住建局、市市场监管局、市公安局、市教育局、市现代服务业发展服务中心、市文旅广电局、市卫健委、市应急局、各乡镇街、各燃气企业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建立重点场所燃气泄漏报警信息平台，对燃气使用预警信息进行实时在线监测，并将预警信息推送至网格员、用气单位（用气人）和供气单位，及时采取措施消除隐患。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9"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27</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市住建局、市市场监管局、市发改局、市教育局、市现代服务业发展服务中心、市文旅广电局、市卫健委、市应急局、各乡镇街、各燃气企业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hint="eastAsia" w:ascii="宋体" w:hAnsi="宋体"/>
                <w:sz w:val="24"/>
              </w:rPr>
            </w:pPr>
            <w:r>
              <w:rPr>
                <w:rFonts w:hint="eastAsia" w:ascii="宋体" w:hAnsi="宋体"/>
                <w:sz w:val="24"/>
              </w:rPr>
              <w:t>推动有条件的重点场所有序实施“瓶改管”、“瓶改电”、“气改电”。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16" w:hRule="atLeast"/>
          <w:jc w:val="center"/>
        </w:trPr>
        <w:tc>
          <w:tcPr>
            <w:tcW w:w="647"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2</w:t>
            </w:r>
            <w:r>
              <w:rPr>
                <w:rFonts w:hint="eastAsia" w:ascii="宋体" w:hAnsi="宋体"/>
                <w:sz w:val="24"/>
              </w:rPr>
              <w:t>8</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进一步加强燃气使用安全监管</w:t>
            </w:r>
          </w:p>
        </w:tc>
        <w:tc>
          <w:tcPr>
            <w:tcW w:w="1816"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加强“住宅底商”燃气使用安全监管</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市现代服务业发展服务中心、市住建局、市市场监管局、市公安局、各乡镇街、各燃气企业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hint="eastAsia" w:ascii="宋体" w:hAnsi="宋体"/>
                <w:sz w:val="24"/>
              </w:rPr>
            </w:pPr>
            <w:r>
              <w:rPr>
                <w:rFonts w:hint="eastAsia" w:ascii="宋体" w:hAnsi="宋体"/>
                <w:sz w:val="24"/>
              </w:rPr>
              <w:t>严控新增“住宅底商”经营场所使用燃气生产经营，严禁不具备条件的“住宅底商”餐饮经营者使用燃气。建立“住宅底商”经营场所用气报告制度，产权人（使用人）须向属地乡镇街报告并对安全使用燃气作出书面承诺。各乡镇街应组织对“住宅底商”经营场所用气主动报告和承诺落实情况进行检查，并提前介入新开业经营场所用气事宜，及时制止不符合用气条件的经营场所使用燃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8"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29</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加强居民燃气使用安全监管</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市住建局、市民政局、市财政局、市综合执法局、各乡镇街、各燃气企业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2022年</w:t>
            </w:r>
            <w:r>
              <w:rPr>
                <w:rFonts w:hint="eastAsia" w:ascii="宋体" w:hAnsi="宋体"/>
                <w:sz w:val="24"/>
              </w:rPr>
              <w:t>12</w:t>
            </w:r>
            <w:r>
              <w:rPr>
                <w:rFonts w:ascii="宋体" w:hAnsi="宋体"/>
                <w:sz w:val="24"/>
              </w:rPr>
              <w:t>月</w:t>
            </w:r>
          </w:p>
        </w:tc>
        <w:tc>
          <w:tcPr>
            <w:tcW w:w="7719" w:type="dxa"/>
            <w:noWrap w:val="0"/>
            <w:tcMar>
              <w:left w:w="57" w:type="dxa"/>
              <w:right w:w="57" w:type="dxa"/>
            </w:tcMar>
            <w:vAlign w:val="center"/>
          </w:tcPr>
          <w:p>
            <w:pPr>
              <w:widowControl/>
              <w:spacing w:line="360" w:lineRule="exact"/>
              <w:rPr>
                <w:rFonts w:ascii="宋体" w:hAnsi="宋体"/>
                <w:sz w:val="24"/>
              </w:rPr>
            </w:pPr>
            <w:r>
              <w:rPr>
                <w:rFonts w:ascii="宋体" w:hAnsi="宋体"/>
                <w:sz w:val="24"/>
              </w:rPr>
              <w:t>深入开展城镇燃气居民使用安全专项行动，组织燃气经营企业对用户开展安全用气体检，明确入户安检要点，提高检查质量，对检查发现的安全隐患要当即告知用气人整改，督促、指导消除户内燃气安全风险隐患。</w:t>
            </w:r>
            <w:r>
              <w:rPr>
                <w:rFonts w:hint="eastAsia" w:ascii="宋体" w:hAnsi="宋体"/>
                <w:sz w:val="24"/>
              </w:rPr>
              <w:t>深入开展城镇燃气居民使用安全专项行动，组织燃气经营企业对用户开展安全用气体检，制定入户安检计划，明确入户安检要点，提高检查质量，对检查发现的安全隐患要当即告知用气人整改，督促、指导消除户内燃气安全风险隐患，达到体检全覆盖。加强对流动厨房、农村集市和路边摊的排查检查，严禁使用未纳入气瓶动态溯源体系的非智能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30</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市住建局、市民政局、市财政局、各乡镇街、各燃气企业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2022年</w:t>
            </w:r>
            <w:r>
              <w:rPr>
                <w:rFonts w:hint="eastAsia" w:ascii="宋体" w:hAnsi="宋体"/>
                <w:sz w:val="24"/>
              </w:rPr>
              <w:t>12</w:t>
            </w:r>
            <w:r>
              <w:rPr>
                <w:rFonts w:ascii="宋体" w:hAnsi="宋体"/>
                <w:sz w:val="24"/>
              </w:rPr>
              <w:t>月</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对于孤寡老人等困难群体更换不合格燃气燃烧器具、自闭阀、报警器、金属波纹软管的，可因地制宜给予支持补助。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31</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市住建局、各乡镇街、各燃气企业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2022年12月</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通过将燃气智能表安装、非智能表改造成本纳入燃气企业定价成本范围，引导和督促燃气企业加快燃气智能表安装和非智能表改造进度。推广使用燃气金属波纹软管、自闭阀、燃气泄漏报警装置等安全防护产品，逐步淘汰橡胶燃气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32</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进一步加强燃气使用安全监管</w:t>
            </w:r>
          </w:p>
        </w:tc>
        <w:tc>
          <w:tcPr>
            <w:tcW w:w="1816"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加强</w:t>
            </w:r>
            <w:r>
              <w:rPr>
                <w:rFonts w:hint="eastAsia" w:ascii="宋体" w:hAnsi="宋体"/>
                <w:sz w:val="24"/>
              </w:rPr>
              <w:t>燃气</w:t>
            </w:r>
            <w:r>
              <w:rPr>
                <w:rFonts w:ascii="宋体" w:hAnsi="宋体"/>
                <w:sz w:val="24"/>
              </w:rPr>
              <w:t>“灶管阀”安全监管</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市市场监管局、市公安局</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强化燃气“灶管阀”产品质量监管，依法开展燃气“灶管阀”产品质量监督抽查，定期公布不合格产品名单。结合电商打假行动，依法对销售非标、假冒伪劣燃气“灶管阀”产品的电商、平台进行处罚，及时下架问题产品，并召回已售产品。对燃气压力容器、直排热水器、无自动熄火保护装置的燃气燃烧器具等产品质量进行监督检查，严厉查处销售不符合产品标准、伪劣残次不合格炉灶、连接软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33</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noWrap w:val="0"/>
            <w:tcMar>
              <w:left w:w="57" w:type="dxa"/>
              <w:right w:w="57" w:type="dxa"/>
            </w:tcMar>
            <w:vAlign w:val="center"/>
          </w:tcPr>
          <w:p>
            <w:pPr>
              <w:widowControl/>
              <w:spacing w:line="360" w:lineRule="exact"/>
              <w:jc w:val="center"/>
              <w:rPr>
                <w:rFonts w:hint="eastAsia" w:ascii="宋体" w:hAnsi="宋体"/>
                <w:bCs/>
                <w:sz w:val="24"/>
              </w:rPr>
            </w:pPr>
            <w:r>
              <w:rPr>
                <w:rFonts w:ascii="宋体" w:hAnsi="宋体"/>
                <w:bCs/>
                <w:sz w:val="24"/>
              </w:rPr>
              <w:t>加强车用气瓶</w:t>
            </w:r>
          </w:p>
          <w:p>
            <w:pPr>
              <w:widowControl/>
              <w:spacing w:line="360" w:lineRule="exact"/>
              <w:jc w:val="center"/>
              <w:rPr>
                <w:rFonts w:ascii="宋体" w:hAnsi="宋体"/>
                <w:sz w:val="24"/>
              </w:rPr>
            </w:pPr>
            <w:r>
              <w:rPr>
                <w:rFonts w:ascii="宋体" w:hAnsi="宋体"/>
                <w:bCs/>
                <w:sz w:val="24"/>
              </w:rPr>
              <w:t>安全监管</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市市场监督局、市交通运输局、市公安局、燃气经营企业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hint="eastAsia" w:ascii="宋体" w:hAnsi="宋体"/>
                <w:sz w:val="24"/>
              </w:rPr>
            </w:pPr>
            <w:r>
              <w:rPr>
                <w:rFonts w:ascii="宋体" w:hAnsi="宋体"/>
                <w:sz w:val="24"/>
              </w:rPr>
              <w:t>按照《中华人民共和国特种设备安全法》和《气瓶安全技术规程》规定，车用气瓶充装单位严禁充装未经定期检验合格、无使用登记证、非法改装、翻新及报废的车用气瓶</w:t>
            </w:r>
            <w:r>
              <w:rPr>
                <w:rFonts w:hint="eastAsia" w:ascii="宋体" w:hAnsi="宋体"/>
                <w:sz w:val="24"/>
              </w:rPr>
              <w:t>。相关部门要严厉打击违法进行车辆油改气等相关违法行为。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36"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34</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noWrap w:val="0"/>
            <w:tcMar>
              <w:left w:w="57" w:type="dxa"/>
              <w:right w:w="57" w:type="dxa"/>
            </w:tcMar>
            <w:vAlign w:val="center"/>
          </w:tcPr>
          <w:p>
            <w:pPr>
              <w:widowControl/>
              <w:spacing w:line="360" w:lineRule="exact"/>
              <w:jc w:val="center"/>
              <w:rPr>
                <w:rFonts w:hint="eastAsia" w:ascii="宋体" w:hAnsi="宋体"/>
                <w:bCs/>
                <w:sz w:val="24"/>
              </w:rPr>
            </w:pPr>
            <w:r>
              <w:rPr>
                <w:rFonts w:hint="eastAsia" w:ascii="宋体" w:hAnsi="宋体"/>
                <w:bCs/>
                <w:sz w:val="24"/>
              </w:rPr>
              <w:t>加强</w:t>
            </w:r>
            <w:r>
              <w:rPr>
                <w:rFonts w:ascii="宋体" w:hAnsi="宋体"/>
                <w:bCs/>
                <w:sz w:val="24"/>
              </w:rPr>
              <w:t>工业用气</w:t>
            </w:r>
            <w:r>
              <w:rPr>
                <w:rFonts w:hint="eastAsia" w:ascii="宋体" w:hAnsi="宋体"/>
                <w:bCs/>
                <w:sz w:val="24"/>
              </w:rPr>
              <w:t>（自用）安全</w:t>
            </w:r>
          </w:p>
          <w:p>
            <w:pPr>
              <w:widowControl/>
              <w:spacing w:line="360" w:lineRule="exact"/>
              <w:jc w:val="center"/>
              <w:rPr>
                <w:rFonts w:ascii="宋体" w:hAnsi="宋体"/>
                <w:bCs/>
                <w:sz w:val="24"/>
              </w:rPr>
            </w:pPr>
            <w:r>
              <w:rPr>
                <w:rFonts w:hint="eastAsia" w:ascii="宋体" w:hAnsi="宋体"/>
                <w:bCs/>
                <w:sz w:val="24"/>
              </w:rPr>
              <w:t>监管</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朝阳凌源经济开发区、市工信局、市市场监管局、市住建局</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对工业用气企业进行精准摸排基础数据，重点了解辖区内用气工业企业的基本情况，形成用气工业企业清单。相关部门要深入企业开展拉网式排查工作，可以聘请专家指导隐患排查工作，能当即整改的现场马上处理、不留后患；需要购置新设备、实施新工程的整改事项，明确企业具体责任人、明确整改各阶段时限、明确要达到的质量标准。企业整改完成后，向行业主管部门报告，经行业主管部门验收后销号，确保问题隐患全部限时“清零”。对于重大隐患问题企业，根据相关规定实施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35</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建立完善安全监管工作机制</w:t>
            </w:r>
          </w:p>
        </w:tc>
        <w:tc>
          <w:tcPr>
            <w:tcW w:w="1816" w:type="dxa"/>
            <w:vMerge w:val="restart"/>
            <w:noWrap w:val="0"/>
            <w:tcMar>
              <w:left w:w="57" w:type="dxa"/>
              <w:right w:w="57" w:type="dxa"/>
            </w:tcMar>
            <w:vAlign w:val="center"/>
          </w:tcPr>
          <w:p>
            <w:pPr>
              <w:widowControl/>
              <w:spacing w:line="360" w:lineRule="exact"/>
              <w:jc w:val="center"/>
              <w:rPr>
                <w:rFonts w:hint="eastAsia" w:ascii="宋体" w:hAnsi="宋体"/>
                <w:sz w:val="24"/>
              </w:rPr>
            </w:pPr>
            <w:r>
              <w:rPr>
                <w:rFonts w:ascii="宋体" w:hAnsi="宋体"/>
                <w:sz w:val="24"/>
              </w:rPr>
              <w:t>建立常态化风险隐患排查整治</w:t>
            </w:r>
          </w:p>
          <w:p>
            <w:pPr>
              <w:widowControl/>
              <w:spacing w:line="360" w:lineRule="exact"/>
              <w:jc w:val="center"/>
              <w:rPr>
                <w:rFonts w:ascii="宋体" w:hAnsi="宋体"/>
                <w:sz w:val="24"/>
              </w:rPr>
            </w:pPr>
            <w:r>
              <w:rPr>
                <w:rFonts w:ascii="宋体" w:hAnsi="宋体"/>
                <w:sz w:val="24"/>
              </w:rPr>
              <w:t>机制</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w:t>
            </w:r>
            <w:r>
              <w:rPr>
                <w:rFonts w:ascii="宋体" w:hAnsi="宋体"/>
                <w:sz w:val="24"/>
              </w:rPr>
              <w:t>住建局、</w:t>
            </w:r>
            <w:r>
              <w:rPr>
                <w:rFonts w:hint="eastAsia" w:ascii="宋体" w:hAnsi="宋体"/>
                <w:sz w:val="24"/>
              </w:rPr>
              <w:t>各乡镇街、</w:t>
            </w:r>
            <w:r>
              <w:rPr>
                <w:rFonts w:ascii="宋体" w:hAnsi="宋体"/>
                <w:sz w:val="24"/>
              </w:rPr>
              <w:t>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督促燃气企业对照《辽宁省城镇燃气管理条例》，每季度对供应设施进行全面检查，建立清单管理、动态更新、闭环整改的风险隐患排查整治机制。各燃气企业依法对安全风险实施分级管控并定期报告。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36</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市教育局、市农业农村局、市现代服务业发展服务中心、市文旅广电局、市卫健局、市应急局、市市场监管局、各乡镇级街、各燃气企业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按照职责分工和“三管三必须”要求，对燃气生产、使用安全开展监督检查，全面检查燃气企业、用气单位（用气人）燃气安全责任落实、隐患排查整改等情况，对重大隐患实施挂牌督办，对发现虚报、瞒报存在重大隐患的违法行为，构成犯罪的移送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8"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37</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建立完善安全监管工作机制</w:t>
            </w:r>
          </w:p>
        </w:tc>
        <w:tc>
          <w:tcPr>
            <w:tcW w:w="1816"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建立自下而上的动态发现处置机制</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市住建局、市大数据管理中心、市应急局、市综合执法局、各乡镇街、各燃气企业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加强燃气安全社会监督，着力构建燃气安全风险隐患第一时间发现报告机制，做到及时发现、及时报告、及时处置。建立城镇燃气“单网格”风险防控工作机制，由燃气企业、社区街道、物业企业、基层警民搭建“四位一体”的网格化排查管理体系，确保横向到边、纵向到底、责任到人、不留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68"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38</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市住建局、市应急局、各乡镇街、各燃气企业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利用住建部门、燃气企业热线电话，畅通投诉举报渠道，受理燃气安全风险隐患问题线索，举报投诉线索经查证属实的给予奖励（举报电话：管道煤气钢富达公司6837981；市液化气公司6666000；市燃气管理办公室6986082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39</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市住建局、市融媒体中心、各乡镇街</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建立媒体曝光制度，聚焦燃气安全突出问题和事故隐患，组织媒体跟随明察暗访、跟进整改督办、跟踪落实问效。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4"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40</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建立燃气安全信息综合监管机制</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市工信局、市住建局、市应急局、市市场监管局、市现代服务业发展服务中心、市大数据管理中心、各乡镇街、各燃气企业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202</w:t>
            </w:r>
            <w:r>
              <w:rPr>
                <w:rFonts w:hint="eastAsia" w:ascii="宋体" w:hAnsi="宋体"/>
                <w:sz w:val="24"/>
              </w:rPr>
              <w:t>4</w:t>
            </w:r>
            <w:r>
              <w:rPr>
                <w:rFonts w:ascii="宋体" w:hAnsi="宋体"/>
                <w:sz w:val="24"/>
              </w:rPr>
              <w:t>年12月</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推动利用5G、物联网、人工智能等技术建设城镇燃气管线设施安全运行监测预警系统，加强城镇燃气设施完整性管理，将燃气设施管理信息逐步纳入大数据中心管理平台，及时掌握设施风险隐患分布，实现城镇燃气设施“一张图”监管，尽快建成政府企业联动的城镇燃气安全监管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41</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建立完善安全监管工作机制</w:t>
            </w:r>
          </w:p>
        </w:tc>
        <w:tc>
          <w:tcPr>
            <w:tcW w:w="1816" w:type="dxa"/>
            <w:vMerge w:val="restart"/>
            <w:noWrap w:val="0"/>
            <w:tcMar>
              <w:left w:w="57" w:type="dxa"/>
              <w:right w:w="57" w:type="dxa"/>
            </w:tcMar>
            <w:vAlign w:val="center"/>
          </w:tcPr>
          <w:p>
            <w:pPr>
              <w:spacing w:line="360" w:lineRule="exact"/>
              <w:jc w:val="center"/>
              <w:rPr>
                <w:rFonts w:ascii="宋体" w:hAnsi="宋体"/>
                <w:sz w:val="24"/>
              </w:rPr>
            </w:pPr>
            <w:r>
              <w:rPr>
                <w:rFonts w:ascii="宋体" w:hAnsi="宋体"/>
                <w:sz w:val="24"/>
              </w:rPr>
              <w:t>完善燃气安全应急响应机制</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w:t>
            </w:r>
            <w:r>
              <w:rPr>
                <w:rFonts w:ascii="宋体" w:hAnsi="宋体"/>
                <w:sz w:val="24"/>
              </w:rPr>
              <w:t>住建局</w:t>
            </w:r>
            <w:r>
              <w:rPr>
                <w:rFonts w:hint="eastAsia" w:ascii="宋体" w:hAnsi="宋体"/>
                <w:sz w:val="24"/>
              </w:rPr>
              <w:t>、市</w:t>
            </w:r>
            <w:r>
              <w:rPr>
                <w:rFonts w:ascii="宋体" w:hAnsi="宋体"/>
                <w:sz w:val="24"/>
              </w:rPr>
              <w:t>应急局</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及时组织制定、修订城镇燃气突发事件应急预案，每年至少组织开展1次多部门综合应急演练。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42</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w:t>
            </w:r>
            <w:r>
              <w:rPr>
                <w:rFonts w:ascii="宋体" w:hAnsi="宋体"/>
                <w:sz w:val="24"/>
              </w:rPr>
              <w:t>住建局，各燃气企业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燃气企业应当编制完善内部各类突发事件应急预案，每年至少组织开展2次综合应急演练，加强应急处置队伍建设，建立企业应对紧急突发状况快速处置机制，加强实操训练。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3"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43</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市教育局、市工信局、市现代服务业发展服务中心、市文旅广电局、市卫健局、市应急局、市消防救援大队、各乡镇街</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规模以上用气企业、重点场所管理单位应当将燃气应急有关内容纳入本单位突发事件应急预案，开展燃气应急培训，确保突发状况第一时间得到有效处置。强化社区和物业管理单位应急能力建设，将燃气应急知识纳入社区和物业管理单位应急管理体系，确保紧急状况下现场人员疏散和信息报告等工作落实到岗、到人、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3"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44</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w:t>
            </w:r>
            <w:r>
              <w:rPr>
                <w:rFonts w:ascii="宋体" w:hAnsi="宋体"/>
                <w:sz w:val="24"/>
              </w:rPr>
              <w:t>住建局、</w:t>
            </w:r>
            <w:r>
              <w:rPr>
                <w:rFonts w:hint="eastAsia" w:ascii="宋体" w:hAnsi="宋体"/>
                <w:sz w:val="24"/>
              </w:rPr>
              <w:t>市</w:t>
            </w:r>
            <w:r>
              <w:rPr>
                <w:rFonts w:ascii="宋体" w:hAnsi="宋体"/>
                <w:sz w:val="24"/>
              </w:rPr>
              <w:t>应急局、</w:t>
            </w:r>
            <w:r>
              <w:rPr>
                <w:rFonts w:hint="eastAsia" w:ascii="宋体" w:hAnsi="宋体"/>
                <w:sz w:val="24"/>
              </w:rPr>
              <w:t>各乡镇街</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强化社区和物业管理单位应急能力建设，将燃气应急知识纳入社区和物业管理单位应急管理体系，确保紧急状况下现场人员疏散和信息报告等工作落实到岗、到人、到位。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45</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完善燃气工程质量安全监管机制</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w:t>
            </w:r>
            <w:r>
              <w:rPr>
                <w:rFonts w:ascii="宋体" w:hAnsi="宋体"/>
                <w:sz w:val="24"/>
              </w:rPr>
              <w:t>住建局、</w:t>
            </w:r>
            <w:r>
              <w:rPr>
                <w:rFonts w:hint="eastAsia" w:ascii="宋体" w:hAnsi="宋体"/>
                <w:sz w:val="24"/>
              </w:rPr>
              <w:t>市</w:t>
            </w:r>
            <w:r>
              <w:rPr>
                <w:rFonts w:ascii="宋体" w:hAnsi="宋体"/>
                <w:sz w:val="24"/>
              </w:rPr>
              <w:t>市场监管局</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将城镇燃气工程纳入现有的建设工程质量安全监管体系，重点加强涉及公共安全的城镇燃气管道、调压设施、储配站、加气站等工程的监督检查，及时纠正、处置燃气工程违法违规行为。针对专业技术力量不足的现状，可采取政府购买服务方式，委托第三方提供城镇燃气工程质量安全监管相关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46</w:t>
            </w:r>
          </w:p>
        </w:tc>
        <w:tc>
          <w:tcPr>
            <w:tcW w:w="1399" w:type="dxa"/>
            <w:vMerge w:val="restart"/>
            <w:noWrap w:val="0"/>
            <w:tcMar>
              <w:left w:w="57" w:type="dxa"/>
              <w:right w:w="57" w:type="dxa"/>
            </w:tcMar>
            <w:vAlign w:val="center"/>
          </w:tcPr>
          <w:p>
            <w:pPr>
              <w:spacing w:line="360" w:lineRule="exact"/>
              <w:jc w:val="center"/>
              <w:rPr>
                <w:rFonts w:hint="eastAsia" w:ascii="宋体" w:hAnsi="宋体"/>
                <w:sz w:val="24"/>
              </w:rPr>
            </w:pPr>
            <w:r>
              <w:rPr>
                <w:rFonts w:ascii="宋体" w:hAnsi="宋体"/>
                <w:sz w:val="24"/>
              </w:rPr>
              <w:t>建立完善安全监管工作机制</w:t>
            </w:r>
          </w:p>
        </w:tc>
        <w:tc>
          <w:tcPr>
            <w:tcW w:w="1816" w:type="dxa"/>
            <w:vMerge w:val="restart"/>
            <w:noWrap w:val="0"/>
            <w:tcMar>
              <w:left w:w="57" w:type="dxa"/>
              <w:right w:w="57" w:type="dxa"/>
            </w:tcMar>
            <w:vAlign w:val="center"/>
          </w:tcPr>
          <w:p>
            <w:pPr>
              <w:widowControl/>
              <w:spacing w:line="360" w:lineRule="exact"/>
              <w:jc w:val="center"/>
              <w:rPr>
                <w:rFonts w:hint="eastAsia" w:ascii="宋体" w:hAnsi="宋体"/>
                <w:sz w:val="24"/>
              </w:rPr>
            </w:pPr>
            <w:r>
              <w:rPr>
                <w:rFonts w:ascii="宋体" w:hAnsi="宋体"/>
                <w:sz w:val="24"/>
              </w:rPr>
              <w:t>完善燃气工程质量安全监管机制</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w:t>
            </w:r>
            <w:r>
              <w:rPr>
                <w:rFonts w:ascii="宋体" w:hAnsi="宋体"/>
                <w:sz w:val="24"/>
              </w:rPr>
              <w:t>住建局、</w:t>
            </w:r>
            <w:r>
              <w:rPr>
                <w:rFonts w:hint="eastAsia" w:ascii="宋体" w:hAnsi="宋体"/>
                <w:sz w:val="24"/>
              </w:rPr>
              <w:t>各乡镇街、各燃气企业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40" w:lineRule="exact"/>
              <w:rPr>
                <w:rFonts w:ascii="宋体" w:hAnsi="宋体"/>
                <w:sz w:val="24"/>
              </w:rPr>
            </w:pPr>
            <w:r>
              <w:rPr>
                <w:rFonts w:hint="eastAsia" w:ascii="宋体" w:hAnsi="宋体"/>
                <w:sz w:val="24"/>
              </w:rPr>
              <w:t>从居民用户户内燃气表按照逆气流方向至住宅区红线的燃气管线及设施(含居民用户户内燃气计量表)由管道燃气经营者承担运行、维护、抢修和更新改造的责任。从居民用户户内燃气计量表按照顺气流方向的燃气管线及设施由居民用户负责管理;需要更新改造的，由居民用户委托管道燃气经营者实施，居民用户承担相应费用。新建项目建设单位与燃气企业应当就组织燃气设施建设签订合同，明确双方权利义务，确定勘察、设计、施工、监理单位和设备、材料选用事宜。</w:t>
            </w:r>
            <w:r>
              <w:rPr>
                <w:rFonts w:ascii="宋体" w:hAnsi="宋体"/>
                <w:sz w:val="24"/>
              </w:rPr>
              <w:t>逐步形成建筑区划内、业主专有部分外的燃气工程建设市场化竞争格局。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47</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w:t>
            </w:r>
            <w:r>
              <w:rPr>
                <w:rFonts w:ascii="宋体" w:hAnsi="宋体"/>
                <w:sz w:val="24"/>
              </w:rPr>
              <w:t>住建局、各乡镇街</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40" w:lineRule="exact"/>
              <w:rPr>
                <w:rFonts w:ascii="宋体" w:hAnsi="宋体"/>
                <w:sz w:val="24"/>
              </w:rPr>
            </w:pPr>
            <w:r>
              <w:rPr>
                <w:rFonts w:hint="eastAsia" w:ascii="宋体" w:hAnsi="宋体"/>
                <w:sz w:val="24"/>
              </w:rPr>
              <w:t>老旧小区改造时，应同步实施小区内燃气老旧管道改造，管道改造严格执行“三同时”制度，验收不合格的不得投入使用。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0"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48</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建立健全安全管理责任体系</w:t>
            </w:r>
          </w:p>
        </w:tc>
        <w:tc>
          <w:tcPr>
            <w:tcW w:w="1816" w:type="dxa"/>
            <w:noWrap w:val="0"/>
            <w:tcMar>
              <w:left w:w="57" w:type="dxa"/>
              <w:right w:w="57" w:type="dxa"/>
            </w:tcMar>
            <w:vAlign w:val="center"/>
          </w:tcPr>
          <w:p>
            <w:pPr>
              <w:widowControl/>
              <w:spacing w:line="360" w:lineRule="exact"/>
              <w:jc w:val="center"/>
              <w:rPr>
                <w:rFonts w:hint="eastAsia" w:ascii="宋体" w:hAnsi="宋体"/>
                <w:sz w:val="24"/>
              </w:rPr>
            </w:pPr>
            <w:r>
              <w:rPr>
                <w:rFonts w:ascii="宋体" w:hAnsi="宋体"/>
                <w:sz w:val="24"/>
              </w:rPr>
              <w:t>落实政府领导</w:t>
            </w:r>
          </w:p>
          <w:p>
            <w:pPr>
              <w:widowControl/>
              <w:spacing w:line="360" w:lineRule="exact"/>
              <w:jc w:val="center"/>
              <w:rPr>
                <w:rFonts w:ascii="宋体" w:hAnsi="宋体"/>
                <w:sz w:val="24"/>
              </w:rPr>
            </w:pPr>
            <w:r>
              <w:rPr>
                <w:rFonts w:ascii="宋体" w:hAnsi="宋体"/>
                <w:sz w:val="24"/>
              </w:rPr>
              <w:t>责任</w:t>
            </w:r>
          </w:p>
        </w:tc>
        <w:tc>
          <w:tcPr>
            <w:tcW w:w="2205"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市政府、各乡镇街</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40" w:lineRule="exact"/>
              <w:rPr>
                <w:rFonts w:ascii="宋体" w:hAnsi="宋体"/>
                <w:spacing w:val="-6"/>
                <w:sz w:val="24"/>
              </w:rPr>
            </w:pPr>
            <w:r>
              <w:rPr>
                <w:rFonts w:hint="eastAsia" w:ascii="宋体" w:hAnsi="宋体"/>
                <w:spacing w:val="-6"/>
                <w:sz w:val="24"/>
              </w:rPr>
              <w:t>按照“党政同责、一岗双责、齐抓共管、失职追责”要求，各级政府承担城镇燃气安全的全面领导责任，主要领导要亲自研究、亲自部署，分管领导要靠前指挥、狠抓落实、抓细抓实。要将城镇燃气安全纳入政府重要议事日程，每季度不少于1次研究解决燃气安全问题。要依法全面压实部门、乡镇街、企业和用气单位（用气人）的安全责任，建立完善燃气安全管理体制机制，并参照本意见做好农村燃气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49</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noWrap w:val="0"/>
            <w:tcMar>
              <w:left w:w="57" w:type="dxa"/>
              <w:right w:w="57" w:type="dxa"/>
            </w:tcMar>
            <w:vAlign w:val="center"/>
          </w:tcPr>
          <w:p>
            <w:pPr>
              <w:spacing w:line="360" w:lineRule="exact"/>
              <w:jc w:val="center"/>
              <w:rPr>
                <w:rFonts w:hint="eastAsia" w:ascii="宋体" w:hAnsi="宋体"/>
                <w:sz w:val="24"/>
              </w:rPr>
            </w:pPr>
            <w:r>
              <w:rPr>
                <w:rFonts w:ascii="宋体" w:hAnsi="宋体"/>
                <w:sz w:val="24"/>
              </w:rPr>
              <w:t>落实部门监管</w:t>
            </w:r>
          </w:p>
          <w:p>
            <w:pPr>
              <w:spacing w:line="360" w:lineRule="exact"/>
              <w:jc w:val="center"/>
              <w:rPr>
                <w:rFonts w:ascii="宋体" w:hAnsi="宋体"/>
                <w:sz w:val="24"/>
              </w:rPr>
            </w:pPr>
            <w:r>
              <w:rPr>
                <w:rFonts w:ascii="宋体" w:hAnsi="宋体"/>
                <w:sz w:val="24"/>
              </w:rPr>
              <w:t>责任</w:t>
            </w:r>
          </w:p>
        </w:tc>
        <w:tc>
          <w:tcPr>
            <w:tcW w:w="2205" w:type="dxa"/>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spacing w:val="-4"/>
                <w:sz w:val="24"/>
              </w:rPr>
            </w:pPr>
            <w:r>
              <w:rPr>
                <w:rFonts w:hint="eastAsia" w:ascii="宋体" w:hAnsi="宋体"/>
                <w:spacing w:val="-4"/>
                <w:sz w:val="24"/>
              </w:rPr>
              <w:t>市住建局、市发改局、市教育局、市工信局、市公安局、市自然资源局、市交通运输局、市现代服务业发展服务中心、市农业农村局、市文旅广电局、市卫健局、市应急局、市市场监管局、市消防救援大队</w:t>
            </w:r>
          </w:p>
        </w:tc>
        <w:tc>
          <w:tcPr>
            <w:tcW w:w="1514" w:type="dxa"/>
            <w:noWrap w:val="0"/>
            <w:tcMar>
              <w:left w:w="57" w:type="dxa"/>
              <w:right w:w="57" w:type="dxa"/>
            </w:tcMar>
            <w:vAlign w:val="center"/>
          </w:tcPr>
          <w:p>
            <w:pPr>
              <w:spacing w:line="360" w:lineRule="exact"/>
              <w:ind w:firstLine="240" w:firstLineChars="100"/>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40" w:lineRule="exact"/>
              <w:rPr>
                <w:rFonts w:ascii="宋体" w:hAnsi="宋体"/>
                <w:sz w:val="24"/>
              </w:rPr>
            </w:pPr>
            <w:r>
              <w:rPr>
                <w:rFonts w:hint="eastAsia" w:ascii="宋体" w:hAnsi="宋体"/>
                <w:sz w:val="24"/>
              </w:rPr>
              <w:t>按照“三管三必须”和《凌源市安全生产委员会成员单位及市直有关部门安全生产工作任务分工》要求，依法依规落实相关部门燃气安全监管责任。住建部门会同有关部门按照职责分工加强城镇燃气安全指导和监督，督促燃气企业落实安全生产主体责任；住建、发改、公安、自然资源、交通运输、应急管理、市场监管、综合执法、消防救援等有关部门，要强化燃气建设、质量、经营、充装、运输、维修、管养、应急等各环节全链条管理；教育、民政、工信、服务业、农业农村、卫健、文旅等行业主管部门要督促指导本行业单位切实履行安全生产主体责任，强化燃气使用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6"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50</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建立健全安全管理责任体系</w:t>
            </w:r>
          </w:p>
        </w:tc>
        <w:tc>
          <w:tcPr>
            <w:tcW w:w="1816"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落实</w:t>
            </w:r>
            <w:r>
              <w:rPr>
                <w:rFonts w:hint="eastAsia" w:ascii="宋体" w:hAnsi="宋体"/>
                <w:sz w:val="24"/>
              </w:rPr>
              <w:t>供气</w:t>
            </w:r>
            <w:r>
              <w:rPr>
                <w:rFonts w:ascii="宋体" w:hAnsi="宋体"/>
                <w:sz w:val="24"/>
              </w:rPr>
              <w:t>企业主体责任</w:t>
            </w:r>
          </w:p>
        </w:tc>
        <w:tc>
          <w:tcPr>
            <w:tcW w:w="220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sz w:val="24"/>
              </w:rPr>
            </w:pPr>
            <w:r>
              <w:rPr>
                <w:rFonts w:ascii="宋体" w:hAnsi="宋体"/>
                <w:sz w:val="24"/>
              </w:rPr>
              <w:t>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燃气企业要依法建立健全安全生产责任制和安全生产规章制度，加大对安全生产资金、物资、技术、人员的投入保障力度，切实履行安全生产主体责任。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51</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sz w:val="24"/>
              </w:rPr>
            </w:pPr>
            <w:r>
              <w:rPr>
                <w:rFonts w:hint="eastAsia" w:ascii="宋体" w:hAnsi="宋体"/>
                <w:sz w:val="24"/>
              </w:rPr>
              <w:t>市住建局、市市场监管局</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探索划定燃气市场退出、市场准入、责任追溯三条红线，从安全投入、安全培训、安全管理、应急救援、安全生产能力（人员、设施、物资）等方面每年对燃气企业进行1次综合评价，对实行特许经营的企业结合特许经营中期评估整改，倒逼燃气企业履行安全生产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52</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noWrap w:val="0"/>
            <w:tcMar>
              <w:left w:w="57" w:type="dxa"/>
              <w:right w:w="57" w:type="dxa"/>
            </w:tcMar>
            <w:vAlign w:val="center"/>
          </w:tcPr>
          <w:p>
            <w:pPr>
              <w:widowControl/>
              <w:spacing w:line="360" w:lineRule="exact"/>
              <w:jc w:val="center"/>
              <w:rPr>
                <w:rFonts w:hint="eastAsia" w:ascii="宋体" w:hAnsi="宋体"/>
                <w:sz w:val="24"/>
              </w:rPr>
            </w:pPr>
            <w:r>
              <w:rPr>
                <w:rFonts w:ascii="宋体" w:hAnsi="宋体"/>
                <w:sz w:val="24"/>
              </w:rPr>
              <w:t>落实用户安全</w:t>
            </w:r>
          </w:p>
          <w:p>
            <w:pPr>
              <w:widowControl/>
              <w:spacing w:line="360" w:lineRule="exact"/>
              <w:jc w:val="center"/>
              <w:rPr>
                <w:rFonts w:ascii="宋体" w:hAnsi="宋体"/>
                <w:sz w:val="24"/>
              </w:rPr>
            </w:pPr>
            <w:r>
              <w:rPr>
                <w:rFonts w:ascii="宋体" w:hAnsi="宋体"/>
                <w:sz w:val="24"/>
              </w:rPr>
              <w:t>使用责任</w:t>
            </w:r>
          </w:p>
        </w:tc>
        <w:tc>
          <w:tcPr>
            <w:tcW w:w="2205"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sz w:val="24"/>
              </w:rPr>
            </w:pPr>
            <w:r>
              <w:rPr>
                <w:rFonts w:hint="eastAsia" w:ascii="宋体" w:hAnsi="宋体"/>
                <w:sz w:val="24"/>
              </w:rPr>
              <w:t>市住建局、市教育局、市工信局、市农业农村局、市公安局、市现代服务业发展服务中心、市文旅广电局、市卫健局、市应急局、市消防救援大队、各乡镇街、各燃气企业</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用气单位负责人和用气人是燃气使用安全责任人。各乡镇街、各部门要督促用气单位依法购买合规气源，签订供用气合同，安装使用燃气泄漏安全保护装置，购买合格燃气燃烧器具、配件并主动及时维护、更新；要将燃气安全纳入本单位安全生产管理体系，加强燃气使用安全风险隐患自查整改，对燃气操作人员进行安全教育培训，及时整改各类用气隐患；要提高安全用气意识，掌握安全用气常识和应急处置技能，配合燃气企业开展入户安检，及时排查整改燃气使用安全风险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5"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53</w:t>
            </w:r>
          </w:p>
        </w:tc>
        <w:tc>
          <w:tcPr>
            <w:tcW w:w="1399"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切实加强组织保障</w:t>
            </w:r>
          </w:p>
        </w:tc>
        <w:tc>
          <w:tcPr>
            <w:tcW w:w="1816" w:type="dxa"/>
            <w:vMerge w:val="restart"/>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加强组织领导</w:t>
            </w: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市住建局、市应急局、各相关部门</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成立凌源市城镇燃气安全监管工作领导小组加强统筹协调，推动部门形成上下联动、部门协调的工作合力。有关部门要加强政策研究，加大业务指导，及时研究解决问题，共同做好城镇燃气安全监管工作。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0"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54</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市住建局、市应急局、各相关部门</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建立完善议事协调机构，明确部门职责分工，强化对辖区城镇燃气安全的监督检查、执法联动和考核通报。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0" w:hRule="atLeast"/>
          <w:jc w:val="center"/>
        </w:trPr>
        <w:tc>
          <w:tcPr>
            <w:tcW w:w="647" w:type="dxa"/>
            <w:noWrap w:val="0"/>
            <w:tcMar>
              <w:left w:w="57" w:type="dxa"/>
              <w:right w:w="57" w:type="dxa"/>
            </w:tcMar>
            <w:vAlign w:val="center"/>
          </w:tcPr>
          <w:p>
            <w:pPr>
              <w:widowControl/>
              <w:spacing w:line="360" w:lineRule="exact"/>
              <w:jc w:val="center"/>
              <w:rPr>
                <w:rFonts w:hint="eastAsia" w:ascii="宋体" w:hAnsi="宋体"/>
                <w:sz w:val="24"/>
              </w:rPr>
            </w:pPr>
            <w:r>
              <w:rPr>
                <w:rFonts w:hint="eastAsia" w:ascii="宋体" w:hAnsi="宋体"/>
                <w:sz w:val="24"/>
              </w:rPr>
              <w:t>55</w:t>
            </w:r>
          </w:p>
        </w:tc>
        <w:tc>
          <w:tcPr>
            <w:tcW w:w="1399" w:type="dxa"/>
            <w:vMerge w:val="continue"/>
            <w:noWrap w:val="0"/>
            <w:tcMar>
              <w:left w:w="57" w:type="dxa"/>
              <w:right w:w="57" w:type="dxa"/>
            </w:tcMar>
            <w:vAlign w:val="center"/>
          </w:tcPr>
          <w:p>
            <w:pPr>
              <w:widowControl/>
              <w:spacing w:line="36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60" w:lineRule="exact"/>
              <w:jc w:val="center"/>
              <w:rPr>
                <w:rFonts w:ascii="宋体" w:hAnsi="宋体"/>
                <w:sz w:val="24"/>
              </w:rPr>
            </w:pPr>
          </w:p>
        </w:tc>
        <w:tc>
          <w:tcPr>
            <w:tcW w:w="2205" w:type="dxa"/>
            <w:noWrap w:val="0"/>
            <w:tcMar>
              <w:left w:w="57" w:type="dxa"/>
              <w:right w:w="57" w:type="dxa"/>
            </w:tcMar>
            <w:vAlign w:val="center"/>
          </w:tcPr>
          <w:p>
            <w:pPr>
              <w:widowControl/>
              <w:spacing w:line="360" w:lineRule="exact"/>
              <w:jc w:val="center"/>
              <w:rPr>
                <w:rFonts w:ascii="宋体" w:hAnsi="宋体"/>
                <w:sz w:val="24"/>
              </w:rPr>
            </w:pPr>
            <w:r>
              <w:rPr>
                <w:rFonts w:hint="eastAsia" w:ascii="宋体" w:hAnsi="宋体"/>
                <w:sz w:val="24"/>
              </w:rPr>
              <w:t>市</w:t>
            </w:r>
            <w:r>
              <w:rPr>
                <w:rFonts w:ascii="宋体" w:hAnsi="宋体"/>
                <w:sz w:val="24"/>
              </w:rPr>
              <w:t>财政局</w:t>
            </w:r>
          </w:p>
        </w:tc>
        <w:tc>
          <w:tcPr>
            <w:tcW w:w="1514" w:type="dxa"/>
            <w:noWrap w:val="0"/>
            <w:tcMar>
              <w:left w:w="57" w:type="dxa"/>
              <w:right w:w="57" w:type="dxa"/>
            </w:tcMar>
            <w:vAlign w:val="center"/>
          </w:tcPr>
          <w:p>
            <w:pPr>
              <w:widowControl/>
              <w:spacing w:line="36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60" w:lineRule="exact"/>
              <w:rPr>
                <w:rFonts w:ascii="宋体" w:hAnsi="宋体"/>
                <w:sz w:val="24"/>
              </w:rPr>
            </w:pPr>
            <w:r>
              <w:rPr>
                <w:rFonts w:hint="eastAsia" w:ascii="宋体" w:hAnsi="宋体"/>
                <w:sz w:val="24"/>
              </w:rPr>
              <w:t>加大财政资金支持，保障燃气安全技术服务第三方聘用、信息系统建设、举报奖励等经费预算，确保燃气各项工作落细落实。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0" w:hRule="atLeast"/>
          <w:jc w:val="center"/>
        </w:trPr>
        <w:tc>
          <w:tcPr>
            <w:tcW w:w="647" w:type="dxa"/>
            <w:noWrap w:val="0"/>
            <w:tcMar>
              <w:left w:w="57" w:type="dxa"/>
              <w:right w:w="57" w:type="dxa"/>
            </w:tcMar>
            <w:vAlign w:val="center"/>
          </w:tcPr>
          <w:p>
            <w:pPr>
              <w:widowControl/>
              <w:spacing w:line="330" w:lineRule="exact"/>
              <w:jc w:val="center"/>
              <w:rPr>
                <w:rFonts w:hint="eastAsia" w:ascii="宋体" w:hAnsi="宋体"/>
                <w:sz w:val="24"/>
              </w:rPr>
            </w:pPr>
            <w:r>
              <w:rPr>
                <w:rFonts w:hint="eastAsia" w:ascii="宋体" w:hAnsi="宋体"/>
                <w:sz w:val="24"/>
              </w:rPr>
              <w:t>56</w:t>
            </w:r>
          </w:p>
        </w:tc>
        <w:tc>
          <w:tcPr>
            <w:tcW w:w="1399" w:type="dxa"/>
            <w:vMerge w:val="restart"/>
            <w:noWrap w:val="0"/>
            <w:tcMar>
              <w:left w:w="57" w:type="dxa"/>
              <w:right w:w="57" w:type="dxa"/>
            </w:tcMar>
            <w:vAlign w:val="center"/>
          </w:tcPr>
          <w:p>
            <w:pPr>
              <w:widowControl/>
              <w:spacing w:line="330" w:lineRule="exact"/>
              <w:jc w:val="center"/>
              <w:rPr>
                <w:rFonts w:ascii="宋体" w:hAnsi="宋体"/>
                <w:sz w:val="24"/>
              </w:rPr>
            </w:pPr>
            <w:r>
              <w:rPr>
                <w:rFonts w:ascii="宋体" w:hAnsi="宋体"/>
                <w:sz w:val="24"/>
              </w:rPr>
              <w:t>切实加强组织保障</w:t>
            </w:r>
          </w:p>
        </w:tc>
        <w:tc>
          <w:tcPr>
            <w:tcW w:w="1816" w:type="dxa"/>
            <w:vMerge w:val="restart"/>
            <w:noWrap w:val="0"/>
            <w:tcMar>
              <w:left w:w="57" w:type="dxa"/>
              <w:right w:w="57" w:type="dxa"/>
            </w:tcMar>
            <w:vAlign w:val="center"/>
          </w:tcPr>
          <w:p>
            <w:pPr>
              <w:widowControl/>
              <w:spacing w:line="330" w:lineRule="exact"/>
              <w:jc w:val="center"/>
              <w:rPr>
                <w:rFonts w:ascii="宋体" w:hAnsi="宋体"/>
                <w:sz w:val="24"/>
              </w:rPr>
            </w:pPr>
            <w:r>
              <w:rPr>
                <w:rFonts w:ascii="宋体" w:hAnsi="宋体"/>
                <w:sz w:val="24"/>
              </w:rPr>
              <w:t>加强队伍建设</w:t>
            </w:r>
          </w:p>
        </w:tc>
        <w:tc>
          <w:tcPr>
            <w:tcW w:w="2205" w:type="dxa"/>
            <w:noWrap w:val="0"/>
            <w:tcMar>
              <w:left w:w="57" w:type="dxa"/>
              <w:right w:w="57" w:type="dxa"/>
            </w:tcMar>
            <w:vAlign w:val="center"/>
          </w:tcPr>
          <w:p>
            <w:pPr>
              <w:widowControl/>
              <w:spacing w:line="330" w:lineRule="exact"/>
              <w:jc w:val="center"/>
              <w:rPr>
                <w:rFonts w:ascii="宋体" w:hAnsi="宋体"/>
                <w:sz w:val="24"/>
              </w:rPr>
            </w:pPr>
            <w:r>
              <w:rPr>
                <w:rFonts w:hint="eastAsia" w:ascii="宋体" w:hAnsi="宋体"/>
                <w:sz w:val="24"/>
              </w:rPr>
              <w:t>市</w:t>
            </w:r>
            <w:r>
              <w:rPr>
                <w:rFonts w:ascii="宋体" w:hAnsi="宋体"/>
                <w:sz w:val="24"/>
              </w:rPr>
              <w:t>住建局、</w:t>
            </w:r>
            <w:r>
              <w:rPr>
                <w:rFonts w:hint="eastAsia" w:ascii="宋体" w:hAnsi="宋体"/>
                <w:sz w:val="24"/>
              </w:rPr>
              <w:t>市</w:t>
            </w:r>
            <w:r>
              <w:rPr>
                <w:rFonts w:ascii="宋体" w:hAnsi="宋体"/>
                <w:sz w:val="24"/>
              </w:rPr>
              <w:t>人社局</w:t>
            </w:r>
            <w:r>
              <w:rPr>
                <w:rFonts w:hint="eastAsia" w:ascii="宋体" w:hAnsi="宋体"/>
                <w:sz w:val="24"/>
              </w:rPr>
              <w:t>、各乡镇街</w:t>
            </w:r>
          </w:p>
        </w:tc>
        <w:tc>
          <w:tcPr>
            <w:tcW w:w="1514" w:type="dxa"/>
            <w:noWrap w:val="0"/>
            <w:tcMar>
              <w:left w:w="57" w:type="dxa"/>
              <w:right w:w="57" w:type="dxa"/>
            </w:tcMar>
            <w:vAlign w:val="center"/>
          </w:tcPr>
          <w:p>
            <w:pPr>
              <w:widowControl/>
              <w:spacing w:line="33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30" w:lineRule="exact"/>
              <w:rPr>
                <w:rFonts w:ascii="宋体" w:hAnsi="宋体"/>
                <w:sz w:val="24"/>
              </w:rPr>
            </w:pPr>
            <w:r>
              <w:rPr>
                <w:rFonts w:hint="eastAsia" w:ascii="宋体" w:hAnsi="宋体"/>
                <w:sz w:val="24"/>
              </w:rPr>
              <w:t>进一步充实监管力量，切实落实和履行燃气安全生产属地管理职责，健全燃气监管、执法等专门机构，配齐专职人员，专职人员数量应与工作任务</w:t>
            </w:r>
            <w:r>
              <w:rPr>
                <w:rFonts w:hint="eastAsia" w:ascii="宋体" w:hAnsi="宋体"/>
                <w:spacing w:val="-4"/>
                <w:sz w:val="24"/>
              </w:rPr>
              <w:t>相适应。各乡镇街要明确负责燃气安全的工作部门和专职人员，将燃气安全纳入网格化工作内容。改革城镇燃气用工制度，推动从事燃气施工、燃气安装维护、入户安检、瓶装液化气配送等人员与所在企业建立稳定的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5" w:hRule="atLeast"/>
          <w:jc w:val="center"/>
        </w:trPr>
        <w:tc>
          <w:tcPr>
            <w:tcW w:w="647" w:type="dxa"/>
            <w:noWrap w:val="0"/>
            <w:tcMar>
              <w:left w:w="57" w:type="dxa"/>
              <w:right w:w="57" w:type="dxa"/>
            </w:tcMar>
            <w:vAlign w:val="center"/>
          </w:tcPr>
          <w:p>
            <w:pPr>
              <w:widowControl/>
              <w:spacing w:line="330" w:lineRule="exact"/>
              <w:jc w:val="center"/>
              <w:rPr>
                <w:rFonts w:hint="eastAsia" w:ascii="宋体" w:hAnsi="宋体"/>
                <w:sz w:val="24"/>
              </w:rPr>
            </w:pPr>
            <w:r>
              <w:rPr>
                <w:rFonts w:hint="eastAsia" w:ascii="宋体" w:hAnsi="宋体"/>
                <w:sz w:val="24"/>
              </w:rPr>
              <w:t>57</w:t>
            </w:r>
          </w:p>
        </w:tc>
        <w:tc>
          <w:tcPr>
            <w:tcW w:w="1399" w:type="dxa"/>
            <w:vMerge w:val="continue"/>
            <w:noWrap w:val="0"/>
            <w:tcMar>
              <w:left w:w="57" w:type="dxa"/>
              <w:right w:w="57" w:type="dxa"/>
            </w:tcMar>
            <w:vAlign w:val="center"/>
          </w:tcPr>
          <w:p>
            <w:pPr>
              <w:widowControl/>
              <w:spacing w:line="330" w:lineRule="exact"/>
              <w:jc w:val="center"/>
              <w:rPr>
                <w:rFonts w:ascii="宋体" w:hAnsi="宋体"/>
                <w:sz w:val="24"/>
              </w:rPr>
            </w:pPr>
          </w:p>
        </w:tc>
        <w:tc>
          <w:tcPr>
            <w:tcW w:w="1816" w:type="dxa"/>
            <w:vMerge w:val="continue"/>
            <w:noWrap w:val="0"/>
            <w:tcMar>
              <w:left w:w="57" w:type="dxa"/>
              <w:right w:w="57" w:type="dxa"/>
            </w:tcMar>
            <w:vAlign w:val="center"/>
          </w:tcPr>
          <w:p>
            <w:pPr>
              <w:widowControl/>
              <w:spacing w:line="330" w:lineRule="exact"/>
              <w:jc w:val="center"/>
              <w:rPr>
                <w:rFonts w:ascii="宋体" w:hAnsi="宋体"/>
                <w:sz w:val="24"/>
              </w:rPr>
            </w:pPr>
          </w:p>
        </w:tc>
        <w:tc>
          <w:tcPr>
            <w:tcW w:w="2205" w:type="dxa"/>
            <w:noWrap w:val="0"/>
            <w:tcMar>
              <w:left w:w="57" w:type="dxa"/>
              <w:right w:w="57" w:type="dxa"/>
            </w:tcMar>
            <w:vAlign w:val="center"/>
          </w:tcPr>
          <w:p>
            <w:pPr>
              <w:widowControl/>
              <w:spacing w:line="330" w:lineRule="exact"/>
              <w:jc w:val="center"/>
              <w:rPr>
                <w:rFonts w:ascii="宋体" w:hAnsi="宋体"/>
                <w:sz w:val="24"/>
              </w:rPr>
            </w:pPr>
            <w:r>
              <w:rPr>
                <w:rFonts w:hint="eastAsia" w:ascii="宋体" w:hAnsi="宋体"/>
                <w:sz w:val="24"/>
              </w:rPr>
              <w:t>市</w:t>
            </w:r>
            <w:r>
              <w:rPr>
                <w:rFonts w:ascii="宋体" w:hAnsi="宋体"/>
                <w:sz w:val="24"/>
              </w:rPr>
              <w:t>住建局、</w:t>
            </w:r>
            <w:r>
              <w:rPr>
                <w:rFonts w:hint="eastAsia" w:ascii="宋体" w:hAnsi="宋体"/>
                <w:sz w:val="24"/>
              </w:rPr>
              <w:t>市应急局、市</w:t>
            </w:r>
            <w:r>
              <w:rPr>
                <w:rFonts w:ascii="宋体" w:hAnsi="宋体"/>
                <w:sz w:val="24"/>
              </w:rPr>
              <w:t>人社局</w:t>
            </w:r>
            <w:r>
              <w:rPr>
                <w:rFonts w:hint="eastAsia" w:ascii="宋体" w:hAnsi="宋体"/>
                <w:sz w:val="24"/>
              </w:rPr>
              <w:t>、</w:t>
            </w:r>
            <w:r>
              <w:rPr>
                <w:rFonts w:ascii="宋体" w:hAnsi="宋体"/>
                <w:sz w:val="24"/>
              </w:rPr>
              <w:t>各燃气企业</w:t>
            </w:r>
          </w:p>
        </w:tc>
        <w:tc>
          <w:tcPr>
            <w:tcW w:w="1514" w:type="dxa"/>
            <w:noWrap w:val="0"/>
            <w:tcMar>
              <w:left w:w="57" w:type="dxa"/>
              <w:right w:w="57" w:type="dxa"/>
            </w:tcMar>
            <w:vAlign w:val="center"/>
          </w:tcPr>
          <w:p>
            <w:pPr>
              <w:widowControl/>
              <w:spacing w:line="33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30" w:lineRule="exact"/>
              <w:rPr>
                <w:rFonts w:ascii="宋体" w:hAnsi="宋体"/>
                <w:sz w:val="24"/>
              </w:rPr>
            </w:pPr>
            <w:r>
              <w:rPr>
                <w:rFonts w:hint="eastAsia" w:ascii="宋体" w:hAnsi="宋体"/>
                <w:sz w:val="24"/>
              </w:rPr>
              <w:t>健全燃气职业技能培训，燃气施工、燃气安装、维护、入户安检等涉及质量安全的岗位严格执行先培训后上岗，瓶装液化气送气工必须实现全员持证上岗。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0" w:hRule="atLeast"/>
          <w:jc w:val="center"/>
        </w:trPr>
        <w:tc>
          <w:tcPr>
            <w:tcW w:w="647" w:type="dxa"/>
            <w:noWrap w:val="0"/>
            <w:tcMar>
              <w:left w:w="57" w:type="dxa"/>
              <w:right w:w="57" w:type="dxa"/>
            </w:tcMar>
            <w:vAlign w:val="center"/>
          </w:tcPr>
          <w:p>
            <w:pPr>
              <w:widowControl/>
              <w:spacing w:line="330" w:lineRule="exact"/>
              <w:jc w:val="center"/>
              <w:rPr>
                <w:rFonts w:hint="eastAsia" w:ascii="宋体" w:hAnsi="宋体"/>
                <w:sz w:val="24"/>
              </w:rPr>
            </w:pPr>
            <w:r>
              <w:rPr>
                <w:rFonts w:hint="eastAsia" w:ascii="宋体" w:hAnsi="宋体"/>
                <w:sz w:val="24"/>
              </w:rPr>
              <w:t>58</w:t>
            </w:r>
          </w:p>
        </w:tc>
        <w:tc>
          <w:tcPr>
            <w:tcW w:w="1399" w:type="dxa"/>
            <w:vMerge w:val="continue"/>
            <w:noWrap w:val="0"/>
            <w:tcMar>
              <w:left w:w="57" w:type="dxa"/>
              <w:right w:w="57" w:type="dxa"/>
            </w:tcMar>
            <w:vAlign w:val="center"/>
          </w:tcPr>
          <w:p>
            <w:pPr>
              <w:widowControl/>
              <w:spacing w:line="330" w:lineRule="exact"/>
              <w:jc w:val="center"/>
              <w:rPr>
                <w:rFonts w:ascii="宋体" w:hAnsi="宋体"/>
                <w:sz w:val="24"/>
              </w:rPr>
            </w:pPr>
          </w:p>
        </w:tc>
        <w:tc>
          <w:tcPr>
            <w:tcW w:w="1816" w:type="dxa"/>
            <w:noWrap w:val="0"/>
            <w:tcMar>
              <w:left w:w="57" w:type="dxa"/>
              <w:right w:w="57" w:type="dxa"/>
            </w:tcMar>
            <w:vAlign w:val="center"/>
          </w:tcPr>
          <w:p>
            <w:pPr>
              <w:widowControl/>
              <w:spacing w:line="330" w:lineRule="exact"/>
              <w:jc w:val="center"/>
              <w:rPr>
                <w:rFonts w:ascii="宋体" w:hAnsi="宋体"/>
                <w:sz w:val="24"/>
              </w:rPr>
            </w:pPr>
            <w:r>
              <w:rPr>
                <w:rFonts w:hint="eastAsia" w:ascii="宋体" w:hAnsi="宋体"/>
                <w:sz w:val="24"/>
              </w:rPr>
              <w:t>强化调度通报</w:t>
            </w:r>
          </w:p>
        </w:tc>
        <w:tc>
          <w:tcPr>
            <w:tcW w:w="2205" w:type="dxa"/>
            <w:noWrap w:val="0"/>
            <w:tcMar>
              <w:left w:w="57" w:type="dxa"/>
              <w:right w:w="57" w:type="dxa"/>
            </w:tcMar>
            <w:vAlign w:val="center"/>
          </w:tcPr>
          <w:p>
            <w:pPr>
              <w:widowControl/>
              <w:spacing w:line="330" w:lineRule="exact"/>
              <w:jc w:val="center"/>
              <w:rPr>
                <w:rFonts w:hint="eastAsia" w:ascii="宋体" w:hAnsi="宋体"/>
                <w:sz w:val="24"/>
              </w:rPr>
            </w:pPr>
            <w:r>
              <w:rPr>
                <w:rFonts w:hint="eastAsia" w:ascii="宋体" w:hAnsi="宋体"/>
                <w:sz w:val="24"/>
              </w:rPr>
              <w:t>市住建局、市应急局、市市场监管局、市交通运输局、市工信局、市现代服务业发展服务中心、各相关部门、各乡镇街</w:t>
            </w:r>
          </w:p>
        </w:tc>
        <w:tc>
          <w:tcPr>
            <w:tcW w:w="1514" w:type="dxa"/>
            <w:noWrap w:val="0"/>
            <w:tcMar>
              <w:left w:w="57" w:type="dxa"/>
              <w:right w:w="57" w:type="dxa"/>
            </w:tcMar>
            <w:vAlign w:val="center"/>
          </w:tcPr>
          <w:p>
            <w:pPr>
              <w:widowControl/>
              <w:spacing w:line="33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30" w:lineRule="exact"/>
              <w:rPr>
                <w:rFonts w:hint="eastAsia" w:ascii="宋体" w:hAnsi="宋体"/>
                <w:sz w:val="24"/>
              </w:rPr>
            </w:pPr>
            <w:r>
              <w:rPr>
                <w:rFonts w:hint="eastAsia" w:ascii="宋体" w:hAnsi="宋体"/>
                <w:sz w:val="24"/>
              </w:rPr>
              <w:t>建立定期调度通报机制，每月调度通报本地区、本行业隐患排查治理情况，并向市住建部门报告工作进展情况。对工作推进缓慢的要“指名道姓”通报批评，尤其是推诿扯皮、作风不实的，要及时约谈相关负责人，真正紧盯不放、一抓到底。住建部门要加强跟踪指导帮助，重大问题派出工作组现场指导，及时发现问题、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30" w:lineRule="exact"/>
              <w:jc w:val="center"/>
              <w:rPr>
                <w:rFonts w:hint="eastAsia" w:ascii="宋体" w:hAnsi="宋体"/>
                <w:sz w:val="24"/>
              </w:rPr>
            </w:pPr>
            <w:r>
              <w:rPr>
                <w:rFonts w:hint="eastAsia" w:ascii="宋体" w:hAnsi="宋体"/>
                <w:sz w:val="24"/>
              </w:rPr>
              <w:t>59</w:t>
            </w:r>
          </w:p>
        </w:tc>
        <w:tc>
          <w:tcPr>
            <w:tcW w:w="1399" w:type="dxa"/>
            <w:vMerge w:val="continue"/>
            <w:noWrap w:val="0"/>
            <w:tcMar>
              <w:left w:w="57" w:type="dxa"/>
              <w:right w:w="57" w:type="dxa"/>
            </w:tcMar>
            <w:vAlign w:val="center"/>
          </w:tcPr>
          <w:p>
            <w:pPr>
              <w:widowControl/>
              <w:spacing w:line="330" w:lineRule="exact"/>
              <w:jc w:val="center"/>
              <w:rPr>
                <w:rFonts w:ascii="宋体" w:hAnsi="宋体"/>
                <w:sz w:val="24"/>
              </w:rPr>
            </w:pPr>
          </w:p>
        </w:tc>
        <w:tc>
          <w:tcPr>
            <w:tcW w:w="1816" w:type="dxa"/>
            <w:noWrap w:val="0"/>
            <w:tcMar>
              <w:left w:w="57" w:type="dxa"/>
              <w:right w:w="57" w:type="dxa"/>
            </w:tcMar>
            <w:vAlign w:val="center"/>
          </w:tcPr>
          <w:p>
            <w:pPr>
              <w:widowControl/>
              <w:spacing w:line="330" w:lineRule="exact"/>
              <w:jc w:val="center"/>
              <w:rPr>
                <w:rFonts w:hint="eastAsia" w:ascii="宋体" w:hAnsi="宋体"/>
                <w:sz w:val="24"/>
              </w:rPr>
            </w:pPr>
            <w:r>
              <w:rPr>
                <w:rFonts w:hint="eastAsia" w:ascii="宋体" w:hAnsi="宋体"/>
                <w:sz w:val="24"/>
              </w:rPr>
              <w:t>严肃追责问责</w:t>
            </w:r>
          </w:p>
        </w:tc>
        <w:tc>
          <w:tcPr>
            <w:tcW w:w="2205" w:type="dxa"/>
            <w:noWrap w:val="0"/>
            <w:tcMar>
              <w:left w:w="57" w:type="dxa"/>
              <w:right w:w="57" w:type="dxa"/>
            </w:tcMar>
            <w:vAlign w:val="center"/>
          </w:tcPr>
          <w:p>
            <w:pPr>
              <w:widowControl/>
              <w:spacing w:line="330" w:lineRule="exact"/>
              <w:jc w:val="center"/>
              <w:rPr>
                <w:rFonts w:hint="eastAsia" w:ascii="宋体" w:hAnsi="宋体"/>
                <w:sz w:val="24"/>
              </w:rPr>
            </w:pPr>
            <w:r>
              <w:rPr>
                <w:rFonts w:hint="eastAsia" w:ascii="宋体" w:hAnsi="宋体"/>
                <w:sz w:val="24"/>
              </w:rPr>
              <w:t>市住建局、市应急局、市市场监管局、市交通运输局、市工信局、市现代服务业发展服务中心、各相关部门、各乡镇街</w:t>
            </w:r>
          </w:p>
        </w:tc>
        <w:tc>
          <w:tcPr>
            <w:tcW w:w="1514" w:type="dxa"/>
            <w:noWrap w:val="0"/>
            <w:tcMar>
              <w:left w:w="57" w:type="dxa"/>
              <w:right w:w="57" w:type="dxa"/>
            </w:tcMar>
            <w:vAlign w:val="center"/>
          </w:tcPr>
          <w:p>
            <w:pPr>
              <w:widowControl/>
              <w:spacing w:line="330" w:lineRule="exact"/>
              <w:ind w:firstLine="240" w:firstLineChars="100"/>
              <w:jc w:val="center"/>
              <w:rPr>
                <w:rFonts w:hint="eastAsia" w:ascii="宋体" w:hAnsi="宋体"/>
                <w:sz w:val="24"/>
              </w:rPr>
            </w:pPr>
            <w:r>
              <w:rPr>
                <w:rFonts w:hint="eastAsia" w:ascii="宋体" w:hAnsi="宋体"/>
                <w:sz w:val="24"/>
              </w:rPr>
              <w:t>长期坚持</w:t>
            </w:r>
          </w:p>
        </w:tc>
        <w:tc>
          <w:tcPr>
            <w:tcW w:w="7719" w:type="dxa"/>
            <w:noWrap w:val="0"/>
            <w:tcMar>
              <w:left w:w="57" w:type="dxa"/>
              <w:right w:w="57" w:type="dxa"/>
            </w:tcMar>
            <w:vAlign w:val="center"/>
          </w:tcPr>
          <w:p>
            <w:pPr>
              <w:widowControl/>
              <w:spacing w:line="330" w:lineRule="exact"/>
              <w:rPr>
                <w:rFonts w:hint="eastAsia" w:ascii="宋体" w:hAnsi="宋体"/>
                <w:sz w:val="24"/>
              </w:rPr>
            </w:pPr>
            <w:r>
              <w:rPr>
                <w:rFonts w:hint="eastAsia" w:ascii="宋体" w:hAnsi="宋体"/>
                <w:sz w:val="24"/>
              </w:rPr>
              <w:t>把隐患当成事故，小事故当成大事故，特别是发生的燃气伤亡事故的，应急管理部门要依法依规彻查事故原因、倒查企业主体责任和部门监管责任，对不作为、慢作为等涉嫌失职渎职的，及时将线索移交纪委监委。对明知存在危及公共安全的重大安全隐患又长期不推动解决的，要“把隐患当作事故来对待”，严肃追究相关责任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647" w:type="dxa"/>
            <w:noWrap w:val="0"/>
            <w:tcMar>
              <w:left w:w="57" w:type="dxa"/>
              <w:right w:w="57" w:type="dxa"/>
            </w:tcMar>
            <w:vAlign w:val="center"/>
          </w:tcPr>
          <w:p>
            <w:pPr>
              <w:widowControl/>
              <w:spacing w:line="330" w:lineRule="exact"/>
              <w:jc w:val="center"/>
              <w:rPr>
                <w:rFonts w:hint="eastAsia" w:ascii="宋体" w:hAnsi="宋体"/>
                <w:sz w:val="24"/>
              </w:rPr>
            </w:pPr>
            <w:r>
              <w:rPr>
                <w:rFonts w:hint="eastAsia" w:ascii="宋体" w:hAnsi="宋体"/>
                <w:sz w:val="24"/>
              </w:rPr>
              <w:t>60</w:t>
            </w:r>
          </w:p>
        </w:tc>
        <w:tc>
          <w:tcPr>
            <w:tcW w:w="1399" w:type="dxa"/>
            <w:vMerge w:val="continue"/>
            <w:noWrap w:val="0"/>
            <w:tcMar>
              <w:left w:w="57" w:type="dxa"/>
              <w:right w:w="57" w:type="dxa"/>
            </w:tcMar>
            <w:vAlign w:val="center"/>
          </w:tcPr>
          <w:p>
            <w:pPr>
              <w:widowControl/>
              <w:spacing w:line="330" w:lineRule="exact"/>
              <w:jc w:val="center"/>
              <w:rPr>
                <w:rFonts w:ascii="宋体" w:hAnsi="宋体"/>
                <w:sz w:val="24"/>
              </w:rPr>
            </w:pPr>
          </w:p>
        </w:tc>
        <w:tc>
          <w:tcPr>
            <w:tcW w:w="1816" w:type="dxa"/>
            <w:noWrap w:val="0"/>
            <w:tcMar>
              <w:left w:w="57" w:type="dxa"/>
              <w:right w:w="57" w:type="dxa"/>
            </w:tcMar>
            <w:vAlign w:val="center"/>
          </w:tcPr>
          <w:p>
            <w:pPr>
              <w:widowControl/>
              <w:spacing w:line="330" w:lineRule="exact"/>
              <w:jc w:val="center"/>
              <w:rPr>
                <w:rFonts w:ascii="宋体" w:hAnsi="宋体"/>
                <w:sz w:val="24"/>
              </w:rPr>
            </w:pPr>
            <w:r>
              <w:rPr>
                <w:rFonts w:ascii="宋体" w:hAnsi="宋体"/>
                <w:sz w:val="24"/>
              </w:rPr>
              <w:t>加强社会宣传</w:t>
            </w:r>
          </w:p>
        </w:tc>
        <w:tc>
          <w:tcPr>
            <w:tcW w:w="2205" w:type="dxa"/>
            <w:noWrap w:val="0"/>
            <w:tcMar>
              <w:left w:w="57" w:type="dxa"/>
              <w:right w:w="57" w:type="dxa"/>
            </w:tcMar>
            <w:vAlign w:val="center"/>
          </w:tcPr>
          <w:p>
            <w:pPr>
              <w:widowControl/>
              <w:spacing w:line="330" w:lineRule="exact"/>
              <w:jc w:val="center"/>
              <w:rPr>
                <w:rFonts w:ascii="宋体" w:hAnsi="宋体"/>
                <w:sz w:val="24"/>
              </w:rPr>
            </w:pPr>
            <w:r>
              <w:rPr>
                <w:rFonts w:hint="eastAsia" w:ascii="宋体" w:hAnsi="宋体"/>
                <w:sz w:val="24"/>
              </w:rPr>
              <w:t>市委宣传部、市住建局、市应急局、市现代服务业发展服务中心、市融媒体中心、市消防救援大队、各燃气企业</w:t>
            </w:r>
          </w:p>
        </w:tc>
        <w:tc>
          <w:tcPr>
            <w:tcW w:w="1514" w:type="dxa"/>
            <w:noWrap w:val="0"/>
            <w:tcMar>
              <w:left w:w="57" w:type="dxa"/>
              <w:right w:w="57" w:type="dxa"/>
            </w:tcMar>
            <w:vAlign w:val="center"/>
          </w:tcPr>
          <w:p>
            <w:pPr>
              <w:widowControl/>
              <w:spacing w:line="330" w:lineRule="exact"/>
              <w:jc w:val="center"/>
              <w:rPr>
                <w:rFonts w:ascii="宋体" w:hAnsi="宋体"/>
                <w:sz w:val="24"/>
              </w:rPr>
            </w:pPr>
            <w:r>
              <w:rPr>
                <w:rFonts w:ascii="宋体" w:hAnsi="宋体"/>
                <w:sz w:val="24"/>
              </w:rPr>
              <w:t>长期坚持</w:t>
            </w:r>
          </w:p>
        </w:tc>
        <w:tc>
          <w:tcPr>
            <w:tcW w:w="7719" w:type="dxa"/>
            <w:noWrap w:val="0"/>
            <w:tcMar>
              <w:left w:w="57" w:type="dxa"/>
              <w:right w:w="57" w:type="dxa"/>
            </w:tcMar>
            <w:vAlign w:val="center"/>
          </w:tcPr>
          <w:p>
            <w:pPr>
              <w:widowControl/>
              <w:spacing w:line="330" w:lineRule="exact"/>
              <w:rPr>
                <w:rFonts w:ascii="宋体" w:hAnsi="宋体"/>
                <w:sz w:val="24"/>
              </w:rPr>
            </w:pPr>
            <w:r>
              <w:rPr>
                <w:rFonts w:hint="eastAsia" w:ascii="宋体" w:hAnsi="宋体"/>
                <w:sz w:val="24"/>
              </w:rPr>
              <w:t>畅通宣传渠道，充分利用凌源融媒、电视台、大数据管理中心等，加强城镇燃气法律法规和用气安全宣传，增强安全用气意识，高频次推送燃气安全公益宣传片、宣传报道和宣传提示，普及燃气安全使用常识和应急处置技能，营造全社会安全用气的浓厚氛围。鼓励在公共场所通过海报、标语、滚动字幕等方式开展燃气安全宣传。充分发挥示范引领作用，及时总结各地的好经验、好做法，推动形成制度性成果，组织融媒体中心进行跟踪报道，形成全社会共同关心、共同参与、共同管控的良好局面。</w:t>
            </w:r>
          </w:p>
        </w:tc>
      </w:tr>
    </w:tbl>
    <w:p>
      <w:pPr>
        <w:numPr>
          <w:ilvl w:val="0"/>
          <w:numId w:val="0"/>
        </w:numPr>
        <w:rPr>
          <w:rFonts w:hint="default" w:ascii="华文楷体" w:hAnsi="华文楷体" w:eastAsia="华文楷体" w:cs="华文楷体"/>
          <w:b/>
          <w:bCs/>
          <w:color w:val="auto"/>
          <w:sz w:val="36"/>
          <w:szCs w:val="36"/>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OWI3YTRlNTY4OTA0MGIwNWQ0ZTM3MmM5NGE2YzQifQ=="/>
  </w:docVars>
  <w:rsids>
    <w:rsidRoot w:val="00000000"/>
    <w:rsid w:val="01161381"/>
    <w:rsid w:val="1A810D76"/>
    <w:rsid w:val="1B0F1B5C"/>
    <w:rsid w:val="39BD3D6E"/>
    <w:rsid w:val="39F86E59"/>
    <w:rsid w:val="4EB75EF6"/>
    <w:rsid w:val="56391168"/>
    <w:rsid w:val="5EED3FC9"/>
    <w:rsid w:val="6C817171"/>
    <w:rsid w:val="7E47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rFonts w:ascii="Calibri" w:hAnsi="Calibri" w:eastAsia="Times New Roman"/>
      <w:sz w:val="32"/>
      <w:szCs w:val="22"/>
    </w:rPr>
  </w:style>
  <w:style w:type="paragraph" w:styleId="3">
    <w:name w:val="envelope return"/>
    <w:basedOn w:val="1"/>
    <w:qFormat/>
    <w:uiPriority w:val="0"/>
    <w:pPr>
      <w:tabs>
        <w:tab w:val="left" w:pos="280"/>
      </w:tabs>
      <w:snapToGrid w:val="0"/>
    </w:pPr>
    <w:rPr>
      <w:rFonts w:ascii="Arial" w:hAnsi="Arial"/>
    </w:rPr>
  </w:style>
  <w:style w:type="paragraph" w:styleId="4">
    <w:name w:val="footer"/>
    <w:basedOn w:val="1"/>
    <w:uiPriority w:val="99"/>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478</Words>
  <Characters>502</Characters>
  <Lines>0</Lines>
  <Paragraphs>0</Paragraphs>
  <TotalTime>0</TotalTime>
  <ScaleCrop>false</ScaleCrop>
  <LinksUpToDate>false</LinksUpToDate>
  <CharactersWithSpaces>507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2023-05-09T01:45:00Z</dcterms:created>
  <dc:creator>Administrator</dc:creator>
  <cp:lastModifiedBy>Administrator</cp:lastModifiedBy>
  <cp:lastPrinted>2023-05-18T01:42:00Z</cp:lastPrinted>
  <dcterms:modified xsi:type="dcterms:W3CDTF">2023-07-20T02:11:41Z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DDC475DE7D544C9ABDA928034A049E76_13</vt:lpwstr>
  </property>
</Properties>
</file>