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971F3">
      <w:pPr>
        <w:pStyle w:val="2"/>
        <w:jc w:val="left"/>
        <w:rPr>
          <w:rFonts w:ascii="方正公文小标宋" w:eastAsia="方正公文小标宋"/>
          <w:b w:val="0"/>
          <w:sz w:val="84"/>
          <w:szCs w:val="84"/>
          <w:lang w:eastAsia="zh-CN"/>
        </w:rPr>
      </w:pPr>
    </w:p>
    <w:p w14:paraId="5EA3FA61">
      <w:pPr>
        <w:pStyle w:val="2"/>
        <w:jc w:val="left"/>
        <w:rPr>
          <w:rFonts w:ascii="方正公文小标宋" w:eastAsia="方正公文小标宋"/>
          <w:b w:val="0"/>
          <w:sz w:val="84"/>
          <w:szCs w:val="84"/>
          <w:lang w:eastAsia="zh-CN"/>
        </w:rPr>
      </w:pPr>
    </w:p>
    <w:p w14:paraId="153FF3C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辽宁省朝阳市凌源市四合当镇人</w:t>
      </w:r>
    </w:p>
    <w:p w14:paraId="61B2878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120A82B0">
      <w:pPr>
        <w:rPr>
          <w:rFonts w:ascii="方正公文小标宋" w:eastAsia="方正公文小标宋"/>
          <w:sz w:val="84"/>
          <w:szCs w:val="84"/>
          <w:lang w:eastAsia="zh-CN"/>
        </w:rPr>
      </w:pPr>
    </w:p>
    <w:p w14:paraId="4671A587">
      <w:pPr>
        <w:rPr>
          <w:rFonts w:ascii="方正公文小标宋" w:eastAsia="方正公文小标宋"/>
          <w:sz w:val="84"/>
          <w:szCs w:val="84"/>
          <w:lang w:eastAsia="zh-CN"/>
        </w:rPr>
      </w:pPr>
    </w:p>
    <w:p w14:paraId="2780051B">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68765"/>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14:paraId="532413A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000000"/>
              <w:kern w:val="44"/>
              <w:sz w:val="44"/>
              <w:szCs w:val="44"/>
              <w:lang w:val="en-US" w:eastAsia="zh-CN" w:bidi="ar-SA"/>
            </w:rPr>
          </w:pPr>
          <w:r>
            <w:rPr>
              <w:rFonts w:ascii="Times New Roman" w:hAnsi="Times New Roman" w:eastAsia="方正公文小标宋" w:cs="Times New Roman"/>
              <w:b w:val="0"/>
              <w:bCs/>
              <w:snapToGrid w:val="0"/>
              <w:color w:val="000000"/>
              <w:kern w:val="44"/>
              <w:sz w:val="44"/>
              <w:szCs w:val="44"/>
              <w:lang w:val="en-US" w:eastAsia="zh-CN" w:bidi="ar-SA"/>
            </w:rPr>
            <w:t>目录</w:t>
          </w:r>
        </w:p>
        <w:p w14:paraId="31C9814A">
          <w:pPr>
            <w:pStyle w:val="7"/>
            <w:numPr>
              <w:ilvl w:val="0"/>
              <w:numId w:val="0"/>
            </w:numPr>
            <w:tabs>
              <w:tab w:val="right" w:leader="dot" w:pos="14001"/>
            </w:tabs>
            <w:ind w:leftChars="0"/>
            <w:rPr>
              <w:rFonts w:hint="default"/>
              <w:lang w:val="en-US"/>
            </w:rPr>
          </w:pPr>
          <w:r>
            <w:rPr>
              <w:rFonts w:hint="eastAsia"/>
              <w:lang w:val="en-US" w:eastAsia="zh-CN"/>
            </w:rPr>
            <w:t>1.</w:t>
          </w: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_Toc7327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lang w:eastAsia="zh-CN"/>
            </w:rPr>
            <w:fldChar w:fldCharType="end"/>
          </w:r>
          <w:r>
            <w:rPr>
              <w:rFonts w:hint="eastAsia"/>
              <w:lang w:val="en-US" w:eastAsia="zh-CN"/>
            </w:rPr>
            <w:t>1</w:t>
          </w:r>
        </w:p>
        <w:p w14:paraId="39F94CEA">
          <w:pPr>
            <w:pStyle w:val="7"/>
            <w:numPr>
              <w:ilvl w:val="0"/>
              <w:numId w:val="0"/>
            </w:numPr>
            <w:tabs>
              <w:tab w:val="right" w:leader="dot" w:pos="14001"/>
            </w:tabs>
            <w:ind w:leftChars="0"/>
          </w:pPr>
          <w:r>
            <w:rPr>
              <w:rFonts w:hint="eastAsia"/>
              <w:lang w:val="en-US" w:eastAsia="zh-CN"/>
            </w:rPr>
            <w:t>2.</w:t>
          </w:r>
          <w:r>
            <w:rPr>
              <w:lang w:eastAsia="zh-CN"/>
            </w:rPr>
            <w:fldChar w:fldCharType="begin"/>
          </w:r>
          <w:r>
            <w:rPr>
              <w:lang w:eastAsia="zh-CN"/>
            </w:rPr>
            <w:instrText xml:space="preserve"> HYPERLINK \l _Toc28777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_Toc28777 \h </w:instrText>
          </w:r>
          <w:r>
            <w:fldChar w:fldCharType="separate"/>
          </w:r>
          <w:r>
            <w:t>13</w:t>
          </w:r>
          <w:r>
            <w:fldChar w:fldCharType="end"/>
          </w:r>
          <w:r>
            <w:rPr>
              <w:lang w:eastAsia="zh-CN"/>
            </w:rPr>
            <w:fldChar w:fldCharType="end"/>
          </w:r>
        </w:p>
        <w:p w14:paraId="49A3D0F7">
          <w:pPr>
            <w:pStyle w:val="7"/>
            <w:numPr>
              <w:ilvl w:val="0"/>
              <w:numId w:val="0"/>
            </w:numPr>
            <w:tabs>
              <w:tab w:val="right" w:leader="dot" w:pos="14001"/>
            </w:tabs>
            <w:ind w:leftChars="0"/>
          </w:pPr>
          <w:r>
            <w:rPr>
              <w:rFonts w:hint="eastAsia"/>
              <w:lang w:val="en-US" w:eastAsia="zh-CN"/>
            </w:rPr>
            <w:t>3.</w:t>
          </w:r>
          <w:r>
            <w:rPr>
              <w:lang w:eastAsia="zh-CN"/>
            </w:rPr>
            <w:fldChar w:fldCharType="begin"/>
          </w:r>
          <w:r>
            <w:rPr>
              <w:lang w:eastAsia="zh-CN"/>
            </w:rPr>
            <w:instrText xml:space="preserve"> HYPERLINK \l _Toc12148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_Toc12148 \h </w:instrText>
          </w:r>
          <w:r>
            <w:fldChar w:fldCharType="separate"/>
          </w:r>
          <w:r>
            <w:t>50</w:t>
          </w:r>
          <w:r>
            <w:fldChar w:fldCharType="end"/>
          </w:r>
          <w:r>
            <w:rPr>
              <w:lang w:eastAsia="zh-CN"/>
            </w:rPr>
            <w:fldChar w:fldCharType="end"/>
          </w:r>
        </w:p>
        <w:p w14:paraId="76DC6FDA">
          <w:pPr>
            <w:rPr>
              <w:rFonts w:ascii="Arial" w:hAnsi="Arial" w:eastAsia="Arial" w:cs="Arial"/>
              <w:snapToGrid w:val="0"/>
              <w:color w:val="000000"/>
              <w:kern w:val="0"/>
              <w:sz w:val="21"/>
              <w:szCs w:val="21"/>
              <w:lang w:val="en-US" w:eastAsia="zh-CN" w:bidi="ar-SA"/>
            </w:rPr>
          </w:pPr>
          <w:r>
            <w:rPr>
              <w:lang w:eastAsia="zh-CN"/>
            </w:rPr>
            <w:fldChar w:fldCharType="end"/>
          </w:r>
        </w:p>
      </w:sdtContent>
    </w:sdt>
    <w:p w14:paraId="66DAD1FF">
      <w:pPr>
        <w:pStyle w:val="2"/>
        <w:rPr>
          <w:lang w:eastAsia="zh-CN"/>
        </w:rPr>
      </w:pPr>
    </w:p>
    <w:p w14:paraId="50F32A79">
      <w:pPr>
        <w:rPr>
          <w:lang w:eastAsia="zh-CN"/>
        </w:rPr>
      </w:pPr>
    </w:p>
    <w:p w14:paraId="37B552BB">
      <w:pPr>
        <w:pStyle w:val="2"/>
        <w:rPr>
          <w:lang w:eastAsia="zh-CN"/>
        </w:rPr>
      </w:pPr>
    </w:p>
    <w:p w14:paraId="41033A53">
      <w:pPr>
        <w:rPr>
          <w:lang w:eastAsia="zh-CN"/>
        </w:rPr>
      </w:pPr>
    </w:p>
    <w:p w14:paraId="3D4FC394">
      <w:pPr>
        <w:pStyle w:val="2"/>
        <w:rPr>
          <w:lang w:eastAsia="zh-CN"/>
        </w:rPr>
      </w:pPr>
    </w:p>
    <w:p w14:paraId="15BFE387">
      <w:pPr>
        <w:rPr>
          <w:lang w:eastAsia="zh-CN"/>
        </w:rPr>
      </w:pPr>
    </w:p>
    <w:p w14:paraId="43DED9D0">
      <w:pPr>
        <w:pStyle w:val="2"/>
        <w:rPr>
          <w:lang w:eastAsia="zh-CN"/>
        </w:rPr>
      </w:pPr>
    </w:p>
    <w:p w14:paraId="1B63796F">
      <w:pPr>
        <w:rPr>
          <w:lang w:eastAsia="zh-CN"/>
        </w:rPr>
      </w:pPr>
    </w:p>
    <w:p w14:paraId="7A30AC79">
      <w:pPr>
        <w:pStyle w:val="2"/>
        <w:rPr>
          <w:lang w:eastAsia="zh-CN"/>
        </w:rPr>
      </w:pPr>
    </w:p>
    <w:p w14:paraId="1EE0F766">
      <w:pPr>
        <w:rPr>
          <w:lang w:eastAsia="zh-CN"/>
        </w:rPr>
      </w:pPr>
    </w:p>
    <w:p w14:paraId="502686CD">
      <w:pPr>
        <w:pStyle w:val="2"/>
        <w:rPr>
          <w:lang w:eastAsia="zh-CN"/>
        </w:rPr>
      </w:pPr>
    </w:p>
    <w:p w14:paraId="6ADE88DD">
      <w:pPr>
        <w:rPr>
          <w:lang w:eastAsia="zh-CN"/>
        </w:rPr>
      </w:pPr>
    </w:p>
    <w:p w14:paraId="51AF743D">
      <w:pPr>
        <w:pStyle w:val="2"/>
        <w:rPr>
          <w:lang w:eastAsia="zh-CN"/>
        </w:rPr>
      </w:pPr>
    </w:p>
    <w:p w14:paraId="30AD39DF">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0" w:name="_Toc7327"/>
      <w:bookmarkStart w:id="1" w:name="_Toc172077416"/>
      <w:bookmarkStart w:id="2" w:name="_Toc172077949"/>
      <w:bookmarkStart w:id="3" w:name="_Toc172077551"/>
    </w:p>
    <w:p w14:paraId="1750DB78">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D6EB5F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117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05B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12969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20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312B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4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03F61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A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6515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3DECB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7C059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F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3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11046A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A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488AF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C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6A0B2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E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4E334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A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E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0199D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0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B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4824B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F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4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2350DB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A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9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F6F8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A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06148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2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D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45CDC8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6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69866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6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7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64935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8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B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3DB00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2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7BF015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9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0FF7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3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22858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0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0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7C5F7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2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C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4EB8C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B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0704CE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BE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90FA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5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2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0C02A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7204C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D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6B180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7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5781E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F5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9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3C6AC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586BE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3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4555BD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8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C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63DA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4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21EF5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3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3DA0E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664495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87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552C4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8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3C478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2348D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2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202F4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3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6F6DE5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0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031C9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7CC30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10723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6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5BBD1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78A552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D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5B498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3A04B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A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9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279B9F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A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2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39F19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8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0FE0E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6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32E2E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2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7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1B4F7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3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1648F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F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035C19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B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4A775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011CC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54066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7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74FE36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E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34A9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E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4539D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7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02DE4C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7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1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DFC6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70B8D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24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93AC5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72DCB7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0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3C851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C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6F630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B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11F6A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6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6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25BF6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7C8A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4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6128ED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D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22910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E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6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04744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4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D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C40B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742A3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A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6EAAC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0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5FB09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D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2846C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B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0FD66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4D7830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9D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350934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3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4B589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621D4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7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440BC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0064F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B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63BFA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3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72AE8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60379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E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D4FF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A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36B518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E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39DD9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A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1D6263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5D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32150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1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A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427E1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B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5FE14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3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34DF5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7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4B3DE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F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2E26A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725A2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3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D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73C52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2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2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3795CD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ACF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30C02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6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制定文体旅产业发展规划，推动文体旅深度融合，负责辖区文化旅游资源保护、开发和利用工作，依托革命旧址和化石遗址，发展红色旅游、研学旅游、乡村旅游等旅游产业项目</w:t>
            </w:r>
          </w:p>
        </w:tc>
      </w:tr>
      <w:tr w14:paraId="46BE4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72C1FC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E2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12B85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D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21F6E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0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0EF137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F2D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09C52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7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26AB0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A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5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6372B7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77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4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32C6A6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F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6007E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5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2A04A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A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9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1740E2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C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5E16B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2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1A53F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16D06AB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2877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A22D36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328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24F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5B7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395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01F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9AABF5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626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DF436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A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E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7459EC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0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8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0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4018A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B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7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251D2E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8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2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B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12C638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4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0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4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34EDB4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8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7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1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3FEE43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7EF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704F8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54AE8A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5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2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F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09671A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8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3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B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1276B1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5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C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239789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A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B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F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5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1CCCA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6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07C07C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E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5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5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5E965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6BD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778463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9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6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0B019D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8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9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561A7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2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2BF3F4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3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9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D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047FCF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1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0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0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5B65F5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C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8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8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1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6829D2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E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8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E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3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38E645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D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8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F4DB5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6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6611E1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3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3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F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D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8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05792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4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E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6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03B1B5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C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F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6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5D7430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3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D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E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6B726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B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5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9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0E32EA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A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6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530A2B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A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2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2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2AEFDE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A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C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2B79B5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1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4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C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5F8B28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0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E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29A9AE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2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C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E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E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478E91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3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4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508762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A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D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3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6027E0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B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9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01BE65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3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C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9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0EB7B7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0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5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C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3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322082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3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0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614F4C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0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9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62B35E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A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1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1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3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0971627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B49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15DBD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A5F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7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22A3B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45D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DB056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0A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E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6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E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8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5C9968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AF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2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64A48B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00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E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6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629A74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DB7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6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7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6498D2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510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C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1C7E5A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6EE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F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660278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6A8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7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2C1ABD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31E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226120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385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3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D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3B6CE7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AA8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2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8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5BED01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B8B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4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3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8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1CB4BD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A5E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8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6019CB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EE6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6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2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6522E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7A7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8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C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9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15B1C1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B0F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8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0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7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296BEB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B56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487B4E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8E7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E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8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6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5D02D7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482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B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A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39585F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582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D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1BF8F1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276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355B93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FD5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5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5F4704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724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B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652D4D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E35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E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08E2F4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F6C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07CFC8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E71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1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4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628A5D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1E7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4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B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2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C5869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445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0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B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E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4BE915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4A8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9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6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E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1D76A1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F4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4962CB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923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8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37A6A2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F73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392C12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EAB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F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7FB56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FE0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C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98B54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39A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D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E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2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84E24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52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D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6FEE6B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616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1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6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A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B3767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C84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0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F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5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5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7B2C242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C76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DFFA0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BF3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A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0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DA994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236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F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F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10322E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BFF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2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351DE1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09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9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A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A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4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317ACA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E38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4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3B1E80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F72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3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0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6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755AD9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3C8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6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4F532F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9FE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D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035A17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AEC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3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765A33B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065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5525C7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653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C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8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3E0B3B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600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F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B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7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0FB4A5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4F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9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5415D2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664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3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4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43CB01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32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9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3FCDD2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AD4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0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D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E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5556D4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748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E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2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460897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45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240253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9C1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75A743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E08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014C36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27B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D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6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7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18C702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63C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D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1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7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1F9C11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E8C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F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3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4C115E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993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A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D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427AB98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C48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1E0BDC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718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0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5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5E58B3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A1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9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E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8F826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09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6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674493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37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3C5294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996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7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DE311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B79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1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6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B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65EB3A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E64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D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29EFF3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016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C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D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1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65790E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A39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D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36C8B3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721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9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F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12709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4C7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A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2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2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D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57AFC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BCA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1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2B0AC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B90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1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F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4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4113BA7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03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77E2FE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A42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0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D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6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E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CCE9A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E9E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4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1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582864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DE6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3E61F3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CC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0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9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1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74C82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7D5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bookmarkStart w:id="12" w:name="_GoBack"/>
            <w:bookmarkEnd w:id="12"/>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6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C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1278135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214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FBA0B6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B2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6CE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04B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E42E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564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3C06C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0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5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3E9D9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7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C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6A06DC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3DC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2267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B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D92E3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E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66C01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2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5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F38F4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016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34888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5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9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B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07BD9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4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36B2B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8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7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47CF03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9C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1230B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7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1144D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3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5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5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1FC1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B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E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3ECD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C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A865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0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5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DA21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D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9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5061A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E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9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D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50111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A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4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B65E8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8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0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6E34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3EA61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0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43BF3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0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9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9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F58B6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4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6FEAD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F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5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53D1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B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7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A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559B9B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F97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34044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4005B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0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3AFAB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4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7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41468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A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A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01379A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41D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52D44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E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A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9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03713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391AA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E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9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741106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93B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637D2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A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0680E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C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1DF4B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B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5AB5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A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F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8843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5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A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E822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62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0EB8E6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A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5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1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7FC9F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4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FE9A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9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2D876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8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F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75D77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2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53524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6A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0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A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504ED6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0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7653E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E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1F3FB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7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74DA4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6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5DDED9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3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09161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6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E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16CB8151">
      <w:pPr>
        <w:pStyle w:val="3"/>
        <w:spacing w:before="0" w:after="0" w:line="240" w:lineRule="auto"/>
        <w:jc w:val="center"/>
        <w:rPr>
          <w:rFonts w:ascii="Times New Roman" w:hAnsi="Times New Roman" w:eastAsia="方正小标宋_GBK" w:cs="Times New Roman"/>
          <w:color w:val="auto"/>
          <w:spacing w:val="7"/>
          <w:lang w:eastAsia="zh-CN"/>
        </w:rPr>
      </w:pPr>
    </w:p>
    <w:p w14:paraId="1B5D894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B85EFE-2055-42CF-8442-7D2C11B9B7E5}"/>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F6BD597-8D4D-4C02-A99A-F120D70F1DD0}"/>
  </w:font>
  <w:font w:name="方正公文仿宋">
    <w:altName w:val="仿宋"/>
    <w:panose1 w:val="02000000000000000000"/>
    <w:charset w:val="86"/>
    <w:family w:val="auto"/>
    <w:pitch w:val="default"/>
    <w:sig w:usb0="00000000" w:usb1="00000000" w:usb2="00000010" w:usb3="00000000" w:csb0="00040000" w:csb1="00000000"/>
    <w:embedRegular r:id="rId3" w:fontKey="{3CF3EBC7-4E7F-4900-A812-02A35B2EE572}"/>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7FD5AE67-4920-4C01-92B6-E4EF5D8947A2}"/>
  </w:font>
  <w:font w:name="方正仿宋简体">
    <w:panose1 w:val="02010601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embedRegular r:id="rId5" w:fontKey="{00668105-7A72-40E8-8285-6C4E58C4F8C4}"/>
  </w:font>
  <w:font w:name="方正小标宋_GBK">
    <w:panose1 w:val="02000000000000000000"/>
    <w:charset w:val="86"/>
    <w:family w:val="script"/>
    <w:pitch w:val="default"/>
    <w:sig w:usb0="A00002BF" w:usb1="38CF7CFA" w:usb2="00082016" w:usb3="00000000" w:csb0="00040001" w:csb1="00000000"/>
    <w:embedRegular r:id="rId6" w:fontKey="{CE800BAA-9153-40C8-8026-11382B6F1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BD7B">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98C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707BAA"/>
    <w:rsid w:val="19DE4161"/>
    <w:rsid w:val="6446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37812</Words>
  <Characters>39001</Characters>
  <Lines>1</Lines>
  <Paragraphs>1</Paragraphs>
  <TotalTime>7</TotalTime>
  <ScaleCrop>false</ScaleCrop>
  <LinksUpToDate>false</LinksUpToDate>
  <CharactersWithSpaces>39010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万隆</cp:lastModifiedBy>
  <dcterms:modified xsi:type="dcterms:W3CDTF">2025-07-10T02:09:48Z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eyJoZGlkIjoiMzMwYWQ5YjRjZmU3ZjI5ZTRlZjBjNGJkYTY3NWY0ZTEiLCJ1c2VySWQiOiIyODk4NjU4NyJ9</vt:lpwstr>
  </property>
  <property fmtid="{D5CDD505-2E9C-101B-9397-08002B2CF9AE}" pid="3" name="KSOProductBuildVer">
    <vt:lpwstr>2052-12.1.0.21915</vt:lpwstr>
  </property>
  <property fmtid="{D5CDD505-2E9C-101B-9397-08002B2CF9AE}" pid="4" name="ICV">
    <vt:lpwstr>992C3BD3B5E24BBFA8C61056F2215BFA_13</vt:lpwstr>
  </property>
</Properties>
</file>