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075984">
      <w:pPr>
        <w:spacing w:line="360" w:lineRule="auto"/>
        <w:jc w:val="center"/>
        <w:rPr>
          <w:rFonts w:hint="eastAsia" w:asciiTheme="minorEastAsia" w:hAnsiTheme="minorEastAsia" w:eastAsiaTheme="minorEastAsia"/>
          <w:sz w:val="32"/>
          <w:szCs w:val="32"/>
          <w:lang w:eastAsia="zh-CN"/>
        </w:rPr>
      </w:pPr>
      <w:bookmarkStart w:id="0" w:name="_Toc437471958"/>
    </w:p>
    <w:p w14:paraId="0601D18F">
      <w:pPr>
        <w:spacing w:line="360" w:lineRule="auto"/>
        <w:jc w:val="center"/>
        <w:rPr>
          <w:rFonts w:asciiTheme="minorEastAsia" w:hAnsiTheme="minorEastAsia"/>
          <w:sz w:val="32"/>
          <w:szCs w:val="32"/>
        </w:rPr>
      </w:pPr>
    </w:p>
    <w:p w14:paraId="0ED0FBB2">
      <w:pPr>
        <w:spacing w:line="360" w:lineRule="auto"/>
        <w:jc w:val="center"/>
        <w:rPr>
          <w:rFonts w:asciiTheme="minorEastAsia" w:hAnsiTheme="minorEastAsia"/>
          <w:sz w:val="32"/>
          <w:szCs w:val="32"/>
        </w:rPr>
      </w:pPr>
    </w:p>
    <w:p w14:paraId="02549D9B">
      <w:pPr>
        <w:spacing w:line="360" w:lineRule="auto"/>
        <w:jc w:val="center"/>
        <w:rPr>
          <w:rFonts w:ascii="宋体" w:hAnsi="宋体" w:eastAsia="宋体" w:cs="Times New Roman"/>
          <w:b/>
          <w:sz w:val="72"/>
          <w:szCs w:val="72"/>
        </w:rPr>
      </w:pPr>
      <w:r>
        <w:rPr>
          <w:rFonts w:hint="eastAsia" w:ascii="宋体" w:hAnsi="宋体" w:eastAsia="宋体" w:cs="Times New Roman"/>
          <w:b/>
          <w:sz w:val="72"/>
          <w:szCs w:val="72"/>
        </w:rPr>
        <w:t>凌源市“十四五”现代</w:t>
      </w:r>
    </w:p>
    <w:p w14:paraId="032EF0CB">
      <w:pPr>
        <w:spacing w:line="360" w:lineRule="auto"/>
        <w:jc w:val="center"/>
        <w:rPr>
          <w:rFonts w:ascii="宋体" w:hAnsi="宋体" w:eastAsia="宋体" w:cs="Times New Roman"/>
          <w:b/>
          <w:sz w:val="72"/>
          <w:szCs w:val="72"/>
        </w:rPr>
      </w:pPr>
      <w:r>
        <w:rPr>
          <w:rFonts w:hint="eastAsia" w:ascii="宋体" w:hAnsi="宋体" w:eastAsia="宋体" w:cs="Times New Roman"/>
          <w:b/>
          <w:sz w:val="72"/>
          <w:szCs w:val="72"/>
        </w:rPr>
        <w:t>物流产业发展规划</w:t>
      </w:r>
    </w:p>
    <w:p w14:paraId="3AD8590A">
      <w:pPr>
        <w:spacing w:line="360" w:lineRule="auto"/>
        <w:jc w:val="center"/>
        <w:rPr>
          <w:rFonts w:asciiTheme="minorEastAsia" w:hAnsiTheme="minorEastAsia"/>
          <w:b/>
          <w:sz w:val="48"/>
          <w:szCs w:val="48"/>
        </w:rPr>
      </w:pPr>
      <w:r>
        <w:rPr>
          <w:rFonts w:hint="eastAsia" w:asciiTheme="minorEastAsia" w:hAnsiTheme="minorEastAsia"/>
          <w:b/>
          <w:sz w:val="48"/>
          <w:szCs w:val="48"/>
        </w:rPr>
        <w:t>（20</w:t>
      </w:r>
      <w:r>
        <w:rPr>
          <w:rFonts w:asciiTheme="minorEastAsia" w:hAnsiTheme="minorEastAsia"/>
          <w:b/>
          <w:sz w:val="48"/>
          <w:szCs w:val="48"/>
        </w:rPr>
        <w:t>2</w:t>
      </w:r>
      <w:r>
        <w:rPr>
          <w:rFonts w:hint="eastAsia" w:asciiTheme="minorEastAsia" w:hAnsiTheme="minorEastAsia"/>
          <w:b/>
          <w:sz w:val="48"/>
          <w:szCs w:val="48"/>
        </w:rPr>
        <w:t>1-20</w:t>
      </w:r>
      <w:r>
        <w:rPr>
          <w:rFonts w:asciiTheme="minorEastAsia" w:hAnsiTheme="minorEastAsia"/>
          <w:b/>
          <w:sz w:val="48"/>
          <w:szCs w:val="48"/>
        </w:rPr>
        <w:t>25</w:t>
      </w:r>
      <w:r>
        <w:rPr>
          <w:rFonts w:hint="eastAsia" w:asciiTheme="minorEastAsia" w:hAnsiTheme="minorEastAsia"/>
          <w:b/>
          <w:sz w:val="48"/>
          <w:szCs w:val="48"/>
        </w:rPr>
        <w:t>年）</w:t>
      </w:r>
    </w:p>
    <w:p w14:paraId="66294F98">
      <w:pPr>
        <w:spacing w:line="360" w:lineRule="auto"/>
        <w:rPr>
          <w:rFonts w:asciiTheme="minorEastAsia" w:hAnsiTheme="minorEastAsia"/>
          <w:sz w:val="32"/>
          <w:szCs w:val="32"/>
        </w:rPr>
      </w:pPr>
    </w:p>
    <w:p w14:paraId="59DF661D">
      <w:pPr>
        <w:spacing w:line="360" w:lineRule="auto"/>
        <w:rPr>
          <w:rFonts w:asciiTheme="minorEastAsia" w:hAnsiTheme="minorEastAsia"/>
          <w:sz w:val="32"/>
          <w:szCs w:val="32"/>
        </w:rPr>
      </w:pPr>
    </w:p>
    <w:p w14:paraId="6A5D55F4">
      <w:pPr>
        <w:spacing w:line="360" w:lineRule="auto"/>
        <w:rPr>
          <w:rFonts w:asciiTheme="minorEastAsia" w:hAnsiTheme="minorEastAsia"/>
          <w:sz w:val="32"/>
          <w:szCs w:val="32"/>
        </w:rPr>
      </w:pPr>
    </w:p>
    <w:p w14:paraId="19B74F4E">
      <w:pPr>
        <w:spacing w:line="360" w:lineRule="auto"/>
        <w:rPr>
          <w:rFonts w:asciiTheme="minorEastAsia" w:hAnsiTheme="minorEastAsia"/>
          <w:sz w:val="32"/>
          <w:szCs w:val="32"/>
        </w:rPr>
      </w:pPr>
    </w:p>
    <w:p w14:paraId="286A18C3">
      <w:pPr>
        <w:spacing w:line="360" w:lineRule="auto"/>
        <w:rPr>
          <w:rFonts w:asciiTheme="minorEastAsia" w:hAnsiTheme="minorEastAsia"/>
          <w:sz w:val="32"/>
          <w:szCs w:val="32"/>
        </w:rPr>
      </w:pPr>
    </w:p>
    <w:p w14:paraId="0944B7E0">
      <w:pPr>
        <w:spacing w:line="360" w:lineRule="auto"/>
        <w:rPr>
          <w:rFonts w:asciiTheme="minorEastAsia" w:hAnsiTheme="minorEastAsia"/>
          <w:sz w:val="32"/>
          <w:szCs w:val="32"/>
        </w:rPr>
      </w:pPr>
    </w:p>
    <w:p w14:paraId="2C4EC758">
      <w:pPr>
        <w:spacing w:line="360" w:lineRule="auto"/>
        <w:rPr>
          <w:rFonts w:asciiTheme="minorEastAsia" w:hAnsiTheme="minorEastAsia"/>
          <w:sz w:val="32"/>
          <w:szCs w:val="32"/>
        </w:rPr>
      </w:pPr>
    </w:p>
    <w:p w14:paraId="654252EF">
      <w:pPr>
        <w:spacing w:line="360" w:lineRule="auto"/>
        <w:rPr>
          <w:rFonts w:asciiTheme="minorEastAsia" w:hAnsiTheme="minorEastAsia"/>
          <w:sz w:val="32"/>
          <w:szCs w:val="32"/>
        </w:rPr>
      </w:pPr>
    </w:p>
    <w:p w14:paraId="3C747E1B">
      <w:pPr>
        <w:spacing w:line="360" w:lineRule="auto"/>
        <w:rPr>
          <w:rFonts w:asciiTheme="minorEastAsia" w:hAnsiTheme="minorEastAsia"/>
          <w:sz w:val="32"/>
          <w:szCs w:val="32"/>
        </w:rPr>
      </w:pPr>
    </w:p>
    <w:p w14:paraId="5C169F22">
      <w:pPr>
        <w:spacing w:line="360" w:lineRule="auto"/>
        <w:rPr>
          <w:rFonts w:asciiTheme="minorEastAsia" w:hAnsiTheme="minorEastAsia"/>
          <w:sz w:val="32"/>
          <w:szCs w:val="32"/>
        </w:rPr>
      </w:pPr>
    </w:p>
    <w:p w14:paraId="6AE3C692">
      <w:pPr>
        <w:tabs>
          <w:tab w:val="left" w:pos="1985"/>
        </w:tabs>
        <w:spacing w:line="360" w:lineRule="auto"/>
        <w:jc w:val="center"/>
        <w:rPr>
          <w:rFonts w:ascii="宋体" w:hAnsi="宋体"/>
          <w:sz w:val="36"/>
          <w:szCs w:val="36"/>
        </w:rPr>
      </w:pPr>
      <w:r>
        <w:rPr>
          <w:rFonts w:hint="eastAsia" w:ascii="宋体" w:hAnsi="宋体"/>
          <w:sz w:val="36"/>
          <w:szCs w:val="36"/>
        </w:rPr>
        <w:t>凌源市发展和改革局</w:t>
      </w:r>
    </w:p>
    <w:p w14:paraId="3F45CC78">
      <w:pPr>
        <w:tabs>
          <w:tab w:val="left" w:pos="1985"/>
        </w:tabs>
        <w:spacing w:line="360" w:lineRule="auto"/>
        <w:jc w:val="center"/>
        <w:rPr>
          <w:rFonts w:ascii="宋体" w:hAnsi="宋体"/>
          <w:sz w:val="36"/>
          <w:szCs w:val="36"/>
        </w:rPr>
      </w:pPr>
      <w:r>
        <w:rPr>
          <w:rFonts w:ascii="宋体" w:hAnsi="宋体"/>
          <w:sz w:val="36"/>
          <w:szCs w:val="36"/>
        </w:rPr>
        <w:t>北京</w:t>
      </w:r>
      <w:r>
        <w:rPr>
          <w:rFonts w:hint="eastAsia" w:ascii="宋体" w:hAnsi="宋体"/>
          <w:sz w:val="36"/>
          <w:szCs w:val="36"/>
        </w:rPr>
        <w:t>百川归海物流科技有限公司</w:t>
      </w:r>
    </w:p>
    <w:p w14:paraId="73C1F421">
      <w:pPr>
        <w:widowControl/>
        <w:spacing w:line="360" w:lineRule="auto"/>
        <w:jc w:val="center"/>
        <w:rPr>
          <w:rFonts w:asciiTheme="minorEastAsia" w:hAnsiTheme="minorEastAsia"/>
          <w:b/>
          <w:sz w:val="28"/>
          <w:szCs w:val="28"/>
        </w:rPr>
        <w:sectPr>
          <w:footerReference r:id="rId3" w:type="default"/>
          <w:pgSz w:w="11906" w:h="16838"/>
          <w:pgMar w:top="1440" w:right="1800" w:bottom="1440" w:left="1800" w:header="851" w:footer="992" w:gutter="0"/>
          <w:cols w:space="425" w:num="1"/>
          <w:docGrid w:type="lines" w:linePitch="312" w:charSpace="0"/>
        </w:sectPr>
      </w:pPr>
      <w:r>
        <w:rPr>
          <w:rFonts w:hint="eastAsia" w:ascii="宋体" w:hAnsi="宋体"/>
          <w:sz w:val="36"/>
          <w:szCs w:val="36"/>
        </w:rPr>
        <w:t>二〇二〇年十二月</w:t>
      </w:r>
      <w:bookmarkStart w:id="1" w:name="_Toc515824202"/>
    </w:p>
    <w:p w14:paraId="72BF7C56">
      <w:pPr>
        <w:tabs>
          <w:tab w:val="left" w:pos="1985"/>
        </w:tabs>
        <w:spacing w:line="276" w:lineRule="auto"/>
        <w:ind w:firstLine="842" w:firstLineChars="200"/>
        <w:rPr>
          <w:rFonts w:ascii="宋体" w:hAnsi="宋体"/>
          <w:sz w:val="28"/>
          <w:szCs w:val="28"/>
        </w:rPr>
      </w:pPr>
      <w:r>
        <w:rPr>
          <w:rFonts w:hint="eastAsia" w:ascii="宋体" w:hAnsi="宋体"/>
          <w:b/>
          <w:bCs/>
          <w:spacing w:val="70"/>
          <w:kern w:val="0"/>
          <w:sz w:val="28"/>
          <w:szCs w:val="28"/>
          <w:fitText w:val="1967" w:id="-1935305728"/>
        </w:rPr>
        <w:t>编制单位</w:t>
      </w:r>
      <w:r>
        <w:rPr>
          <w:rFonts w:hint="eastAsia" w:ascii="宋体" w:hAnsi="宋体"/>
          <w:b/>
          <w:bCs/>
          <w:spacing w:val="3"/>
          <w:kern w:val="0"/>
          <w:sz w:val="28"/>
          <w:szCs w:val="28"/>
          <w:fitText w:val="1967" w:id="-1935305728"/>
        </w:rPr>
        <w:t>：</w:t>
      </w:r>
      <w:r>
        <w:rPr>
          <w:rFonts w:hint="eastAsia" w:ascii="宋体" w:hAnsi="宋体"/>
          <w:sz w:val="28"/>
          <w:szCs w:val="28"/>
        </w:rPr>
        <w:t>北京百川归海物流科技有限公司</w:t>
      </w:r>
    </w:p>
    <w:p w14:paraId="3711F43E">
      <w:pPr>
        <w:spacing w:line="276" w:lineRule="auto"/>
        <w:ind w:firstLine="849" w:firstLineChars="252"/>
        <w:jc w:val="left"/>
        <w:rPr>
          <w:rFonts w:ascii="宋体" w:hAnsi="宋体"/>
          <w:b/>
          <w:bCs/>
          <w:sz w:val="28"/>
          <w:szCs w:val="28"/>
        </w:rPr>
      </w:pPr>
      <w:r>
        <w:rPr>
          <w:rFonts w:hint="eastAsia" w:ascii="宋体" w:hAnsi="宋体"/>
          <w:b/>
          <w:bCs/>
          <w:spacing w:val="28"/>
          <w:kern w:val="0"/>
          <w:sz w:val="28"/>
          <w:fitText w:val="1967" w:id="-1935305727"/>
        </w:rPr>
        <w:t>项目负责人</w:t>
      </w:r>
      <w:r>
        <w:rPr>
          <w:rFonts w:hint="eastAsia" w:ascii="宋体" w:hAnsi="宋体"/>
          <w:b/>
          <w:bCs/>
          <w:spacing w:val="3"/>
          <w:kern w:val="0"/>
          <w:sz w:val="28"/>
          <w:fitText w:val="1967" w:id="-1935305727"/>
        </w:rPr>
        <w:t>：</w:t>
      </w:r>
      <w:r>
        <w:rPr>
          <w:rFonts w:hint="eastAsia" w:ascii="宋体" w:hAnsi="宋体"/>
          <w:sz w:val="28"/>
        </w:rPr>
        <w:t xml:space="preserve">范翔 </w:t>
      </w:r>
      <w:r>
        <w:rPr>
          <w:rFonts w:hint="eastAsia" w:ascii="宋体" w:hAnsi="宋体"/>
          <w:sz w:val="28"/>
          <w:szCs w:val="28"/>
        </w:rPr>
        <w:t>中国物流学会理事、特约研究员</w:t>
      </w:r>
    </w:p>
    <w:p w14:paraId="46D3B1E2">
      <w:pPr>
        <w:tabs>
          <w:tab w:val="left" w:pos="1985"/>
        </w:tabs>
        <w:spacing w:line="276" w:lineRule="auto"/>
        <w:ind w:firstLine="843" w:firstLineChars="300"/>
        <w:rPr>
          <w:rFonts w:ascii="宋体" w:hAnsi="宋体"/>
          <w:b/>
          <w:bCs/>
          <w:sz w:val="28"/>
          <w:szCs w:val="28"/>
        </w:rPr>
      </w:pPr>
      <w:r>
        <w:rPr>
          <w:rFonts w:hint="eastAsia" w:ascii="宋体" w:hAnsi="宋体"/>
          <w:b/>
          <w:bCs/>
          <w:sz w:val="28"/>
          <w:szCs w:val="28"/>
        </w:rPr>
        <w:t>主要编制人员：</w:t>
      </w:r>
    </w:p>
    <w:p w14:paraId="425C1041">
      <w:pPr>
        <w:tabs>
          <w:tab w:val="left" w:pos="1985"/>
        </w:tabs>
        <w:spacing w:line="276" w:lineRule="auto"/>
        <w:ind w:left="420" w:leftChars="200" w:firstLine="560"/>
        <w:rPr>
          <w:rFonts w:ascii="宋体" w:hAnsi="宋体"/>
          <w:sz w:val="28"/>
          <w:szCs w:val="28"/>
        </w:rPr>
      </w:pPr>
      <w:r>
        <w:rPr>
          <w:rFonts w:hint="eastAsia" w:ascii="宋体" w:hAnsi="宋体"/>
          <w:sz w:val="28"/>
          <w:szCs w:val="28"/>
        </w:rPr>
        <w:t>刘建新 中国物流学会理事、特约研究员</w:t>
      </w:r>
    </w:p>
    <w:p w14:paraId="60E86FB1">
      <w:pPr>
        <w:tabs>
          <w:tab w:val="left" w:pos="1985"/>
        </w:tabs>
        <w:spacing w:line="276" w:lineRule="auto"/>
        <w:ind w:left="420" w:leftChars="200" w:firstLine="560"/>
        <w:rPr>
          <w:rFonts w:ascii="宋体" w:hAnsi="宋体"/>
          <w:sz w:val="28"/>
          <w:szCs w:val="28"/>
        </w:rPr>
      </w:pPr>
      <w:r>
        <w:rPr>
          <w:rFonts w:hint="eastAsia" w:ascii="宋体" w:hAnsi="宋体"/>
          <w:sz w:val="28"/>
          <w:szCs w:val="28"/>
        </w:rPr>
        <w:t xml:space="preserve">       中国交通运输协会快运分会副秘书长（兼）</w:t>
      </w:r>
    </w:p>
    <w:p w14:paraId="567BEAED">
      <w:pPr>
        <w:tabs>
          <w:tab w:val="left" w:pos="1985"/>
        </w:tabs>
        <w:spacing w:line="276" w:lineRule="auto"/>
        <w:ind w:left="420" w:leftChars="200" w:firstLine="560"/>
        <w:rPr>
          <w:rFonts w:ascii="宋体" w:hAnsi="宋体"/>
          <w:sz w:val="28"/>
          <w:szCs w:val="28"/>
        </w:rPr>
      </w:pPr>
      <w:r>
        <w:rPr>
          <w:rFonts w:hint="eastAsia" w:ascii="宋体" w:hAnsi="宋体"/>
          <w:sz w:val="28"/>
          <w:szCs w:val="28"/>
        </w:rPr>
        <w:t>全俊华 中国物流学会会员、物流师、管理咨询师</w:t>
      </w:r>
    </w:p>
    <w:p w14:paraId="6AF0572B">
      <w:pPr>
        <w:tabs>
          <w:tab w:val="left" w:pos="1985"/>
        </w:tabs>
        <w:spacing w:line="276" w:lineRule="auto"/>
        <w:ind w:left="420" w:leftChars="200" w:firstLine="560"/>
        <w:rPr>
          <w:rFonts w:ascii="宋体" w:hAnsi="宋体"/>
          <w:sz w:val="28"/>
          <w:szCs w:val="28"/>
        </w:rPr>
      </w:pPr>
      <w:r>
        <w:rPr>
          <w:rFonts w:hint="eastAsia" w:ascii="宋体" w:hAnsi="宋体"/>
          <w:sz w:val="28"/>
          <w:szCs w:val="28"/>
        </w:rPr>
        <w:t>范学谦 高级顾问、副教授</w:t>
      </w:r>
    </w:p>
    <w:p w14:paraId="214CFAFE">
      <w:pPr>
        <w:tabs>
          <w:tab w:val="left" w:pos="1985"/>
        </w:tabs>
        <w:spacing w:line="276" w:lineRule="auto"/>
        <w:ind w:left="420" w:leftChars="200" w:firstLine="560"/>
        <w:rPr>
          <w:rFonts w:ascii="宋体" w:hAnsi="宋体"/>
          <w:sz w:val="28"/>
          <w:szCs w:val="28"/>
        </w:rPr>
      </w:pPr>
      <w:r>
        <w:rPr>
          <w:rFonts w:hint="eastAsia" w:ascii="宋体" w:hAnsi="宋体"/>
          <w:sz w:val="28"/>
          <w:szCs w:val="28"/>
        </w:rPr>
        <w:t>郑 科 高级顾问、博士、副教授</w:t>
      </w:r>
    </w:p>
    <w:p w14:paraId="08C4D370">
      <w:pPr>
        <w:tabs>
          <w:tab w:val="left" w:pos="1985"/>
        </w:tabs>
        <w:spacing w:line="276" w:lineRule="auto"/>
        <w:ind w:left="420" w:leftChars="200" w:firstLine="560"/>
        <w:rPr>
          <w:rFonts w:ascii="宋体" w:hAnsi="宋体"/>
          <w:sz w:val="28"/>
          <w:szCs w:val="28"/>
        </w:rPr>
      </w:pPr>
      <w:r>
        <w:rPr>
          <w:rFonts w:hint="eastAsia" w:ascii="宋体" w:hAnsi="宋体"/>
          <w:sz w:val="28"/>
          <w:szCs w:val="28"/>
        </w:rPr>
        <w:t>姜丽萍 高级顾问、注册咨询师</w:t>
      </w:r>
    </w:p>
    <w:p w14:paraId="01F02D5C">
      <w:pPr>
        <w:tabs>
          <w:tab w:val="left" w:pos="1985"/>
        </w:tabs>
        <w:spacing w:line="276" w:lineRule="auto"/>
        <w:ind w:left="420" w:leftChars="200" w:firstLine="560"/>
        <w:rPr>
          <w:rFonts w:ascii="宋体" w:hAnsi="宋体"/>
          <w:sz w:val="28"/>
          <w:szCs w:val="28"/>
        </w:rPr>
      </w:pPr>
      <w:r>
        <w:rPr>
          <w:rFonts w:hint="eastAsia" w:ascii="宋体" w:hAnsi="宋体"/>
          <w:sz w:val="28"/>
          <w:szCs w:val="28"/>
        </w:rPr>
        <w:t>黄湘民 高级顾问、博士</w:t>
      </w:r>
    </w:p>
    <w:p w14:paraId="7608C257">
      <w:pPr>
        <w:tabs>
          <w:tab w:val="left" w:pos="1985"/>
        </w:tabs>
        <w:spacing w:line="276" w:lineRule="auto"/>
        <w:ind w:left="420" w:leftChars="200" w:firstLine="560"/>
        <w:rPr>
          <w:rFonts w:ascii="宋体" w:hAnsi="宋体"/>
          <w:sz w:val="28"/>
          <w:szCs w:val="28"/>
        </w:rPr>
      </w:pPr>
      <w:r>
        <w:rPr>
          <w:rFonts w:hint="eastAsia" w:ascii="宋体" w:hAnsi="宋体"/>
          <w:sz w:val="28"/>
          <w:szCs w:val="28"/>
        </w:rPr>
        <w:t>邢大宁 高级顾问、博士</w:t>
      </w:r>
    </w:p>
    <w:p w14:paraId="49146BFC">
      <w:pPr>
        <w:tabs>
          <w:tab w:val="left" w:pos="1985"/>
        </w:tabs>
        <w:spacing w:line="276" w:lineRule="auto"/>
        <w:ind w:left="420" w:leftChars="200" w:firstLine="560"/>
        <w:rPr>
          <w:rFonts w:ascii="宋体" w:hAnsi="宋体"/>
          <w:sz w:val="28"/>
          <w:szCs w:val="28"/>
        </w:rPr>
      </w:pPr>
      <w:r>
        <w:rPr>
          <w:rFonts w:hint="eastAsia" w:ascii="宋体" w:hAnsi="宋体"/>
          <w:sz w:val="28"/>
          <w:szCs w:val="28"/>
        </w:rPr>
        <w:t>宋津晶 高级顾问、硕士</w:t>
      </w:r>
    </w:p>
    <w:p w14:paraId="2F7F6E00">
      <w:pPr>
        <w:tabs>
          <w:tab w:val="left" w:pos="1985"/>
        </w:tabs>
        <w:spacing w:line="276" w:lineRule="auto"/>
        <w:ind w:firstLine="843" w:firstLineChars="300"/>
        <w:rPr>
          <w:rFonts w:ascii="宋体" w:hAnsi="宋体"/>
          <w:b/>
          <w:bCs/>
          <w:sz w:val="28"/>
          <w:szCs w:val="28"/>
        </w:rPr>
      </w:pPr>
      <w:r>
        <w:rPr>
          <w:rFonts w:hint="eastAsia" w:ascii="宋体" w:hAnsi="宋体"/>
          <w:b/>
          <w:bCs/>
          <w:sz w:val="28"/>
          <w:szCs w:val="28"/>
        </w:rPr>
        <w:t>参与编制人员：</w:t>
      </w:r>
    </w:p>
    <w:p w14:paraId="46ABCC78">
      <w:pPr>
        <w:tabs>
          <w:tab w:val="left" w:pos="1985"/>
        </w:tabs>
        <w:spacing w:line="276" w:lineRule="auto"/>
        <w:ind w:firstLine="991" w:firstLineChars="354"/>
        <w:rPr>
          <w:rFonts w:ascii="宋体" w:hAnsi="宋体"/>
          <w:sz w:val="28"/>
          <w:szCs w:val="28"/>
        </w:rPr>
      </w:pPr>
      <w:r>
        <w:rPr>
          <w:rFonts w:hint="eastAsia" w:ascii="宋体" w:hAnsi="宋体"/>
          <w:sz w:val="28"/>
          <w:szCs w:val="28"/>
        </w:rPr>
        <w:t>齐秀娥 高级经济师（凌源市发展和改革局）</w:t>
      </w:r>
    </w:p>
    <w:p w14:paraId="47CFE299">
      <w:pPr>
        <w:tabs>
          <w:tab w:val="left" w:pos="1985"/>
        </w:tabs>
        <w:spacing w:line="276" w:lineRule="auto"/>
        <w:ind w:firstLine="991" w:firstLineChars="354"/>
        <w:rPr>
          <w:rFonts w:ascii="宋体" w:hAnsi="宋体"/>
          <w:sz w:val="28"/>
          <w:szCs w:val="28"/>
        </w:rPr>
      </w:pPr>
      <w:r>
        <w:rPr>
          <w:rFonts w:hint="eastAsia" w:ascii="宋体" w:hAnsi="宋体"/>
          <w:sz w:val="28"/>
          <w:szCs w:val="28"/>
        </w:rPr>
        <w:t>韩玲侠 中级经济师（凌源市发展和改革局）</w:t>
      </w:r>
    </w:p>
    <w:p w14:paraId="0D34DA9B">
      <w:pPr>
        <w:tabs>
          <w:tab w:val="left" w:pos="1985"/>
        </w:tabs>
        <w:spacing w:line="276" w:lineRule="auto"/>
        <w:ind w:firstLine="991" w:firstLineChars="354"/>
        <w:rPr>
          <w:rFonts w:ascii="宋体" w:hAnsi="宋体"/>
          <w:sz w:val="28"/>
          <w:szCs w:val="28"/>
        </w:rPr>
      </w:pPr>
      <w:r>
        <w:rPr>
          <w:rFonts w:hint="eastAsia" w:ascii="宋体" w:hAnsi="宋体"/>
          <w:sz w:val="28"/>
          <w:szCs w:val="28"/>
        </w:rPr>
        <w:t>张兆锋 中级工程师（凌源市发展和改革局）</w:t>
      </w:r>
    </w:p>
    <w:p w14:paraId="3FB329AD">
      <w:pPr>
        <w:tabs>
          <w:tab w:val="left" w:pos="1985"/>
        </w:tabs>
        <w:spacing w:line="276" w:lineRule="auto"/>
        <w:ind w:firstLine="991" w:firstLineChars="354"/>
        <w:rPr>
          <w:rFonts w:ascii="宋体" w:hAnsi="宋体"/>
          <w:sz w:val="28"/>
          <w:szCs w:val="28"/>
        </w:rPr>
      </w:pPr>
      <w:r>
        <w:rPr>
          <w:rFonts w:hint="eastAsia" w:ascii="宋体" w:hAnsi="宋体"/>
          <w:sz w:val="28"/>
          <w:szCs w:val="28"/>
        </w:rPr>
        <w:t>魏红静 中级工程师（凌源市发展和改革局）</w:t>
      </w:r>
    </w:p>
    <w:p w14:paraId="181A19BA">
      <w:pPr>
        <w:pStyle w:val="2"/>
        <w:tabs>
          <w:tab w:val="left" w:pos="993"/>
          <w:tab w:val="left" w:pos="1276"/>
        </w:tabs>
        <w:ind w:firstLine="980" w:firstLineChars="350"/>
        <w:rPr>
          <w:rFonts w:ascii="宋体" w:hAnsi="宋体"/>
          <w:sz w:val="28"/>
          <w:szCs w:val="28"/>
        </w:rPr>
      </w:pPr>
      <w:r>
        <w:rPr>
          <w:rFonts w:hint="eastAsia" w:ascii="宋体" w:hAnsi="宋体" w:eastAsiaTheme="minorEastAsia" w:cstheme="minorBidi"/>
          <w:sz w:val="28"/>
          <w:szCs w:val="28"/>
        </w:rPr>
        <w:t xml:space="preserve">张 </w:t>
      </w:r>
      <w:r>
        <w:rPr>
          <w:rFonts w:ascii="宋体" w:hAnsi="宋体" w:eastAsiaTheme="minorEastAsia" w:cstheme="minorBidi"/>
          <w:sz w:val="28"/>
          <w:szCs w:val="28"/>
        </w:rPr>
        <w:t xml:space="preserve"> </w:t>
      </w:r>
      <w:r>
        <w:rPr>
          <w:rFonts w:hint="eastAsia" w:ascii="宋体" w:hAnsi="宋体" w:eastAsiaTheme="minorEastAsia" w:cstheme="minorBidi"/>
          <w:sz w:val="28"/>
          <w:szCs w:val="28"/>
        </w:rPr>
        <w:t>艳 中级工程师（凌</w:t>
      </w:r>
      <w:r>
        <w:rPr>
          <w:rFonts w:hint="eastAsia" w:ascii="宋体" w:hAnsi="宋体"/>
          <w:sz w:val="28"/>
          <w:szCs w:val="28"/>
        </w:rPr>
        <w:t>源市发展和改革局）</w:t>
      </w:r>
    </w:p>
    <w:p w14:paraId="2D5335CF">
      <w:pPr>
        <w:tabs>
          <w:tab w:val="left" w:pos="426"/>
          <w:tab w:val="left" w:pos="993"/>
          <w:tab w:val="left" w:pos="1276"/>
        </w:tabs>
        <w:ind w:left="991" w:leftChars="472"/>
      </w:pPr>
      <w:r>
        <w:rPr>
          <w:rFonts w:hint="eastAsia" w:ascii="宋体" w:hAnsi="宋体"/>
          <w:sz w:val="28"/>
          <w:szCs w:val="28"/>
        </w:rPr>
        <w:t>孟艳飞 中级工程师（凌源市发展和改革局）</w:t>
      </w:r>
    </w:p>
    <w:p w14:paraId="5752A29F">
      <w:pPr>
        <w:spacing w:line="276" w:lineRule="auto"/>
        <w:ind w:firstLine="842" w:firstLineChars="200"/>
        <w:rPr>
          <w:rFonts w:ascii="宋体" w:hAnsi="宋体"/>
          <w:sz w:val="28"/>
        </w:rPr>
      </w:pPr>
      <w:r>
        <w:rPr>
          <w:rFonts w:hint="eastAsia" w:ascii="宋体" w:hAnsi="宋体"/>
          <w:b/>
          <w:bCs/>
          <w:spacing w:val="70"/>
          <w:kern w:val="0"/>
          <w:sz w:val="28"/>
          <w:fitText w:val="1967" w:id="-1935305726"/>
        </w:rPr>
        <w:t>审核人员</w:t>
      </w:r>
      <w:r>
        <w:rPr>
          <w:rFonts w:hint="eastAsia" w:ascii="宋体" w:hAnsi="宋体"/>
          <w:b/>
          <w:bCs/>
          <w:spacing w:val="3"/>
          <w:kern w:val="0"/>
          <w:sz w:val="28"/>
          <w:fitText w:val="1967" w:id="-1935305726"/>
        </w:rPr>
        <w:t>：</w:t>
      </w:r>
      <w:r>
        <w:rPr>
          <w:rFonts w:hint="eastAsia" w:ascii="宋体" w:hAnsi="宋体"/>
          <w:sz w:val="28"/>
        </w:rPr>
        <w:t>杨松涛 教授级高工</w:t>
      </w:r>
    </w:p>
    <w:p w14:paraId="18358043">
      <w:pPr>
        <w:spacing w:line="276" w:lineRule="auto"/>
        <w:ind w:firstLine="838" w:firstLineChars="199"/>
        <w:rPr>
          <w:rFonts w:ascii="宋体" w:hAnsi="宋体"/>
          <w:sz w:val="28"/>
        </w:rPr>
      </w:pPr>
      <w:r>
        <w:rPr>
          <w:rFonts w:hint="eastAsia" w:ascii="宋体" w:hAnsi="宋体"/>
          <w:b/>
          <w:bCs/>
          <w:spacing w:val="70"/>
          <w:kern w:val="0"/>
          <w:sz w:val="28"/>
          <w:fitText w:val="1967" w:id="-1935305725"/>
        </w:rPr>
        <w:t>核对人员</w:t>
      </w:r>
      <w:r>
        <w:rPr>
          <w:rFonts w:hint="eastAsia" w:ascii="宋体" w:hAnsi="宋体"/>
          <w:b/>
          <w:bCs/>
          <w:spacing w:val="3"/>
          <w:kern w:val="0"/>
          <w:sz w:val="28"/>
          <w:fitText w:val="1967" w:id="-1935305725"/>
        </w:rPr>
        <w:t>：</w:t>
      </w:r>
      <w:r>
        <w:rPr>
          <w:rFonts w:hint="eastAsia" w:ascii="宋体" w:hAnsi="宋体"/>
          <w:kern w:val="0"/>
          <w:sz w:val="28"/>
        </w:rPr>
        <w:t xml:space="preserve">王 晶 </w:t>
      </w:r>
      <w:r>
        <w:rPr>
          <w:rFonts w:hint="eastAsia" w:ascii="宋体" w:hAnsi="宋体"/>
          <w:sz w:val="28"/>
        </w:rPr>
        <w:t>注册咨询师</w:t>
      </w:r>
    </w:p>
    <w:p w14:paraId="57863D4A">
      <w:pPr>
        <w:spacing w:line="276" w:lineRule="auto"/>
        <w:ind w:firstLine="851" w:firstLineChars="202"/>
      </w:pPr>
      <w:r>
        <w:rPr>
          <w:rFonts w:hint="eastAsia" w:ascii="宋体" w:hAnsi="宋体"/>
          <w:b/>
          <w:bCs/>
          <w:spacing w:val="70"/>
          <w:kern w:val="0"/>
          <w:sz w:val="28"/>
          <w:fitText w:val="1967" w:id="-1935305724"/>
        </w:rPr>
        <w:t>编制日期</w:t>
      </w:r>
      <w:r>
        <w:rPr>
          <w:rFonts w:hint="eastAsia" w:ascii="宋体" w:hAnsi="宋体"/>
          <w:b/>
          <w:bCs/>
          <w:spacing w:val="3"/>
          <w:kern w:val="0"/>
          <w:sz w:val="28"/>
          <w:fitText w:val="1967" w:id="-1935305724"/>
        </w:rPr>
        <w:t>：</w:t>
      </w:r>
      <w:r>
        <w:rPr>
          <w:rFonts w:hint="eastAsia" w:ascii="宋体" w:hAnsi="宋体"/>
          <w:sz w:val="28"/>
        </w:rPr>
        <w:t>二〇二〇年十二月</w:t>
      </w:r>
      <w:r>
        <w:br w:type="page"/>
      </w:r>
    </w:p>
    <w:p w14:paraId="53EA2D81">
      <w:pPr>
        <w:spacing w:line="360" w:lineRule="auto"/>
        <w:jc w:val="center"/>
        <w:rPr>
          <w:rFonts w:asciiTheme="minorEastAsia" w:hAnsiTheme="minorEastAsia"/>
          <w:b/>
          <w:sz w:val="28"/>
          <w:szCs w:val="28"/>
        </w:rPr>
      </w:pPr>
      <w:r>
        <w:rPr>
          <w:rFonts w:hint="eastAsia" w:asciiTheme="minorEastAsia" w:hAnsiTheme="minorEastAsia"/>
          <w:b/>
          <w:sz w:val="28"/>
          <w:szCs w:val="28"/>
        </w:rPr>
        <w:t>目录</w:t>
      </w:r>
    </w:p>
    <w:p w14:paraId="420861D2">
      <w:pPr>
        <w:pStyle w:val="21"/>
        <w:tabs>
          <w:tab w:val="right" w:leader="dot" w:pos="8296"/>
        </w:tabs>
      </w:pPr>
      <w:r>
        <w:rPr>
          <w:rFonts w:ascii="宋体" w:hAnsi="宋体" w:eastAsia="宋体"/>
          <w:sz w:val="32"/>
          <w:szCs w:val="32"/>
        </w:rPr>
        <w:fldChar w:fldCharType="begin"/>
      </w:r>
      <w:r>
        <w:rPr>
          <w:rFonts w:ascii="宋体" w:hAnsi="宋体" w:eastAsia="宋体"/>
          <w:sz w:val="32"/>
          <w:szCs w:val="32"/>
        </w:rPr>
        <w:instrText xml:space="preserve"> TOC \o "1-3" \h \z \u </w:instrText>
      </w:r>
      <w:r>
        <w:rPr>
          <w:rFonts w:ascii="宋体" w:hAnsi="宋体" w:eastAsia="宋体"/>
          <w:sz w:val="32"/>
          <w:szCs w:val="32"/>
        </w:rPr>
        <w:fldChar w:fldCharType="separate"/>
      </w:r>
      <w:r>
        <w:fldChar w:fldCharType="begin"/>
      </w:r>
      <w:r>
        <w:instrText xml:space="preserve"> HYPERLINK \l "_Toc79497915" </w:instrText>
      </w:r>
      <w:r>
        <w:fldChar w:fldCharType="separate"/>
      </w:r>
      <w:r>
        <w:rPr>
          <w:rStyle w:val="47"/>
          <w:rFonts w:ascii="黑体" w:hAnsi="黑体" w:eastAsia="黑体"/>
        </w:rPr>
        <w:t>前言</w:t>
      </w:r>
      <w:r>
        <w:tab/>
      </w:r>
      <w:r>
        <w:fldChar w:fldCharType="begin"/>
      </w:r>
      <w:r>
        <w:instrText xml:space="preserve"> PAGEREF _Toc79497915 \h </w:instrText>
      </w:r>
      <w:r>
        <w:fldChar w:fldCharType="separate"/>
      </w:r>
      <w:r>
        <w:t>1</w:t>
      </w:r>
      <w:r>
        <w:fldChar w:fldCharType="end"/>
      </w:r>
      <w:r>
        <w:fldChar w:fldCharType="end"/>
      </w:r>
    </w:p>
    <w:p w14:paraId="569D9B0A">
      <w:pPr>
        <w:pStyle w:val="15"/>
        <w:tabs>
          <w:tab w:val="right" w:leader="dot" w:pos="8296"/>
        </w:tabs>
      </w:pPr>
      <w:r>
        <w:fldChar w:fldCharType="begin"/>
      </w:r>
      <w:r>
        <w:instrText xml:space="preserve"> HYPERLINK \l "_Toc79497916" </w:instrText>
      </w:r>
      <w:r>
        <w:fldChar w:fldCharType="separate"/>
      </w:r>
      <w:r>
        <w:rPr>
          <w:rStyle w:val="47"/>
          <w:rFonts w:asciiTheme="minorEastAsia" w:hAnsiTheme="minorEastAsia"/>
        </w:rPr>
        <w:t>一、规划背景</w:t>
      </w:r>
      <w:r>
        <w:tab/>
      </w:r>
      <w:r>
        <w:fldChar w:fldCharType="begin"/>
      </w:r>
      <w:r>
        <w:instrText xml:space="preserve"> PAGEREF _Toc79497916 \h </w:instrText>
      </w:r>
      <w:r>
        <w:fldChar w:fldCharType="separate"/>
      </w:r>
      <w:r>
        <w:t>1</w:t>
      </w:r>
      <w:r>
        <w:fldChar w:fldCharType="end"/>
      </w:r>
      <w:r>
        <w:fldChar w:fldCharType="end"/>
      </w:r>
    </w:p>
    <w:p w14:paraId="7751C218">
      <w:pPr>
        <w:pStyle w:val="15"/>
        <w:tabs>
          <w:tab w:val="right" w:leader="dot" w:pos="8296"/>
        </w:tabs>
      </w:pPr>
      <w:r>
        <w:fldChar w:fldCharType="begin"/>
      </w:r>
      <w:r>
        <w:instrText xml:space="preserve"> HYPERLINK \l "_Toc79497917" </w:instrText>
      </w:r>
      <w:r>
        <w:fldChar w:fldCharType="separate"/>
      </w:r>
      <w:r>
        <w:rPr>
          <w:rStyle w:val="47"/>
          <w:rFonts w:asciiTheme="minorEastAsia" w:hAnsiTheme="minorEastAsia"/>
        </w:rPr>
        <w:t>二、规划依据</w:t>
      </w:r>
      <w:r>
        <w:tab/>
      </w:r>
      <w:r>
        <w:fldChar w:fldCharType="begin"/>
      </w:r>
      <w:r>
        <w:instrText xml:space="preserve"> PAGEREF _Toc79497917 \h </w:instrText>
      </w:r>
      <w:r>
        <w:fldChar w:fldCharType="separate"/>
      </w:r>
      <w:r>
        <w:t>2</w:t>
      </w:r>
      <w:r>
        <w:fldChar w:fldCharType="end"/>
      </w:r>
      <w:r>
        <w:fldChar w:fldCharType="end"/>
      </w:r>
    </w:p>
    <w:p w14:paraId="16900F67">
      <w:pPr>
        <w:pStyle w:val="15"/>
        <w:tabs>
          <w:tab w:val="right" w:leader="dot" w:pos="8296"/>
        </w:tabs>
      </w:pPr>
      <w:r>
        <w:fldChar w:fldCharType="begin"/>
      </w:r>
      <w:r>
        <w:instrText xml:space="preserve"> HYPERLINK \l "_Toc79497918" </w:instrText>
      </w:r>
      <w:r>
        <w:fldChar w:fldCharType="separate"/>
      </w:r>
      <w:r>
        <w:rPr>
          <w:rStyle w:val="47"/>
          <w:rFonts w:asciiTheme="minorEastAsia" w:hAnsiTheme="minorEastAsia"/>
        </w:rPr>
        <w:t>三、规划范围</w:t>
      </w:r>
      <w:r>
        <w:tab/>
      </w:r>
      <w:r>
        <w:fldChar w:fldCharType="begin"/>
      </w:r>
      <w:r>
        <w:instrText xml:space="preserve"> PAGEREF _Toc79497918 \h </w:instrText>
      </w:r>
      <w:r>
        <w:fldChar w:fldCharType="separate"/>
      </w:r>
      <w:r>
        <w:t>4</w:t>
      </w:r>
      <w:r>
        <w:fldChar w:fldCharType="end"/>
      </w:r>
      <w:r>
        <w:fldChar w:fldCharType="end"/>
      </w:r>
    </w:p>
    <w:p w14:paraId="2FAB9F7C">
      <w:pPr>
        <w:pStyle w:val="15"/>
        <w:tabs>
          <w:tab w:val="right" w:leader="dot" w:pos="8296"/>
        </w:tabs>
      </w:pPr>
      <w:r>
        <w:fldChar w:fldCharType="begin"/>
      </w:r>
      <w:r>
        <w:instrText xml:space="preserve"> HYPERLINK \l "_Toc79497919" </w:instrText>
      </w:r>
      <w:r>
        <w:fldChar w:fldCharType="separate"/>
      </w:r>
      <w:r>
        <w:rPr>
          <w:rStyle w:val="47"/>
          <w:rFonts w:asciiTheme="minorEastAsia" w:hAnsiTheme="minorEastAsia"/>
        </w:rPr>
        <w:t>四、规划期限</w:t>
      </w:r>
      <w:r>
        <w:tab/>
      </w:r>
      <w:r>
        <w:fldChar w:fldCharType="begin"/>
      </w:r>
      <w:r>
        <w:instrText xml:space="preserve"> PAGEREF _Toc79497919 \h </w:instrText>
      </w:r>
      <w:r>
        <w:fldChar w:fldCharType="separate"/>
      </w:r>
      <w:r>
        <w:t>4</w:t>
      </w:r>
      <w:r>
        <w:fldChar w:fldCharType="end"/>
      </w:r>
      <w:r>
        <w:fldChar w:fldCharType="end"/>
      </w:r>
    </w:p>
    <w:p w14:paraId="6612334F">
      <w:pPr>
        <w:pStyle w:val="21"/>
        <w:tabs>
          <w:tab w:val="left" w:pos="1260"/>
          <w:tab w:val="right" w:leader="dot" w:pos="8296"/>
        </w:tabs>
      </w:pPr>
      <w:r>
        <w:fldChar w:fldCharType="begin"/>
      </w:r>
      <w:r>
        <w:instrText xml:space="preserve"> HYPERLINK \l "_Toc79497920" </w:instrText>
      </w:r>
      <w:r>
        <w:fldChar w:fldCharType="separate"/>
      </w:r>
      <w:r>
        <w:rPr>
          <w:rStyle w:val="47"/>
          <w:rFonts w:ascii="黑体" w:hAnsi="黑体" w:eastAsia="黑体"/>
        </w:rPr>
        <w:t>第一章</w:t>
      </w:r>
      <w:r>
        <w:tab/>
      </w:r>
      <w:r>
        <w:rPr>
          <w:rStyle w:val="47"/>
          <w:rFonts w:ascii="黑体" w:hAnsi="黑体" w:eastAsia="黑体"/>
        </w:rPr>
        <w:t>发展基础与面临形势</w:t>
      </w:r>
      <w:r>
        <w:tab/>
      </w:r>
      <w:r>
        <w:fldChar w:fldCharType="begin"/>
      </w:r>
      <w:r>
        <w:instrText xml:space="preserve"> PAGEREF _Toc79497920 \h </w:instrText>
      </w:r>
      <w:r>
        <w:fldChar w:fldCharType="separate"/>
      </w:r>
      <w:r>
        <w:t>5</w:t>
      </w:r>
      <w:r>
        <w:fldChar w:fldCharType="end"/>
      </w:r>
      <w:r>
        <w:fldChar w:fldCharType="end"/>
      </w:r>
    </w:p>
    <w:p w14:paraId="634740AD">
      <w:pPr>
        <w:pStyle w:val="28"/>
        <w:tabs>
          <w:tab w:val="right" w:leader="dot" w:pos="8296"/>
        </w:tabs>
      </w:pPr>
      <w:r>
        <w:fldChar w:fldCharType="begin"/>
      </w:r>
      <w:r>
        <w:instrText xml:space="preserve"> HYPERLINK \l "_Toc79497921" </w:instrText>
      </w:r>
      <w:r>
        <w:fldChar w:fldCharType="separate"/>
      </w:r>
      <w:r>
        <w:rPr>
          <w:rStyle w:val="47"/>
        </w:rPr>
        <w:t>第一节 发展基础</w:t>
      </w:r>
      <w:r>
        <w:tab/>
      </w:r>
      <w:r>
        <w:fldChar w:fldCharType="begin"/>
      </w:r>
      <w:r>
        <w:instrText xml:space="preserve"> PAGEREF _Toc79497921 \h </w:instrText>
      </w:r>
      <w:r>
        <w:fldChar w:fldCharType="separate"/>
      </w:r>
      <w:r>
        <w:t>5</w:t>
      </w:r>
      <w:r>
        <w:fldChar w:fldCharType="end"/>
      </w:r>
      <w:r>
        <w:fldChar w:fldCharType="end"/>
      </w:r>
    </w:p>
    <w:p w14:paraId="3F892B07">
      <w:pPr>
        <w:pStyle w:val="15"/>
        <w:tabs>
          <w:tab w:val="right" w:leader="dot" w:pos="8296"/>
        </w:tabs>
      </w:pPr>
      <w:r>
        <w:fldChar w:fldCharType="begin"/>
      </w:r>
      <w:r>
        <w:instrText xml:space="preserve"> HYPERLINK \l "_Toc79497922" </w:instrText>
      </w:r>
      <w:r>
        <w:fldChar w:fldCharType="separate"/>
      </w:r>
      <w:r>
        <w:rPr>
          <w:rStyle w:val="47"/>
          <w:rFonts w:asciiTheme="minorEastAsia" w:hAnsiTheme="minorEastAsia"/>
        </w:rPr>
        <w:t>一、交通区位条件独特</w:t>
      </w:r>
      <w:r>
        <w:tab/>
      </w:r>
      <w:r>
        <w:fldChar w:fldCharType="begin"/>
      </w:r>
      <w:r>
        <w:instrText xml:space="preserve"> PAGEREF _Toc79497922 \h </w:instrText>
      </w:r>
      <w:r>
        <w:fldChar w:fldCharType="separate"/>
      </w:r>
      <w:r>
        <w:t>5</w:t>
      </w:r>
      <w:r>
        <w:fldChar w:fldCharType="end"/>
      </w:r>
      <w:r>
        <w:fldChar w:fldCharType="end"/>
      </w:r>
    </w:p>
    <w:p w14:paraId="0C4480E4">
      <w:pPr>
        <w:pStyle w:val="15"/>
        <w:tabs>
          <w:tab w:val="right" w:leader="dot" w:pos="8296"/>
        </w:tabs>
      </w:pPr>
      <w:r>
        <w:fldChar w:fldCharType="begin"/>
      </w:r>
      <w:r>
        <w:instrText xml:space="preserve"> HYPERLINK \l "_Toc79497923" </w:instrText>
      </w:r>
      <w:r>
        <w:fldChar w:fldCharType="separate"/>
      </w:r>
      <w:r>
        <w:rPr>
          <w:rStyle w:val="47"/>
          <w:rFonts w:asciiTheme="minorEastAsia" w:hAnsiTheme="minorEastAsia"/>
        </w:rPr>
        <w:t>二、产业经济特色鲜明</w:t>
      </w:r>
      <w:r>
        <w:tab/>
      </w:r>
      <w:r>
        <w:fldChar w:fldCharType="begin"/>
      </w:r>
      <w:r>
        <w:instrText xml:space="preserve"> PAGEREF _Toc79497923 \h </w:instrText>
      </w:r>
      <w:r>
        <w:fldChar w:fldCharType="separate"/>
      </w:r>
      <w:r>
        <w:t>9</w:t>
      </w:r>
      <w:r>
        <w:fldChar w:fldCharType="end"/>
      </w:r>
      <w:r>
        <w:fldChar w:fldCharType="end"/>
      </w:r>
    </w:p>
    <w:p w14:paraId="3B115A09">
      <w:pPr>
        <w:pStyle w:val="15"/>
        <w:tabs>
          <w:tab w:val="right" w:leader="dot" w:pos="8296"/>
        </w:tabs>
      </w:pPr>
      <w:r>
        <w:fldChar w:fldCharType="begin"/>
      </w:r>
      <w:r>
        <w:instrText xml:space="preserve"> HYPERLINK \l "_Toc79497924" </w:instrText>
      </w:r>
      <w:r>
        <w:fldChar w:fldCharType="separate"/>
      </w:r>
      <w:r>
        <w:rPr>
          <w:rStyle w:val="47"/>
          <w:rFonts w:asciiTheme="minorEastAsia" w:hAnsiTheme="minorEastAsia"/>
        </w:rPr>
        <w:t>三、物流业主要指标运行平稳</w:t>
      </w:r>
      <w:r>
        <w:tab/>
      </w:r>
      <w:r>
        <w:fldChar w:fldCharType="begin"/>
      </w:r>
      <w:r>
        <w:instrText xml:space="preserve"> PAGEREF _Toc79497924 \h </w:instrText>
      </w:r>
      <w:r>
        <w:fldChar w:fldCharType="separate"/>
      </w:r>
      <w:r>
        <w:t>12</w:t>
      </w:r>
      <w:r>
        <w:fldChar w:fldCharType="end"/>
      </w:r>
      <w:r>
        <w:fldChar w:fldCharType="end"/>
      </w:r>
    </w:p>
    <w:p w14:paraId="23B7CF62">
      <w:pPr>
        <w:pStyle w:val="15"/>
        <w:tabs>
          <w:tab w:val="right" w:leader="dot" w:pos="8296"/>
        </w:tabs>
      </w:pPr>
      <w:r>
        <w:fldChar w:fldCharType="begin"/>
      </w:r>
      <w:r>
        <w:instrText xml:space="preserve"> HYPERLINK \l "_Toc79497925" </w:instrText>
      </w:r>
      <w:r>
        <w:fldChar w:fldCharType="separate"/>
      </w:r>
      <w:r>
        <w:rPr>
          <w:rStyle w:val="47"/>
          <w:rFonts w:asciiTheme="minorEastAsia" w:hAnsiTheme="minorEastAsia"/>
        </w:rPr>
        <w:t>四、物流产业体系逐步建立</w:t>
      </w:r>
      <w:r>
        <w:tab/>
      </w:r>
      <w:r>
        <w:fldChar w:fldCharType="begin"/>
      </w:r>
      <w:r>
        <w:instrText xml:space="preserve"> PAGEREF _Toc79497925 \h </w:instrText>
      </w:r>
      <w:r>
        <w:fldChar w:fldCharType="separate"/>
      </w:r>
      <w:r>
        <w:t>15</w:t>
      </w:r>
      <w:r>
        <w:fldChar w:fldCharType="end"/>
      </w:r>
      <w:r>
        <w:fldChar w:fldCharType="end"/>
      </w:r>
    </w:p>
    <w:p w14:paraId="5D9B9A59">
      <w:pPr>
        <w:pStyle w:val="28"/>
        <w:tabs>
          <w:tab w:val="right" w:leader="dot" w:pos="8296"/>
        </w:tabs>
      </w:pPr>
      <w:r>
        <w:fldChar w:fldCharType="begin"/>
      </w:r>
      <w:r>
        <w:instrText xml:space="preserve"> HYPERLINK \l "_Toc79497926" </w:instrText>
      </w:r>
      <w:r>
        <w:fldChar w:fldCharType="separate"/>
      </w:r>
      <w:r>
        <w:rPr>
          <w:rStyle w:val="47"/>
        </w:rPr>
        <w:t>第二节 主要问题</w:t>
      </w:r>
      <w:r>
        <w:tab/>
      </w:r>
      <w:r>
        <w:fldChar w:fldCharType="begin"/>
      </w:r>
      <w:r>
        <w:instrText xml:space="preserve"> PAGEREF _Toc79497926 \h </w:instrText>
      </w:r>
      <w:r>
        <w:fldChar w:fldCharType="separate"/>
      </w:r>
      <w:r>
        <w:t>17</w:t>
      </w:r>
      <w:r>
        <w:fldChar w:fldCharType="end"/>
      </w:r>
      <w:r>
        <w:fldChar w:fldCharType="end"/>
      </w:r>
    </w:p>
    <w:p w14:paraId="357D2791">
      <w:pPr>
        <w:pStyle w:val="15"/>
        <w:tabs>
          <w:tab w:val="right" w:leader="dot" w:pos="8296"/>
        </w:tabs>
      </w:pPr>
      <w:r>
        <w:fldChar w:fldCharType="begin"/>
      </w:r>
      <w:r>
        <w:instrText xml:space="preserve"> HYPERLINK \l "_Toc79497927" </w:instrText>
      </w:r>
      <w:r>
        <w:fldChar w:fldCharType="separate"/>
      </w:r>
      <w:r>
        <w:rPr>
          <w:rStyle w:val="47"/>
          <w:rFonts w:asciiTheme="minorEastAsia" w:hAnsiTheme="minorEastAsia"/>
        </w:rPr>
        <w:t>一、物流基础设施建设滞后</w:t>
      </w:r>
      <w:r>
        <w:tab/>
      </w:r>
      <w:r>
        <w:fldChar w:fldCharType="begin"/>
      </w:r>
      <w:r>
        <w:instrText xml:space="preserve"> PAGEREF _Toc79497927 \h </w:instrText>
      </w:r>
      <w:r>
        <w:fldChar w:fldCharType="separate"/>
      </w:r>
      <w:r>
        <w:t>17</w:t>
      </w:r>
      <w:r>
        <w:fldChar w:fldCharType="end"/>
      </w:r>
      <w:r>
        <w:fldChar w:fldCharType="end"/>
      </w:r>
    </w:p>
    <w:p w14:paraId="1D63BA59">
      <w:pPr>
        <w:pStyle w:val="15"/>
        <w:tabs>
          <w:tab w:val="right" w:leader="dot" w:pos="8296"/>
        </w:tabs>
      </w:pPr>
      <w:r>
        <w:fldChar w:fldCharType="begin"/>
      </w:r>
      <w:r>
        <w:instrText xml:space="preserve"> HYPERLINK \l "_Toc79497928" </w:instrText>
      </w:r>
      <w:r>
        <w:fldChar w:fldCharType="separate"/>
      </w:r>
      <w:r>
        <w:rPr>
          <w:rStyle w:val="47"/>
          <w:rFonts w:asciiTheme="minorEastAsia" w:hAnsiTheme="minorEastAsia"/>
        </w:rPr>
        <w:t>二、物流企业服务能力亟待提高</w:t>
      </w:r>
      <w:r>
        <w:tab/>
      </w:r>
      <w:r>
        <w:fldChar w:fldCharType="begin"/>
      </w:r>
      <w:r>
        <w:instrText xml:space="preserve"> PAGEREF _Toc79497928 \h </w:instrText>
      </w:r>
      <w:r>
        <w:fldChar w:fldCharType="separate"/>
      </w:r>
      <w:r>
        <w:t>17</w:t>
      </w:r>
      <w:r>
        <w:fldChar w:fldCharType="end"/>
      </w:r>
      <w:r>
        <w:fldChar w:fldCharType="end"/>
      </w:r>
    </w:p>
    <w:p w14:paraId="15F0A58D">
      <w:pPr>
        <w:pStyle w:val="15"/>
        <w:tabs>
          <w:tab w:val="right" w:leader="dot" w:pos="8296"/>
        </w:tabs>
      </w:pPr>
      <w:r>
        <w:fldChar w:fldCharType="begin"/>
      </w:r>
      <w:r>
        <w:instrText xml:space="preserve"> HYPERLINK \l "_Toc79497929" </w:instrText>
      </w:r>
      <w:r>
        <w:fldChar w:fldCharType="separate"/>
      </w:r>
      <w:r>
        <w:rPr>
          <w:rStyle w:val="47"/>
          <w:rFonts w:asciiTheme="minorEastAsia" w:hAnsiTheme="minorEastAsia"/>
        </w:rPr>
        <w:t>三、物流信息化建设亟待加强</w:t>
      </w:r>
      <w:r>
        <w:tab/>
      </w:r>
      <w:r>
        <w:fldChar w:fldCharType="begin"/>
      </w:r>
      <w:r>
        <w:instrText xml:space="preserve"> PAGEREF _Toc79497929 \h </w:instrText>
      </w:r>
      <w:r>
        <w:fldChar w:fldCharType="separate"/>
      </w:r>
      <w:r>
        <w:t>18</w:t>
      </w:r>
      <w:r>
        <w:fldChar w:fldCharType="end"/>
      </w:r>
      <w:r>
        <w:fldChar w:fldCharType="end"/>
      </w:r>
    </w:p>
    <w:p w14:paraId="4C0BD50F">
      <w:pPr>
        <w:pStyle w:val="15"/>
        <w:tabs>
          <w:tab w:val="right" w:leader="dot" w:pos="8296"/>
        </w:tabs>
      </w:pPr>
      <w:r>
        <w:fldChar w:fldCharType="begin"/>
      </w:r>
      <w:r>
        <w:instrText xml:space="preserve"> HYPERLINK \l "_Toc79497930" </w:instrText>
      </w:r>
      <w:r>
        <w:fldChar w:fldCharType="separate"/>
      </w:r>
      <w:r>
        <w:rPr>
          <w:rStyle w:val="47"/>
          <w:rFonts w:asciiTheme="minorEastAsia" w:hAnsiTheme="minorEastAsia"/>
        </w:rPr>
        <w:t>四、物流业税收流失现象突出</w:t>
      </w:r>
      <w:r>
        <w:tab/>
      </w:r>
      <w:r>
        <w:fldChar w:fldCharType="begin"/>
      </w:r>
      <w:r>
        <w:instrText xml:space="preserve"> PAGEREF _Toc79497930 \h </w:instrText>
      </w:r>
      <w:r>
        <w:fldChar w:fldCharType="separate"/>
      </w:r>
      <w:r>
        <w:t>18</w:t>
      </w:r>
      <w:r>
        <w:fldChar w:fldCharType="end"/>
      </w:r>
      <w:r>
        <w:fldChar w:fldCharType="end"/>
      </w:r>
    </w:p>
    <w:p w14:paraId="7CF97B2F">
      <w:pPr>
        <w:pStyle w:val="28"/>
        <w:tabs>
          <w:tab w:val="right" w:leader="dot" w:pos="8296"/>
        </w:tabs>
      </w:pPr>
      <w:r>
        <w:fldChar w:fldCharType="begin"/>
      </w:r>
      <w:r>
        <w:instrText xml:space="preserve"> HYPERLINK \l "_Toc79497931" </w:instrText>
      </w:r>
      <w:r>
        <w:fldChar w:fldCharType="separate"/>
      </w:r>
      <w:r>
        <w:rPr>
          <w:rStyle w:val="47"/>
        </w:rPr>
        <w:t>第三节 形势与机遇</w:t>
      </w:r>
      <w:r>
        <w:tab/>
      </w:r>
      <w:r>
        <w:fldChar w:fldCharType="begin"/>
      </w:r>
      <w:r>
        <w:instrText xml:space="preserve"> PAGEREF _Toc79497931 \h </w:instrText>
      </w:r>
      <w:r>
        <w:fldChar w:fldCharType="separate"/>
      </w:r>
      <w:r>
        <w:t>18</w:t>
      </w:r>
      <w:r>
        <w:fldChar w:fldCharType="end"/>
      </w:r>
      <w:r>
        <w:fldChar w:fldCharType="end"/>
      </w:r>
    </w:p>
    <w:p w14:paraId="09F7B902">
      <w:pPr>
        <w:pStyle w:val="15"/>
        <w:tabs>
          <w:tab w:val="right" w:leader="dot" w:pos="8296"/>
        </w:tabs>
      </w:pPr>
      <w:r>
        <w:fldChar w:fldCharType="begin"/>
      </w:r>
      <w:r>
        <w:instrText xml:space="preserve"> HYPERLINK \l "_Toc79497932" </w:instrText>
      </w:r>
      <w:r>
        <w:fldChar w:fldCharType="separate"/>
      </w:r>
      <w:r>
        <w:rPr>
          <w:rStyle w:val="47"/>
          <w:rFonts w:asciiTheme="minorEastAsia" w:hAnsiTheme="minorEastAsia"/>
        </w:rPr>
        <w:t>一、物流业政策环境持续向好</w:t>
      </w:r>
      <w:r>
        <w:tab/>
      </w:r>
      <w:r>
        <w:fldChar w:fldCharType="begin"/>
      </w:r>
      <w:r>
        <w:instrText xml:space="preserve"> PAGEREF _Toc79497932 \h </w:instrText>
      </w:r>
      <w:r>
        <w:fldChar w:fldCharType="separate"/>
      </w:r>
      <w:r>
        <w:t>18</w:t>
      </w:r>
      <w:r>
        <w:fldChar w:fldCharType="end"/>
      </w:r>
      <w:r>
        <w:fldChar w:fldCharType="end"/>
      </w:r>
    </w:p>
    <w:p w14:paraId="7F8129CF">
      <w:pPr>
        <w:pStyle w:val="15"/>
        <w:tabs>
          <w:tab w:val="right" w:leader="dot" w:pos="8296"/>
        </w:tabs>
      </w:pPr>
      <w:r>
        <w:fldChar w:fldCharType="begin"/>
      </w:r>
      <w:r>
        <w:instrText xml:space="preserve"> HYPERLINK \l "_Toc79497933" </w:instrText>
      </w:r>
      <w:r>
        <w:fldChar w:fldCharType="separate"/>
      </w:r>
      <w:r>
        <w:rPr>
          <w:rStyle w:val="47"/>
          <w:rFonts w:asciiTheme="minorEastAsia" w:hAnsiTheme="minorEastAsia"/>
        </w:rPr>
        <w:t>二、物流需求快速增长</w:t>
      </w:r>
      <w:r>
        <w:tab/>
      </w:r>
      <w:r>
        <w:fldChar w:fldCharType="begin"/>
      </w:r>
      <w:r>
        <w:instrText xml:space="preserve"> PAGEREF _Toc79497933 \h </w:instrText>
      </w:r>
      <w:r>
        <w:fldChar w:fldCharType="separate"/>
      </w:r>
      <w:r>
        <w:t>23</w:t>
      </w:r>
      <w:r>
        <w:fldChar w:fldCharType="end"/>
      </w:r>
      <w:r>
        <w:fldChar w:fldCharType="end"/>
      </w:r>
    </w:p>
    <w:p w14:paraId="192DF139">
      <w:pPr>
        <w:pStyle w:val="15"/>
        <w:tabs>
          <w:tab w:val="right" w:leader="dot" w:pos="8296"/>
        </w:tabs>
      </w:pPr>
      <w:r>
        <w:fldChar w:fldCharType="begin"/>
      </w:r>
      <w:r>
        <w:instrText xml:space="preserve"> HYPERLINK \l "_Toc79497934" </w:instrText>
      </w:r>
      <w:r>
        <w:fldChar w:fldCharType="separate"/>
      </w:r>
      <w:r>
        <w:rPr>
          <w:rStyle w:val="47"/>
          <w:rFonts w:asciiTheme="minorEastAsia" w:hAnsiTheme="minorEastAsia"/>
        </w:rPr>
        <w:t>三、国家及区域战略强势叠加</w:t>
      </w:r>
      <w:r>
        <w:tab/>
      </w:r>
      <w:r>
        <w:fldChar w:fldCharType="begin"/>
      </w:r>
      <w:r>
        <w:instrText xml:space="preserve"> PAGEREF _Toc79497934 \h </w:instrText>
      </w:r>
      <w:r>
        <w:fldChar w:fldCharType="separate"/>
      </w:r>
      <w:r>
        <w:t>23</w:t>
      </w:r>
      <w:r>
        <w:fldChar w:fldCharType="end"/>
      </w:r>
      <w:r>
        <w:fldChar w:fldCharType="end"/>
      </w:r>
    </w:p>
    <w:p w14:paraId="128BD779">
      <w:pPr>
        <w:pStyle w:val="28"/>
        <w:tabs>
          <w:tab w:val="right" w:leader="dot" w:pos="8296"/>
        </w:tabs>
      </w:pPr>
      <w:r>
        <w:fldChar w:fldCharType="begin"/>
      </w:r>
      <w:r>
        <w:instrText xml:space="preserve"> HYPERLINK \l "_Toc79497935" </w:instrText>
      </w:r>
      <w:r>
        <w:fldChar w:fldCharType="separate"/>
      </w:r>
      <w:r>
        <w:rPr>
          <w:rStyle w:val="47"/>
        </w:rPr>
        <w:t>第四节 面临的挑战</w:t>
      </w:r>
      <w:r>
        <w:tab/>
      </w:r>
      <w:r>
        <w:fldChar w:fldCharType="begin"/>
      </w:r>
      <w:r>
        <w:instrText xml:space="preserve"> PAGEREF _Toc79497935 \h </w:instrText>
      </w:r>
      <w:r>
        <w:fldChar w:fldCharType="separate"/>
      </w:r>
      <w:r>
        <w:t>24</w:t>
      </w:r>
      <w:r>
        <w:fldChar w:fldCharType="end"/>
      </w:r>
      <w:r>
        <w:fldChar w:fldCharType="end"/>
      </w:r>
    </w:p>
    <w:p w14:paraId="19D6068A">
      <w:pPr>
        <w:pStyle w:val="15"/>
        <w:tabs>
          <w:tab w:val="right" w:leader="dot" w:pos="8296"/>
        </w:tabs>
      </w:pPr>
      <w:r>
        <w:fldChar w:fldCharType="begin"/>
      </w:r>
      <w:r>
        <w:instrText xml:space="preserve"> HYPERLINK \l "_Toc79497936" </w:instrText>
      </w:r>
      <w:r>
        <w:fldChar w:fldCharType="separate"/>
      </w:r>
      <w:r>
        <w:rPr>
          <w:rStyle w:val="47"/>
          <w:rFonts w:asciiTheme="minorEastAsia" w:hAnsiTheme="minorEastAsia"/>
        </w:rPr>
        <w:t>一、物流业高质量发展带来的挑战</w:t>
      </w:r>
      <w:r>
        <w:tab/>
      </w:r>
      <w:r>
        <w:fldChar w:fldCharType="begin"/>
      </w:r>
      <w:r>
        <w:instrText xml:space="preserve"> PAGEREF _Toc79497936 \h </w:instrText>
      </w:r>
      <w:r>
        <w:fldChar w:fldCharType="separate"/>
      </w:r>
      <w:r>
        <w:t>24</w:t>
      </w:r>
      <w:r>
        <w:fldChar w:fldCharType="end"/>
      </w:r>
      <w:r>
        <w:fldChar w:fldCharType="end"/>
      </w:r>
    </w:p>
    <w:p w14:paraId="42C59DD8">
      <w:pPr>
        <w:pStyle w:val="15"/>
        <w:tabs>
          <w:tab w:val="right" w:leader="dot" w:pos="8296"/>
        </w:tabs>
      </w:pPr>
      <w:r>
        <w:fldChar w:fldCharType="begin"/>
      </w:r>
      <w:r>
        <w:instrText xml:space="preserve"> HYPERLINK \l "_Toc79497937" </w:instrText>
      </w:r>
      <w:r>
        <w:fldChar w:fldCharType="separate"/>
      </w:r>
      <w:r>
        <w:rPr>
          <w:rStyle w:val="47"/>
          <w:rFonts w:asciiTheme="minorEastAsia" w:hAnsiTheme="minorEastAsia"/>
        </w:rPr>
        <w:t>二、周边城市物流业发展“虹吸效应”带来的挑战</w:t>
      </w:r>
      <w:r>
        <w:tab/>
      </w:r>
      <w:r>
        <w:fldChar w:fldCharType="begin"/>
      </w:r>
      <w:r>
        <w:instrText xml:space="preserve"> PAGEREF _Toc79497937 \h </w:instrText>
      </w:r>
      <w:r>
        <w:fldChar w:fldCharType="separate"/>
      </w:r>
      <w:r>
        <w:t>25</w:t>
      </w:r>
      <w:r>
        <w:fldChar w:fldCharType="end"/>
      </w:r>
      <w:r>
        <w:fldChar w:fldCharType="end"/>
      </w:r>
    </w:p>
    <w:p w14:paraId="32454CC6">
      <w:pPr>
        <w:pStyle w:val="15"/>
        <w:tabs>
          <w:tab w:val="right" w:leader="dot" w:pos="8296"/>
        </w:tabs>
      </w:pPr>
      <w:r>
        <w:fldChar w:fldCharType="begin"/>
      </w:r>
      <w:r>
        <w:instrText xml:space="preserve"> HYPERLINK \l "_Toc79497938" </w:instrText>
      </w:r>
      <w:r>
        <w:fldChar w:fldCharType="separate"/>
      </w:r>
      <w:r>
        <w:rPr>
          <w:rStyle w:val="47"/>
          <w:rFonts w:asciiTheme="minorEastAsia" w:hAnsiTheme="minorEastAsia"/>
        </w:rPr>
        <w:t>三、</w:t>
      </w:r>
      <w:r>
        <w:rPr>
          <w:rStyle w:val="47"/>
          <w:rFonts w:ascii="宋体" w:hAnsi="宋体"/>
        </w:rPr>
        <w:t>资源环境约束日益加强带</w:t>
      </w:r>
      <w:r>
        <w:rPr>
          <w:rStyle w:val="47"/>
          <w:rFonts w:asciiTheme="minorEastAsia" w:hAnsiTheme="minorEastAsia"/>
        </w:rPr>
        <w:t>来的挑战</w:t>
      </w:r>
      <w:r>
        <w:tab/>
      </w:r>
      <w:r>
        <w:fldChar w:fldCharType="begin"/>
      </w:r>
      <w:r>
        <w:instrText xml:space="preserve"> PAGEREF _Toc79497938 \h </w:instrText>
      </w:r>
      <w:r>
        <w:fldChar w:fldCharType="separate"/>
      </w:r>
      <w:r>
        <w:t>25</w:t>
      </w:r>
      <w:r>
        <w:fldChar w:fldCharType="end"/>
      </w:r>
      <w:r>
        <w:fldChar w:fldCharType="end"/>
      </w:r>
    </w:p>
    <w:p w14:paraId="279F1196">
      <w:pPr>
        <w:pStyle w:val="21"/>
        <w:tabs>
          <w:tab w:val="left" w:pos="1260"/>
          <w:tab w:val="right" w:leader="dot" w:pos="8296"/>
        </w:tabs>
      </w:pPr>
      <w:r>
        <w:fldChar w:fldCharType="begin"/>
      </w:r>
      <w:r>
        <w:instrText xml:space="preserve"> HYPERLINK \l "_Toc79497939" </w:instrText>
      </w:r>
      <w:r>
        <w:fldChar w:fldCharType="separate"/>
      </w:r>
      <w:r>
        <w:rPr>
          <w:rStyle w:val="47"/>
          <w:rFonts w:ascii="黑体" w:hAnsi="黑体" w:eastAsia="黑体"/>
        </w:rPr>
        <w:t>第二章</w:t>
      </w:r>
      <w:r>
        <w:tab/>
      </w:r>
      <w:r>
        <w:rPr>
          <w:rStyle w:val="47"/>
          <w:rFonts w:ascii="黑体" w:hAnsi="黑体" w:eastAsia="黑体"/>
        </w:rPr>
        <w:t>总体需求分析与预测</w:t>
      </w:r>
      <w:r>
        <w:tab/>
      </w:r>
      <w:r>
        <w:fldChar w:fldCharType="begin"/>
      </w:r>
      <w:r>
        <w:instrText xml:space="preserve"> PAGEREF _Toc79497939 \h </w:instrText>
      </w:r>
      <w:r>
        <w:fldChar w:fldCharType="separate"/>
      </w:r>
      <w:r>
        <w:t>27</w:t>
      </w:r>
      <w:r>
        <w:fldChar w:fldCharType="end"/>
      </w:r>
      <w:r>
        <w:fldChar w:fldCharType="end"/>
      </w:r>
    </w:p>
    <w:p w14:paraId="1C72702D">
      <w:pPr>
        <w:pStyle w:val="28"/>
        <w:tabs>
          <w:tab w:val="right" w:leader="dot" w:pos="8296"/>
        </w:tabs>
      </w:pPr>
      <w:r>
        <w:fldChar w:fldCharType="begin"/>
      </w:r>
      <w:r>
        <w:instrText xml:space="preserve"> HYPERLINK \l "_Toc79497940" </w:instrText>
      </w:r>
      <w:r>
        <w:fldChar w:fldCharType="separate"/>
      </w:r>
      <w:r>
        <w:rPr>
          <w:rStyle w:val="47"/>
        </w:rPr>
        <w:t>第一节 总体需求分析</w:t>
      </w:r>
      <w:r>
        <w:tab/>
      </w:r>
      <w:r>
        <w:fldChar w:fldCharType="begin"/>
      </w:r>
      <w:r>
        <w:instrText xml:space="preserve"> PAGEREF _Toc79497940 \h </w:instrText>
      </w:r>
      <w:r>
        <w:fldChar w:fldCharType="separate"/>
      </w:r>
      <w:r>
        <w:t>27</w:t>
      </w:r>
      <w:r>
        <w:fldChar w:fldCharType="end"/>
      </w:r>
      <w:r>
        <w:fldChar w:fldCharType="end"/>
      </w:r>
    </w:p>
    <w:p w14:paraId="6D46292A">
      <w:pPr>
        <w:pStyle w:val="28"/>
        <w:tabs>
          <w:tab w:val="right" w:leader="dot" w:pos="8296"/>
        </w:tabs>
      </w:pPr>
      <w:r>
        <w:fldChar w:fldCharType="begin"/>
      </w:r>
      <w:r>
        <w:instrText xml:space="preserve"> HYPERLINK \l "_Toc79497941" </w:instrText>
      </w:r>
      <w:r>
        <w:fldChar w:fldCharType="separate"/>
      </w:r>
      <w:r>
        <w:rPr>
          <w:rStyle w:val="47"/>
        </w:rPr>
        <w:t>第二节 区域货运总量预测</w:t>
      </w:r>
      <w:r>
        <w:tab/>
      </w:r>
      <w:r>
        <w:fldChar w:fldCharType="begin"/>
      </w:r>
      <w:r>
        <w:instrText xml:space="preserve"> PAGEREF _Toc79497941 \h </w:instrText>
      </w:r>
      <w:r>
        <w:fldChar w:fldCharType="separate"/>
      </w:r>
      <w:r>
        <w:t>27</w:t>
      </w:r>
      <w:r>
        <w:fldChar w:fldCharType="end"/>
      </w:r>
      <w:r>
        <w:fldChar w:fldCharType="end"/>
      </w:r>
    </w:p>
    <w:p w14:paraId="37A620A7">
      <w:pPr>
        <w:pStyle w:val="15"/>
        <w:tabs>
          <w:tab w:val="right" w:leader="dot" w:pos="8296"/>
        </w:tabs>
      </w:pPr>
      <w:r>
        <w:fldChar w:fldCharType="begin"/>
      </w:r>
      <w:r>
        <w:instrText xml:space="preserve"> HYPERLINK \l "_Toc79497942" </w:instrText>
      </w:r>
      <w:r>
        <w:fldChar w:fldCharType="separate"/>
      </w:r>
      <w:r>
        <w:rPr>
          <w:rStyle w:val="47"/>
          <w:rFonts w:asciiTheme="minorEastAsia" w:hAnsiTheme="minorEastAsia"/>
        </w:rPr>
        <w:t>一、货运总量预测说明</w:t>
      </w:r>
      <w:r>
        <w:tab/>
      </w:r>
      <w:r>
        <w:fldChar w:fldCharType="begin"/>
      </w:r>
      <w:r>
        <w:instrText xml:space="preserve"> PAGEREF _Toc79497942 \h </w:instrText>
      </w:r>
      <w:r>
        <w:fldChar w:fldCharType="separate"/>
      </w:r>
      <w:r>
        <w:t>27</w:t>
      </w:r>
      <w:r>
        <w:fldChar w:fldCharType="end"/>
      </w:r>
      <w:r>
        <w:fldChar w:fldCharType="end"/>
      </w:r>
    </w:p>
    <w:p w14:paraId="7B3F6BD3">
      <w:pPr>
        <w:pStyle w:val="15"/>
        <w:tabs>
          <w:tab w:val="right" w:leader="dot" w:pos="8296"/>
        </w:tabs>
      </w:pPr>
      <w:r>
        <w:fldChar w:fldCharType="begin"/>
      </w:r>
      <w:r>
        <w:instrText xml:space="preserve"> HYPERLINK \l "_Toc79497943" </w:instrText>
      </w:r>
      <w:r>
        <w:fldChar w:fldCharType="separate"/>
      </w:r>
      <w:r>
        <w:rPr>
          <w:rStyle w:val="47"/>
          <w:rFonts w:asciiTheme="minorEastAsia" w:hAnsiTheme="minorEastAsia"/>
        </w:rPr>
        <w:t>二、货运总量预测</w:t>
      </w:r>
      <w:r>
        <w:tab/>
      </w:r>
      <w:r>
        <w:fldChar w:fldCharType="begin"/>
      </w:r>
      <w:r>
        <w:instrText xml:space="preserve"> PAGEREF _Toc79497943 \h </w:instrText>
      </w:r>
      <w:r>
        <w:fldChar w:fldCharType="separate"/>
      </w:r>
      <w:r>
        <w:t>28</w:t>
      </w:r>
      <w:r>
        <w:fldChar w:fldCharType="end"/>
      </w:r>
      <w:r>
        <w:fldChar w:fldCharType="end"/>
      </w:r>
    </w:p>
    <w:p w14:paraId="4B187098">
      <w:pPr>
        <w:pStyle w:val="28"/>
        <w:tabs>
          <w:tab w:val="right" w:leader="dot" w:pos="8296"/>
        </w:tabs>
      </w:pPr>
      <w:r>
        <w:fldChar w:fldCharType="begin"/>
      </w:r>
      <w:r>
        <w:instrText xml:space="preserve"> HYPERLINK \l "_Toc79497944" </w:instrText>
      </w:r>
      <w:r>
        <w:fldChar w:fldCharType="separate"/>
      </w:r>
      <w:r>
        <w:rPr>
          <w:rStyle w:val="47"/>
        </w:rPr>
        <w:t>第三节 物流用地规模预测</w:t>
      </w:r>
      <w:r>
        <w:tab/>
      </w:r>
      <w:r>
        <w:fldChar w:fldCharType="begin"/>
      </w:r>
      <w:r>
        <w:instrText xml:space="preserve"> PAGEREF _Toc79497944 \h </w:instrText>
      </w:r>
      <w:r>
        <w:fldChar w:fldCharType="separate"/>
      </w:r>
      <w:r>
        <w:t>34</w:t>
      </w:r>
      <w:r>
        <w:fldChar w:fldCharType="end"/>
      </w:r>
      <w:r>
        <w:fldChar w:fldCharType="end"/>
      </w:r>
    </w:p>
    <w:p w14:paraId="03A44346">
      <w:pPr>
        <w:pStyle w:val="21"/>
        <w:tabs>
          <w:tab w:val="left" w:pos="1260"/>
          <w:tab w:val="right" w:leader="dot" w:pos="8296"/>
        </w:tabs>
      </w:pPr>
      <w:r>
        <w:fldChar w:fldCharType="begin"/>
      </w:r>
      <w:r>
        <w:instrText xml:space="preserve"> HYPERLINK \l "_Toc79497945" </w:instrText>
      </w:r>
      <w:r>
        <w:fldChar w:fldCharType="separate"/>
      </w:r>
      <w:r>
        <w:rPr>
          <w:rStyle w:val="47"/>
          <w:rFonts w:ascii="黑体" w:hAnsi="黑体" w:eastAsia="黑体"/>
        </w:rPr>
        <w:t>第三章</w:t>
      </w:r>
      <w:r>
        <w:tab/>
      </w:r>
      <w:r>
        <w:rPr>
          <w:rStyle w:val="47"/>
          <w:rFonts w:ascii="黑体" w:hAnsi="黑体" w:eastAsia="黑体"/>
        </w:rPr>
        <w:t>总体要求</w:t>
      </w:r>
      <w:r>
        <w:tab/>
      </w:r>
      <w:r>
        <w:fldChar w:fldCharType="begin"/>
      </w:r>
      <w:r>
        <w:instrText xml:space="preserve"> PAGEREF _Toc79497945 \h </w:instrText>
      </w:r>
      <w:r>
        <w:fldChar w:fldCharType="separate"/>
      </w:r>
      <w:r>
        <w:t>35</w:t>
      </w:r>
      <w:r>
        <w:fldChar w:fldCharType="end"/>
      </w:r>
      <w:r>
        <w:fldChar w:fldCharType="end"/>
      </w:r>
    </w:p>
    <w:p w14:paraId="4FB595EB">
      <w:pPr>
        <w:pStyle w:val="28"/>
        <w:tabs>
          <w:tab w:val="right" w:leader="dot" w:pos="8296"/>
        </w:tabs>
      </w:pPr>
      <w:r>
        <w:fldChar w:fldCharType="begin"/>
      </w:r>
      <w:r>
        <w:instrText xml:space="preserve"> HYPERLINK \l "_Toc79497946" </w:instrText>
      </w:r>
      <w:r>
        <w:fldChar w:fldCharType="separate"/>
      </w:r>
      <w:r>
        <w:rPr>
          <w:rStyle w:val="47"/>
        </w:rPr>
        <w:t>第一节 指导思想及发展原则</w:t>
      </w:r>
      <w:r>
        <w:tab/>
      </w:r>
      <w:r>
        <w:fldChar w:fldCharType="begin"/>
      </w:r>
      <w:r>
        <w:instrText xml:space="preserve"> PAGEREF _Toc79497946 \h </w:instrText>
      </w:r>
      <w:r>
        <w:fldChar w:fldCharType="separate"/>
      </w:r>
      <w:r>
        <w:t>35</w:t>
      </w:r>
      <w:r>
        <w:fldChar w:fldCharType="end"/>
      </w:r>
      <w:r>
        <w:fldChar w:fldCharType="end"/>
      </w:r>
    </w:p>
    <w:p w14:paraId="044528C6">
      <w:pPr>
        <w:pStyle w:val="15"/>
        <w:tabs>
          <w:tab w:val="right" w:leader="dot" w:pos="8296"/>
        </w:tabs>
      </w:pPr>
      <w:r>
        <w:fldChar w:fldCharType="begin"/>
      </w:r>
      <w:r>
        <w:instrText xml:space="preserve"> HYPERLINK \l "_Toc79497947" </w:instrText>
      </w:r>
      <w:r>
        <w:fldChar w:fldCharType="separate"/>
      </w:r>
      <w:r>
        <w:rPr>
          <w:rStyle w:val="47"/>
          <w:rFonts w:asciiTheme="minorEastAsia" w:hAnsiTheme="minorEastAsia"/>
        </w:rPr>
        <w:t>一、指导思想</w:t>
      </w:r>
      <w:r>
        <w:tab/>
      </w:r>
      <w:r>
        <w:fldChar w:fldCharType="begin"/>
      </w:r>
      <w:r>
        <w:instrText xml:space="preserve"> PAGEREF _Toc79497947 \h </w:instrText>
      </w:r>
      <w:r>
        <w:fldChar w:fldCharType="separate"/>
      </w:r>
      <w:r>
        <w:t>35</w:t>
      </w:r>
      <w:r>
        <w:fldChar w:fldCharType="end"/>
      </w:r>
      <w:r>
        <w:fldChar w:fldCharType="end"/>
      </w:r>
    </w:p>
    <w:p w14:paraId="6C39E395">
      <w:pPr>
        <w:pStyle w:val="15"/>
        <w:tabs>
          <w:tab w:val="right" w:leader="dot" w:pos="8296"/>
        </w:tabs>
      </w:pPr>
      <w:r>
        <w:fldChar w:fldCharType="begin"/>
      </w:r>
      <w:r>
        <w:instrText xml:space="preserve"> HYPERLINK \l "_Toc79497948" </w:instrText>
      </w:r>
      <w:r>
        <w:fldChar w:fldCharType="separate"/>
      </w:r>
      <w:r>
        <w:rPr>
          <w:rStyle w:val="47"/>
          <w:rFonts w:asciiTheme="minorEastAsia" w:hAnsiTheme="minorEastAsia"/>
        </w:rPr>
        <w:t>二、发展原则</w:t>
      </w:r>
      <w:r>
        <w:tab/>
      </w:r>
      <w:r>
        <w:fldChar w:fldCharType="begin"/>
      </w:r>
      <w:r>
        <w:instrText xml:space="preserve"> PAGEREF _Toc79497948 \h </w:instrText>
      </w:r>
      <w:r>
        <w:fldChar w:fldCharType="separate"/>
      </w:r>
      <w:r>
        <w:t>35</w:t>
      </w:r>
      <w:r>
        <w:fldChar w:fldCharType="end"/>
      </w:r>
      <w:r>
        <w:fldChar w:fldCharType="end"/>
      </w:r>
    </w:p>
    <w:p w14:paraId="03DCB90D">
      <w:pPr>
        <w:pStyle w:val="28"/>
        <w:tabs>
          <w:tab w:val="right" w:leader="dot" w:pos="8296"/>
        </w:tabs>
      </w:pPr>
      <w:r>
        <w:fldChar w:fldCharType="begin"/>
      </w:r>
      <w:r>
        <w:instrText xml:space="preserve"> HYPERLINK \l "_Toc79497949" </w:instrText>
      </w:r>
      <w:r>
        <w:fldChar w:fldCharType="separate"/>
      </w:r>
      <w:r>
        <w:rPr>
          <w:rStyle w:val="47"/>
        </w:rPr>
        <w:t>第二节 战略定位</w:t>
      </w:r>
      <w:r>
        <w:tab/>
      </w:r>
      <w:r>
        <w:fldChar w:fldCharType="begin"/>
      </w:r>
      <w:r>
        <w:instrText xml:space="preserve"> PAGEREF _Toc79497949 \h </w:instrText>
      </w:r>
      <w:r>
        <w:fldChar w:fldCharType="separate"/>
      </w:r>
      <w:r>
        <w:t>37</w:t>
      </w:r>
      <w:r>
        <w:fldChar w:fldCharType="end"/>
      </w:r>
      <w:r>
        <w:fldChar w:fldCharType="end"/>
      </w:r>
    </w:p>
    <w:p w14:paraId="45B3ED2E">
      <w:pPr>
        <w:pStyle w:val="28"/>
        <w:tabs>
          <w:tab w:val="right" w:leader="dot" w:pos="8296"/>
        </w:tabs>
      </w:pPr>
      <w:r>
        <w:fldChar w:fldCharType="begin"/>
      </w:r>
      <w:r>
        <w:instrText xml:space="preserve"> HYPERLINK \l "_Toc79497950" </w:instrText>
      </w:r>
      <w:r>
        <w:fldChar w:fldCharType="separate"/>
      </w:r>
      <w:r>
        <w:rPr>
          <w:rStyle w:val="47"/>
        </w:rPr>
        <w:t>第三节 发展目标</w:t>
      </w:r>
      <w:r>
        <w:tab/>
      </w:r>
      <w:r>
        <w:fldChar w:fldCharType="begin"/>
      </w:r>
      <w:r>
        <w:instrText xml:space="preserve"> PAGEREF _Toc79497950 \h </w:instrText>
      </w:r>
      <w:r>
        <w:fldChar w:fldCharType="separate"/>
      </w:r>
      <w:r>
        <w:t>38</w:t>
      </w:r>
      <w:r>
        <w:fldChar w:fldCharType="end"/>
      </w:r>
      <w:r>
        <w:fldChar w:fldCharType="end"/>
      </w:r>
    </w:p>
    <w:p w14:paraId="229EE62A">
      <w:pPr>
        <w:pStyle w:val="15"/>
        <w:tabs>
          <w:tab w:val="right" w:leader="dot" w:pos="8296"/>
        </w:tabs>
      </w:pPr>
      <w:r>
        <w:fldChar w:fldCharType="begin"/>
      </w:r>
      <w:r>
        <w:instrText xml:space="preserve"> HYPERLINK \l "_Toc79497951" </w:instrText>
      </w:r>
      <w:r>
        <w:fldChar w:fldCharType="separate"/>
      </w:r>
      <w:r>
        <w:rPr>
          <w:rStyle w:val="47"/>
          <w:rFonts w:asciiTheme="minorEastAsia" w:hAnsiTheme="minorEastAsia"/>
        </w:rPr>
        <w:t>一、总体目标</w:t>
      </w:r>
      <w:r>
        <w:tab/>
      </w:r>
      <w:r>
        <w:fldChar w:fldCharType="begin"/>
      </w:r>
      <w:r>
        <w:instrText xml:space="preserve"> PAGEREF _Toc79497951 \h </w:instrText>
      </w:r>
      <w:r>
        <w:fldChar w:fldCharType="separate"/>
      </w:r>
      <w:r>
        <w:t>38</w:t>
      </w:r>
      <w:r>
        <w:fldChar w:fldCharType="end"/>
      </w:r>
      <w:r>
        <w:fldChar w:fldCharType="end"/>
      </w:r>
    </w:p>
    <w:p w14:paraId="44F094AD">
      <w:pPr>
        <w:pStyle w:val="15"/>
        <w:tabs>
          <w:tab w:val="right" w:leader="dot" w:pos="8296"/>
        </w:tabs>
      </w:pPr>
      <w:r>
        <w:fldChar w:fldCharType="begin"/>
      </w:r>
      <w:r>
        <w:instrText xml:space="preserve"> HYPERLINK \l "_Toc79497952" </w:instrText>
      </w:r>
      <w:r>
        <w:fldChar w:fldCharType="separate"/>
      </w:r>
      <w:r>
        <w:rPr>
          <w:rStyle w:val="47"/>
          <w:rFonts w:asciiTheme="minorEastAsia" w:hAnsiTheme="minorEastAsia"/>
        </w:rPr>
        <w:t>二、阶段目标</w:t>
      </w:r>
      <w:r>
        <w:tab/>
      </w:r>
      <w:r>
        <w:fldChar w:fldCharType="begin"/>
      </w:r>
      <w:r>
        <w:instrText xml:space="preserve"> PAGEREF _Toc79497952 \h </w:instrText>
      </w:r>
      <w:r>
        <w:fldChar w:fldCharType="separate"/>
      </w:r>
      <w:r>
        <w:t>38</w:t>
      </w:r>
      <w:r>
        <w:fldChar w:fldCharType="end"/>
      </w:r>
      <w:r>
        <w:fldChar w:fldCharType="end"/>
      </w:r>
    </w:p>
    <w:p w14:paraId="5C848C42">
      <w:pPr>
        <w:pStyle w:val="21"/>
        <w:tabs>
          <w:tab w:val="left" w:pos="1260"/>
          <w:tab w:val="right" w:leader="dot" w:pos="8296"/>
        </w:tabs>
      </w:pPr>
      <w:r>
        <w:fldChar w:fldCharType="begin"/>
      </w:r>
      <w:r>
        <w:instrText xml:space="preserve"> HYPERLINK \l "_Toc79497953" </w:instrText>
      </w:r>
      <w:r>
        <w:fldChar w:fldCharType="separate"/>
      </w:r>
      <w:r>
        <w:rPr>
          <w:rStyle w:val="47"/>
          <w:rFonts w:ascii="黑体" w:hAnsi="黑体" w:eastAsia="黑体"/>
        </w:rPr>
        <w:t>第四章</w:t>
      </w:r>
      <w:r>
        <w:tab/>
      </w:r>
      <w:r>
        <w:rPr>
          <w:rStyle w:val="47"/>
          <w:rFonts w:ascii="黑体" w:hAnsi="黑体" w:eastAsia="黑体"/>
        </w:rPr>
        <w:t>现代物流产业体系建设</w:t>
      </w:r>
      <w:r>
        <w:tab/>
      </w:r>
      <w:r>
        <w:fldChar w:fldCharType="begin"/>
      </w:r>
      <w:r>
        <w:instrText xml:space="preserve"> PAGEREF _Toc79497953 \h </w:instrText>
      </w:r>
      <w:r>
        <w:fldChar w:fldCharType="separate"/>
      </w:r>
      <w:r>
        <w:t>40</w:t>
      </w:r>
      <w:r>
        <w:fldChar w:fldCharType="end"/>
      </w:r>
      <w:r>
        <w:fldChar w:fldCharType="end"/>
      </w:r>
    </w:p>
    <w:p w14:paraId="6405B0E4">
      <w:pPr>
        <w:pStyle w:val="28"/>
        <w:tabs>
          <w:tab w:val="right" w:leader="dot" w:pos="8296"/>
        </w:tabs>
      </w:pPr>
      <w:r>
        <w:fldChar w:fldCharType="begin"/>
      </w:r>
      <w:r>
        <w:instrText xml:space="preserve"> HYPERLINK \l "_Toc79497954" </w:instrText>
      </w:r>
      <w:r>
        <w:fldChar w:fldCharType="separate"/>
      </w:r>
      <w:r>
        <w:rPr>
          <w:rStyle w:val="47"/>
        </w:rPr>
        <w:t>第一节 现代物流产业体系概述</w:t>
      </w:r>
      <w:r>
        <w:tab/>
      </w:r>
      <w:r>
        <w:fldChar w:fldCharType="begin"/>
      </w:r>
      <w:r>
        <w:instrText xml:space="preserve"> PAGEREF _Toc79497954 \h </w:instrText>
      </w:r>
      <w:r>
        <w:fldChar w:fldCharType="separate"/>
      </w:r>
      <w:r>
        <w:t>40</w:t>
      </w:r>
      <w:r>
        <w:fldChar w:fldCharType="end"/>
      </w:r>
      <w:r>
        <w:fldChar w:fldCharType="end"/>
      </w:r>
    </w:p>
    <w:p w14:paraId="496010C4">
      <w:pPr>
        <w:pStyle w:val="28"/>
        <w:tabs>
          <w:tab w:val="right" w:leader="dot" w:pos="8296"/>
        </w:tabs>
      </w:pPr>
      <w:r>
        <w:fldChar w:fldCharType="begin"/>
      </w:r>
      <w:r>
        <w:instrText xml:space="preserve"> HYPERLINK \l "_Toc79497955" </w:instrText>
      </w:r>
      <w:r>
        <w:fldChar w:fldCharType="separate"/>
      </w:r>
      <w:r>
        <w:rPr>
          <w:rStyle w:val="47"/>
        </w:rPr>
        <w:t>第二节 数字化物流信息平台</w:t>
      </w:r>
      <w:r>
        <w:tab/>
      </w:r>
      <w:r>
        <w:fldChar w:fldCharType="begin"/>
      </w:r>
      <w:r>
        <w:instrText xml:space="preserve"> PAGEREF _Toc79497955 \h </w:instrText>
      </w:r>
      <w:r>
        <w:fldChar w:fldCharType="separate"/>
      </w:r>
      <w:r>
        <w:t>40</w:t>
      </w:r>
      <w:r>
        <w:fldChar w:fldCharType="end"/>
      </w:r>
      <w:r>
        <w:fldChar w:fldCharType="end"/>
      </w:r>
    </w:p>
    <w:p w14:paraId="0570054D">
      <w:pPr>
        <w:pStyle w:val="15"/>
        <w:tabs>
          <w:tab w:val="right" w:leader="dot" w:pos="8296"/>
        </w:tabs>
      </w:pPr>
      <w:r>
        <w:fldChar w:fldCharType="begin"/>
      </w:r>
      <w:r>
        <w:instrText xml:space="preserve"> HYPERLINK \l "_Toc79497956" </w:instrText>
      </w:r>
      <w:r>
        <w:fldChar w:fldCharType="separate"/>
      </w:r>
      <w:r>
        <w:rPr>
          <w:rStyle w:val="47"/>
          <w:rFonts w:asciiTheme="minorEastAsia" w:hAnsiTheme="minorEastAsia"/>
        </w:rPr>
        <w:t>一、平台概述</w:t>
      </w:r>
      <w:r>
        <w:tab/>
      </w:r>
      <w:r>
        <w:fldChar w:fldCharType="begin"/>
      </w:r>
      <w:r>
        <w:instrText xml:space="preserve"> PAGEREF _Toc79497956 \h </w:instrText>
      </w:r>
      <w:r>
        <w:fldChar w:fldCharType="separate"/>
      </w:r>
      <w:r>
        <w:t>40</w:t>
      </w:r>
      <w:r>
        <w:fldChar w:fldCharType="end"/>
      </w:r>
      <w:r>
        <w:fldChar w:fldCharType="end"/>
      </w:r>
    </w:p>
    <w:p w14:paraId="35880323">
      <w:pPr>
        <w:pStyle w:val="15"/>
        <w:tabs>
          <w:tab w:val="right" w:leader="dot" w:pos="8296"/>
        </w:tabs>
      </w:pPr>
      <w:r>
        <w:fldChar w:fldCharType="begin"/>
      </w:r>
      <w:r>
        <w:instrText xml:space="preserve"> HYPERLINK \l "_Toc79497957" </w:instrText>
      </w:r>
      <w:r>
        <w:fldChar w:fldCharType="separate"/>
      </w:r>
      <w:r>
        <w:rPr>
          <w:rStyle w:val="47"/>
          <w:rFonts w:asciiTheme="minorEastAsia" w:hAnsiTheme="minorEastAsia"/>
        </w:rPr>
        <w:t>二、建设方案</w:t>
      </w:r>
      <w:r>
        <w:tab/>
      </w:r>
      <w:r>
        <w:fldChar w:fldCharType="begin"/>
      </w:r>
      <w:r>
        <w:instrText xml:space="preserve"> PAGEREF _Toc79497957 \h </w:instrText>
      </w:r>
      <w:r>
        <w:fldChar w:fldCharType="separate"/>
      </w:r>
      <w:r>
        <w:t>41</w:t>
      </w:r>
      <w:r>
        <w:fldChar w:fldCharType="end"/>
      </w:r>
      <w:r>
        <w:fldChar w:fldCharType="end"/>
      </w:r>
    </w:p>
    <w:p w14:paraId="3DED16FA">
      <w:pPr>
        <w:pStyle w:val="15"/>
        <w:tabs>
          <w:tab w:val="right" w:leader="dot" w:pos="8296"/>
        </w:tabs>
      </w:pPr>
      <w:r>
        <w:fldChar w:fldCharType="begin"/>
      </w:r>
      <w:r>
        <w:instrText xml:space="preserve"> HYPERLINK \l "_Toc79497958" </w:instrText>
      </w:r>
      <w:r>
        <w:fldChar w:fldCharType="separate"/>
      </w:r>
      <w:r>
        <w:rPr>
          <w:rStyle w:val="47"/>
          <w:rFonts w:asciiTheme="minorEastAsia" w:hAnsiTheme="minorEastAsia"/>
        </w:rPr>
        <w:t>三、发展目标</w:t>
      </w:r>
      <w:r>
        <w:tab/>
      </w:r>
      <w:r>
        <w:fldChar w:fldCharType="begin"/>
      </w:r>
      <w:r>
        <w:instrText xml:space="preserve"> PAGEREF _Toc79497958 \h </w:instrText>
      </w:r>
      <w:r>
        <w:fldChar w:fldCharType="separate"/>
      </w:r>
      <w:r>
        <w:t>43</w:t>
      </w:r>
      <w:r>
        <w:fldChar w:fldCharType="end"/>
      </w:r>
      <w:r>
        <w:fldChar w:fldCharType="end"/>
      </w:r>
    </w:p>
    <w:p w14:paraId="4B9756AD">
      <w:pPr>
        <w:pStyle w:val="28"/>
        <w:tabs>
          <w:tab w:val="right" w:leader="dot" w:pos="8296"/>
        </w:tabs>
      </w:pPr>
      <w:r>
        <w:fldChar w:fldCharType="begin"/>
      </w:r>
      <w:r>
        <w:instrText xml:space="preserve"> HYPERLINK \l "_Toc79497959" </w:instrText>
      </w:r>
      <w:r>
        <w:fldChar w:fldCharType="separate"/>
      </w:r>
      <w:r>
        <w:rPr>
          <w:rStyle w:val="47"/>
        </w:rPr>
        <w:t>第三节 制造业物流板块</w:t>
      </w:r>
      <w:r>
        <w:tab/>
      </w:r>
      <w:r>
        <w:fldChar w:fldCharType="begin"/>
      </w:r>
      <w:r>
        <w:instrText xml:space="preserve"> PAGEREF _Toc79497959 \h </w:instrText>
      </w:r>
      <w:r>
        <w:fldChar w:fldCharType="separate"/>
      </w:r>
      <w:r>
        <w:t>44</w:t>
      </w:r>
      <w:r>
        <w:fldChar w:fldCharType="end"/>
      </w:r>
      <w:r>
        <w:fldChar w:fldCharType="end"/>
      </w:r>
    </w:p>
    <w:p w14:paraId="07E50D3B">
      <w:pPr>
        <w:pStyle w:val="15"/>
        <w:tabs>
          <w:tab w:val="right" w:leader="dot" w:pos="8296"/>
        </w:tabs>
      </w:pPr>
      <w:r>
        <w:fldChar w:fldCharType="begin"/>
      </w:r>
      <w:r>
        <w:instrText xml:space="preserve"> HYPERLINK \l "_Toc79497960" </w:instrText>
      </w:r>
      <w:r>
        <w:fldChar w:fldCharType="separate"/>
      </w:r>
      <w:r>
        <w:rPr>
          <w:rStyle w:val="47"/>
          <w:rFonts w:asciiTheme="minorEastAsia" w:hAnsiTheme="minorEastAsia"/>
        </w:rPr>
        <w:t>一、板块概述</w:t>
      </w:r>
      <w:r>
        <w:tab/>
      </w:r>
      <w:r>
        <w:fldChar w:fldCharType="begin"/>
      </w:r>
      <w:r>
        <w:instrText xml:space="preserve"> PAGEREF _Toc79497960 \h </w:instrText>
      </w:r>
      <w:r>
        <w:fldChar w:fldCharType="separate"/>
      </w:r>
      <w:r>
        <w:t>44</w:t>
      </w:r>
      <w:r>
        <w:fldChar w:fldCharType="end"/>
      </w:r>
      <w:r>
        <w:fldChar w:fldCharType="end"/>
      </w:r>
    </w:p>
    <w:p w14:paraId="793956DD">
      <w:pPr>
        <w:pStyle w:val="15"/>
        <w:tabs>
          <w:tab w:val="right" w:leader="dot" w:pos="8296"/>
        </w:tabs>
      </w:pPr>
      <w:r>
        <w:fldChar w:fldCharType="begin"/>
      </w:r>
      <w:r>
        <w:instrText xml:space="preserve"> HYPERLINK \l "_Toc79497961" </w:instrText>
      </w:r>
      <w:r>
        <w:fldChar w:fldCharType="separate"/>
      </w:r>
      <w:r>
        <w:rPr>
          <w:rStyle w:val="47"/>
          <w:rFonts w:asciiTheme="minorEastAsia" w:hAnsiTheme="minorEastAsia"/>
        </w:rPr>
        <w:t>二、重点板块建设</w:t>
      </w:r>
      <w:r>
        <w:tab/>
      </w:r>
      <w:r>
        <w:fldChar w:fldCharType="begin"/>
      </w:r>
      <w:r>
        <w:instrText xml:space="preserve"> PAGEREF _Toc79497961 \h </w:instrText>
      </w:r>
      <w:r>
        <w:fldChar w:fldCharType="separate"/>
      </w:r>
      <w:r>
        <w:t>44</w:t>
      </w:r>
      <w:r>
        <w:fldChar w:fldCharType="end"/>
      </w:r>
      <w:r>
        <w:fldChar w:fldCharType="end"/>
      </w:r>
    </w:p>
    <w:p w14:paraId="27C65299">
      <w:pPr>
        <w:pStyle w:val="15"/>
        <w:tabs>
          <w:tab w:val="right" w:leader="dot" w:pos="8296"/>
        </w:tabs>
      </w:pPr>
      <w:r>
        <w:fldChar w:fldCharType="begin"/>
      </w:r>
      <w:r>
        <w:instrText xml:space="preserve"> HYPERLINK \l "_Toc79497962" </w:instrText>
      </w:r>
      <w:r>
        <w:fldChar w:fldCharType="separate"/>
      </w:r>
      <w:r>
        <w:rPr>
          <w:rStyle w:val="47"/>
          <w:rFonts w:asciiTheme="minorEastAsia" w:hAnsiTheme="minorEastAsia"/>
        </w:rPr>
        <w:t>三、规划项目</w:t>
      </w:r>
      <w:r>
        <w:tab/>
      </w:r>
      <w:r>
        <w:fldChar w:fldCharType="begin"/>
      </w:r>
      <w:r>
        <w:instrText xml:space="preserve"> PAGEREF _Toc79497962 \h </w:instrText>
      </w:r>
      <w:r>
        <w:fldChar w:fldCharType="separate"/>
      </w:r>
      <w:r>
        <w:t>57</w:t>
      </w:r>
      <w:r>
        <w:fldChar w:fldCharType="end"/>
      </w:r>
      <w:r>
        <w:fldChar w:fldCharType="end"/>
      </w:r>
    </w:p>
    <w:p w14:paraId="7E5B8A39">
      <w:pPr>
        <w:pStyle w:val="15"/>
        <w:tabs>
          <w:tab w:val="right" w:leader="dot" w:pos="8296"/>
        </w:tabs>
      </w:pPr>
      <w:r>
        <w:fldChar w:fldCharType="begin"/>
      </w:r>
      <w:r>
        <w:instrText xml:space="preserve"> HYPERLINK \l "_Toc79497963" </w:instrText>
      </w:r>
      <w:r>
        <w:fldChar w:fldCharType="separate"/>
      </w:r>
      <w:r>
        <w:rPr>
          <w:rStyle w:val="47"/>
          <w:rFonts w:asciiTheme="minorEastAsia" w:hAnsiTheme="minorEastAsia"/>
        </w:rPr>
        <w:t>四、发展目标</w:t>
      </w:r>
      <w:r>
        <w:tab/>
      </w:r>
      <w:r>
        <w:fldChar w:fldCharType="begin"/>
      </w:r>
      <w:r>
        <w:instrText xml:space="preserve"> PAGEREF _Toc79497963 \h </w:instrText>
      </w:r>
      <w:r>
        <w:fldChar w:fldCharType="separate"/>
      </w:r>
      <w:r>
        <w:t>57</w:t>
      </w:r>
      <w:r>
        <w:fldChar w:fldCharType="end"/>
      </w:r>
      <w:r>
        <w:fldChar w:fldCharType="end"/>
      </w:r>
    </w:p>
    <w:p w14:paraId="18D2BA53">
      <w:pPr>
        <w:pStyle w:val="28"/>
        <w:tabs>
          <w:tab w:val="right" w:leader="dot" w:pos="8296"/>
        </w:tabs>
      </w:pPr>
      <w:r>
        <w:fldChar w:fldCharType="begin"/>
      </w:r>
      <w:r>
        <w:instrText xml:space="preserve"> HYPERLINK \l "_Toc79497964" </w:instrText>
      </w:r>
      <w:r>
        <w:fldChar w:fldCharType="separate"/>
      </w:r>
      <w:r>
        <w:rPr>
          <w:rStyle w:val="47"/>
        </w:rPr>
        <w:t>第四节 农产品流通及冷链物流板块</w:t>
      </w:r>
      <w:r>
        <w:tab/>
      </w:r>
      <w:r>
        <w:fldChar w:fldCharType="begin"/>
      </w:r>
      <w:r>
        <w:instrText xml:space="preserve"> PAGEREF _Toc79497964 \h </w:instrText>
      </w:r>
      <w:r>
        <w:fldChar w:fldCharType="separate"/>
      </w:r>
      <w:r>
        <w:t>57</w:t>
      </w:r>
      <w:r>
        <w:fldChar w:fldCharType="end"/>
      </w:r>
      <w:r>
        <w:fldChar w:fldCharType="end"/>
      </w:r>
    </w:p>
    <w:p w14:paraId="6742C151">
      <w:pPr>
        <w:pStyle w:val="15"/>
        <w:tabs>
          <w:tab w:val="right" w:leader="dot" w:pos="8296"/>
        </w:tabs>
      </w:pPr>
      <w:r>
        <w:fldChar w:fldCharType="begin"/>
      </w:r>
      <w:r>
        <w:instrText xml:space="preserve"> HYPERLINK \l "_Toc79497965" </w:instrText>
      </w:r>
      <w:r>
        <w:fldChar w:fldCharType="separate"/>
      </w:r>
      <w:r>
        <w:rPr>
          <w:rStyle w:val="47"/>
          <w:rFonts w:asciiTheme="minorEastAsia" w:hAnsiTheme="minorEastAsia"/>
        </w:rPr>
        <w:t>一、板块概述</w:t>
      </w:r>
      <w:r>
        <w:tab/>
      </w:r>
      <w:r>
        <w:fldChar w:fldCharType="begin"/>
      </w:r>
      <w:r>
        <w:instrText xml:space="preserve"> PAGEREF _Toc79497965 \h </w:instrText>
      </w:r>
      <w:r>
        <w:fldChar w:fldCharType="separate"/>
      </w:r>
      <w:r>
        <w:t>57</w:t>
      </w:r>
      <w:r>
        <w:fldChar w:fldCharType="end"/>
      </w:r>
      <w:r>
        <w:fldChar w:fldCharType="end"/>
      </w:r>
    </w:p>
    <w:p w14:paraId="06FF1EFD">
      <w:pPr>
        <w:pStyle w:val="15"/>
        <w:tabs>
          <w:tab w:val="right" w:leader="dot" w:pos="8296"/>
        </w:tabs>
      </w:pPr>
      <w:r>
        <w:fldChar w:fldCharType="begin"/>
      </w:r>
      <w:r>
        <w:instrText xml:space="preserve"> HYPERLINK \l "_Toc79497966" </w:instrText>
      </w:r>
      <w:r>
        <w:fldChar w:fldCharType="separate"/>
      </w:r>
      <w:r>
        <w:rPr>
          <w:rStyle w:val="47"/>
          <w:rFonts w:asciiTheme="minorEastAsia" w:hAnsiTheme="minorEastAsia"/>
        </w:rPr>
        <w:t>二、重点板块建设</w:t>
      </w:r>
      <w:r>
        <w:tab/>
      </w:r>
      <w:r>
        <w:fldChar w:fldCharType="begin"/>
      </w:r>
      <w:r>
        <w:instrText xml:space="preserve"> PAGEREF _Toc79497966 \h </w:instrText>
      </w:r>
      <w:r>
        <w:fldChar w:fldCharType="separate"/>
      </w:r>
      <w:r>
        <w:t>58</w:t>
      </w:r>
      <w:r>
        <w:fldChar w:fldCharType="end"/>
      </w:r>
      <w:r>
        <w:fldChar w:fldCharType="end"/>
      </w:r>
    </w:p>
    <w:p w14:paraId="04548C3B">
      <w:pPr>
        <w:pStyle w:val="15"/>
        <w:tabs>
          <w:tab w:val="right" w:leader="dot" w:pos="8296"/>
        </w:tabs>
      </w:pPr>
      <w:r>
        <w:fldChar w:fldCharType="begin"/>
      </w:r>
      <w:r>
        <w:instrText xml:space="preserve"> HYPERLINK \l "_Toc79497967" </w:instrText>
      </w:r>
      <w:r>
        <w:fldChar w:fldCharType="separate"/>
      </w:r>
      <w:r>
        <w:rPr>
          <w:rStyle w:val="47"/>
          <w:rFonts w:asciiTheme="minorEastAsia" w:hAnsiTheme="minorEastAsia"/>
        </w:rPr>
        <w:t>三、规划项目</w:t>
      </w:r>
      <w:r>
        <w:tab/>
      </w:r>
      <w:r>
        <w:fldChar w:fldCharType="begin"/>
      </w:r>
      <w:r>
        <w:instrText xml:space="preserve"> PAGEREF _Toc79497967 \h </w:instrText>
      </w:r>
      <w:r>
        <w:fldChar w:fldCharType="separate"/>
      </w:r>
      <w:r>
        <w:t>70</w:t>
      </w:r>
      <w:r>
        <w:fldChar w:fldCharType="end"/>
      </w:r>
      <w:r>
        <w:fldChar w:fldCharType="end"/>
      </w:r>
    </w:p>
    <w:p w14:paraId="3A946F60">
      <w:pPr>
        <w:pStyle w:val="15"/>
        <w:tabs>
          <w:tab w:val="right" w:leader="dot" w:pos="8296"/>
        </w:tabs>
      </w:pPr>
      <w:r>
        <w:fldChar w:fldCharType="begin"/>
      </w:r>
      <w:r>
        <w:instrText xml:space="preserve"> HYPERLINK \l "_Toc79497968" </w:instrText>
      </w:r>
      <w:r>
        <w:fldChar w:fldCharType="separate"/>
      </w:r>
      <w:r>
        <w:rPr>
          <w:rStyle w:val="47"/>
          <w:rFonts w:asciiTheme="minorEastAsia" w:hAnsiTheme="minorEastAsia"/>
        </w:rPr>
        <w:t>四、发展目标</w:t>
      </w:r>
      <w:r>
        <w:tab/>
      </w:r>
      <w:r>
        <w:fldChar w:fldCharType="begin"/>
      </w:r>
      <w:r>
        <w:instrText xml:space="preserve"> PAGEREF _Toc79497968 \h </w:instrText>
      </w:r>
      <w:r>
        <w:fldChar w:fldCharType="separate"/>
      </w:r>
      <w:r>
        <w:t>70</w:t>
      </w:r>
      <w:r>
        <w:fldChar w:fldCharType="end"/>
      </w:r>
      <w:r>
        <w:fldChar w:fldCharType="end"/>
      </w:r>
    </w:p>
    <w:p w14:paraId="6B819BB3">
      <w:pPr>
        <w:pStyle w:val="28"/>
        <w:tabs>
          <w:tab w:val="right" w:leader="dot" w:pos="8296"/>
        </w:tabs>
      </w:pPr>
      <w:r>
        <w:fldChar w:fldCharType="begin"/>
      </w:r>
      <w:r>
        <w:instrText xml:space="preserve"> HYPERLINK \l "_Toc79497969" </w:instrText>
      </w:r>
      <w:r>
        <w:fldChar w:fldCharType="separate"/>
      </w:r>
      <w:r>
        <w:rPr>
          <w:rStyle w:val="47"/>
        </w:rPr>
        <w:t>第五节 商贸物流板块</w:t>
      </w:r>
      <w:r>
        <w:tab/>
      </w:r>
      <w:r>
        <w:fldChar w:fldCharType="begin"/>
      </w:r>
      <w:r>
        <w:instrText xml:space="preserve"> PAGEREF _Toc79497969 \h </w:instrText>
      </w:r>
      <w:r>
        <w:fldChar w:fldCharType="separate"/>
      </w:r>
      <w:r>
        <w:t>71</w:t>
      </w:r>
      <w:r>
        <w:fldChar w:fldCharType="end"/>
      </w:r>
      <w:r>
        <w:fldChar w:fldCharType="end"/>
      </w:r>
    </w:p>
    <w:p w14:paraId="663F1C75">
      <w:pPr>
        <w:pStyle w:val="15"/>
        <w:tabs>
          <w:tab w:val="right" w:leader="dot" w:pos="8296"/>
        </w:tabs>
      </w:pPr>
      <w:r>
        <w:fldChar w:fldCharType="begin"/>
      </w:r>
      <w:r>
        <w:instrText xml:space="preserve"> HYPERLINK \l "_Toc79497970" </w:instrText>
      </w:r>
      <w:r>
        <w:fldChar w:fldCharType="separate"/>
      </w:r>
      <w:r>
        <w:rPr>
          <w:rStyle w:val="47"/>
          <w:rFonts w:asciiTheme="minorEastAsia" w:hAnsiTheme="minorEastAsia"/>
        </w:rPr>
        <w:t>一、板块概述</w:t>
      </w:r>
      <w:r>
        <w:tab/>
      </w:r>
      <w:r>
        <w:fldChar w:fldCharType="begin"/>
      </w:r>
      <w:r>
        <w:instrText xml:space="preserve"> PAGEREF _Toc79497970 \h </w:instrText>
      </w:r>
      <w:r>
        <w:fldChar w:fldCharType="separate"/>
      </w:r>
      <w:r>
        <w:t>71</w:t>
      </w:r>
      <w:r>
        <w:fldChar w:fldCharType="end"/>
      </w:r>
      <w:r>
        <w:fldChar w:fldCharType="end"/>
      </w:r>
    </w:p>
    <w:p w14:paraId="1E33AD37">
      <w:pPr>
        <w:pStyle w:val="15"/>
        <w:tabs>
          <w:tab w:val="right" w:leader="dot" w:pos="8296"/>
        </w:tabs>
      </w:pPr>
      <w:r>
        <w:fldChar w:fldCharType="begin"/>
      </w:r>
      <w:r>
        <w:instrText xml:space="preserve"> HYPERLINK \l "_Toc79497971" </w:instrText>
      </w:r>
      <w:r>
        <w:fldChar w:fldCharType="separate"/>
      </w:r>
      <w:r>
        <w:rPr>
          <w:rStyle w:val="47"/>
          <w:rFonts w:asciiTheme="minorEastAsia" w:hAnsiTheme="minorEastAsia"/>
        </w:rPr>
        <w:t>二、重点板块建设</w:t>
      </w:r>
      <w:r>
        <w:tab/>
      </w:r>
      <w:r>
        <w:fldChar w:fldCharType="begin"/>
      </w:r>
      <w:r>
        <w:instrText xml:space="preserve"> PAGEREF _Toc79497971 \h </w:instrText>
      </w:r>
      <w:r>
        <w:fldChar w:fldCharType="separate"/>
      </w:r>
      <w:r>
        <w:t>72</w:t>
      </w:r>
      <w:r>
        <w:fldChar w:fldCharType="end"/>
      </w:r>
      <w:r>
        <w:fldChar w:fldCharType="end"/>
      </w:r>
    </w:p>
    <w:p w14:paraId="3F88E25C">
      <w:pPr>
        <w:pStyle w:val="15"/>
        <w:tabs>
          <w:tab w:val="right" w:leader="dot" w:pos="8296"/>
        </w:tabs>
      </w:pPr>
      <w:r>
        <w:fldChar w:fldCharType="begin"/>
      </w:r>
      <w:r>
        <w:instrText xml:space="preserve"> HYPERLINK \l "_Toc79497972" </w:instrText>
      </w:r>
      <w:r>
        <w:fldChar w:fldCharType="separate"/>
      </w:r>
      <w:r>
        <w:rPr>
          <w:rStyle w:val="47"/>
          <w:rFonts w:asciiTheme="minorEastAsia" w:hAnsiTheme="minorEastAsia"/>
        </w:rPr>
        <w:t>三、规划项目</w:t>
      </w:r>
      <w:r>
        <w:tab/>
      </w:r>
      <w:r>
        <w:fldChar w:fldCharType="begin"/>
      </w:r>
      <w:r>
        <w:instrText xml:space="preserve"> PAGEREF _Toc79497972 \h </w:instrText>
      </w:r>
      <w:r>
        <w:fldChar w:fldCharType="separate"/>
      </w:r>
      <w:r>
        <w:t>75</w:t>
      </w:r>
      <w:r>
        <w:fldChar w:fldCharType="end"/>
      </w:r>
      <w:r>
        <w:fldChar w:fldCharType="end"/>
      </w:r>
    </w:p>
    <w:p w14:paraId="0160B2ED">
      <w:pPr>
        <w:pStyle w:val="15"/>
        <w:tabs>
          <w:tab w:val="right" w:leader="dot" w:pos="8296"/>
        </w:tabs>
      </w:pPr>
      <w:r>
        <w:fldChar w:fldCharType="begin"/>
      </w:r>
      <w:r>
        <w:instrText xml:space="preserve"> HYPERLINK \l "_Toc79497973" </w:instrText>
      </w:r>
      <w:r>
        <w:fldChar w:fldCharType="separate"/>
      </w:r>
      <w:r>
        <w:rPr>
          <w:rStyle w:val="47"/>
          <w:rFonts w:asciiTheme="minorEastAsia" w:hAnsiTheme="minorEastAsia"/>
        </w:rPr>
        <w:t>四、发展目标</w:t>
      </w:r>
      <w:r>
        <w:tab/>
      </w:r>
      <w:r>
        <w:fldChar w:fldCharType="begin"/>
      </w:r>
      <w:r>
        <w:instrText xml:space="preserve"> PAGEREF _Toc79497973 \h </w:instrText>
      </w:r>
      <w:r>
        <w:fldChar w:fldCharType="separate"/>
      </w:r>
      <w:r>
        <w:t>75</w:t>
      </w:r>
      <w:r>
        <w:fldChar w:fldCharType="end"/>
      </w:r>
      <w:r>
        <w:fldChar w:fldCharType="end"/>
      </w:r>
    </w:p>
    <w:p w14:paraId="75BCD6DB">
      <w:pPr>
        <w:pStyle w:val="28"/>
        <w:tabs>
          <w:tab w:val="right" w:leader="dot" w:pos="8296"/>
        </w:tabs>
      </w:pPr>
      <w:r>
        <w:fldChar w:fldCharType="begin"/>
      </w:r>
      <w:r>
        <w:instrText xml:space="preserve"> HYPERLINK \l "_Toc79497974" </w:instrText>
      </w:r>
      <w:r>
        <w:fldChar w:fldCharType="separate"/>
      </w:r>
      <w:r>
        <w:rPr>
          <w:rStyle w:val="47"/>
        </w:rPr>
        <w:t>第六节 应急物流板块</w:t>
      </w:r>
      <w:r>
        <w:tab/>
      </w:r>
      <w:r>
        <w:fldChar w:fldCharType="begin"/>
      </w:r>
      <w:r>
        <w:instrText xml:space="preserve"> PAGEREF _Toc79497974 \h </w:instrText>
      </w:r>
      <w:r>
        <w:fldChar w:fldCharType="separate"/>
      </w:r>
      <w:r>
        <w:t>75</w:t>
      </w:r>
      <w:r>
        <w:fldChar w:fldCharType="end"/>
      </w:r>
      <w:r>
        <w:fldChar w:fldCharType="end"/>
      </w:r>
    </w:p>
    <w:p w14:paraId="688B8891">
      <w:pPr>
        <w:pStyle w:val="15"/>
        <w:tabs>
          <w:tab w:val="right" w:leader="dot" w:pos="8296"/>
        </w:tabs>
      </w:pPr>
      <w:r>
        <w:fldChar w:fldCharType="begin"/>
      </w:r>
      <w:r>
        <w:instrText xml:space="preserve"> HYPERLINK \l "_Toc79497975" </w:instrText>
      </w:r>
      <w:r>
        <w:fldChar w:fldCharType="separate"/>
      </w:r>
      <w:r>
        <w:rPr>
          <w:rStyle w:val="47"/>
          <w:rFonts w:asciiTheme="minorEastAsia" w:hAnsiTheme="minorEastAsia"/>
        </w:rPr>
        <w:t>一、板块概述</w:t>
      </w:r>
      <w:r>
        <w:tab/>
      </w:r>
      <w:r>
        <w:fldChar w:fldCharType="begin"/>
      </w:r>
      <w:r>
        <w:instrText xml:space="preserve"> PAGEREF _Toc79497975 \h </w:instrText>
      </w:r>
      <w:r>
        <w:fldChar w:fldCharType="separate"/>
      </w:r>
      <w:r>
        <w:t>75</w:t>
      </w:r>
      <w:r>
        <w:fldChar w:fldCharType="end"/>
      </w:r>
      <w:r>
        <w:fldChar w:fldCharType="end"/>
      </w:r>
    </w:p>
    <w:p w14:paraId="4C03158A">
      <w:pPr>
        <w:pStyle w:val="15"/>
        <w:tabs>
          <w:tab w:val="right" w:leader="dot" w:pos="8296"/>
        </w:tabs>
      </w:pPr>
      <w:r>
        <w:fldChar w:fldCharType="begin"/>
      </w:r>
      <w:r>
        <w:instrText xml:space="preserve"> HYPERLINK \l "_Toc79497976" </w:instrText>
      </w:r>
      <w:r>
        <w:fldChar w:fldCharType="separate"/>
      </w:r>
      <w:r>
        <w:rPr>
          <w:rStyle w:val="47"/>
          <w:rFonts w:asciiTheme="minorEastAsia" w:hAnsiTheme="minorEastAsia"/>
        </w:rPr>
        <w:t>二、重点板块建设</w:t>
      </w:r>
      <w:r>
        <w:tab/>
      </w:r>
      <w:r>
        <w:fldChar w:fldCharType="begin"/>
      </w:r>
      <w:r>
        <w:instrText xml:space="preserve"> PAGEREF _Toc79497976 \h </w:instrText>
      </w:r>
      <w:r>
        <w:fldChar w:fldCharType="separate"/>
      </w:r>
      <w:r>
        <w:t>76</w:t>
      </w:r>
      <w:r>
        <w:fldChar w:fldCharType="end"/>
      </w:r>
      <w:r>
        <w:fldChar w:fldCharType="end"/>
      </w:r>
    </w:p>
    <w:p w14:paraId="2D5E3A6E">
      <w:pPr>
        <w:pStyle w:val="15"/>
        <w:tabs>
          <w:tab w:val="right" w:leader="dot" w:pos="8296"/>
        </w:tabs>
      </w:pPr>
      <w:r>
        <w:fldChar w:fldCharType="begin"/>
      </w:r>
      <w:r>
        <w:instrText xml:space="preserve"> HYPERLINK \l "_Toc79497977" </w:instrText>
      </w:r>
      <w:r>
        <w:fldChar w:fldCharType="separate"/>
      </w:r>
      <w:r>
        <w:rPr>
          <w:rStyle w:val="47"/>
          <w:rFonts w:asciiTheme="minorEastAsia" w:hAnsiTheme="minorEastAsia"/>
        </w:rPr>
        <w:t>三、规划项目表</w:t>
      </w:r>
      <w:r>
        <w:tab/>
      </w:r>
      <w:r>
        <w:fldChar w:fldCharType="begin"/>
      </w:r>
      <w:r>
        <w:instrText xml:space="preserve"> PAGEREF _Toc79497977 \h </w:instrText>
      </w:r>
      <w:r>
        <w:fldChar w:fldCharType="separate"/>
      </w:r>
      <w:r>
        <w:t>77</w:t>
      </w:r>
      <w:r>
        <w:fldChar w:fldCharType="end"/>
      </w:r>
      <w:r>
        <w:fldChar w:fldCharType="end"/>
      </w:r>
    </w:p>
    <w:p w14:paraId="12F46C00">
      <w:pPr>
        <w:pStyle w:val="15"/>
        <w:tabs>
          <w:tab w:val="right" w:leader="dot" w:pos="8296"/>
        </w:tabs>
      </w:pPr>
      <w:r>
        <w:fldChar w:fldCharType="begin"/>
      </w:r>
      <w:r>
        <w:instrText xml:space="preserve"> HYPERLINK \l "_Toc79497978" </w:instrText>
      </w:r>
      <w:r>
        <w:fldChar w:fldCharType="separate"/>
      </w:r>
      <w:r>
        <w:rPr>
          <w:rStyle w:val="47"/>
          <w:rFonts w:asciiTheme="minorEastAsia" w:hAnsiTheme="minorEastAsia"/>
        </w:rPr>
        <w:t>四、发展目标</w:t>
      </w:r>
      <w:r>
        <w:tab/>
      </w:r>
      <w:r>
        <w:fldChar w:fldCharType="begin"/>
      </w:r>
      <w:r>
        <w:instrText xml:space="preserve"> PAGEREF _Toc79497978 \h </w:instrText>
      </w:r>
      <w:r>
        <w:fldChar w:fldCharType="separate"/>
      </w:r>
      <w:r>
        <w:t>77</w:t>
      </w:r>
      <w:r>
        <w:fldChar w:fldCharType="end"/>
      </w:r>
      <w:r>
        <w:fldChar w:fldCharType="end"/>
      </w:r>
    </w:p>
    <w:p w14:paraId="45DFEDE7">
      <w:pPr>
        <w:pStyle w:val="21"/>
        <w:tabs>
          <w:tab w:val="left" w:pos="1260"/>
          <w:tab w:val="right" w:leader="dot" w:pos="8296"/>
        </w:tabs>
      </w:pPr>
      <w:r>
        <w:fldChar w:fldCharType="begin"/>
      </w:r>
      <w:r>
        <w:instrText xml:space="preserve"> HYPERLINK \l "_Toc79497979" </w:instrText>
      </w:r>
      <w:r>
        <w:fldChar w:fldCharType="separate"/>
      </w:r>
      <w:r>
        <w:rPr>
          <w:rStyle w:val="47"/>
          <w:rFonts w:ascii="黑体" w:hAnsi="黑体" w:eastAsia="黑体"/>
        </w:rPr>
        <w:t>第五章</w:t>
      </w:r>
      <w:r>
        <w:tab/>
      </w:r>
      <w:r>
        <w:rPr>
          <w:rStyle w:val="47"/>
          <w:rFonts w:ascii="黑体" w:hAnsi="黑体" w:eastAsia="黑体"/>
        </w:rPr>
        <w:t>空间布局</w:t>
      </w:r>
      <w:r>
        <w:tab/>
      </w:r>
      <w:r>
        <w:fldChar w:fldCharType="begin"/>
      </w:r>
      <w:r>
        <w:instrText xml:space="preserve"> PAGEREF _Toc79497979 \h </w:instrText>
      </w:r>
      <w:r>
        <w:fldChar w:fldCharType="separate"/>
      </w:r>
      <w:r>
        <w:t>78</w:t>
      </w:r>
      <w:r>
        <w:fldChar w:fldCharType="end"/>
      </w:r>
      <w:r>
        <w:fldChar w:fldCharType="end"/>
      </w:r>
    </w:p>
    <w:p w14:paraId="3AB68FB5">
      <w:pPr>
        <w:pStyle w:val="28"/>
        <w:tabs>
          <w:tab w:val="right" w:leader="dot" w:pos="8296"/>
        </w:tabs>
      </w:pPr>
      <w:r>
        <w:fldChar w:fldCharType="begin"/>
      </w:r>
      <w:r>
        <w:instrText xml:space="preserve"> HYPERLINK \l "_Toc79497980" </w:instrText>
      </w:r>
      <w:r>
        <w:fldChar w:fldCharType="separate"/>
      </w:r>
      <w:r>
        <w:rPr>
          <w:rStyle w:val="47"/>
        </w:rPr>
        <w:t>第一节 物流节点布局</w:t>
      </w:r>
      <w:r>
        <w:tab/>
      </w:r>
      <w:r>
        <w:fldChar w:fldCharType="begin"/>
      </w:r>
      <w:r>
        <w:instrText xml:space="preserve"> PAGEREF _Toc79497980 \h </w:instrText>
      </w:r>
      <w:r>
        <w:fldChar w:fldCharType="separate"/>
      </w:r>
      <w:r>
        <w:t>78</w:t>
      </w:r>
      <w:r>
        <w:fldChar w:fldCharType="end"/>
      </w:r>
      <w:r>
        <w:fldChar w:fldCharType="end"/>
      </w:r>
    </w:p>
    <w:p w14:paraId="08B3F5F6">
      <w:pPr>
        <w:pStyle w:val="15"/>
        <w:tabs>
          <w:tab w:val="right" w:leader="dot" w:pos="8296"/>
        </w:tabs>
      </w:pPr>
      <w:r>
        <w:fldChar w:fldCharType="begin"/>
      </w:r>
      <w:r>
        <w:instrText xml:space="preserve"> HYPERLINK \l "_Toc79497981" </w:instrText>
      </w:r>
      <w:r>
        <w:fldChar w:fldCharType="separate"/>
      </w:r>
      <w:r>
        <w:rPr>
          <w:rStyle w:val="47"/>
        </w:rPr>
        <w:t>一、物流节点布局概述</w:t>
      </w:r>
      <w:r>
        <w:tab/>
      </w:r>
      <w:r>
        <w:fldChar w:fldCharType="begin"/>
      </w:r>
      <w:r>
        <w:instrText xml:space="preserve"> PAGEREF _Toc79497981 \h </w:instrText>
      </w:r>
      <w:r>
        <w:fldChar w:fldCharType="separate"/>
      </w:r>
      <w:r>
        <w:t>78</w:t>
      </w:r>
      <w:r>
        <w:fldChar w:fldCharType="end"/>
      </w:r>
      <w:r>
        <w:fldChar w:fldCharType="end"/>
      </w:r>
    </w:p>
    <w:p w14:paraId="7AEFA4B9">
      <w:pPr>
        <w:pStyle w:val="15"/>
        <w:tabs>
          <w:tab w:val="right" w:leader="dot" w:pos="8296"/>
        </w:tabs>
      </w:pPr>
      <w:r>
        <w:fldChar w:fldCharType="begin"/>
      </w:r>
      <w:r>
        <w:instrText xml:space="preserve"> HYPERLINK \l "_Toc79497982" </w:instrText>
      </w:r>
      <w:r>
        <w:fldChar w:fldCharType="separate"/>
      </w:r>
      <w:r>
        <w:rPr>
          <w:rStyle w:val="47"/>
          <w:rFonts w:asciiTheme="minorEastAsia" w:hAnsiTheme="minorEastAsia"/>
        </w:rPr>
        <w:t>二、物流节点布局说明</w:t>
      </w:r>
      <w:r>
        <w:tab/>
      </w:r>
      <w:r>
        <w:fldChar w:fldCharType="begin"/>
      </w:r>
      <w:r>
        <w:instrText xml:space="preserve"> PAGEREF _Toc79497982 \h </w:instrText>
      </w:r>
      <w:r>
        <w:fldChar w:fldCharType="separate"/>
      </w:r>
      <w:r>
        <w:t>78</w:t>
      </w:r>
      <w:r>
        <w:fldChar w:fldCharType="end"/>
      </w:r>
      <w:r>
        <w:fldChar w:fldCharType="end"/>
      </w:r>
    </w:p>
    <w:p w14:paraId="568F3C8D">
      <w:pPr>
        <w:pStyle w:val="15"/>
        <w:tabs>
          <w:tab w:val="right" w:leader="dot" w:pos="8296"/>
        </w:tabs>
      </w:pPr>
      <w:r>
        <w:fldChar w:fldCharType="begin"/>
      </w:r>
      <w:r>
        <w:instrText xml:space="preserve"> HYPERLINK \l "_Toc79497983" </w:instrText>
      </w:r>
      <w:r>
        <w:fldChar w:fldCharType="separate"/>
      </w:r>
      <w:r>
        <w:rPr>
          <w:rStyle w:val="47"/>
          <w:rFonts w:asciiTheme="minorEastAsia" w:hAnsiTheme="minorEastAsia"/>
        </w:rPr>
        <w:t>三、物流节点建设</w:t>
      </w:r>
      <w:r>
        <w:tab/>
      </w:r>
      <w:r>
        <w:fldChar w:fldCharType="begin"/>
      </w:r>
      <w:r>
        <w:instrText xml:space="preserve"> PAGEREF _Toc79497983 \h </w:instrText>
      </w:r>
      <w:r>
        <w:fldChar w:fldCharType="separate"/>
      </w:r>
      <w:r>
        <w:t>81</w:t>
      </w:r>
      <w:r>
        <w:fldChar w:fldCharType="end"/>
      </w:r>
      <w:r>
        <w:fldChar w:fldCharType="end"/>
      </w:r>
    </w:p>
    <w:p w14:paraId="5012C410">
      <w:pPr>
        <w:pStyle w:val="28"/>
        <w:tabs>
          <w:tab w:val="right" w:leader="dot" w:pos="8296"/>
        </w:tabs>
      </w:pPr>
      <w:r>
        <w:fldChar w:fldCharType="begin"/>
      </w:r>
      <w:r>
        <w:instrText xml:space="preserve"> HYPERLINK \l "_Toc79497984" </w:instrText>
      </w:r>
      <w:r>
        <w:fldChar w:fldCharType="separate"/>
      </w:r>
      <w:r>
        <w:rPr>
          <w:rStyle w:val="47"/>
        </w:rPr>
        <w:t>第二节 物流通道建设</w:t>
      </w:r>
      <w:r>
        <w:tab/>
      </w:r>
      <w:r>
        <w:fldChar w:fldCharType="begin"/>
      </w:r>
      <w:r>
        <w:instrText xml:space="preserve"> PAGEREF _Toc79497984 \h </w:instrText>
      </w:r>
      <w:r>
        <w:fldChar w:fldCharType="separate"/>
      </w:r>
      <w:r>
        <w:t>81</w:t>
      </w:r>
      <w:r>
        <w:fldChar w:fldCharType="end"/>
      </w:r>
      <w:r>
        <w:fldChar w:fldCharType="end"/>
      </w:r>
    </w:p>
    <w:p w14:paraId="7AF887A7">
      <w:pPr>
        <w:pStyle w:val="15"/>
        <w:tabs>
          <w:tab w:val="right" w:leader="dot" w:pos="8296"/>
        </w:tabs>
      </w:pPr>
      <w:r>
        <w:fldChar w:fldCharType="begin"/>
      </w:r>
      <w:r>
        <w:instrText xml:space="preserve"> HYPERLINK \l "_Toc79497985" </w:instrText>
      </w:r>
      <w:r>
        <w:fldChar w:fldCharType="separate"/>
      </w:r>
      <w:r>
        <w:rPr>
          <w:rStyle w:val="47"/>
        </w:rPr>
        <w:t>一、跨区域物流通道</w:t>
      </w:r>
      <w:r>
        <w:tab/>
      </w:r>
      <w:r>
        <w:fldChar w:fldCharType="begin"/>
      </w:r>
      <w:r>
        <w:instrText xml:space="preserve"> PAGEREF _Toc79497985 \h </w:instrText>
      </w:r>
      <w:r>
        <w:fldChar w:fldCharType="separate"/>
      </w:r>
      <w:r>
        <w:t>81</w:t>
      </w:r>
      <w:r>
        <w:fldChar w:fldCharType="end"/>
      </w:r>
      <w:r>
        <w:fldChar w:fldCharType="end"/>
      </w:r>
    </w:p>
    <w:p w14:paraId="2B791CD0">
      <w:pPr>
        <w:pStyle w:val="15"/>
        <w:tabs>
          <w:tab w:val="right" w:leader="dot" w:pos="8296"/>
        </w:tabs>
      </w:pPr>
      <w:r>
        <w:fldChar w:fldCharType="begin"/>
      </w:r>
      <w:r>
        <w:instrText xml:space="preserve"> HYPERLINK \l "_Toc79497986" </w:instrText>
      </w:r>
      <w:r>
        <w:fldChar w:fldCharType="separate"/>
      </w:r>
      <w:r>
        <w:rPr>
          <w:rStyle w:val="47"/>
        </w:rPr>
        <w:t>二、市域物流通道</w:t>
      </w:r>
      <w:r>
        <w:tab/>
      </w:r>
      <w:r>
        <w:fldChar w:fldCharType="begin"/>
      </w:r>
      <w:r>
        <w:instrText xml:space="preserve"> PAGEREF _Toc79497986 \h </w:instrText>
      </w:r>
      <w:r>
        <w:fldChar w:fldCharType="separate"/>
      </w:r>
      <w:r>
        <w:t>82</w:t>
      </w:r>
      <w:r>
        <w:fldChar w:fldCharType="end"/>
      </w:r>
      <w:r>
        <w:fldChar w:fldCharType="end"/>
      </w:r>
    </w:p>
    <w:p w14:paraId="605316E0">
      <w:pPr>
        <w:pStyle w:val="21"/>
        <w:tabs>
          <w:tab w:val="left" w:pos="1260"/>
          <w:tab w:val="right" w:leader="dot" w:pos="8296"/>
        </w:tabs>
      </w:pPr>
      <w:r>
        <w:fldChar w:fldCharType="begin"/>
      </w:r>
      <w:r>
        <w:instrText xml:space="preserve"> HYPERLINK \l "_Toc79497987" </w:instrText>
      </w:r>
      <w:r>
        <w:fldChar w:fldCharType="separate"/>
      </w:r>
      <w:r>
        <w:rPr>
          <w:rStyle w:val="47"/>
          <w:rFonts w:ascii="黑体" w:hAnsi="黑体" w:eastAsia="黑体"/>
        </w:rPr>
        <w:t>第六章</w:t>
      </w:r>
      <w:r>
        <w:tab/>
      </w:r>
      <w:r>
        <w:rPr>
          <w:rStyle w:val="47"/>
          <w:rFonts w:ascii="黑体" w:hAnsi="黑体" w:eastAsia="黑体"/>
        </w:rPr>
        <w:t>主要任务</w:t>
      </w:r>
      <w:r>
        <w:tab/>
      </w:r>
      <w:r>
        <w:fldChar w:fldCharType="begin"/>
      </w:r>
      <w:r>
        <w:instrText xml:space="preserve"> PAGEREF _Toc79497987 \h </w:instrText>
      </w:r>
      <w:r>
        <w:fldChar w:fldCharType="separate"/>
      </w:r>
      <w:r>
        <w:t>84</w:t>
      </w:r>
      <w:r>
        <w:fldChar w:fldCharType="end"/>
      </w:r>
      <w:r>
        <w:fldChar w:fldCharType="end"/>
      </w:r>
    </w:p>
    <w:p w14:paraId="6EA17BDE">
      <w:pPr>
        <w:pStyle w:val="28"/>
        <w:tabs>
          <w:tab w:val="right" w:leader="dot" w:pos="8296"/>
        </w:tabs>
      </w:pPr>
      <w:r>
        <w:fldChar w:fldCharType="begin"/>
      </w:r>
      <w:r>
        <w:instrText xml:space="preserve"> HYPERLINK \l "_Toc79497988" </w:instrText>
      </w:r>
      <w:r>
        <w:fldChar w:fldCharType="separate"/>
      </w:r>
      <w:r>
        <w:rPr>
          <w:rStyle w:val="47"/>
        </w:rPr>
        <w:t>第一节 加快提升物流集约化水平</w:t>
      </w:r>
      <w:r>
        <w:tab/>
      </w:r>
      <w:r>
        <w:fldChar w:fldCharType="begin"/>
      </w:r>
      <w:r>
        <w:instrText xml:space="preserve"> PAGEREF _Toc79497988 \h </w:instrText>
      </w:r>
      <w:r>
        <w:fldChar w:fldCharType="separate"/>
      </w:r>
      <w:r>
        <w:t>84</w:t>
      </w:r>
      <w:r>
        <w:fldChar w:fldCharType="end"/>
      </w:r>
      <w:r>
        <w:fldChar w:fldCharType="end"/>
      </w:r>
    </w:p>
    <w:p w14:paraId="4419F473">
      <w:pPr>
        <w:pStyle w:val="15"/>
        <w:tabs>
          <w:tab w:val="right" w:leader="dot" w:pos="8296"/>
        </w:tabs>
      </w:pPr>
      <w:r>
        <w:fldChar w:fldCharType="begin"/>
      </w:r>
      <w:r>
        <w:instrText xml:space="preserve"> HYPERLINK \l "_Toc79497989" </w:instrText>
      </w:r>
      <w:r>
        <w:fldChar w:fldCharType="separate"/>
      </w:r>
      <w:r>
        <w:rPr>
          <w:rStyle w:val="47"/>
          <w:rFonts w:asciiTheme="minorEastAsia" w:hAnsiTheme="minorEastAsia"/>
        </w:rPr>
        <w:t>一、加快完善物流节点体系</w:t>
      </w:r>
      <w:r>
        <w:tab/>
      </w:r>
      <w:r>
        <w:fldChar w:fldCharType="begin"/>
      </w:r>
      <w:r>
        <w:instrText xml:space="preserve"> PAGEREF _Toc79497989 \h </w:instrText>
      </w:r>
      <w:r>
        <w:fldChar w:fldCharType="separate"/>
      </w:r>
      <w:r>
        <w:t>84</w:t>
      </w:r>
      <w:r>
        <w:fldChar w:fldCharType="end"/>
      </w:r>
      <w:r>
        <w:fldChar w:fldCharType="end"/>
      </w:r>
    </w:p>
    <w:p w14:paraId="32C3C2E9">
      <w:pPr>
        <w:pStyle w:val="15"/>
        <w:tabs>
          <w:tab w:val="right" w:leader="dot" w:pos="8296"/>
        </w:tabs>
      </w:pPr>
      <w:r>
        <w:fldChar w:fldCharType="begin"/>
      </w:r>
      <w:r>
        <w:instrText xml:space="preserve"> HYPERLINK \l "_Toc79497990" </w:instrText>
      </w:r>
      <w:r>
        <w:fldChar w:fldCharType="separate"/>
      </w:r>
      <w:r>
        <w:rPr>
          <w:rStyle w:val="47"/>
          <w:rFonts w:asciiTheme="minorEastAsia" w:hAnsiTheme="minorEastAsia"/>
        </w:rPr>
        <w:t>二、加快推动物流业集聚发展</w:t>
      </w:r>
      <w:r>
        <w:tab/>
      </w:r>
      <w:r>
        <w:fldChar w:fldCharType="begin"/>
      </w:r>
      <w:r>
        <w:instrText xml:space="preserve"> PAGEREF _Toc79497990 \h </w:instrText>
      </w:r>
      <w:r>
        <w:fldChar w:fldCharType="separate"/>
      </w:r>
      <w:r>
        <w:t>85</w:t>
      </w:r>
      <w:r>
        <w:fldChar w:fldCharType="end"/>
      </w:r>
      <w:r>
        <w:fldChar w:fldCharType="end"/>
      </w:r>
    </w:p>
    <w:p w14:paraId="1B192409">
      <w:pPr>
        <w:pStyle w:val="15"/>
        <w:tabs>
          <w:tab w:val="right" w:leader="dot" w:pos="8296"/>
        </w:tabs>
      </w:pPr>
      <w:r>
        <w:fldChar w:fldCharType="begin"/>
      </w:r>
      <w:r>
        <w:instrText xml:space="preserve"> HYPERLINK \l "_Toc79497991" </w:instrText>
      </w:r>
      <w:r>
        <w:fldChar w:fldCharType="separate"/>
      </w:r>
      <w:r>
        <w:rPr>
          <w:rStyle w:val="47"/>
          <w:rFonts w:asciiTheme="minorEastAsia" w:hAnsiTheme="minorEastAsia"/>
        </w:rPr>
        <w:t>三、加快推动物流新基建</w:t>
      </w:r>
      <w:r>
        <w:tab/>
      </w:r>
      <w:r>
        <w:fldChar w:fldCharType="begin"/>
      </w:r>
      <w:r>
        <w:instrText xml:space="preserve"> PAGEREF _Toc79497991 \h </w:instrText>
      </w:r>
      <w:r>
        <w:fldChar w:fldCharType="separate"/>
      </w:r>
      <w:r>
        <w:t>86</w:t>
      </w:r>
      <w:r>
        <w:fldChar w:fldCharType="end"/>
      </w:r>
      <w:r>
        <w:fldChar w:fldCharType="end"/>
      </w:r>
    </w:p>
    <w:p w14:paraId="2E883A5F">
      <w:pPr>
        <w:pStyle w:val="28"/>
        <w:tabs>
          <w:tab w:val="right" w:leader="dot" w:pos="8296"/>
        </w:tabs>
      </w:pPr>
      <w:r>
        <w:fldChar w:fldCharType="begin"/>
      </w:r>
      <w:r>
        <w:instrText xml:space="preserve"> HYPERLINK \l "_Toc79497992" </w:instrText>
      </w:r>
      <w:r>
        <w:fldChar w:fldCharType="separate"/>
      </w:r>
      <w:r>
        <w:rPr>
          <w:rStyle w:val="47"/>
        </w:rPr>
        <w:t>第二节 加快培育物流市场主体</w:t>
      </w:r>
      <w:r>
        <w:tab/>
      </w:r>
      <w:r>
        <w:fldChar w:fldCharType="begin"/>
      </w:r>
      <w:r>
        <w:instrText xml:space="preserve"> PAGEREF _Toc79497992 \h </w:instrText>
      </w:r>
      <w:r>
        <w:fldChar w:fldCharType="separate"/>
      </w:r>
      <w:r>
        <w:t>88</w:t>
      </w:r>
      <w:r>
        <w:fldChar w:fldCharType="end"/>
      </w:r>
      <w:r>
        <w:fldChar w:fldCharType="end"/>
      </w:r>
    </w:p>
    <w:p w14:paraId="3B3424D4">
      <w:pPr>
        <w:pStyle w:val="15"/>
        <w:tabs>
          <w:tab w:val="right" w:leader="dot" w:pos="8296"/>
        </w:tabs>
      </w:pPr>
      <w:r>
        <w:fldChar w:fldCharType="begin"/>
      </w:r>
      <w:r>
        <w:instrText xml:space="preserve"> HYPERLINK \l "_Toc79497993" </w:instrText>
      </w:r>
      <w:r>
        <w:fldChar w:fldCharType="separate"/>
      </w:r>
      <w:r>
        <w:rPr>
          <w:rStyle w:val="47"/>
          <w:rFonts w:asciiTheme="minorEastAsia" w:hAnsiTheme="minorEastAsia"/>
        </w:rPr>
        <w:t>一、加快培育本土第三方物流企业</w:t>
      </w:r>
      <w:r>
        <w:tab/>
      </w:r>
      <w:r>
        <w:fldChar w:fldCharType="begin"/>
      </w:r>
      <w:r>
        <w:instrText xml:space="preserve"> PAGEREF _Toc79497993 \h </w:instrText>
      </w:r>
      <w:r>
        <w:fldChar w:fldCharType="separate"/>
      </w:r>
      <w:r>
        <w:t>88</w:t>
      </w:r>
      <w:r>
        <w:fldChar w:fldCharType="end"/>
      </w:r>
      <w:r>
        <w:fldChar w:fldCharType="end"/>
      </w:r>
    </w:p>
    <w:p w14:paraId="5A75BC72">
      <w:pPr>
        <w:pStyle w:val="15"/>
        <w:tabs>
          <w:tab w:val="right" w:leader="dot" w:pos="8296"/>
        </w:tabs>
      </w:pPr>
      <w:r>
        <w:fldChar w:fldCharType="begin"/>
      </w:r>
      <w:r>
        <w:instrText xml:space="preserve"> HYPERLINK \l "_Toc79497994" </w:instrText>
      </w:r>
      <w:r>
        <w:fldChar w:fldCharType="separate"/>
      </w:r>
      <w:r>
        <w:rPr>
          <w:rStyle w:val="47"/>
          <w:rFonts w:asciiTheme="minorEastAsia" w:hAnsiTheme="minorEastAsia"/>
        </w:rPr>
        <w:t>二、注重引入国内知名第三方物流企业</w:t>
      </w:r>
      <w:r>
        <w:tab/>
      </w:r>
      <w:r>
        <w:fldChar w:fldCharType="begin"/>
      </w:r>
      <w:r>
        <w:instrText xml:space="preserve"> PAGEREF _Toc79497994 \h </w:instrText>
      </w:r>
      <w:r>
        <w:fldChar w:fldCharType="separate"/>
      </w:r>
      <w:r>
        <w:t>89</w:t>
      </w:r>
      <w:r>
        <w:fldChar w:fldCharType="end"/>
      </w:r>
      <w:r>
        <w:fldChar w:fldCharType="end"/>
      </w:r>
    </w:p>
    <w:p w14:paraId="71CB3CAD">
      <w:pPr>
        <w:pStyle w:val="15"/>
        <w:tabs>
          <w:tab w:val="right" w:leader="dot" w:pos="8296"/>
        </w:tabs>
      </w:pPr>
      <w:r>
        <w:fldChar w:fldCharType="begin"/>
      </w:r>
      <w:r>
        <w:instrText xml:space="preserve"> HYPERLINK \l "_Toc79497995" </w:instrText>
      </w:r>
      <w:r>
        <w:fldChar w:fldCharType="separate"/>
      </w:r>
      <w:r>
        <w:rPr>
          <w:rStyle w:val="47"/>
          <w:rFonts w:asciiTheme="minorEastAsia" w:hAnsiTheme="minorEastAsia"/>
        </w:rPr>
        <w:t>三、积极支持A级物流企业申报工作</w:t>
      </w:r>
      <w:r>
        <w:tab/>
      </w:r>
      <w:r>
        <w:fldChar w:fldCharType="begin"/>
      </w:r>
      <w:r>
        <w:instrText xml:space="preserve"> PAGEREF _Toc79497995 \h </w:instrText>
      </w:r>
      <w:r>
        <w:fldChar w:fldCharType="separate"/>
      </w:r>
      <w:r>
        <w:t>90</w:t>
      </w:r>
      <w:r>
        <w:fldChar w:fldCharType="end"/>
      </w:r>
      <w:r>
        <w:fldChar w:fldCharType="end"/>
      </w:r>
    </w:p>
    <w:p w14:paraId="1CE39BD5">
      <w:pPr>
        <w:pStyle w:val="28"/>
        <w:tabs>
          <w:tab w:val="right" w:leader="dot" w:pos="8296"/>
        </w:tabs>
      </w:pPr>
      <w:r>
        <w:fldChar w:fldCharType="begin"/>
      </w:r>
      <w:r>
        <w:instrText xml:space="preserve"> HYPERLINK \l "_Toc79497996" </w:instrText>
      </w:r>
      <w:r>
        <w:fldChar w:fldCharType="separate"/>
      </w:r>
      <w:r>
        <w:rPr>
          <w:rStyle w:val="47"/>
        </w:rPr>
        <w:t>第三节 加快推动多业协同融合发展</w:t>
      </w:r>
      <w:r>
        <w:tab/>
      </w:r>
      <w:r>
        <w:fldChar w:fldCharType="begin"/>
      </w:r>
      <w:r>
        <w:instrText xml:space="preserve"> PAGEREF _Toc79497996 \h </w:instrText>
      </w:r>
      <w:r>
        <w:fldChar w:fldCharType="separate"/>
      </w:r>
      <w:r>
        <w:t>91</w:t>
      </w:r>
      <w:r>
        <w:fldChar w:fldCharType="end"/>
      </w:r>
      <w:r>
        <w:fldChar w:fldCharType="end"/>
      </w:r>
    </w:p>
    <w:p w14:paraId="62DDEBE8">
      <w:pPr>
        <w:pStyle w:val="21"/>
        <w:tabs>
          <w:tab w:val="left" w:pos="1260"/>
          <w:tab w:val="right" w:leader="dot" w:pos="8296"/>
        </w:tabs>
      </w:pPr>
      <w:r>
        <w:fldChar w:fldCharType="begin"/>
      </w:r>
      <w:r>
        <w:instrText xml:space="preserve"> HYPERLINK \l "_Toc79497997" </w:instrText>
      </w:r>
      <w:r>
        <w:fldChar w:fldCharType="separate"/>
      </w:r>
      <w:r>
        <w:rPr>
          <w:rStyle w:val="47"/>
          <w:rFonts w:ascii="黑体" w:hAnsi="黑体" w:eastAsia="黑体"/>
        </w:rPr>
        <w:t>第七章</w:t>
      </w:r>
      <w:r>
        <w:tab/>
      </w:r>
      <w:r>
        <w:rPr>
          <w:rStyle w:val="47"/>
          <w:rFonts w:ascii="黑体" w:hAnsi="黑体" w:eastAsia="黑体"/>
        </w:rPr>
        <w:t>产业发展效果展望</w:t>
      </w:r>
      <w:r>
        <w:tab/>
      </w:r>
      <w:r>
        <w:fldChar w:fldCharType="begin"/>
      </w:r>
      <w:r>
        <w:instrText xml:space="preserve"> PAGEREF _Toc79497997 \h </w:instrText>
      </w:r>
      <w:r>
        <w:fldChar w:fldCharType="separate"/>
      </w:r>
      <w:r>
        <w:t>94</w:t>
      </w:r>
      <w:r>
        <w:fldChar w:fldCharType="end"/>
      </w:r>
      <w:r>
        <w:fldChar w:fldCharType="end"/>
      </w:r>
    </w:p>
    <w:p w14:paraId="76AFFF97">
      <w:pPr>
        <w:pStyle w:val="28"/>
        <w:tabs>
          <w:tab w:val="right" w:leader="dot" w:pos="8296"/>
        </w:tabs>
      </w:pPr>
      <w:r>
        <w:fldChar w:fldCharType="begin"/>
      </w:r>
      <w:r>
        <w:instrText xml:space="preserve"> HYPERLINK \l "_Toc79497998" </w:instrText>
      </w:r>
      <w:r>
        <w:fldChar w:fldCharType="separate"/>
      </w:r>
      <w:r>
        <w:rPr>
          <w:rStyle w:val="47"/>
        </w:rPr>
        <w:t>第一节 经济效益分析</w:t>
      </w:r>
      <w:r>
        <w:tab/>
      </w:r>
      <w:r>
        <w:fldChar w:fldCharType="begin"/>
      </w:r>
      <w:r>
        <w:instrText xml:space="preserve"> PAGEREF _Toc79497998 \h </w:instrText>
      </w:r>
      <w:r>
        <w:fldChar w:fldCharType="separate"/>
      </w:r>
      <w:r>
        <w:t>94</w:t>
      </w:r>
      <w:r>
        <w:fldChar w:fldCharType="end"/>
      </w:r>
      <w:r>
        <w:fldChar w:fldCharType="end"/>
      </w:r>
    </w:p>
    <w:p w14:paraId="58ED3BAA">
      <w:pPr>
        <w:pStyle w:val="28"/>
        <w:tabs>
          <w:tab w:val="right" w:leader="dot" w:pos="8296"/>
        </w:tabs>
      </w:pPr>
      <w:r>
        <w:fldChar w:fldCharType="begin"/>
      </w:r>
      <w:r>
        <w:instrText xml:space="preserve"> HYPERLINK \l "_Toc79497999" </w:instrText>
      </w:r>
      <w:r>
        <w:fldChar w:fldCharType="separate"/>
      </w:r>
      <w:r>
        <w:rPr>
          <w:rStyle w:val="47"/>
        </w:rPr>
        <w:t>第二节 社会效益分析</w:t>
      </w:r>
      <w:r>
        <w:tab/>
      </w:r>
      <w:r>
        <w:fldChar w:fldCharType="begin"/>
      </w:r>
      <w:r>
        <w:instrText xml:space="preserve"> PAGEREF _Toc79497999 \h </w:instrText>
      </w:r>
      <w:r>
        <w:fldChar w:fldCharType="separate"/>
      </w:r>
      <w:r>
        <w:t>94</w:t>
      </w:r>
      <w:r>
        <w:fldChar w:fldCharType="end"/>
      </w:r>
      <w:r>
        <w:fldChar w:fldCharType="end"/>
      </w:r>
    </w:p>
    <w:p w14:paraId="2016D3AF">
      <w:pPr>
        <w:pStyle w:val="15"/>
        <w:tabs>
          <w:tab w:val="right" w:leader="dot" w:pos="8296"/>
        </w:tabs>
      </w:pPr>
      <w:r>
        <w:fldChar w:fldCharType="begin"/>
      </w:r>
      <w:r>
        <w:instrText xml:space="preserve"> HYPERLINK \l "_Toc79498000" </w:instrText>
      </w:r>
      <w:r>
        <w:fldChar w:fldCharType="separate"/>
      </w:r>
      <w:r>
        <w:rPr>
          <w:rStyle w:val="47"/>
          <w:rFonts w:asciiTheme="minorEastAsia" w:hAnsiTheme="minorEastAsia"/>
        </w:rPr>
        <w:t>一、</w:t>
      </w:r>
      <w:r>
        <w:rPr>
          <w:rStyle w:val="47"/>
        </w:rPr>
        <w:t>改善区域投资环境，利于凌源招商引资</w:t>
      </w:r>
      <w:r>
        <w:tab/>
      </w:r>
      <w:r>
        <w:fldChar w:fldCharType="begin"/>
      </w:r>
      <w:r>
        <w:instrText xml:space="preserve"> PAGEREF _Toc79498000 \h </w:instrText>
      </w:r>
      <w:r>
        <w:fldChar w:fldCharType="separate"/>
      </w:r>
      <w:r>
        <w:t>94</w:t>
      </w:r>
      <w:r>
        <w:fldChar w:fldCharType="end"/>
      </w:r>
      <w:r>
        <w:fldChar w:fldCharType="end"/>
      </w:r>
    </w:p>
    <w:p w14:paraId="26C39BC5">
      <w:pPr>
        <w:pStyle w:val="15"/>
        <w:tabs>
          <w:tab w:val="right" w:leader="dot" w:pos="8296"/>
        </w:tabs>
      </w:pPr>
      <w:r>
        <w:fldChar w:fldCharType="begin"/>
      </w:r>
      <w:r>
        <w:instrText xml:space="preserve"> HYPERLINK \l "_Toc79498001" </w:instrText>
      </w:r>
      <w:r>
        <w:fldChar w:fldCharType="separate"/>
      </w:r>
      <w:r>
        <w:rPr>
          <w:rStyle w:val="47"/>
          <w:rFonts w:asciiTheme="minorEastAsia" w:hAnsiTheme="minorEastAsia"/>
        </w:rPr>
        <w:t>二、</w:t>
      </w:r>
      <w:r>
        <w:rPr>
          <w:rStyle w:val="47"/>
        </w:rPr>
        <w:t>整合区域物流资源，利于实现集聚效应</w:t>
      </w:r>
      <w:r>
        <w:tab/>
      </w:r>
      <w:r>
        <w:fldChar w:fldCharType="begin"/>
      </w:r>
      <w:r>
        <w:instrText xml:space="preserve"> PAGEREF _Toc79498001 \h </w:instrText>
      </w:r>
      <w:r>
        <w:fldChar w:fldCharType="separate"/>
      </w:r>
      <w:r>
        <w:t>95</w:t>
      </w:r>
      <w:r>
        <w:fldChar w:fldCharType="end"/>
      </w:r>
      <w:r>
        <w:fldChar w:fldCharType="end"/>
      </w:r>
    </w:p>
    <w:p w14:paraId="393B9B13">
      <w:pPr>
        <w:pStyle w:val="15"/>
        <w:tabs>
          <w:tab w:val="right" w:leader="dot" w:pos="8296"/>
        </w:tabs>
      </w:pPr>
      <w:r>
        <w:fldChar w:fldCharType="begin"/>
      </w:r>
      <w:r>
        <w:instrText xml:space="preserve"> HYPERLINK \l "_Toc79498002" </w:instrText>
      </w:r>
      <w:r>
        <w:fldChar w:fldCharType="separate"/>
      </w:r>
      <w:r>
        <w:rPr>
          <w:rStyle w:val="47"/>
        </w:rPr>
        <w:t>三、壮大凌源主导产业，促进产业优化升级</w:t>
      </w:r>
      <w:r>
        <w:tab/>
      </w:r>
      <w:r>
        <w:fldChar w:fldCharType="begin"/>
      </w:r>
      <w:r>
        <w:instrText xml:space="preserve"> PAGEREF _Toc79498002 \h </w:instrText>
      </w:r>
      <w:r>
        <w:fldChar w:fldCharType="separate"/>
      </w:r>
      <w:r>
        <w:t>95</w:t>
      </w:r>
      <w:r>
        <w:fldChar w:fldCharType="end"/>
      </w:r>
      <w:r>
        <w:fldChar w:fldCharType="end"/>
      </w:r>
    </w:p>
    <w:p w14:paraId="3EB8FED2">
      <w:pPr>
        <w:pStyle w:val="15"/>
        <w:tabs>
          <w:tab w:val="right" w:leader="dot" w:pos="8296"/>
        </w:tabs>
      </w:pPr>
      <w:r>
        <w:fldChar w:fldCharType="begin"/>
      </w:r>
      <w:r>
        <w:instrText xml:space="preserve"> HYPERLINK \l "_Toc79498003" </w:instrText>
      </w:r>
      <w:r>
        <w:fldChar w:fldCharType="separate"/>
      </w:r>
      <w:r>
        <w:rPr>
          <w:rStyle w:val="47"/>
          <w:rFonts w:asciiTheme="minorEastAsia" w:hAnsiTheme="minorEastAsia"/>
        </w:rPr>
        <w:t>四、</w:t>
      </w:r>
      <w:r>
        <w:rPr>
          <w:rStyle w:val="47"/>
        </w:rPr>
        <w:t>缓解城市交通压力，改善城市生态环境</w:t>
      </w:r>
      <w:r>
        <w:tab/>
      </w:r>
      <w:r>
        <w:fldChar w:fldCharType="begin"/>
      </w:r>
      <w:r>
        <w:instrText xml:space="preserve"> PAGEREF _Toc79498003 \h </w:instrText>
      </w:r>
      <w:r>
        <w:fldChar w:fldCharType="separate"/>
      </w:r>
      <w:r>
        <w:t>96</w:t>
      </w:r>
      <w:r>
        <w:fldChar w:fldCharType="end"/>
      </w:r>
      <w:r>
        <w:fldChar w:fldCharType="end"/>
      </w:r>
    </w:p>
    <w:p w14:paraId="5A148CBD">
      <w:pPr>
        <w:pStyle w:val="15"/>
        <w:tabs>
          <w:tab w:val="right" w:leader="dot" w:pos="8296"/>
        </w:tabs>
      </w:pPr>
      <w:r>
        <w:fldChar w:fldCharType="begin"/>
      </w:r>
      <w:r>
        <w:instrText xml:space="preserve"> HYPERLINK \l "_Toc79498004" </w:instrText>
      </w:r>
      <w:r>
        <w:fldChar w:fldCharType="separate"/>
      </w:r>
      <w:r>
        <w:rPr>
          <w:rStyle w:val="47"/>
          <w:rFonts w:asciiTheme="minorEastAsia" w:hAnsiTheme="minorEastAsia"/>
        </w:rPr>
        <w:t>五、增加地方财政收入，提高第三产业比重</w:t>
      </w:r>
      <w:r>
        <w:tab/>
      </w:r>
      <w:r>
        <w:fldChar w:fldCharType="begin"/>
      </w:r>
      <w:r>
        <w:instrText xml:space="preserve"> PAGEREF _Toc79498004 \h </w:instrText>
      </w:r>
      <w:r>
        <w:fldChar w:fldCharType="separate"/>
      </w:r>
      <w:r>
        <w:t>96</w:t>
      </w:r>
      <w:r>
        <w:fldChar w:fldCharType="end"/>
      </w:r>
      <w:r>
        <w:fldChar w:fldCharType="end"/>
      </w:r>
    </w:p>
    <w:p w14:paraId="61680F51">
      <w:pPr>
        <w:pStyle w:val="15"/>
        <w:tabs>
          <w:tab w:val="right" w:leader="dot" w:pos="8296"/>
        </w:tabs>
      </w:pPr>
      <w:r>
        <w:fldChar w:fldCharType="begin"/>
      </w:r>
      <w:r>
        <w:instrText xml:space="preserve"> HYPERLINK \l "_Toc79498005" </w:instrText>
      </w:r>
      <w:r>
        <w:fldChar w:fldCharType="separate"/>
      </w:r>
      <w:r>
        <w:rPr>
          <w:rStyle w:val="47"/>
          <w:rFonts w:asciiTheme="minorEastAsia" w:hAnsiTheme="minorEastAsia"/>
        </w:rPr>
        <w:t>六、增加居民就业机会，助推社会和谐发展</w:t>
      </w:r>
      <w:r>
        <w:tab/>
      </w:r>
      <w:r>
        <w:fldChar w:fldCharType="begin"/>
      </w:r>
      <w:r>
        <w:instrText xml:space="preserve"> PAGEREF _Toc79498005 \h </w:instrText>
      </w:r>
      <w:r>
        <w:fldChar w:fldCharType="separate"/>
      </w:r>
      <w:r>
        <w:t>96</w:t>
      </w:r>
      <w:r>
        <w:fldChar w:fldCharType="end"/>
      </w:r>
      <w:r>
        <w:fldChar w:fldCharType="end"/>
      </w:r>
    </w:p>
    <w:p w14:paraId="70207C67">
      <w:pPr>
        <w:pStyle w:val="21"/>
        <w:tabs>
          <w:tab w:val="left" w:pos="1260"/>
          <w:tab w:val="right" w:leader="dot" w:pos="8296"/>
        </w:tabs>
      </w:pPr>
      <w:r>
        <w:fldChar w:fldCharType="begin"/>
      </w:r>
      <w:r>
        <w:instrText xml:space="preserve"> HYPERLINK \l "_Toc79498006" </w:instrText>
      </w:r>
      <w:r>
        <w:fldChar w:fldCharType="separate"/>
      </w:r>
      <w:r>
        <w:rPr>
          <w:rStyle w:val="47"/>
          <w:rFonts w:ascii="黑体" w:hAnsi="黑体" w:eastAsia="黑体"/>
        </w:rPr>
        <w:t>第八章</w:t>
      </w:r>
      <w:r>
        <w:tab/>
      </w:r>
      <w:r>
        <w:rPr>
          <w:rStyle w:val="47"/>
          <w:rFonts w:ascii="黑体" w:hAnsi="黑体" w:eastAsia="黑体"/>
        </w:rPr>
        <w:t>保障措施与实施建议</w:t>
      </w:r>
      <w:r>
        <w:tab/>
      </w:r>
      <w:r>
        <w:fldChar w:fldCharType="begin"/>
      </w:r>
      <w:r>
        <w:instrText xml:space="preserve"> PAGEREF _Toc79498006 \h </w:instrText>
      </w:r>
      <w:r>
        <w:fldChar w:fldCharType="separate"/>
      </w:r>
      <w:r>
        <w:t>98</w:t>
      </w:r>
      <w:r>
        <w:fldChar w:fldCharType="end"/>
      </w:r>
      <w:r>
        <w:fldChar w:fldCharType="end"/>
      </w:r>
    </w:p>
    <w:p w14:paraId="29515D6D">
      <w:pPr>
        <w:pStyle w:val="28"/>
        <w:tabs>
          <w:tab w:val="right" w:leader="dot" w:pos="8296"/>
        </w:tabs>
      </w:pPr>
      <w:r>
        <w:fldChar w:fldCharType="begin"/>
      </w:r>
      <w:r>
        <w:instrText xml:space="preserve"> HYPERLINK \l "_Toc79498007" </w:instrText>
      </w:r>
      <w:r>
        <w:fldChar w:fldCharType="separate"/>
      </w:r>
      <w:r>
        <w:rPr>
          <w:rStyle w:val="47"/>
        </w:rPr>
        <w:t>第一节 保障措施</w:t>
      </w:r>
      <w:r>
        <w:tab/>
      </w:r>
      <w:r>
        <w:fldChar w:fldCharType="begin"/>
      </w:r>
      <w:r>
        <w:instrText xml:space="preserve"> PAGEREF _Toc79498007 \h </w:instrText>
      </w:r>
      <w:r>
        <w:fldChar w:fldCharType="separate"/>
      </w:r>
      <w:r>
        <w:t>98</w:t>
      </w:r>
      <w:r>
        <w:fldChar w:fldCharType="end"/>
      </w:r>
      <w:r>
        <w:fldChar w:fldCharType="end"/>
      </w:r>
    </w:p>
    <w:p w14:paraId="3179E88E">
      <w:pPr>
        <w:pStyle w:val="15"/>
        <w:tabs>
          <w:tab w:val="right" w:leader="dot" w:pos="8296"/>
        </w:tabs>
      </w:pPr>
      <w:r>
        <w:fldChar w:fldCharType="begin"/>
      </w:r>
      <w:r>
        <w:instrText xml:space="preserve"> HYPERLINK \l "_Toc79498008" </w:instrText>
      </w:r>
      <w:r>
        <w:fldChar w:fldCharType="separate"/>
      </w:r>
      <w:r>
        <w:rPr>
          <w:rStyle w:val="47"/>
          <w:rFonts w:asciiTheme="minorEastAsia" w:hAnsiTheme="minorEastAsia"/>
        </w:rPr>
        <w:t>一、加强组织体系保障</w:t>
      </w:r>
      <w:r>
        <w:tab/>
      </w:r>
      <w:r>
        <w:fldChar w:fldCharType="begin"/>
      </w:r>
      <w:r>
        <w:instrText xml:space="preserve"> PAGEREF _Toc79498008 \h </w:instrText>
      </w:r>
      <w:r>
        <w:fldChar w:fldCharType="separate"/>
      </w:r>
      <w:r>
        <w:t>98</w:t>
      </w:r>
      <w:r>
        <w:fldChar w:fldCharType="end"/>
      </w:r>
      <w:r>
        <w:fldChar w:fldCharType="end"/>
      </w:r>
    </w:p>
    <w:p w14:paraId="2CDB4DC7">
      <w:pPr>
        <w:pStyle w:val="15"/>
        <w:tabs>
          <w:tab w:val="right" w:leader="dot" w:pos="8296"/>
        </w:tabs>
      </w:pPr>
      <w:r>
        <w:fldChar w:fldCharType="begin"/>
      </w:r>
      <w:r>
        <w:instrText xml:space="preserve"> HYPERLINK \l "_Toc79498009" </w:instrText>
      </w:r>
      <w:r>
        <w:fldChar w:fldCharType="separate"/>
      </w:r>
      <w:r>
        <w:rPr>
          <w:rStyle w:val="47"/>
          <w:rFonts w:asciiTheme="minorEastAsia" w:hAnsiTheme="minorEastAsia"/>
        </w:rPr>
        <w:t>二、注重产业规划引领</w:t>
      </w:r>
      <w:r>
        <w:tab/>
      </w:r>
      <w:r>
        <w:fldChar w:fldCharType="begin"/>
      </w:r>
      <w:r>
        <w:instrText xml:space="preserve"> PAGEREF _Toc79498009 \h </w:instrText>
      </w:r>
      <w:r>
        <w:fldChar w:fldCharType="separate"/>
      </w:r>
      <w:r>
        <w:t>98</w:t>
      </w:r>
      <w:r>
        <w:fldChar w:fldCharType="end"/>
      </w:r>
      <w:r>
        <w:fldChar w:fldCharType="end"/>
      </w:r>
    </w:p>
    <w:p w14:paraId="74439BFD">
      <w:pPr>
        <w:pStyle w:val="15"/>
        <w:tabs>
          <w:tab w:val="right" w:leader="dot" w:pos="8296"/>
        </w:tabs>
      </w:pPr>
      <w:r>
        <w:fldChar w:fldCharType="begin"/>
      </w:r>
      <w:r>
        <w:instrText xml:space="preserve"> HYPERLINK \l "_Toc79498010" </w:instrText>
      </w:r>
      <w:r>
        <w:fldChar w:fldCharType="separate"/>
      </w:r>
      <w:r>
        <w:rPr>
          <w:rStyle w:val="47"/>
          <w:rFonts w:asciiTheme="minorEastAsia" w:hAnsiTheme="minorEastAsia"/>
        </w:rPr>
        <w:t>三、强化主体培育引进</w:t>
      </w:r>
      <w:r>
        <w:tab/>
      </w:r>
      <w:r>
        <w:fldChar w:fldCharType="begin"/>
      </w:r>
      <w:r>
        <w:instrText xml:space="preserve"> PAGEREF _Toc79498010 \h </w:instrText>
      </w:r>
      <w:r>
        <w:fldChar w:fldCharType="separate"/>
      </w:r>
      <w:r>
        <w:t>99</w:t>
      </w:r>
      <w:r>
        <w:fldChar w:fldCharType="end"/>
      </w:r>
      <w:r>
        <w:fldChar w:fldCharType="end"/>
      </w:r>
    </w:p>
    <w:p w14:paraId="60C42ACD">
      <w:pPr>
        <w:pStyle w:val="15"/>
        <w:tabs>
          <w:tab w:val="right" w:leader="dot" w:pos="8296"/>
        </w:tabs>
      </w:pPr>
      <w:r>
        <w:fldChar w:fldCharType="begin"/>
      </w:r>
      <w:r>
        <w:instrText xml:space="preserve"> HYPERLINK \l "_Toc79498011" </w:instrText>
      </w:r>
      <w:r>
        <w:fldChar w:fldCharType="separate"/>
      </w:r>
      <w:r>
        <w:rPr>
          <w:rStyle w:val="47"/>
          <w:rFonts w:asciiTheme="minorEastAsia" w:hAnsiTheme="minorEastAsia"/>
        </w:rPr>
        <w:t>四、引进培养物流人才</w:t>
      </w:r>
      <w:r>
        <w:tab/>
      </w:r>
      <w:r>
        <w:fldChar w:fldCharType="begin"/>
      </w:r>
      <w:r>
        <w:instrText xml:space="preserve"> PAGEREF _Toc79498011 \h </w:instrText>
      </w:r>
      <w:r>
        <w:fldChar w:fldCharType="separate"/>
      </w:r>
      <w:r>
        <w:t>99</w:t>
      </w:r>
      <w:r>
        <w:fldChar w:fldCharType="end"/>
      </w:r>
      <w:r>
        <w:fldChar w:fldCharType="end"/>
      </w:r>
    </w:p>
    <w:p w14:paraId="60AAD7E8">
      <w:pPr>
        <w:pStyle w:val="15"/>
        <w:tabs>
          <w:tab w:val="right" w:leader="dot" w:pos="8296"/>
        </w:tabs>
      </w:pPr>
      <w:r>
        <w:fldChar w:fldCharType="begin"/>
      </w:r>
      <w:r>
        <w:instrText xml:space="preserve"> HYPERLINK \l "_Toc79498012" </w:instrText>
      </w:r>
      <w:r>
        <w:fldChar w:fldCharType="separate"/>
      </w:r>
      <w:r>
        <w:rPr>
          <w:rStyle w:val="47"/>
          <w:rFonts w:asciiTheme="minorEastAsia" w:hAnsiTheme="minorEastAsia"/>
        </w:rPr>
        <w:t>五、建立合作联动机制</w:t>
      </w:r>
      <w:r>
        <w:tab/>
      </w:r>
      <w:r>
        <w:fldChar w:fldCharType="begin"/>
      </w:r>
      <w:r>
        <w:instrText xml:space="preserve"> PAGEREF _Toc79498012 \h </w:instrText>
      </w:r>
      <w:r>
        <w:fldChar w:fldCharType="separate"/>
      </w:r>
      <w:r>
        <w:t>100</w:t>
      </w:r>
      <w:r>
        <w:fldChar w:fldCharType="end"/>
      </w:r>
      <w:r>
        <w:fldChar w:fldCharType="end"/>
      </w:r>
    </w:p>
    <w:p w14:paraId="1529CC88">
      <w:pPr>
        <w:pStyle w:val="15"/>
        <w:tabs>
          <w:tab w:val="right" w:leader="dot" w:pos="8296"/>
        </w:tabs>
      </w:pPr>
      <w:r>
        <w:fldChar w:fldCharType="begin"/>
      </w:r>
      <w:r>
        <w:instrText xml:space="preserve"> HYPERLINK \l "_Toc79498013" </w:instrText>
      </w:r>
      <w:r>
        <w:fldChar w:fldCharType="separate"/>
      </w:r>
      <w:r>
        <w:rPr>
          <w:rStyle w:val="47"/>
          <w:rFonts w:asciiTheme="minorEastAsia" w:hAnsiTheme="minorEastAsia"/>
        </w:rPr>
        <w:t>六、加强行业统计工作</w:t>
      </w:r>
      <w:r>
        <w:tab/>
      </w:r>
      <w:r>
        <w:fldChar w:fldCharType="begin"/>
      </w:r>
      <w:r>
        <w:instrText xml:space="preserve"> PAGEREF _Toc79498013 \h </w:instrText>
      </w:r>
      <w:r>
        <w:fldChar w:fldCharType="separate"/>
      </w:r>
      <w:r>
        <w:t>100</w:t>
      </w:r>
      <w:r>
        <w:fldChar w:fldCharType="end"/>
      </w:r>
      <w:r>
        <w:fldChar w:fldCharType="end"/>
      </w:r>
    </w:p>
    <w:p w14:paraId="7F982A6F">
      <w:pPr>
        <w:pStyle w:val="15"/>
        <w:tabs>
          <w:tab w:val="right" w:leader="dot" w:pos="8296"/>
        </w:tabs>
      </w:pPr>
      <w:r>
        <w:fldChar w:fldCharType="begin"/>
      </w:r>
      <w:r>
        <w:instrText xml:space="preserve"> HYPERLINK \l "_Toc79498014" </w:instrText>
      </w:r>
      <w:r>
        <w:fldChar w:fldCharType="separate"/>
      </w:r>
      <w:r>
        <w:rPr>
          <w:rStyle w:val="47"/>
          <w:rFonts w:asciiTheme="minorEastAsia" w:hAnsiTheme="minorEastAsia"/>
        </w:rPr>
        <w:t>七、完善产业政策体系</w:t>
      </w:r>
      <w:r>
        <w:tab/>
      </w:r>
      <w:r>
        <w:fldChar w:fldCharType="begin"/>
      </w:r>
      <w:r>
        <w:instrText xml:space="preserve"> PAGEREF _Toc79498014 \h </w:instrText>
      </w:r>
      <w:r>
        <w:fldChar w:fldCharType="separate"/>
      </w:r>
      <w:r>
        <w:t>101</w:t>
      </w:r>
      <w:r>
        <w:fldChar w:fldCharType="end"/>
      </w:r>
      <w:r>
        <w:fldChar w:fldCharType="end"/>
      </w:r>
    </w:p>
    <w:p w14:paraId="0BA0EAE6">
      <w:pPr>
        <w:pStyle w:val="15"/>
        <w:tabs>
          <w:tab w:val="right" w:leader="dot" w:pos="8296"/>
        </w:tabs>
      </w:pPr>
      <w:r>
        <w:fldChar w:fldCharType="begin"/>
      </w:r>
      <w:r>
        <w:instrText xml:space="preserve"> HYPERLINK \l "_Toc79498015" </w:instrText>
      </w:r>
      <w:r>
        <w:fldChar w:fldCharType="separate"/>
      </w:r>
      <w:r>
        <w:rPr>
          <w:rStyle w:val="47"/>
          <w:rFonts w:asciiTheme="minorEastAsia" w:hAnsiTheme="minorEastAsia"/>
        </w:rPr>
        <w:t>八、强化招商引资服务</w:t>
      </w:r>
      <w:r>
        <w:tab/>
      </w:r>
      <w:r>
        <w:fldChar w:fldCharType="begin"/>
      </w:r>
      <w:r>
        <w:instrText xml:space="preserve"> PAGEREF _Toc79498015 \h </w:instrText>
      </w:r>
      <w:r>
        <w:fldChar w:fldCharType="separate"/>
      </w:r>
      <w:r>
        <w:t>101</w:t>
      </w:r>
      <w:r>
        <w:fldChar w:fldCharType="end"/>
      </w:r>
      <w:r>
        <w:fldChar w:fldCharType="end"/>
      </w:r>
    </w:p>
    <w:p w14:paraId="376035B9">
      <w:pPr>
        <w:pStyle w:val="28"/>
        <w:tabs>
          <w:tab w:val="right" w:leader="dot" w:pos="8296"/>
        </w:tabs>
      </w:pPr>
      <w:r>
        <w:fldChar w:fldCharType="begin"/>
      </w:r>
      <w:r>
        <w:instrText xml:space="preserve"> HYPERLINK \l "_Toc79498016" </w:instrText>
      </w:r>
      <w:r>
        <w:fldChar w:fldCharType="separate"/>
      </w:r>
      <w:r>
        <w:rPr>
          <w:rStyle w:val="47"/>
        </w:rPr>
        <w:t>第二节 实施建议</w:t>
      </w:r>
      <w:r>
        <w:tab/>
      </w:r>
      <w:r>
        <w:fldChar w:fldCharType="begin"/>
      </w:r>
      <w:r>
        <w:instrText xml:space="preserve"> PAGEREF _Toc79498016 \h </w:instrText>
      </w:r>
      <w:r>
        <w:fldChar w:fldCharType="separate"/>
      </w:r>
      <w:r>
        <w:t>102</w:t>
      </w:r>
      <w:r>
        <w:fldChar w:fldCharType="end"/>
      </w:r>
      <w:r>
        <w:fldChar w:fldCharType="end"/>
      </w:r>
    </w:p>
    <w:p w14:paraId="00F9CE95">
      <w:pPr>
        <w:pStyle w:val="15"/>
        <w:tabs>
          <w:tab w:val="right" w:leader="dot" w:pos="8296"/>
        </w:tabs>
      </w:pPr>
      <w:r>
        <w:fldChar w:fldCharType="begin"/>
      </w:r>
      <w:r>
        <w:instrText xml:space="preserve"> HYPERLINK \l "_Toc79498017" </w:instrText>
      </w:r>
      <w:r>
        <w:fldChar w:fldCharType="separate"/>
      </w:r>
      <w:r>
        <w:rPr>
          <w:rStyle w:val="47"/>
          <w:rFonts w:ascii="宋体" w:hAnsi="宋体" w:eastAsia="宋体"/>
        </w:rPr>
        <w:t>一、加大金融财税支持力度</w:t>
      </w:r>
      <w:r>
        <w:tab/>
      </w:r>
      <w:r>
        <w:fldChar w:fldCharType="begin"/>
      </w:r>
      <w:r>
        <w:instrText xml:space="preserve"> PAGEREF _Toc79498017 \h </w:instrText>
      </w:r>
      <w:r>
        <w:fldChar w:fldCharType="separate"/>
      </w:r>
      <w:r>
        <w:t>102</w:t>
      </w:r>
      <w:r>
        <w:fldChar w:fldCharType="end"/>
      </w:r>
      <w:r>
        <w:fldChar w:fldCharType="end"/>
      </w:r>
    </w:p>
    <w:p w14:paraId="0A76CB7A">
      <w:pPr>
        <w:pStyle w:val="15"/>
        <w:tabs>
          <w:tab w:val="right" w:leader="dot" w:pos="8296"/>
        </w:tabs>
      </w:pPr>
      <w:r>
        <w:fldChar w:fldCharType="begin"/>
      </w:r>
      <w:r>
        <w:instrText xml:space="preserve"> HYPERLINK \l "_Toc79498018" </w:instrText>
      </w:r>
      <w:r>
        <w:fldChar w:fldCharType="separate"/>
      </w:r>
      <w:r>
        <w:rPr>
          <w:rStyle w:val="47"/>
          <w:rFonts w:ascii="宋体" w:hAnsi="宋体" w:eastAsia="宋体"/>
        </w:rPr>
        <w:t>二、强化物流信息平台网络</w:t>
      </w:r>
      <w:r>
        <w:tab/>
      </w:r>
      <w:r>
        <w:fldChar w:fldCharType="begin"/>
      </w:r>
      <w:r>
        <w:instrText xml:space="preserve"> PAGEREF _Toc79498018 \h </w:instrText>
      </w:r>
      <w:r>
        <w:fldChar w:fldCharType="separate"/>
      </w:r>
      <w:r>
        <w:t>102</w:t>
      </w:r>
      <w:r>
        <w:fldChar w:fldCharType="end"/>
      </w:r>
      <w:r>
        <w:fldChar w:fldCharType="end"/>
      </w:r>
    </w:p>
    <w:p w14:paraId="0A68B448">
      <w:pPr>
        <w:pStyle w:val="15"/>
        <w:tabs>
          <w:tab w:val="right" w:leader="dot" w:pos="8296"/>
        </w:tabs>
      </w:pPr>
      <w:r>
        <w:fldChar w:fldCharType="begin"/>
      </w:r>
      <w:r>
        <w:instrText xml:space="preserve"> HYPERLINK \l "_Toc79498019" </w:instrText>
      </w:r>
      <w:r>
        <w:fldChar w:fldCharType="separate"/>
      </w:r>
      <w:r>
        <w:rPr>
          <w:rStyle w:val="47"/>
          <w:rFonts w:ascii="宋体" w:hAnsi="宋体" w:eastAsia="宋体"/>
        </w:rPr>
        <w:t>三、大力推动区域货源集聚</w:t>
      </w:r>
      <w:r>
        <w:tab/>
      </w:r>
      <w:r>
        <w:fldChar w:fldCharType="begin"/>
      </w:r>
      <w:r>
        <w:instrText xml:space="preserve"> PAGEREF _Toc79498019 \h </w:instrText>
      </w:r>
      <w:r>
        <w:fldChar w:fldCharType="separate"/>
      </w:r>
      <w:r>
        <w:t>103</w:t>
      </w:r>
      <w:r>
        <w:fldChar w:fldCharType="end"/>
      </w:r>
      <w:r>
        <w:fldChar w:fldCharType="end"/>
      </w:r>
    </w:p>
    <w:p w14:paraId="6DD8EC88">
      <w:pPr>
        <w:pStyle w:val="15"/>
        <w:tabs>
          <w:tab w:val="right" w:leader="dot" w:pos="8296"/>
        </w:tabs>
      </w:pPr>
      <w:r>
        <w:fldChar w:fldCharType="begin"/>
      </w:r>
      <w:r>
        <w:instrText xml:space="preserve"> HYPERLINK \l "_Toc79498020" </w:instrText>
      </w:r>
      <w:r>
        <w:fldChar w:fldCharType="separate"/>
      </w:r>
      <w:r>
        <w:rPr>
          <w:rStyle w:val="47"/>
          <w:rFonts w:ascii="宋体" w:hAnsi="宋体" w:eastAsia="宋体"/>
        </w:rPr>
        <w:t>四、充分发挥龙头引领作用</w:t>
      </w:r>
      <w:r>
        <w:tab/>
      </w:r>
      <w:r>
        <w:fldChar w:fldCharType="begin"/>
      </w:r>
      <w:r>
        <w:instrText xml:space="preserve"> PAGEREF _Toc79498020 \h </w:instrText>
      </w:r>
      <w:r>
        <w:fldChar w:fldCharType="separate"/>
      </w:r>
      <w:r>
        <w:t>104</w:t>
      </w:r>
      <w:r>
        <w:fldChar w:fldCharType="end"/>
      </w:r>
      <w:r>
        <w:fldChar w:fldCharType="end"/>
      </w:r>
    </w:p>
    <w:p w14:paraId="35F712B5">
      <w:pPr>
        <w:pStyle w:val="15"/>
        <w:tabs>
          <w:tab w:val="right" w:leader="dot" w:pos="8296"/>
        </w:tabs>
      </w:pPr>
      <w:r>
        <w:fldChar w:fldCharType="begin"/>
      </w:r>
      <w:r>
        <w:instrText xml:space="preserve"> HYPERLINK \l "_Toc79498021" </w:instrText>
      </w:r>
      <w:r>
        <w:fldChar w:fldCharType="separate"/>
      </w:r>
      <w:r>
        <w:rPr>
          <w:rStyle w:val="47"/>
          <w:rFonts w:ascii="宋体" w:hAnsi="宋体" w:eastAsia="宋体"/>
        </w:rPr>
        <w:t>五、加快推进区域交通基础设施建设</w:t>
      </w:r>
      <w:r>
        <w:tab/>
      </w:r>
      <w:r>
        <w:fldChar w:fldCharType="begin"/>
      </w:r>
      <w:r>
        <w:instrText xml:space="preserve"> PAGEREF _Toc79498021 \h </w:instrText>
      </w:r>
      <w:r>
        <w:fldChar w:fldCharType="separate"/>
      </w:r>
      <w:r>
        <w:t>105</w:t>
      </w:r>
      <w:r>
        <w:fldChar w:fldCharType="end"/>
      </w:r>
      <w:r>
        <w:fldChar w:fldCharType="end"/>
      </w:r>
    </w:p>
    <w:p w14:paraId="62957E32">
      <w:pPr>
        <w:pStyle w:val="15"/>
        <w:tabs>
          <w:tab w:val="right" w:leader="dot" w:pos="8296"/>
        </w:tabs>
      </w:pPr>
      <w:r>
        <w:fldChar w:fldCharType="begin"/>
      </w:r>
      <w:r>
        <w:instrText xml:space="preserve"> HYPERLINK \l "_Toc79498022" </w:instrText>
      </w:r>
      <w:r>
        <w:fldChar w:fldCharType="separate"/>
      </w:r>
      <w:r>
        <w:rPr>
          <w:rStyle w:val="47"/>
          <w:rFonts w:ascii="宋体" w:hAnsi="宋体" w:eastAsia="宋体"/>
        </w:rPr>
        <w:t>六、加快推进区域商贸业与物流业集聚发展</w:t>
      </w:r>
      <w:r>
        <w:tab/>
      </w:r>
      <w:r>
        <w:fldChar w:fldCharType="begin"/>
      </w:r>
      <w:r>
        <w:instrText xml:space="preserve"> PAGEREF _Toc79498022 \h </w:instrText>
      </w:r>
      <w:r>
        <w:fldChar w:fldCharType="separate"/>
      </w:r>
      <w:r>
        <w:t>106</w:t>
      </w:r>
      <w:r>
        <w:fldChar w:fldCharType="end"/>
      </w:r>
      <w:r>
        <w:fldChar w:fldCharType="end"/>
      </w:r>
    </w:p>
    <w:p w14:paraId="1C173934">
      <w:pPr>
        <w:pStyle w:val="15"/>
        <w:tabs>
          <w:tab w:val="right" w:leader="dot" w:pos="8296"/>
        </w:tabs>
      </w:pPr>
      <w:r>
        <w:fldChar w:fldCharType="begin"/>
      </w:r>
      <w:r>
        <w:instrText xml:space="preserve"> HYPERLINK \l "_Toc79498023" </w:instrText>
      </w:r>
      <w:r>
        <w:fldChar w:fldCharType="separate"/>
      </w:r>
      <w:r>
        <w:rPr>
          <w:rStyle w:val="47"/>
          <w:rFonts w:ascii="宋体" w:hAnsi="宋体" w:eastAsia="宋体"/>
        </w:rPr>
        <w:t>七、加快推进供应链物流服务业态发展</w:t>
      </w:r>
      <w:r>
        <w:tab/>
      </w:r>
      <w:r>
        <w:fldChar w:fldCharType="begin"/>
      </w:r>
      <w:r>
        <w:instrText xml:space="preserve"> PAGEREF _Toc79498023 \h </w:instrText>
      </w:r>
      <w:r>
        <w:fldChar w:fldCharType="separate"/>
      </w:r>
      <w:r>
        <w:t>107</w:t>
      </w:r>
      <w:r>
        <w:fldChar w:fldCharType="end"/>
      </w:r>
      <w:r>
        <w:fldChar w:fldCharType="end"/>
      </w:r>
    </w:p>
    <w:p w14:paraId="41FA4F17">
      <w:pPr>
        <w:pStyle w:val="15"/>
        <w:tabs>
          <w:tab w:val="right" w:leader="dot" w:pos="8296"/>
        </w:tabs>
      </w:pPr>
      <w:r>
        <w:fldChar w:fldCharType="begin"/>
      </w:r>
      <w:r>
        <w:instrText xml:space="preserve"> HYPERLINK \l "_Toc79498024" </w:instrText>
      </w:r>
      <w:r>
        <w:fldChar w:fldCharType="separate"/>
      </w:r>
      <w:r>
        <w:rPr>
          <w:rStyle w:val="47"/>
          <w:rFonts w:ascii="宋体" w:hAnsi="宋体" w:eastAsia="宋体"/>
        </w:rPr>
        <w:t>八、加快推进辽冀蒙物流结算中心建设</w:t>
      </w:r>
      <w:r>
        <w:tab/>
      </w:r>
      <w:r>
        <w:fldChar w:fldCharType="begin"/>
      </w:r>
      <w:r>
        <w:instrText xml:space="preserve"> PAGEREF _Toc79498024 \h </w:instrText>
      </w:r>
      <w:r>
        <w:fldChar w:fldCharType="separate"/>
      </w:r>
      <w:r>
        <w:t>108</w:t>
      </w:r>
      <w:r>
        <w:fldChar w:fldCharType="end"/>
      </w:r>
      <w:r>
        <w:fldChar w:fldCharType="end"/>
      </w:r>
    </w:p>
    <w:p w14:paraId="3AB8FEF8">
      <w:pPr>
        <w:pStyle w:val="15"/>
        <w:tabs>
          <w:tab w:val="right" w:leader="dot" w:pos="8296"/>
        </w:tabs>
      </w:pPr>
      <w:r>
        <w:fldChar w:fldCharType="begin"/>
      </w:r>
      <w:r>
        <w:instrText xml:space="preserve"> HYPERLINK \l "_Toc79498025" </w:instrText>
      </w:r>
      <w:r>
        <w:fldChar w:fldCharType="separate"/>
      </w:r>
      <w:r>
        <w:rPr>
          <w:rStyle w:val="47"/>
          <w:rFonts w:ascii="宋体" w:hAnsi="宋体" w:eastAsia="宋体"/>
        </w:rPr>
        <w:t>九、积极助力完成碳达峰碳中和目标</w:t>
      </w:r>
      <w:r>
        <w:tab/>
      </w:r>
      <w:r>
        <w:fldChar w:fldCharType="begin"/>
      </w:r>
      <w:r>
        <w:instrText xml:space="preserve"> PAGEREF _Toc79498025 \h </w:instrText>
      </w:r>
      <w:r>
        <w:fldChar w:fldCharType="separate"/>
      </w:r>
      <w:r>
        <w:t>110</w:t>
      </w:r>
      <w:r>
        <w:fldChar w:fldCharType="end"/>
      </w:r>
      <w:r>
        <w:fldChar w:fldCharType="end"/>
      </w:r>
    </w:p>
    <w:p w14:paraId="661A5339">
      <w:pPr>
        <w:pStyle w:val="21"/>
        <w:tabs>
          <w:tab w:val="right" w:leader="dot" w:pos="8296"/>
        </w:tabs>
      </w:pPr>
      <w:r>
        <w:fldChar w:fldCharType="begin"/>
      </w:r>
      <w:r>
        <w:instrText xml:space="preserve"> HYPERLINK \l "_Toc79498026" </w:instrText>
      </w:r>
      <w:r>
        <w:fldChar w:fldCharType="separate"/>
      </w:r>
      <w:r>
        <w:rPr>
          <w:rStyle w:val="47"/>
          <w:rFonts w:ascii="黑体" w:hAnsi="黑体" w:eastAsia="黑体"/>
        </w:rPr>
        <w:t>专题一 我国物流业发展现状</w:t>
      </w:r>
      <w:r>
        <w:tab/>
      </w:r>
      <w:r>
        <w:fldChar w:fldCharType="begin"/>
      </w:r>
      <w:r>
        <w:instrText xml:space="preserve"> PAGEREF _Toc79498026 \h </w:instrText>
      </w:r>
      <w:r>
        <w:fldChar w:fldCharType="separate"/>
      </w:r>
      <w:r>
        <w:t>112</w:t>
      </w:r>
      <w:r>
        <w:fldChar w:fldCharType="end"/>
      </w:r>
      <w:r>
        <w:fldChar w:fldCharType="end"/>
      </w:r>
    </w:p>
    <w:p w14:paraId="1AF79776">
      <w:pPr>
        <w:pStyle w:val="15"/>
        <w:tabs>
          <w:tab w:val="right" w:leader="dot" w:pos="8296"/>
        </w:tabs>
      </w:pPr>
      <w:r>
        <w:fldChar w:fldCharType="begin"/>
      </w:r>
      <w:r>
        <w:instrText xml:space="preserve"> HYPERLINK \l "_Toc79498027" </w:instrText>
      </w:r>
      <w:r>
        <w:fldChar w:fldCharType="separate"/>
      </w:r>
      <w:r>
        <w:rPr>
          <w:rStyle w:val="47"/>
        </w:rPr>
        <w:t>一、物流产业总体运行缓中趋稳</w:t>
      </w:r>
      <w:r>
        <w:tab/>
      </w:r>
      <w:r>
        <w:fldChar w:fldCharType="begin"/>
      </w:r>
      <w:r>
        <w:instrText xml:space="preserve"> PAGEREF _Toc79498027 \h </w:instrText>
      </w:r>
      <w:r>
        <w:fldChar w:fldCharType="separate"/>
      </w:r>
      <w:r>
        <w:t>112</w:t>
      </w:r>
      <w:r>
        <w:fldChar w:fldCharType="end"/>
      </w:r>
      <w:r>
        <w:fldChar w:fldCharType="end"/>
      </w:r>
    </w:p>
    <w:p w14:paraId="277A56F8">
      <w:pPr>
        <w:pStyle w:val="15"/>
        <w:tabs>
          <w:tab w:val="right" w:leader="dot" w:pos="8296"/>
        </w:tabs>
      </w:pPr>
      <w:r>
        <w:fldChar w:fldCharType="begin"/>
      </w:r>
      <w:r>
        <w:instrText xml:space="preserve"> HYPERLINK \l "_Toc79498028" </w:instrText>
      </w:r>
      <w:r>
        <w:fldChar w:fldCharType="separate"/>
      </w:r>
      <w:r>
        <w:rPr>
          <w:rStyle w:val="47"/>
        </w:rPr>
        <w:t>二、物流产业供需结构加速调整</w:t>
      </w:r>
      <w:r>
        <w:tab/>
      </w:r>
      <w:r>
        <w:fldChar w:fldCharType="begin"/>
      </w:r>
      <w:r>
        <w:instrText xml:space="preserve"> PAGEREF _Toc79498028 \h </w:instrText>
      </w:r>
      <w:r>
        <w:fldChar w:fldCharType="separate"/>
      </w:r>
      <w:r>
        <w:t>113</w:t>
      </w:r>
      <w:r>
        <w:fldChar w:fldCharType="end"/>
      </w:r>
      <w:r>
        <w:fldChar w:fldCharType="end"/>
      </w:r>
    </w:p>
    <w:p w14:paraId="1B673E6A">
      <w:pPr>
        <w:pStyle w:val="15"/>
        <w:tabs>
          <w:tab w:val="right" w:leader="dot" w:pos="8296"/>
        </w:tabs>
      </w:pPr>
      <w:r>
        <w:fldChar w:fldCharType="begin"/>
      </w:r>
      <w:r>
        <w:instrText xml:space="preserve"> HYPERLINK \l "_Toc79498029" </w:instrText>
      </w:r>
      <w:r>
        <w:fldChar w:fldCharType="separate"/>
      </w:r>
      <w:r>
        <w:rPr>
          <w:rStyle w:val="47"/>
        </w:rPr>
        <w:t>三、现代科技赋能物流智慧化转型</w:t>
      </w:r>
      <w:r>
        <w:tab/>
      </w:r>
      <w:r>
        <w:fldChar w:fldCharType="begin"/>
      </w:r>
      <w:r>
        <w:instrText xml:space="preserve"> PAGEREF _Toc79498029 \h </w:instrText>
      </w:r>
      <w:r>
        <w:fldChar w:fldCharType="separate"/>
      </w:r>
      <w:r>
        <w:t>115</w:t>
      </w:r>
      <w:r>
        <w:fldChar w:fldCharType="end"/>
      </w:r>
      <w:r>
        <w:fldChar w:fldCharType="end"/>
      </w:r>
    </w:p>
    <w:p w14:paraId="62D22593">
      <w:pPr>
        <w:pStyle w:val="15"/>
        <w:tabs>
          <w:tab w:val="right" w:leader="dot" w:pos="8296"/>
        </w:tabs>
      </w:pPr>
      <w:r>
        <w:fldChar w:fldCharType="begin"/>
      </w:r>
      <w:r>
        <w:instrText xml:space="preserve"> HYPERLINK \l "_Toc79498030" </w:instrText>
      </w:r>
      <w:r>
        <w:fldChar w:fldCharType="separate"/>
      </w:r>
      <w:r>
        <w:rPr>
          <w:rStyle w:val="47"/>
        </w:rPr>
        <w:t>四、现代供应链成为发展新亮点</w:t>
      </w:r>
      <w:r>
        <w:tab/>
      </w:r>
      <w:r>
        <w:fldChar w:fldCharType="begin"/>
      </w:r>
      <w:r>
        <w:instrText xml:space="preserve"> PAGEREF _Toc79498030 \h </w:instrText>
      </w:r>
      <w:r>
        <w:fldChar w:fldCharType="separate"/>
      </w:r>
      <w:r>
        <w:t>115</w:t>
      </w:r>
      <w:r>
        <w:fldChar w:fldCharType="end"/>
      </w:r>
      <w:r>
        <w:fldChar w:fldCharType="end"/>
      </w:r>
    </w:p>
    <w:p w14:paraId="32F853AB">
      <w:pPr>
        <w:pStyle w:val="15"/>
        <w:tabs>
          <w:tab w:val="right" w:leader="dot" w:pos="8296"/>
        </w:tabs>
      </w:pPr>
      <w:r>
        <w:fldChar w:fldCharType="begin"/>
      </w:r>
      <w:r>
        <w:instrText xml:space="preserve"> HYPERLINK \l "_Toc79498031" </w:instrText>
      </w:r>
      <w:r>
        <w:fldChar w:fldCharType="separate"/>
      </w:r>
      <w:r>
        <w:rPr>
          <w:rStyle w:val="47"/>
        </w:rPr>
        <w:t>五、物流枢纽建设助力枢纽经济发展</w:t>
      </w:r>
      <w:r>
        <w:tab/>
      </w:r>
      <w:r>
        <w:fldChar w:fldCharType="begin"/>
      </w:r>
      <w:r>
        <w:instrText xml:space="preserve"> PAGEREF _Toc79498031 \h </w:instrText>
      </w:r>
      <w:r>
        <w:fldChar w:fldCharType="separate"/>
      </w:r>
      <w:r>
        <w:t>116</w:t>
      </w:r>
      <w:r>
        <w:fldChar w:fldCharType="end"/>
      </w:r>
      <w:r>
        <w:fldChar w:fldCharType="end"/>
      </w:r>
    </w:p>
    <w:p w14:paraId="7BAE83BC">
      <w:pPr>
        <w:pStyle w:val="15"/>
        <w:tabs>
          <w:tab w:val="right" w:leader="dot" w:pos="8296"/>
        </w:tabs>
      </w:pPr>
      <w:r>
        <w:fldChar w:fldCharType="begin"/>
      </w:r>
      <w:r>
        <w:instrText xml:space="preserve"> HYPERLINK \l "_Toc79498032" </w:instrText>
      </w:r>
      <w:r>
        <w:fldChar w:fldCharType="separate"/>
      </w:r>
      <w:r>
        <w:rPr>
          <w:rStyle w:val="47"/>
        </w:rPr>
        <w:t>六、国际物流融入对外开放新局面</w:t>
      </w:r>
      <w:r>
        <w:tab/>
      </w:r>
      <w:r>
        <w:fldChar w:fldCharType="begin"/>
      </w:r>
      <w:r>
        <w:instrText xml:space="preserve"> PAGEREF _Toc79498032 \h </w:instrText>
      </w:r>
      <w:r>
        <w:fldChar w:fldCharType="separate"/>
      </w:r>
      <w:r>
        <w:t>116</w:t>
      </w:r>
      <w:r>
        <w:fldChar w:fldCharType="end"/>
      </w:r>
      <w:r>
        <w:fldChar w:fldCharType="end"/>
      </w:r>
    </w:p>
    <w:p w14:paraId="7100C179">
      <w:pPr>
        <w:pStyle w:val="15"/>
        <w:tabs>
          <w:tab w:val="right" w:leader="dot" w:pos="8296"/>
        </w:tabs>
      </w:pPr>
      <w:r>
        <w:fldChar w:fldCharType="begin"/>
      </w:r>
      <w:r>
        <w:instrText xml:space="preserve"> HYPERLINK \l "_Toc79498033" </w:instrText>
      </w:r>
      <w:r>
        <w:fldChar w:fldCharType="separate"/>
      </w:r>
      <w:r>
        <w:rPr>
          <w:rStyle w:val="47"/>
        </w:rPr>
        <w:t>七、环保绿色物流已成大势所趋</w:t>
      </w:r>
      <w:r>
        <w:tab/>
      </w:r>
      <w:r>
        <w:fldChar w:fldCharType="begin"/>
      </w:r>
      <w:r>
        <w:instrText xml:space="preserve"> PAGEREF _Toc79498033 \h </w:instrText>
      </w:r>
      <w:r>
        <w:fldChar w:fldCharType="separate"/>
      </w:r>
      <w:r>
        <w:t>117</w:t>
      </w:r>
      <w:r>
        <w:fldChar w:fldCharType="end"/>
      </w:r>
      <w:r>
        <w:fldChar w:fldCharType="end"/>
      </w:r>
    </w:p>
    <w:p w14:paraId="450B3AAA">
      <w:pPr>
        <w:pStyle w:val="21"/>
        <w:tabs>
          <w:tab w:val="right" w:leader="dot" w:pos="8296"/>
        </w:tabs>
      </w:pPr>
      <w:r>
        <w:fldChar w:fldCharType="begin"/>
      </w:r>
      <w:r>
        <w:instrText xml:space="preserve"> HYPERLINK \l "_Toc79498034" </w:instrText>
      </w:r>
      <w:r>
        <w:fldChar w:fldCharType="separate"/>
      </w:r>
      <w:r>
        <w:rPr>
          <w:rStyle w:val="47"/>
          <w:rFonts w:ascii="黑体" w:hAnsi="黑体" w:eastAsia="黑体"/>
        </w:rPr>
        <w:t>附表一：凌源市现代物流业重点项目汇总表（2020－2035年）</w:t>
      </w:r>
      <w:r>
        <w:tab/>
      </w:r>
      <w:r>
        <w:fldChar w:fldCharType="begin"/>
      </w:r>
      <w:r>
        <w:instrText xml:space="preserve"> PAGEREF _Toc79498034 \h </w:instrText>
      </w:r>
      <w:r>
        <w:fldChar w:fldCharType="separate"/>
      </w:r>
      <w:r>
        <w:t>119</w:t>
      </w:r>
      <w:r>
        <w:fldChar w:fldCharType="end"/>
      </w:r>
      <w:r>
        <w:fldChar w:fldCharType="end"/>
      </w:r>
    </w:p>
    <w:p w14:paraId="5AD66166">
      <w:pPr>
        <w:pStyle w:val="21"/>
        <w:tabs>
          <w:tab w:val="right" w:leader="dot" w:pos="8296"/>
        </w:tabs>
      </w:pPr>
      <w:r>
        <w:fldChar w:fldCharType="begin"/>
      </w:r>
      <w:r>
        <w:instrText xml:space="preserve"> HYPERLINK \l "_Toc79498035" </w:instrText>
      </w:r>
      <w:r>
        <w:fldChar w:fldCharType="separate"/>
      </w:r>
      <w:r>
        <w:rPr>
          <w:rStyle w:val="47"/>
          <w:rFonts w:ascii="黑体" w:hAnsi="黑体" w:eastAsia="黑体"/>
        </w:rPr>
        <w:t>附表二：凌源市现代物流业招商指引表</w:t>
      </w:r>
      <w:r>
        <w:tab/>
      </w:r>
      <w:r>
        <w:fldChar w:fldCharType="begin"/>
      </w:r>
      <w:r>
        <w:instrText xml:space="preserve"> PAGEREF _Toc79498035 \h </w:instrText>
      </w:r>
      <w:r>
        <w:fldChar w:fldCharType="separate"/>
      </w:r>
      <w:r>
        <w:t>133</w:t>
      </w:r>
      <w:r>
        <w:fldChar w:fldCharType="end"/>
      </w:r>
      <w:r>
        <w:fldChar w:fldCharType="end"/>
      </w:r>
    </w:p>
    <w:p w14:paraId="6D63777E">
      <w:pPr>
        <w:pStyle w:val="21"/>
        <w:tabs>
          <w:tab w:val="right" w:leader="dot" w:pos="8296"/>
        </w:tabs>
      </w:pPr>
      <w:r>
        <w:fldChar w:fldCharType="begin"/>
      </w:r>
      <w:r>
        <w:instrText xml:space="preserve"> HYPERLINK \l "_Toc79498036" </w:instrText>
      </w:r>
      <w:r>
        <w:fldChar w:fldCharType="separate"/>
      </w:r>
      <w:r>
        <w:rPr>
          <w:rStyle w:val="47"/>
          <w:rFonts w:ascii="黑体" w:hAnsi="黑体" w:eastAsia="黑体"/>
        </w:rPr>
        <w:t>附表三：物流企业评估指标表</w:t>
      </w:r>
      <w:r>
        <w:tab/>
      </w:r>
      <w:r>
        <w:fldChar w:fldCharType="begin"/>
      </w:r>
      <w:r>
        <w:instrText xml:space="preserve"> PAGEREF _Toc79498036 \h </w:instrText>
      </w:r>
      <w:r>
        <w:fldChar w:fldCharType="separate"/>
      </w:r>
      <w:r>
        <w:t>138</w:t>
      </w:r>
      <w:r>
        <w:fldChar w:fldCharType="end"/>
      </w:r>
      <w:r>
        <w:fldChar w:fldCharType="end"/>
      </w:r>
    </w:p>
    <w:p w14:paraId="1BEC1D21">
      <w:pPr>
        <w:pStyle w:val="21"/>
        <w:tabs>
          <w:tab w:val="right" w:leader="dot" w:pos="8296"/>
        </w:tabs>
      </w:pPr>
      <w:r>
        <w:fldChar w:fldCharType="begin"/>
      </w:r>
      <w:r>
        <w:instrText xml:space="preserve"> HYPERLINK \l "_Toc79498037" </w:instrText>
      </w:r>
      <w:r>
        <w:fldChar w:fldCharType="separate"/>
      </w:r>
      <w:r>
        <w:rPr>
          <w:rStyle w:val="47"/>
          <w:rFonts w:ascii="黑体" w:hAnsi="黑体" w:eastAsia="黑体"/>
        </w:rPr>
        <w:t>附表四：关于开展物流企业评估工作的 通知（物联评估字〔2020〕16号）</w:t>
      </w:r>
      <w:r>
        <w:tab/>
      </w:r>
      <w:r>
        <w:fldChar w:fldCharType="begin"/>
      </w:r>
      <w:r>
        <w:instrText xml:space="preserve"> PAGEREF _Toc79498037 \h </w:instrText>
      </w:r>
      <w:r>
        <w:fldChar w:fldCharType="separate"/>
      </w:r>
      <w:r>
        <w:t>141</w:t>
      </w:r>
      <w:r>
        <w:fldChar w:fldCharType="end"/>
      </w:r>
      <w:r>
        <w:fldChar w:fldCharType="end"/>
      </w:r>
    </w:p>
    <w:p w14:paraId="722B5470">
      <w:pPr>
        <w:spacing w:line="360" w:lineRule="auto"/>
        <w:ind w:firstLine="646" w:firstLineChars="202"/>
        <w:rPr>
          <w:rFonts w:asciiTheme="minorEastAsia" w:hAnsiTheme="minorEastAsia"/>
          <w:sz w:val="32"/>
          <w:szCs w:val="32"/>
        </w:rPr>
      </w:pPr>
      <w:r>
        <w:rPr>
          <w:rFonts w:ascii="宋体" w:hAnsi="宋体" w:eastAsia="宋体"/>
          <w:sz w:val="32"/>
          <w:szCs w:val="32"/>
        </w:rPr>
        <w:fldChar w:fldCharType="end"/>
      </w:r>
    </w:p>
    <w:p w14:paraId="03533511">
      <w:pPr>
        <w:widowControl/>
        <w:jc w:val="left"/>
        <w:rPr>
          <w:rFonts w:asciiTheme="minorEastAsia" w:hAnsiTheme="minorEastAsia"/>
          <w:sz w:val="32"/>
          <w:szCs w:val="32"/>
        </w:rPr>
      </w:pPr>
      <w:r>
        <w:rPr>
          <w:rFonts w:asciiTheme="minorEastAsia" w:hAnsiTheme="minorEastAsia"/>
          <w:sz w:val="32"/>
          <w:szCs w:val="32"/>
        </w:rPr>
        <w:br w:type="page"/>
      </w:r>
    </w:p>
    <w:p w14:paraId="2A2781B4">
      <w:pPr>
        <w:spacing w:line="360" w:lineRule="auto"/>
        <w:jc w:val="center"/>
        <w:rPr>
          <w:rFonts w:asciiTheme="minorEastAsia" w:hAnsiTheme="minorEastAsia"/>
          <w:b/>
          <w:bCs/>
          <w:sz w:val="28"/>
          <w:szCs w:val="28"/>
        </w:rPr>
      </w:pPr>
      <w:r>
        <w:rPr>
          <w:rFonts w:hint="eastAsia" w:asciiTheme="minorEastAsia" w:hAnsiTheme="minorEastAsia"/>
          <w:b/>
          <w:bCs/>
          <w:sz w:val="28"/>
          <w:szCs w:val="28"/>
        </w:rPr>
        <w:t>表目录</w:t>
      </w:r>
    </w:p>
    <w:p w14:paraId="0E074C1F">
      <w:pPr>
        <w:pStyle w:val="27"/>
        <w:tabs>
          <w:tab w:val="right" w:leader="dot" w:pos="8296"/>
        </w:tabs>
        <w:ind w:left="840" w:hanging="420"/>
        <w:rPr>
          <w:rStyle w:val="47"/>
          <w:rFonts w:ascii="宋体" w:hAnsi="宋体" w:eastAsia="宋体"/>
        </w:rPr>
      </w:pPr>
      <w:r>
        <w:rPr>
          <w:rFonts w:asciiTheme="minorEastAsia" w:hAnsiTheme="minorEastAsia"/>
          <w:szCs w:val="21"/>
        </w:rPr>
        <w:fldChar w:fldCharType="begin"/>
      </w:r>
      <w:r>
        <w:rPr>
          <w:rFonts w:hint="eastAsia" w:asciiTheme="minorEastAsia" w:hAnsiTheme="minorEastAsia"/>
          <w:szCs w:val="21"/>
        </w:rPr>
        <w:instrText xml:space="preserve">TOC \h \z \c "表"</w:instrText>
      </w:r>
      <w:r>
        <w:rPr>
          <w:rFonts w:asciiTheme="minorEastAsia" w:hAnsiTheme="minorEastAsia"/>
          <w:szCs w:val="21"/>
        </w:rPr>
        <w:fldChar w:fldCharType="separate"/>
      </w:r>
      <w:r>
        <w:fldChar w:fldCharType="begin"/>
      </w:r>
      <w:r>
        <w:instrText xml:space="preserve"> HYPERLINK \l "_Toc79498038" </w:instrText>
      </w:r>
      <w:r>
        <w:fldChar w:fldCharType="separate"/>
      </w:r>
      <w:r>
        <w:rPr>
          <w:rStyle w:val="47"/>
          <w:rFonts w:ascii="宋体" w:hAnsi="宋体" w:eastAsia="宋体"/>
        </w:rPr>
        <w:t>表1凌源市近5年货运量、货运周转量统计表</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_Toc79498038 \h </w:instrText>
      </w:r>
      <w:r>
        <w:rPr>
          <w:rStyle w:val="47"/>
          <w:rFonts w:ascii="宋体" w:hAnsi="宋体" w:eastAsia="宋体"/>
        </w:rPr>
        <w:fldChar w:fldCharType="separate"/>
      </w:r>
      <w:r>
        <w:rPr>
          <w:rStyle w:val="47"/>
          <w:rFonts w:ascii="宋体" w:hAnsi="宋体" w:eastAsia="宋体"/>
        </w:rPr>
        <w:t>14</w:t>
      </w:r>
      <w:r>
        <w:rPr>
          <w:rStyle w:val="47"/>
          <w:rFonts w:ascii="宋体" w:hAnsi="宋体" w:eastAsia="宋体"/>
        </w:rPr>
        <w:fldChar w:fldCharType="end"/>
      </w:r>
      <w:r>
        <w:rPr>
          <w:rStyle w:val="47"/>
          <w:rFonts w:ascii="宋体" w:hAnsi="宋体" w:eastAsia="宋体"/>
        </w:rPr>
        <w:fldChar w:fldCharType="end"/>
      </w:r>
    </w:p>
    <w:p w14:paraId="49000226">
      <w:pPr>
        <w:pStyle w:val="27"/>
        <w:tabs>
          <w:tab w:val="right" w:leader="dot" w:pos="8296"/>
        </w:tabs>
        <w:ind w:left="840" w:hanging="420"/>
        <w:rPr>
          <w:rStyle w:val="47"/>
          <w:rFonts w:ascii="宋体" w:hAnsi="宋体" w:eastAsia="宋体"/>
        </w:rPr>
      </w:pPr>
      <w:r>
        <w:fldChar w:fldCharType="begin"/>
      </w:r>
      <w:r>
        <w:instrText xml:space="preserve"> HYPERLINK \l "_Toc79498039" </w:instrText>
      </w:r>
      <w:r>
        <w:fldChar w:fldCharType="separate"/>
      </w:r>
      <w:r>
        <w:rPr>
          <w:rStyle w:val="47"/>
          <w:rFonts w:ascii="宋体" w:hAnsi="宋体" w:eastAsia="宋体"/>
        </w:rPr>
        <w:t>表2凌源市现有及在建物流园区情况表</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_Toc79498039 \h </w:instrText>
      </w:r>
      <w:r>
        <w:rPr>
          <w:rStyle w:val="47"/>
          <w:rFonts w:ascii="宋体" w:hAnsi="宋体" w:eastAsia="宋体"/>
        </w:rPr>
        <w:fldChar w:fldCharType="separate"/>
      </w:r>
      <w:r>
        <w:rPr>
          <w:rStyle w:val="47"/>
          <w:rFonts w:ascii="宋体" w:hAnsi="宋体" w:eastAsia="宋体"/>
        </w:rPr>
        <w:t>16</w:t>
      </w:r>
      <w:r>
        <w:rPr>
          <w:rStyle w:val="47"/>
          <w:rFonts w:ascii="宋体" w:hAnsi="宋体" w:eastAsia="宋体"/>
        </w:rPr>
        <w:fldChar w:fldCharType="end"/>
      </w:r>
      <w:r>
        <w:rPr>
          <w:rStyle w:val="47"/>
          <w:rFonts w:ascii="宋体" w:hAnsi="宋体" w:eastAsia="宋体"/>
        </w:rPr>
        <w:fldChar w:fldCharType="end"/>
      </w:r>
    </w:p>
    <w:p w14:paraId="205F512F">
      <w:pPr>
        <w:pStyle w:val="27"/>
        <w:tabs>
          <w:tab w:val="right" w:leader="dot" w:pos="8296"/>
        </w:tabs>
        <w:ind w:left="840" w:hanging="420"/>
        <w:rPr>
          <w:rStyle w:val="47"/>
          <w:rFonts w:ascii="宋体" w:hAnsi="宋体" w:eastAsia="宋体"/>
        </w:rPr>
      </w:pPr>
      <w:r>
        <w:fldChar w:fldCharType="begin"/>
      </w:r>
      <w:r>
        <w:instrText xml:space="preserve"> HYPERLINK \l "_Toc79498040" </w:instrText>
      </w:r>
      <w:r>
        <w:fldChar w:fldCharType="separate"/>
      </w:r>
      <w:r>
        <w:rPr>
          <w:rStyle w:val="47"/>
          <w:rFonts w:ascii="宋体" w:hAnsi="宋体" w:eastAsia="宋体"/>
        </w:rPr>
        <w:t>表3凌源市”十四五”货运总量预测值</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_Toc79498040 \h </w:instrText>
      </w:r>
      <w:r>
        <w:rPr>
          <w:rStyle w:val="47"/>
          <w:rFonts w:ascii="宋体" w:hAnsi="宋体" w:eastAsia="宋体"/>
        </w:rPr>
        <w:fldChar w:fldCharType="separate"/>
      </w:r>
      <w:r>
        <w:rPr>
          <w:rStyle w:val="47"/>
          <w:rFonts w:ascii="宋体" w:hAnsi="宋体" w:eastAsia="宋体"/>
        </w:rPr>
        <w:t>29</w:t>
      </w:r>
      <w:r>
        <w:rPr>
          <w:rStyle w:val="47"/>
          <w:rFonts w:ascii="宋体" w:hAnsi="宋体" w:eastAsia="宋体"/>
        </w:rPr>
        <w:fldChar w:fldCharType="end"/>
      </w:r>
      <w:r>
        <w:rPr>
          <w:rStyle w:val="47"/>
          <w:rFonts w:ascii="宋体" w:hAnsi="宋体" w:eastAsia="宋体"/>
        </w:rPr>
        <w:fldChar w:fldCharType="end"/>
      </w:r>
    </w:p>
    <w:p w14:paraId="03BA48B3">
      <w:pPr>
        <w:pStyle w:val="27"/>
        <w:tabs>
          <w:tab w:val="right" w:leader="dot" w:pos="8296"/>
        </w:tabs>
        <w:ind w:left="840" w:hanging="420"/>
        <w:rPr>
          <w:rStyle w:val="47"/>
          <w:rFonts w:ascii="宋体" w:hAnsi="宋体" w:eastAsia="宋体"/>
        </w:rPr>
      </w:pPr>
      <w:r>
        <w:fldChar w:fldCharType="begin"/>
      </w:r>
      <w:r>
        <w:instrText xml:space="preserve"> HYPERLINK \l "_Toc79498041" </w:instrText>
      </w:r>
      <w:r>
        <w:fldChar w:fldCharType="separate"/>
      </w:r>
      <w:r>
        <w:rPr>
          <w:rStyle w:val="47"/>
          <w:rFonts w:ascii="宋体" w:hAnsi="宋体" w:eastAsia="宋体"/>
        </w:rPr>
        <w:t>表4朝阳凌源经济开发区内主要企业运量表</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_Toc79498041 \h </w:instrText>
      </w:r>
      <w:r>
        <w:rPr>
          <w:rStyle w:val="47"/>
          <w:rFonts w:ascii="宋体" w:hAnsi="宋体" w:eastAsia="宋体"/>
        </w:rPr>
        <w:fldChar w:fldCharType="separate"/>
      </w:r>
      <w:r>
        <w:rPr>
          <w:rStyle w:val="47"/>
          <w:rFonts w:ascii="宋体" w:hAnsi="宋体" w:eastAsia="宋体"/>
        </w:rPr>
        <w:t>32</w:t>
      </w:r>
      <w:r>
        <w:rPr>
          <w:rStyle w:val="47"/>
          <w:rFonts w:ascii="宋体" w:hAnsi="宋体" w:eastAsia="宋体"/>
        </w:rPr>
        <w:fldChar w:fldCharType="end"/>
      </w:r>
      <w:r>
        <w:rPr>
          <w:rStyle w:val="47"/>
          <w:rFonts w:ascii="宋体" w:hAnsi="宋体" w:eastAsia="宋体"/>
        </w:rPr>
        <w:fldChar w:fldCharType="end"/>
      </w:r>
    </w:p>
    <w:p w14:paraId="1C83BF97">
      <w:pPr>
        <w:pStyle w:val="27"/>
        <w:tabs>
          <w:tab w:val="right" w:leader="dot" w:pos="8296"/>
        </w:tabs>
        <w:ind w:left="840" w:hanging="420"/>
        <w:rPr>
          <w:rStyle w:val="47"/>
          <w:rFonts w:ascii="宋体" w:hAnsi="宋体" w:eastAsia="宋体"/>
        </w:rPr>
      </w:pPr>
      <w:r>
        <w:fldChar w:fldCharType="begin"/>
      </w:r>
      <w:r>
        <w:instrText xml:space="preserve"> HYPERLINK \l "_Toc79498042" </w:instrText>
      </w:r>
      <w:r>
        <w:fldChar w:fldCharType="separate"/>
      </w:r>
      <w:r>
        <w:rPr>
          <w:rStyle w:val="47"/>
          <w:rFonts w:ascii="宋体" w:hAnsi="宋体" w:eastAsia="宋体"/>
        </w:rPr>
        <w:t>表5朝阳凌源非金属新材料产业园内主要企业货运量</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_Toc79498042 \h </w:instrText>
      </w:r>
      <w:r>
        <w:rPr>
          <w:rStyle w:val="47"/>
          <w:rFonts w:ascii="宋体" w:hAnsi="宋体" w:eastAsia="宋体"/>
        </w:rPr>
        <w:fldChar w:fldCharType="separate"/>
      </w:r>
      <w:r>
        <w:rPr>
          <w:rStyle w:val="47"/>
          <w:rFonts w:ascii="宋体" w:hAnsi="宋体" w:eastAsia="宋体"/>
        </w:rPr>
        <w:t>33</w:t>
      </w:r>
      <w:r>
        <w:rPr>
          <w:rStyle w:val="47"/>
          <w:rFonts w:ascii="宋体" w:hAnsi="宋体" w:eastAsia="宋体"/>
        </w:rPr>
        <w:fldChar w:fldCharType="end"/>
      </w:r>
      <w:r>
        <w:rPr>
          <w:rStyle w:val="47"/>
          <w:rFonts w:ascii="宋体" w:hAnsi="宋体" w:eastAsia="宋体"/>
        </w:rPr>
        <w:fldChar w:fldCharType="end"/>
      </w:r>
    </w:p>
    <w:p w14:paraId="0559BF0D">
      <w:pPr>
        <w:pStyle w:val="27"/>
        <w:tabs>
          <w:tab w:val="right" w:leader="dot" w:pos="8296"/>
        </w:tabs>
        <w:ind w:left="840" w:hanging="420"/>
        <w:rPr>
          <w:rStyle w:val="47"/>
          <w:rFonts w:ascii="宋体" w:hAnsi="宋体" w:eastAsia="宋体"/>
        </w:rPr>
      </w:pPr>
      <w:r>
        <w:fldChar w:fldCharType="begin"/>
      </w:r>
      <w:r>
        <w:instrText xml:space="preserve"> HYPERLINK \l "_Toc79498043" </w:instrText>
      </w:r>
      <w:r>
        <w:fldChar w:fldCharType="separate"/>
      </w:r>
      <w:r>
        <w:rPr>
          <w:rStyle w:val="47"/>
          <w:rFonts w:ascii="宋体" w:hAnsi="宋体" w:eastAsia="宋体"/>
        </w:rPr>
        <w:t>表6凌源市A级物流企业申报工作进度安排表</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_Toc79498043 \h </w:instrText>
      </w:r>
      <w:r>
        <w:rPr>
          <w:rStyle w:val="47"/>
          <w:rFonts w:ascii="宋体" w:hAnsi="宋体" w:eastAsia="宋体"/>
        </w:rPr>
        <w:fldChar w:fldCharType="separate"/>
      </w:r>
      <w:r>
        <w:rPr>
          <w:rStyle w:val="47"/>
          <w:rFonts w:ascii="宋体" w:hAnsi="宋体" w:eastAsia="宋体"/>
        </w:rPr>
        <w:t>91</w:t>
      </w:r>
      <w:r>
        <w:rPr>
          <w:rStyle w:val="47"/>
          <w:rFonts w:ascii="宋体" w:hAnsi="宋体" w:eastAsia="宋体"/>
        </w:rPr>
        <w:fldChar w:fldCharType="end"/>
      </w:r>
      <w:r>
        <w:rPr>
          <w:rStyle w:val="47"/>
          <w:rFonts w:ascii="宋体" w:hAnsi="宋体" w:eastAsia="宋体"/>
        </w:rPr>
        <w:fldChar w:fldCharType="end"/>
      </w:r>
    </w:p>
    <w:p w14:paraId="5F031C3B">
      <w:pPr>
        <w:pStyle w:val="27"/>
        <w:tabs>
          <w:tab w:val="right" w:leader="dot" w:pos="8296"/>
        </w:tabs>
        <w:ind w:left="840" w:hanging="420"/>
        <w:rPr>
          <w:rStyle w:val="47"/>
          <w:rFonts w:ascii="宋体" w:hAnsi="宋体" w:eastAsia="宋体"/>
        </w:rPr>
      </w:pPr>
      <w:r>
        <w:fldChar w:fldCharType="begin"/>
      </w:r>
      <w:r>
        <w:instrText xml:space="preserve"> HYPERLINK \l "_Toc79498044" </w:instrText>
      </w:r>
      <w:r>
        <w:fldChar w:fldCharType="separate"/>
      </w:r>
      <w:r>
        <w:rPr>
          <w:rStyle w:val="47"/>
          <w:rFonts w:ascii="宋体" w:hAnsi="宋体" w:eastAsia="宋体"/>
        </w:rPr>
        <w:t>表7凌源市物流业规划项目直接经济效益估算表</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_Toc79498044 \h </w:instrText>
      </w:r>
      <w:r>
        <w:rPr>
          <w:rStyle w:val="47"/>
          <w:rFonts w:ascii="宋体" w:hAnsi="宋体" w:eastAsia="宋体"/>
        </w:rPr>
        <w:fldChar w:fldCharType="separate"/>
      </w:r>
      <w:r>
        <w:rPr>
          <w:rStyle w:val="47"/>
          <w:rFonts w:ascii="宋体" w:hAnsi="宋体" w:eastAsia="宋体"/>
        </w:rPr>
        <w:t>94</w:t>
      </w:r>
      <w:r>
        <w:rPr>
          <w:rStyle w:val="47"/>
          <w:rFonts w:ascii="宋体" w:hAnsi="宋体" w:eastAsia="宋体"/>
        </w:rPr>
        <w:fldChar w:fldCharType="end"/>
      </w:r>
      <w:r>
        <w:rPr>
          <w:rStyle w:val="47"/>
          <w:rFonts w:ascii="宋体" w:hAnsi="宋体" w:eastAsia="宋体"/>
        </w:rPr>
        <w:fldChar w:fldCharType="end"/>
      </w:r>
    </w:p>
    <w:p w14:paraId="155EDA5A">
      <w:pPr>
        <w:pStyle w:val="27"/>
        <w:tabs>
          <w:tab w:val="right" w:leader="dot" w:pos="8296"/>
        </w:tabs>
        <w:ind w:left="840" w:hanging="420"/>
        <w:rPr>
          <w:rStyle w:val="47"/>
          <w:rFonts w:ascii="宋体" w:hAnsi="宋体" w:eastAsia="宋体"/>
        </w:rPr>
      </w:pPr>
      <w:r>
        <w:fldChar w:fldCharType="begin"/>
      </w:r>
      <w:r>
        <w:instrText xml:space="preserve"> HYPERLINK \l "_Toc79498045" </w:instrText>
      </w:r>
      <w:r>
        <w:fldChar w:fldCharType="separate"/>
      </w:r>
      <w:r>
        <w:rPr>
          <w:rStyle w:val="47"/>
          <w:rFonts w:ascii="宋体" w:hAnsi="宋体" w:eastAsia="宋体"/>
        </w:rPr>
        <w:t>表8近5年我国社会物流总额、社会物流总收入汇总表</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_Toc79498045 \h </w:instrText>
      </w:r>
      <w:r>
        <w:rPr>
          <w:rStyle w:val="47"/>
          <w:rFonts w:ascii="宋体" w:hAnsi="宋体" w:eastAsia="宋体"/>
        </w:rPr>
        <w:fldChar w:fldCharType="separate"/>
      </w:r>
      <w:r>
        <w:rPr>
          <w:rStyle w:val="47"/>
          <w:rFonts w:ascii="宋体" w:hAnsi="宋体" w:eastAsia="宋体"/>
        </w:rPr>
        <w:t>112</w:t>
      </w:r>
      <w:r>
        <w:rPr>
          <w:rStyle w:val="47"/>
          <w:rFonts w:ascii="宋体" w:hAnsi="宋体" w:eastAsia="宋体"/>
        </w:rPr>
        <w:fldChar w:fldCharType="end"/>
      </w:r>
      <w:r>
        <w:rPr>
          <w:rStyle w:val="47"/>
          <w:rFonts w:ascii="宋体" w:hAnsi="宋体" w:eastAsia="宋体"/>
        </w:rPr>
        <w:fldChar w:fldCharType="end"/>
      </w:r>
    </w:p>
    <w:p w14:paraId="72EB7D24">
      <w:pPr>
        <w:pStyle w:val="27"/>
        <w:tabs>
          <w:tab w:val="right" w:leader="dot" w:pos="8296"/>
        </w:tabs>
        <w:ind w:left="840" w:hanging="420"/>
        <w:rPr>
          <w:rStyle w:val="47"/>
          <w:rFonts w:ascii="宋体" w:hAnsi="宋体" w:eastAsia="宋体"/>
        </w:rPr>
      </w:pPr>
      <w:r>
        <w:fldChar w:fldCharType="begin"/>
      </w:r>
      <w:r>
        <w:instrText xml:space="preserve"> HYPERLINK \l "_Toc79498046" </w:instrText>
      </w:r>
      <w:r>
        <w:fldChar w:fldCharType="separate"/>
      </w:r>
      <w:r>
        <w:rPr>
          <w:rStyle w:val="47"/>
          <w:rFonts w:ascii="宋体" w:hAnsi="宋体" w:eastAsia="宋体"/>
        </w:rPr>
        <w:t>表9近5年我国货运量汇总表</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_Toc79498046 \h </w:instrText>
      </w:r>
      <w:r>
        <w:rPr>
          <w:rStyle w:val="47"/>
          <w:rFonts w:ascii="宋体" w:hAnsi="宋体" w:eastAsia="宋体"/>
        </w:rPr>
        <w:fldChar w:fldCharType="separate"/>
      </w:r>
      <w:r>
        <w:rPr>
          <w:rStyle w:val="47"/>
          <w:rFonts w:ascii="宋体" w:hAnsi="宋体" w:eastAsia="宋体"/>
        </w:rPr>
        <w:t>113</w:t>
      </w:r>
      <w:r>
        <w:rPr>
          <w:rStyle w:val="47"/>
          <w:rFonts w:ascii="宋体" w:hAnsi="宋体" w:eastAsia="宋体"/>
        </w:rPr>
        <w:fldChar w:fldCharType="end"/>
      </w:r>
      <w:r>
        <w:rPr>
          <w:rStyle w:val="47"/>
          <w:rFonts w:ascii="宋体" w:hAnsi="宋体" w:eastAsia="宋体"/>
        </w:rPr>
        <w:fldChar w:fldCharType="end"/>
      </w:r>
    </w:p>
    <w:p w14:paraId="349D501D">
      <w:pPr>
        <w:spacing w:line="360" w:lineRule="auto"/>
        <w:rPr>
          <w:rFonts w:asciiTheme="minorEastAsia" w:hAnsiTheme="minorEastAsia"/>
          <w:sz w:val="32"/>
          <w:szCs w:val="32"/>
        </w:rPr>
      </w:pPr>
      <w:r>
        <w:rPr>
          <w:rFonts w:asciiTheme="minorEastAsia" w:hAnsiTheme="minorEastAsia"/>
          <w:szCs w:val="21"/>
        </w:rPr>
        <w:fldChar w:fldCharType="end"/>
      </w:r>
    </w:p>
    <w:p w14:paraId="121742FA">
      <w:pPr>
        <w:pStyle w:val="2"/>
      </w:pPr>
    </w:p>
    <w:p w14:paraId="21712D84">
      <w:pPr>
        <w:spacing w:line="360" w:lineRule="auto"/>
        <w:jc w:val="center"/>
        <w:rPr>
          <w:rFonts w:asciiTheme="minorEastAsia" w:hAnsiTheme="minorEastAsia"/>
          <w:b/>
          <w:bCs/>
          <w:sz w:val="28"/>
          <w:szCs w:val="28"/>
        </w:rPr>
      </w:pPr>
      <w:r>
        <w:rPr>
          <w:rFonts w:hint="eastAsia" w:asciiTheme="minorEastAsia" w:hAnsiTheme="minorEastAsia"/>
          <w:b/>
          <w:bCs/>
          <w:sz w:val="28"/>
          <w:szCs w:val="28"/>
        </w:rPr>
        <w:t>图目录</w:t>
      </w:r>
    </w:p>
    <w:p w14:paraId="44E7021C">
      <w:pPr>
        <w:pStyle w:val="27"/>
        <w:tabs>
          <w:tab w:val="right" w:leader="dot" w:pos="8296"/>
        </w:tabs>
        <w:ind w:left="840" w:hanging="420"/>
        <w:rPr>
          <w:rStyle w:val="47"/>
          <w:rFonts w:ascii="宋体" w:hAnsi="宋体" w:eastAsia="宋体"/>
        </w:rPr>
      </w:pPr>
      <w:r>
        <w:rPr>
          <w:rFonts w:ascii="宋体" w:hAnsi="宋体" w:eastAsia="宋体"/>
          <w:szCs w:val="21"/>
        </w:rPr>
        <w:fldChar w:fldCharType="begin"/>
      </w:r>
      <w:r>
        <w:rPr>
          <w:rFonts w:hint="eastAsia" w:ascii="宋体" w:hAnsi="宋体" w:eastAsia="宋体"/>
          <w:szCs w:val="21"/>
        </w:rPr>
        <w:instrText xml:space="preserve">TOC \h \z \c "图"</w:instrText>
      </w:r>
      <w:r>
        <w:rPr>
          <w:rFonts w:ascii="宋体" w:hAnsi="宋体" w:eastAsia="宋体"/>
          <w:szCs w:val="21"/>
        </w:rPr>
        <w:fldChar w:fldCharType="separate"/>
      </w:r>
      <w:r>
        <w:fldChar w:fldCharType="begin"/>
      </w:r>
      <w:r>
        <w:instrText xml:space="preserve"> HYPERLINK \l "_Toc79498047" </w:instrText>
      </w:r>
      <w:r>
        <w:fldChar w:fldCharType="separate"/>
      </w:r>
      <w:r>
        <w:rPr>
          <w:rStyle w:val="47"/>
          <w:rFonts w:ascii="宋体" w:hAnsi="宋体" w:eastAsia="宋体"/>
        </w:rPr>
        <w:t>图1凌源市交通区位示意图</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_Toc79498047 \h </w:instrText>
      </w:r>
      <w:r>
        <w:rPr>
          <w:rStyle w:val="47"/>
          <w:rFonts w:ascii="宋体" w:hAnsi="宋体" w:eastAsia="宋体"/>
        </w:rPr>
        <w:fldChar w:fldCharType="separate"/>
      </w:r>
      <w:r>
        <w:rPr>
          <w:rStyle w:val="47"/>
          <w:rFonts w:ascii="宋体" w:hAnsi="宋体" w:eastAsia="宋体"/>
        </w:rPr>
        <w:t>6</w:t>
      </w:r>
      <w:r>
        <w:rPr>
          <w:rStyle w:val="47"/>
          <w:rFonts w:ascii="宋体" w:hAnsi="宋体" w:eastAsia="宋体"/>
        </w:rPr>
        <w:fldChar w:fldCharType="end"/>
      </w:r>
      <w:r>
        <w:rPr>
          <w:rStyle w:val="47"/>
          <w:rFonts w:ascii="宋体" w:hAnsi="宋体" w:eastAsia="宋体"/>
        </w:rPr>
        <w:fldChar w:fldCharType="end"/>
      </w:r>
    </w:p>
    <w:p w14:paraId="6D48D020">
      <w:pPr>
        <w:pStyle w:val="27"/>
        <w:tabs>
          <w:tab w:val="right" w:leader="dot" w:pos="8296"/>
        </w:tabs>
        <w:ind w:left="840" w:hanging="420"/>
        <w:rPr>
          <w:rStyle w:val="47"/>
          <w:rFonts w:ascii="宋体" w:hAnsi="宋体" w:eastAsia="宋体"/>
        </w:rPr>
      </w:pPr>
      <w:r>
        <w:fldChar w:fldCharType="begin"/>
      </w:r>
      <w:r>
        <w:instrText xml:space="preserve"> HYPERLINK \l "_Toc79498048" </w:instrText>
      </w:r>
      <w:r>
        <w:fldChar w:fldCharType="separate"/>
      </w:r>
      <w:r>
        <w:rPr>
          <w:rStyle w:val="47"/>
          <w:rFonts w:ascii="宋体" w:hAnsi="宋体" w:eastAsia="宋体"/>
        </w:rPr>
        <w:t>图2凌源市2015-2019年度物流业增加值变化示意图</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_Toc79498048 \h </w:instrText>
      </w:r>
      <w:r>
        <w:rPr>
          <w:rStyle w:val="47"/>
          <w:rFonts w:ascii="宋体" w:hAnsi="宋体" w:eastAsia="宋体"/>
        </w:rPr>
        <w:fldChar w:fldCharType="separate"/>
      </w:r>
      <w:r>
        <w:rPr>
          <w:rStyle w:val="47"/>
          <w:rFonts w:ascii="宋体" w:hAnsi="宋体" w:eastAsia="宋体"/>
        </w:rPr>
        <w:t>13</w:t>
      </w:r>
      <w:r>
        <w:rPr>
          <w:rStyle w:val="47"/>
          <w:rFonts w:ascii="宋体" w:hAnsi="宋体" w:eastAsia="宋体"/>
        </w:rPr>
        <w:fldChar w:fldCharType="end"/>
      </w:r>
      <w:r>
        <w:rPr>
          <w:rStyle w:val="47"/>
          <w:rFonts w:ascii="宋体" w:hAnsi="宋体" w:eastAsia="宋体"/>
        </w:rPr>
        <w:fldChar w:fldCharType="end"/>
      </w:r>
    </w:p>
    <w:p w14:paraId="1D65414E">
      <w:pPr>
        <w:pStyle w:val="27"/>
        <w:tabs>
          <w:tab w:val="right" w:leader="dot" w:pos="8296"/>
        </w:tabs>
        <w:ind w:left="840" w:hanging="420"/>
        <w:rPr>
          <w:rStyle w:val="47"/>
          <w:rFonts w:ascii="宋体" w:hAnsi="宋体" w:eastAsia="宋体"/>
        </w:rPr>
      </w:pPr>
      <w:r>
        <w:fldChar w:fldCharType="begin"/>
      </w:r>
      <w:r>
        <w:instrText xml:space="preserve"> HYPERLINK \l "_Toc79498049" </w:instrText>
      </w:r>
      <w:r>
        <w:fldChar w:fldCharType="separate"/>
      </w:r>
      <w:r>
        <w:rPr>
          <w:rStyle w:val="47"/>
          <w:rFonts w:ascii="宋体" w:hAnsi="宋体" w:eastAsia="宋体"/>
        </w:rPr>
        <w:t>图3凌源市2015-2019年度社会物流总额变化示意图</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_Toc79498049 \h </w:instrText>
      </w:r>
      <w:r>
        <w:rPr>
          <w:rStyle w:val="47"/>
          <w:rFonts w:ascii="宋体" w:hAnsi="宋体" w:eastAsia="宋体"/>
        </w:rPr>
        <w:fldChar w:fldCharType="separate"/>
      </w:r>
      <w:r>
        <w:rPr>
          <w:rStyle w:val="47"/>
          <w:rFonts w:ascii="宋体" w:hAnsi="宋体" w:eastAsia="宋体"/>
        </w:rPr>
        <w:t>13</w:t>
      </w:r>
      <w:r>
        <w:rPr>
          <w:rStyle w:val="47"/>
          <w:rFonts w:ascii="宋体" w:hAnsi="宋体" w:eastAsia="宋体"/>
        </w:rPr>
        <w:fldChar w:fldCharType="end"/>
      </w:r>
      <w:r>
        <w:rPr>
          <w:rStyle w:val="47"/>
          <w:rFonts w:ascii="宋体" w:hAnsi="宋体" w:eastAsia="宋体"/>
        </w:rPr>
        <w:fldChar w:fldCharType="end"/>
      </w:r>
    </w:p>
    <w:p w14:paraId="5087138B">
      <w:pPr>
        <w:pStyle w:val="27"/>
        <w:tabs>
          <w:tab w:val="right" w:leader="dot" w:pos="8296"/>
        </w:tabs>
        <w:ind w:left="840" w:hanging="420"/>
        <w:rPr>
          <w:rStyle w:val="47"/>
          <w:rFonts w:ascii="宋体" w:hAnsi="宋体" w:eastAsia="宋体"/>
        </w:rPr>
      </w:pPr>
      <w:r>
        <w:fldChar w:fldCharType="begin"/>
      </w:r>
      <w:r>
        <w:instrText xml:space="preserve"> HYPERLINK \l "_Toc79498050" </w:instrText>
      </w:r>
      <w:r>
        <w:fldChar w:fldCharType="separate"/>
      </w:r>
      <w:r>
        <w:rPr>
          <w:rStyle w:val="47"/>
          <w:rFonts w:ascii="宋体" w:hAnsi="宋体" w:eastAsia="宋体"/>
        </w:rPr>
        <w:t>图4凌源市2015-2019年度货运量变化示意图</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_Toc79498050 \h </w:instrText>
      </w:r>
      <w:r>
        <w:rPr>
          <w:rStyle w:val="47"/>
          <w:rFonts w:ascii="宋体" w:hAnsi="宋体" w:eastAsia="宋体"/>
        </w:rPr>
        <w:fldChar w:fldCharType="separate"/>
      </w:r>
      <w:r>
        <w:rPr>
          <w:rStyle w:val="47"/>
          <w:rFonts w:ascii="宋体" w:hAnsi="宋体" w:eastAsia="宋体"/>
        </w:rPr>
        <w:t>14</w:t>
      </w:r>
      <w:r>
        <w:rPr>
          <w:rStyle w:val="47"/>
          <w:rFonts w:ascii="宋体" w:hAnsi="宋体" w:eastAsia="宋体"/>
        </w:rPr>
        <w:fldChar w:fldCharType="end"/>
      </w:r>
      <w:r>
        <w:rPr>
          <w:rStyle w:val="47"/>
          <w:rFonts w:ascii="宋体" w:hAnsi="宋体" w:eastAsia="宋体"/>
        </w:rPr>
        <w:fldChar w:fldCharType="end"/>
      </w:r>
    </w:p>
    <w:p w14:paraId="69059CE7">
      <w:pPr>
        <w:pStyle w:val="27"/>
        <w:tabs>
          <w:tab w:val="right" w:leader="dot" w:pos="8296"/>
        </w:tabs>
        <w:ind w:left="840" w:hanging="420"/>
        <w:rPr>
          <w:rStyle w:val="47"/>
          <w:rFonts w:ascii="宋体" w:hAnsi="宋体" w:eastAsia="宋体"/>
        </w:rPr>
      </w:pPr>
      <w:r>
        <w:fldChar w:fldCharType="begin"/>
      </w:r>
      <w:r>
        <w:instrText xml:space="preserve"> HYPERLINK \l "_Toc79498051" </w:instrText>
      </w:r>
      <w:r>
        <w:fldChar w:fldCharType="separate"/>
      </w:r>
      <w:r>
        <w:rPr>
          <w:rStyle w:val="47"/>
          <w:rFonts w:ascii="宋体" w:hAnsi="宋体" w:eastAsia="宋体"/>
        </w:rPr>
        <w:t>图5凌源市2015-2019年度货运周转量变化示意图</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_Toc79498051 \h </w:instrText>
      </w:r>
      <w:r>
        <w:rPr>
          <w:rStyle w:val="47"/>
          <w:rFonts w:ascii="宋体" w:hAnsi="宋体" w:eastAsia="宋体"/>
        </w:rPr>
        <w:fldChar w:fldCharType="separate"/>
      </w:r>
      <w:r>
        <w:rPr>
          <w:rStyle w:val="47"/>
          <w:rFonts w:ascii="宋体" w:hAnsi="宋体" w:eastAsia="宋体"/>
        </w:rPr>
        <w:t>14</w:t>
      </w:r>
      <w:r>
        <w:rPr>
          <w:rStyle w:val="47"/>
          <w:rFonts w:ascii="宋体" w:hAnsi="宋体" w:eastAsia="宋体"/>
        </w:rPr>
        <w:fldChar w:fldCharType="end"/>
      </w:r>
      <w:r>
        <w:rPr>
          <w:rStyle w:val="47"/>
          <w:rFonts w:ascii="宋体" w:hAnsi="宋体" w:eastAsia="宋体"/>
        </w:rPr>
        <w:fldChar w:fldCharType="end"/>
      </w:r>
    </w:p>
    <w:p w14:paraId="176128DB">
      <w:pPr>
        <w:pStyle w:val="27"/>
        <w:tabs>
          <w:tab w:val="right" w:leader="dot" w:pos="8296"/>
        </w:tabs>
        <w:ind w:left="840" w:hanging="420"/>
        <w:rPr>
          <w:rStyle w:val="47"/>
          <w:rFonts w:ascii="宋体" w:hAnsi="宋体" w:eastAsia="宋体"/>
        </w:rPr>
      </w:pPr>
      <w:r>
        <w:fldChar w:fldCharType="begin"/>
      </w:r>
      <w:r>
        <w:instrText xml:space="preserve"> HYPERLINK \l "_Toc79498052" </w:instrText>
      </w:r>
      <w:r>
        <w:fldChar w:fldCharType="separate"/>
      </w:r>
      <w:r>
        <w:rPr>
          <w:rStyle w:val="47"/>
          <w:rFonts w:ascii="宋体" w:hAnsi="宋体" w:eastAsia="宋体"/>
        </w:rPr>
        <w:t>图6凌源市“十四五”货运总量趋势图</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_Toc79498052 \h </w:instrText>
      </w:r>
      <w:r>
        <w:rPr>
          <w:rStyle w:val="47"/>
          <w:rFonts w:ascii="宋体" w:hAnsi="宋体" w:eastAsia="宋体"/>
        </w:rPr>
        <w:fldChar w:fldCharType="separate"/>
      </w:r>
      <w:r>
        <w:rPr>
          <w:rStyle w:val="47"/>
          <w:rFonts w:ascii="宋体" w:hAnsi="宋体" w:eastAsia="宋体"/>
        </w:rPr>
        <w:t>30</w:t>
      </w:r>
      <w:r>
        <w:rPr>
          <w:rStyle w:val="47"/>
          <w:rFonts w:ascii="宋体" w:hAnsi="宋体" w:eastAsia="宋体"/>
        </w:rPr>
        <w:fldChar w:fldCharType="end"/>
      </w:r>
      <w:r>
        <w:rPr>
          <w:rStyle w:val="47"/>
          <w:rFonts w:ascii="宋体" w:hAnsi="宋体" w:eastAsia="宋体"/>
        </w:rPr>
        <w:fldChar w:fldCharType="end"/>
      </w:r>
    </w:p>
    <w:p w14:paraId="0569125C">
      <w:pPr>
        <w:pStyle w:val="27"/>
        <w:tabs>
          <w:tab w:val="right" w:leader="dot" w:pos="8296"/>
        </w:tabs>
        <w:ind w:left="840" w:hanging="420"/>
        <w:rPr>
          <w:rStyle w:val="47"/>
          <w:rFonts w:ascii="宋体" w:hAnsi="宋体" w:eastAsia="宋体"/>
        </w:rPr>
      </w:pPr>
      <w:r>
        <w:fldChar w:fldCharType="begin"/>
      </w:r>
      <w:r>
        <w:instrText xml:space="preserve"> HYPERLINK \l "_Toc79498053" </w:instrText>
      </w:r>
      <w:r>
        <w:fldChar w:fldCharType="separate"/>
      </w:r>
      <w:r>
        <w:rPr>
          <w:rStyle w:val="47"/>
          <w:rFonts w:ascii="宋体" w:hAnsi="宋体" w:eastAsia="宋体"/>
        </w:rPr>
        <w:t>图7凌源市现代物流产业体系示意图</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_Toc79498053 \h </w:instrText>
      </w:r>
      <w:r>
        <w:rPr>
          <w:rStyle w:val="47"/>
          <w:rFonts w:ascii="宋体" w:hAnsi="宋体" w:eastAsia="宋体"/>
        </w:rPr>
        <w:fldChar w:fldCharType="separate"/>
      </w:r>
      <w:r>
        <w:rPr>
          <w:rStyle w:val="47"/>
          <w:rFonts w:ascii="宋体" w:hAnsi="宋体" w:eastAsia="宋体"/>
        </w:rPr>
        <w:t>40</w:t>
      </w:r>
      <w:r>
        <w:rPr>
          <w:rStyle w:val="47"/>
          <w:rFonts w:ascii="宋体" w:hAnsi="宋体" w:eastAsia="宋体"/>
        </w:rPr>
        <w:fldChar w:fldCharType="end"/>
      </w:r>
      <w:r>
        <w:rPr>
          <w:rStyle w:val="47"/>
          <w:rFonts w:ascii="宋体" w:hAnsi="宋体" w:eastAsia="宋体"/>
        </w:rPr>
        <w:fldChar w:fldCharType="end"/>
      </w:r>
    </w:p>
    <w:p w14:paraId="2AF1FAC3">
      <w:pPr>
        <w:pStyle w:val="27"/>
        <w:tabs>
          <w:tab w:val="right" w:leader="dot" w:pos="8296"/>
        </w:tabs>
        <w:ind w:left="840" w:hanging="420"/>
        <w:rPr>
          <w:rStyle w:val="47"/>
          <w:rFonts w:ascii="宋体" w:hAnsi="宋体" w:eastAsia="宋体"/>
        </w:rPr>
      </w:pPr>
      <w:r>
        <w:fldChar w:fldCharType="begin"/>
      </w:r>
      <w:r>
        <w:instrText xml:space="preserve"> HYPERLINK \l "_Toc79498054" </w:instrText>
      </w:r>
      <w:r>
        <w:fldChar w:fldCharType="separate"/>
      </w:r>
      <w:r>
        <w:rPr>
          <w:rStyle w:val="47"/>
          <w:rFonts w:ascii="宋体" w:hAnsi="宋体" w:eastAsia="宋体"/>
        </w:rPr>
        <w:t>图8凌源市数字化物流信息平台架构图</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_Toc79498054 \h </w:instrText>
      </w:r>
      <w:r>
        <w:rPr>
          <w:rStyle w:val="47"/>
          <w:rFonts w:ascii="宋体" w:hAnsi="宋体" w:eastAsia="宋体"/>
        </w:rPr>
        <w:fldChar w:fldCharType="separate"/>
      </w:r>
      <w:r>
        <w:rPr>
          <w:rStyle w:val="47"/>
          <w:rFonts w:ascii="宋体" w:hAnsi="宋体" w:eastAsia="宋体"/>
        </w:rPr>
        <w:t>41</w:t>
      </w:r>
      <w:r>
        <w:rPr>
          <w:rStyle w:val="47"/>
          <w:rFonts w:ascii="宋体" w:hAnsi="宋体" w:eastAsia="宋体"/>
        </w:rPr>
        <w:fldChar w:fldCharType="end"/>
      </w:r>
      <w:r>
        <w:rPr>
          <w:rStyle w:val="47"/>
          <w:rFonts w:ascii="宋体" w:hAnsi="宋体" w:eastAsia="宋体"/>
        </w:rPr>
        <w:fldChar w:fldCharType="end"/>
      </w:r>
    </w:p>
    <w:p w14:paraId="202DCC2E">
      <w:pPr>
        <w:pStyle w:val="27"/>
        <w:tabs>
          <w:tab w:val="right" w:leader="dot" w:pos="8296"/>
        </w:tabs>
        <w:ind w:left="840" w:hanging="420"/>
        <w:rPr>
          <w:rStyle w:val="47"/>
          <w:rFonts w:ascii="宋体" w:hAnsi="宋体" w:eastAsia="宋体"/>
        </w:rPr>
      </w:pPr>
      <w:r>
        <w:fldChar w:fldCharType="begin"/>
      </w:r>
      <w:r>
        <w:instrText xml:space="preserve"> HYPERLINK \l "_Toc79498055" </w:instrText>
      </w:r>
      <w:r>
        <w:fldChar w:fldCharType="separate"/>
      </w:r>
      <w:r>
        <w:rPr>
          <w:rStyle w:val="47"/>
          <w:rFonts w:ascii="宋体" w:hAnsi="宋体" w:eastAsia="宋体"/>
        </w:rPr>
        <w:t>图9制造业物流体系示意图</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_Toc79498055 \h </w:instrText>
      </w:r>
      <w:r>
        <w:rPr>
          <w:rStyle w:val="47"/>
          <w:rFonts w:ascii="宋体" w:hAnsi="宋体" w:eastAsia="宋体"/>
        </w:rPr>
        <w:fldChar w:fldCharType="separate"/>
      </w:r>
      <w:r>
        <w:rPr>
          <w:rStyle w:val="47"/>
          <w:rFonts w:ascii="宋体" w:hAnsi="宋体" w:eastAsia="宋体"/>
        </w:rPr>
        <w:t>44</w:t>
      </w:r>
      <w:r>
        <w:rPr>
          <w:rStyle w:val="47"/>
          <w:rFonts w:ascii="宋体" w:hAnsi="宋体" w:eastAsia="宋体"/>
        </w:rPr>
        <w:fldChar w:fldCharType="end"/>
      </w:r>
      <w:r>
        <w:rPr>
          <w:rStyle w:val="47"/>
          <w:rFonts w:ascii="宋体" w:hAnsi="宋体" w:eastAsia="宋体"/>
        </w:rPr>
        <w:fldChar w:fldCharType="end"/>
      </w:r>
    </w:p>
    <w:p w14:paraId="17FEC32D">
      <w:pPr>
        <w:pStyle w:val="27"/>
        <w:tabs>
          <w:tab w:val="right" w:leader="dot" w:pos="8296"/>
        </w:tabs>
        <w:ind w:left="840" w:hanging="420"/>
        <w:rPr>
          <w:rStyle w:val="47"/>
          <w:rFonts w:ascii="宋体" w:hAnsi="宋体" w:eastAsia="宋体"/>
        </w:rPr>
      </w:pPr>
      <w:r>
        <w:fldChar w:fldCharType="begin"/>
      </w:r>
      <w:r>
        <w:instrText xml:space="preserve"> HYPERLINK \l "_Toc79498056" </w:instrText>
      </w:r>
      <w:r>
        <w:fldChar w:fldCharType="separate"/>
      </w:r>
      <w:r>
        <w:rPr>
          <w:rStyle w:val="47"/>
          <w:rFonts w:ascii="宋体" w:hAnsi="宋体" w:eastAsia="宋体"/>
        </w:rPr>
        <w:t>图10钢铁冶金物流体系需求示意图</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_Toc79498056 \h </w:instrText>
      </w:r>
      <w:r>
        <w:rPr>
          <w:rStyle w:val="47"/>
          <w:rFonts w:ascii="宋体" w:hAnsi="宋体" w:eastAsia="宋体"/>
        </w:rPr>
        <w:fldChar w:fldCharType="separate"/>
      </w:r>
      <w:r>
        <w:rPr>
          <w:rStyle w:val="47"/>
          <w:rFonts w:ascii="宋体" w:hAnsi="宋体" w:eastAsia="宋体"/>
        </w:rPr>
        <w:t>45</w:t>
      </w:r>
      <w:r>
        <w:rPr>
          <w:rStyle w:val="47"/>
          <w:rFonts w:ascii="宋体" w:hAnsi="宋体" w:eastAsia="宋体"/>
        </w:rPr>
        <w:fldChar w:fldCharType="end"/>
      </w:r>
      <w:r>
        <w:rPr>
          <w:rStyle w:val="47"/>
          <w:rFonts w:ascii="宋体" w:hAnsi="宋体" w:eastAsia="宋体"/>
        </w:rPr>
        <w:fldChar w:fldCharType="end"/>
      </w:r>
    </w:p>
    <w:p w14:paraId="23924D3F">
      <w:pPr>
        <w:pStyle w:val="27"/>
        <w:tabs>
          <w:tab w:val="right" w:leader="dot" w:pos="8296"/>
        </w:tabs>
        <w:ind w:left="840" w:hanging="420"/>
        <w:rPr>
          <w:rStyle w:val="47"/>
          <w:rFonts w:ascii="宋体" w:hAnsi="宋体" w:eastAsia="宋体"/>
        </w:rPr>
      </w:pPr>
      <w:r>
        <w:fldChar w:fldCharType="begin"/>
      </w:r>
      <w:r>
        <w:instrText xml:space="preserve"> HYPERLINK \l "_Toc79498057" </w:instrText>
      </w:r>
      <w:r>
        <w:fldChar w:fldCharType="separate"/>
      </w:r>
      <w:r>
        <w:rPr>
          <w:rStyle w:val="47"/>
          <w:rFonts w:ascii="宋体" w:hAnsi="宋体" w:eastAsia="宋体"/>
        </w:rPr>
        <w:t>图11非金属新材料物流体系需求示意图</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_Toc79498057 \h </w:instrText>
      </w:r>
      <w:r>
        <w:rPr>
          <w:rStyle w:val="47"/>
          <w:rFonts w:ascii="宋体" w:hAnsi="宋体" w:eastAsia="宋体"/>
        </w:rPr>
        <w:fldChar w:fldCharType="separate"/>
      </w:r>
      <w:r>
        <w:rPr>
          <w:rStyle w:val="47"/>
          <w:rFonts w:ascii="宋体" w:hAnsi="宋体" w:eastAsia="宋体"/>
        </w:rPr>
        <w:t>50</w:t>
      </w:r>
      <w:r>
        <w:rPr>
          <w:rStyle w:val="47"/>
          <w:rFonts w:ascii="宋体" w:hAnsi="宋体" w:eastAsia="宋体"/>
        </w:rPr>
        <w:fldChar w:fldCharType="end"/>
      </w:r>
      <w:r>
        <w:rPr>
          <w:rStyle w:val="47"/>
          <w:rFonts w:ascii="宋体" w:hAnsi="宋体" w:eastAsia="宋体"/>
        </w:rPr>
        <w:fldChar w:fldCharType="end"/>
      </w:r>
    </w:p>
    <w:p w14:paraId="3EAA30B2">
      <w:pPr>
        <w:pStyle w:val="27"/>
        <w:tabs>
          <w:tab w:val="right" w:leader="dot" w:pos="8296"/>
        </w:tabs>
        <w:ind w:left="840" w:hanging="420"/>
        <w:rPr>
          <w:rStyle w:val="47"/>
          <w:rFonts w:ascii="宋体" w:hAnsi="宋体" w:eastAsia="宋体"/>
        </w:rPr>
      </w:pPr>
      <w:r>
        <w:fldChar w:fldCharType="begin"/>
      </w:r>
      <w:r>
        <w:instrText xml:space="preserve"> HYPERLINK \l "_Toc79498058" </w:instrText>
      </w:r>
      <w:r>
        <w:fldChar w:fldCharType="separate"/>
      </w:r>
      <w:r>
        <w:rPr>
          <w:rStyle w:val="47"/>
          <w:rFonts w:ascii="宋体" w:hAnsi="宋体" w:eastAsia="宋体"/>
        </w:rPr>
        <w:t>图12汽车制造业物流体系需求示意图</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_Toc79498058 \h </w:instrText>
      </w:r>
      <w:r>
        <w:rPr>
          <w:rStyle w:val="47"/>
          <w:rFonts w:ascii="宋体" w:hAnsi="宋体" w:eastAsia="宋体"/>
        </w:rPr>
        <w:fldChar w:fldCharType="separate"/>
      </w:r>
      <w:r>
        <w:rPr>
          <w:rStyle w:val="47"/>
          <w:rFonts w:ascii="宋体" w:hAnsi="宋体" w:eastAsia="宋体"/>
        </w:rPr>
        <w:t>54</w:t>
      </w:r>
      <w:r>
        <w:rPr>
          <w:rStyle w:val="47"/>
          <w:rFonts w:ascii="宋体" w:hAnsi="宋体" w:eastAsia="宋体"/>
        </w:rPr>
        <w:fldChar w:fldCharType="end"/>
      </w:r>
      <w:r>
        <w:rPr>
          <w:rStyle w:val="47"/>
          <w:rFonts w:ascii="宋体" w:hAnsi="宋体" w:eastAsia="宋体"/>
        </w:rPr>
        <w:fldChar w:fldCharType="end"/>
      </w:r>
    </w:p>
    <w:p w14:paraId="221AE918">
      <w:pPr>
        <w:pStyle w:val="27"/>
        <w:tabs>
          <w:tab w:val="right" w:leader="dot" w:pos="8296"/>
        </w:tabs>
        <w:ind w:left="840" w:hanging="420"/>
        <w:rPr>
          <w:rStyle w:val="47"/>
          <w:rFonts w:ascii="宋体" w:hAnsi="宋体" w:eastAsia="宋体"/>
        </w:rPr>
      </w:pPr>
      <w:r>
        <w:fldChar w:fldCharType="begin"/>
      </w:r>
      <w:r>
        <w:instrText xml:space="preserve"> HYPERLINK \l "_Toc79498059" </w:instrText>
      </w:r>
      <w:r>
        <w:fldChar w:fldCharType="separate"/>
      </w:r>
      <w:r>
        <w:rPr>
          <w:rStyle w:val="47"/>
          <w:rFonts w:ascii="宋体" w:hAnsi="宋体" w:eastAsia="宋体"/>
        </w:rPr>
        <w:t>图13农产品流通物流体系示意图</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_Toc79498059 \h </w:instrText>
      </w:r>
      <w:r>
        <w:rPr>
          <w:rStyle w:val="47"/>
          <w:rFonts w:ascii="宋体" w:hAnsi="宋体" w:eastAsia="宋体"/>
        </w:rPr>
        <w:fldChar w:fldCharType="separate"/>
      </w:r>
      <w:r>
        <w:rPr>
          <w:rStyle w:val="47"/>
          <w:rFonts w:ascii="宋体" w:hAnsi="宋体" w:eastAsia="宋体"/>
        </w:rPr>
        <w:t>58</w:t>
      </w:r>
      <w:r>
        <w:rPr>
          <w:rStyle w:val="47"/>
          <w:rFonts w:ascii="宋体" w:hAnsi="宋体" w:eastAsia="宋体"/>
        </w:rPr>
        <w:fldChar w:fldCharType="end"/>
      </w:r>
      <w:r>
        <w:rPr>
          <w:rStyle w:val="47"/>
          <w:rFonts w:ascii="宋体" w:hAnsi="宋体" w:eastAsia="宋体"/>
        </w:rPr>
        <w:fldChar w:fldCharType="end"/>
      </w:r>
    </w:p>
    <w:p w14:paraId="7D6CFBAE">
      <w:pPr>
        <w:pStyle w:val="27"/>
        <w:tabs>
          <w:tab w:val="right" w:leader="dot" w:pos="8296"/>
        </w:tabs>
        <w:ind w:left="840" w:hanging="420"/>
        <w:rPr>
          <w:rStyle w:val="47"/>
          <w:rFonts w:ascii="宋体" w:hAnsi="宋体" w:eastAsia="宋体"/>
        </w:rPr>
      </w:pPr>
      <w:r>
        <w:fldChar w:fldCharType="begin"/>
      </w:r>
      <w:r>
        <w:instrText xml:space="preserve"> HYPERLINK \l "_Toc79498060" </w:instrText>
      </w:r>
      <w:r>
        <w:fldChar w:fldCharType="separate"/>
      </w:r>
      <w:r>
        <w:rPr>
          <w:rStyle w:val="47"/>
          <w:rFonts w:ascii="宋体" w:hAnsi="宋体" w:eastAsia="宋体"/>
        </w:rPr>
        <w:t>图14农产品冷链物流体系示意图</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_Toc79498060 \h </w:instrText>
      </w:r>
      <w:r>
        <w:rPr>
          <w:rStyle w:val="47"/>
          <w:rFonts w:ascii="宋体" w:hAnsi="宋体" w:eastAsia="宋体"/>
        </w:rPr>
        <w:fldChar w:fldCharType="separate"/>
      </w:r>
      <w:r>
        <w:rPr>
          <w:rStyle w:val="47"/>
          <w:rFonts w:ascii="宋体" w:hAnsi="宋体" w:eastAsia="宋体"/>
        </w:rPr>
        <w:t>64</w:t>
      </w:r>
      <w:r>
        <w:rPr>
          <w:rStyle w:val="47"/>
          <w:rFonts w:ascii="宋体" w:hAnsi="宋体" w:eastAsia="宋体"/>
        </w:rPr>
        <w:fldChar w:fldCharType="end"/>
      </w:r>
      <w:r>
        <w:rPr>
          <w:rStyle w:val="47"/>
          <w:rFonts w:ascii="宋体" w:hAnsi="宋体" w:eastAsia="宋体"/>
        </w:rPr>
        <w:fldChar w:fldCharType="end"/>
      </w:r>
    </w:p>
    <w:p w14:paraId="59004ABB">
      <w:pPr>
        <w:pStyle w:val="27"/>
        <w:tabs>
          <w:tab w:val="right" w:leader="dot" w:pos="8296"/>
        </w:tabs>
        <w:ind w:left="840" w:hanging="420"/>
        <w:rPr>
          <w:rStyle w:val="47"/>
          <w:rFonts w:ascii="宋体" w:hAnsi="宋体" w:eastAsia="宋体"/>
        </w:rPr>
      </w:pPr>
      <w:r>
        <w:fldChar w:fldCharType="begin"/>
      </w:r>
      <w:r>
        <w:instrText xml:space="preserve"> HYPERLINK \l "_Toc79498061" </w:instrText>
      </w:r>
      <w:r>
        <w:fldChar w:fldCharType="separate"/>
      </w:r>
      <w:r>
        <w:rPr>
          <w:rStyle w:val="47"/>
          <w:rFonts w:ascii="宋体" w:hAnsi="宋体" w:eastAsia="宋体"/>
        </w:rPr>
        <w:t>图15商贸物流体系示意图</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_Toc79498061 \h </w:instrText>
      </w:r>
      <w:r>
        <w:rPr>
          <w:rStyle w:val="47"/>
          <w:rFonts w:ascii="宋体" w:hAnsi="宋体" w:eastAsia="宋体"/>
        </w:rPr>
        <w:fldChar w:fldCharType="separate"/>
      </w:r>
      <w:r>
        <w:rPr>
          <w:rStyle w:val="47"/>
          <w:rFonts w:ascii="宋体" w:hAnsi="宋体" w:eastAsia="宋体"/>
        </w:rPr>
        <w:t>71</w:t>
      </w:r>
      <w:r>
        <w:rPr>
          <w:rStyle w:val="47"/>
          <w:rFonts w:ascii="宋体" w:hAnsi="宋体" w:eastAsia="宋体"/>
        </w:rPr>
        <w:fldChar w:fldCharType="end"/>
      </w:r>
      <w:r>
        <w:rPr>
          <w:rStyle w:val="47"/>
          <w:rFonts w:ascii="宋体" w:hAnsi="宋体" w:eastAsia="宋体"/>
        </w:rPr>
        <w:fldChar w:fldCharType="end"/>
      </w:r>
    </w:p>
    <w:p w14:paraId="7B3FBFF9">
      <w:pPr>
        <w:pStyle w:val="27"/>
        <w:tabs>
          <w:tab w:val="right" w:leader="dot" w:pos="8296"/>
        </w:tabs>
        <w:ind w:left="840" w:hanging="420"/>
      </w:pPr>
      <w:r>
        <w:fldChar w:fldCharType="begin"/>
      </w:r>
      <w:r>
        <w:instrText xml:space="preserve"> HYPERLINK \l "_Toc79498062" </w:instrText>
      </w:r>
      <w:r>
        <w:fldChar w:fldCharType="separate"/>
      </w:r>
      <w:r>
        <w:rPr>
          <w:rStyle w:val="47"/>
          <w:rFonts w:ascii="宋体" w:hAnsi="宋体" w:eastAsia="宋体"/>
        </w:rPr>
        <w:t>图16凌源市物流节点布局示意图</w:t>
      </w:r>
      <w:r>
        <w:rPr>
          <w:rStyle w:val="47"/>
          <w:rFonts w:ascii="宋体" w:hAnsi="宋体" w:eastAsia="宋体"/>
        </w:rPr>
        <w:tab/>
      </w:r>
      <w:r>
        <w:rPr>
          <w:rStyle w:val="47"/>
          <w:rFonts w:ascii="宋体" w:hAnsi="宋体" w:eastAsia="宋体"/>
        </w:rPr>
        <w:fldChar w:fldCharType="begin"/>
      </w:r>
      <w:r>
        <w:rPr>
          <w:rStyle w:val="47"/>
          <w:rFonts w:ascii="宋体" w:hAnsi="宋体" w:eastAsia="宋体"/>
        </w:rPr>
        <w:instrText xml:space="preserve"> PAGEREF _Toc79498062 \h </w:instrText>
      </w:r>
      <w:r>
        <w:rPr>
          <w:rStyle w:val="47"/>
          <w:rFonts w:ascii="宋体" w:hAnsi="宋体" w:eastAsia="宋体"/>
        </w:rPr>
        <w:fldChar w:fldCharType="separate"/>
      </w:r>
      <w:r>
        <w:rPr>
          <w:rStyle w:val="47"/>
          <w:rFonts w:ascii="宋体" w:hAnsi="宋体" w:eastAsia="宋体"/>
        </w:rPr>
        <w:t>79</w:t>
      </w:r>
      <w:r>
        <w:rPr>
          <w:rStyle w:val="47"/>
          <w:rFonts w:ascii="宋体" w:hAnsi="宋体" w:eastAsia="宋体"/>
        </w:rPr>
        <w:fldChar w:fldCharType="end"/>
      </w:r>
      <w:r>
        <w:rPr>
          <w:rStyle w:val="47"/>
          <w:rFonts w:ascii="宋体" w:hAnsi="宋体" w:eastAsia="宋体"/>
        </w:rPr>
        <w:fldChar w:fldCharType="end"/>
      </w:r>
    </w:p>
    <w:p w14:paraId="1739FAED">
      <w:pPr>
        <w:spacing w:line="360" w:lineRule="auto"/>
        <w:rPr>
          <w:rFonts w:ascii="宋体" w:hAnsi="宋体" w:eastAsia="宋体"/>
          <w:szCs w:val="21"/>
        </w:rPr>
      </w:pPr>
      <w:r>
        <w:rPr>
          <w:rFonts w:ascii="宋体" w:hAnsi="宋体" w:eastAsia="宋体"/>
          <w:szCs w:val="21"/>
        </w:rPr>
        <w:fldChar w:fldCharType="end"/>
      </w:r>
      <w:r>
        <w:rPr>
          <w:rFonts w:ascii="宋体" w:hAnsi="宋体" w:eastAsia="宋体"/>
          <w:szCs w:val="21"/>
        </w:rPr>
        <w:br w:type="page"/>
      </w:r>
    </w:p>
    <w:p w14:paraId="265C0455">
      <w:pPr>
        <w:spacing w:line="360" w:lineRule="auto"/>
        <w:rPr>
          <w:rFonts w:asciiTheme="minorEastAsia" w:hAnsiTheme="minorEastAsia"/>
          <w:sz w:val="32"/>
          <w:szCs w:val="32"/>
        </w:rPr>
        <w:sectPr>
          <w:headerReference r:id="rId4" w:type="default"/>
          <w:footerReference r:id="rId5" w:type="default"/>
          <w:pgSz w:w="11906" w:h="16838"/>
          <w:pgMar w:top="1440" w:right="1800" w:bottom="1440" w:left="1800" w:header="851" w:footer="992" w:gutter="0"/>
          <w:pgNumType w:fmt="upperRoman" w:start="1"/>
          <w:cols w:space="425" w:num="1"/>
          <w:docGrid w:type="lines" w:linePitch="312" w:charSpace="0"/>
        </w:sectPr>
      </w:pPr>
    </w:p>
    <w:bookmarkEnd w:id="1"/>
    <w:p w14:paraId="331EE721">
      <w:pPr>
        <w:pStyle w:val="3"/>
        <w:tabs>
          <w:tab w:val="left" w:pos="1696"/>
        </w:tabs>
        <w:spacing w:line="360" w:lineRule="auto"/>
        <w:jc w:val="center"/>
        <w:rPr>
          <w:rFonts w:ascii="黑体" w:hAnsi="黑体" w:eastAsia="黑体"/>
        </w:rPr>
      </w:pPr>
      <w:bookmarkStart w:id="2" w:name="_Toc79497915"/>
      <w:r>
        <w:rPr>
          <w:rFonts w:hint="eastAsia" w:ascii="黑体" w:hAnsi="黑体" w:eastAsia="黑体"/>
        </w:rPr>
        <w:t>前言</w:t>
      </w:r>
      <w:bookmarkEnd w:id="2"/>
    </w:p>
    <w:p w14:paraId="4395A3F2">
      <w:pPr>
        <w:pStyle w:val="5"/>
        <w:spacing w:line="360" w:lineRule="auto"/>
        <w:rPr>
          <w:rFonts w:asciiTheme="minorEastAsia" w:hAnsiTheme="minorEastAsia"/>
        </w:rPr>
      </w:pPr>
      <w:bookmarkStart w:id="3" w:name="_Toc515824203"/>
      <w:bookmarkStart w:id="4" w:name="_Toc79497916"/>
      <w:bookmarkStart w:id="5" w:name="_Toc56438975"/>
      <w:r>
        <w:rPr>
          <w:rFonts w:hint="eastAsia" w:asciiTheme="minorEastAsia" w:hAnsiTheme="minorEastAsia"/>
        </w:rPr>
        <w:t>一、规划背景</w:t>
      </w:r>
      <w:bookmarkEnd w:id="3"/>
      <w:bookmarkEnd w:id="4"/>
      <w:bookmarkEnd w:id="5"/>
    </w:p>
    <w:p w14:paraId="5EBF5547">
      <w:pPr>
        <w:spacing w:line="360" w:lineRule="auto"/>
        <w:ind w:firstLine="646" w:firstLineChars="202"/>
        <w:rPr>
          <w:rFonts w:ascii="宋体" w:hAnsi="宋体"/>
          <w:sz w:val="32"/>
          <w:szCs w:val="32"/>
        </w:rPr>
      </w:pPr>
      <w:r>
        <w:rPr>
          <w:rFonts w:hint="eastAsia" w:ascii="宋体" w:hAnsi="宋体"/>
          <w:sz w:val="32"/>
          <w:szCs w:val="32"/>
        </w:rPr>
        <w:t>物流业连接生产、分配、流通和消费，是支撑国民经济发展的基础性、战略性、先导性产业，是打通供应链、协调产业链、创造价值链，</w:t>
      </w:r>
      <w:r>
        <w:rPr>
          <w:rFonts w:ascii="宋体" w:hAnsi="宋体" w:eastAsia="宋体"/>
          <w:sz w:val="32"/>
          <w:szCs w:val="32"/>
        </w:rPr>
        <w:t>畅通国民经济内外循环的重要环节，</w:t>
      </w:r>
      <w:r>
        <w:rPr>
          <w:rFonts w:hint="eastAsia" w:ascii="宋体" w:hAnsi="宋体" w:eastAsia="宋体"/>
          <w:sz w:val="32"/>
          <w:szCs w:val="32"/>
        </w:rPr>
        <w:t>更是</w:t>
      </w:r>
      <w:r>
        <w:rPr>
          <w:rFonts w:hint="eastAsia" w:ascii="宋体" w:hAnsi="宋体"/>
          <w:sz w:val="32"/>
          <w:szCs w:val="32"/>
        </w:rPr>
        <w:t>构建新发展格局、</w:t>
      </w:r>
      <w:r>
        <w:rPr>
          <w:rFonts w:ascii="宋体" w:hAnsi="宋体" w:eastAsia="宋体"/>
          <w:sz w:val="32"/>
          <w:szCs w:val="32"/>
        </w:rPr>
        <w:t>促进形成强大国内市场的重要</w:t>
      </w:r>
      <w:r>
        <w:rPr>
          <w:rFonts w:hint="eastAsia" w:ascii="宋体" w:hAnsi="宋体" w:eastAsia="宋体"/>
          <w:sz w:val="32"/>
          <w:szCs w:val="32"/>
        </w:rPr>
        <w:t>保障</w:t>
      </w:r>
      <w:r>
        <w:rPr>
          <w:rFonts w:ascii="宋体" w:hAnsi="宋体" w:eastAsia="宋体"/>
          <w:sz w:val="32"/>
          <w:szCs w:val="32"/>
        </w:rPr>
        <w:t>。</w:t>
      </w:r>
    </w:p>
    <w:p w14:paraId="6D3760E1">
      <w:pPr>
        <w:spacing w:line="360" w:lineRule="auto"/>
        <w:ind w:firstLine="646" w:firstLineChars="202"/>
        <w:rPr>
          <w:rFonts w:ascii="宋体" w:hAnsi="宋体"/>
          <w:sz w:val="32"/>
          <w:szCs w:val="32"/>
        </w:rPr>
      </w:pPr>
      <w:r>
        <w:rPr>
          <w:rFonts w:hint="eastAsia" w:ascii="宋体" w:hAnsi="宋体"/>
          <w:sz w:val="32"/>
          <w:szCs w:val="32"/>
        </w:rPr>
        <w:t>“十三五”期间，凌源市物流业不断探索转型发展之路，物流基础设施建设步伐逐渐加快，物流新模式、新业态得到初步应用，行业规模不断扩大、效益持续改善，为决胜全面建成小康社会作出了积极贡献。但同时凌源物流业也存在许多问题亟待解决，如物流基础设施建设滞后、物流市场主体规模偏小、服务体系不完善、对主导产业的支撑作用不强、大企业物流外包程度较低、物流税源流失等。</w:t>
      </w:r>
    </w:p>
    <w:p w14:paraId="008C7AA6">
      <w:pPr>
        <w:spacing w:line="360" w:lineRule="auto"/>
        <w:ind w:firstLine="646" w:firstLineChars="202"/>
        <w:rPr>
          <w:rFonts w:ascii="宋体" w:hAnsi="宋体"/>
          <w:sz w:val="32"/>
          <w:szCs w:val="32"/>
        </w:rPr>
      </w:pPr>
      <w:r>
        <w:rPr>
          <w:rFonts w:hint="eastAsia" w:ascii="宋体" w:hAnsi="宋体"/>
          <w:sz w:val="32"/>
          <w:szCs w:val="32"/>
        </w:rPr>
        <w:t>“十四五”时期是我国全面建成小康社会、实现第一个百年奋斗目标之后，乘势而上开启全面建设社会主义现代化国家新征程、向第二个百年奋斗目标进军的第一个五年。“十四五”期间，凌源市物流业需尽快“补短板、锻长板”，加快构建</w:t>
      </w:r>
      <w:r>
        <w:rPr>
          <w:rFonts w:hint="eastAsia" w:ascii="宋体" w:hAnsi="宋体" w:eastAsia="宋体"/>
          <w:sz w:val="32"/>
          <w:szCs w:val="32"/>
        </w:rPr>
        <w:t>区域现代物流运行体系，</w:t>
      </w:r>
      <w:r>
        <w:rPr>
          <w:rFonts w:hint="eastAsia" w:ascii="宋体" w:hAnsi="宋体"/>
          <w:sz w:val="32"/>
          <w:szCs w:val="32"/>
        </w:rPr>
        <w:t>有序推动区域现代物流业创新发展，并与其他产业融合发展，为凌源在实现社会主义现代化国家新征程中开好局、起好步奠定坚实基础。</w:t>
      </w:r>
    </w:p>
    <w:p w14:paraId="2849DCCA">
      <w:pPr>
        <w:spacing w:line="360" w:lineRule="auto"/>
        <w:ind w:firstLine="646" w:firstLineChars="202"/>
        <w:rPr>
          <w:rFonts w:ascii="宋体" w:hAnsi="宋体"/>
          <w:sz w:val="32"/>
          <w:szCs w:val="32"/>
        </w:rPr>
      </w:pPr>
      <w:r>
        <w:rPr>
          <w:rFonts w:hint="eastAsia" w:ascii="宋体" w:hAnsi="宋体"/>
          <w:sz w:val="32"/>
          <w:szCs w:val="32"/>
        </w:rPr>
        <w:t>为了贯彻落实</w:t>
      </w:r>
      <w:r>
        <w:rPr>
          <w:rFonts w:ascii="宋体" w:hAnsi="宋体"/>
          <w:sz w:val="32"/>
          <w:szCs w:val="32"/>
        </w:rPr>
        <w:t>朝阳市委</w:t>
      </w:r>
      <w:r>
        <w:rPr>
          <w:rFonts w:hint="eastAsia" w:ascii="宋体" w:hAnsi="宋体"/>
          <w:sz w:val="32"/>
          <w:szCs w:val="32"/>
        </w:rPr>
        <w:t>市政府关于“加快</w:t>
      </w:r>
      <w:r>
        <w:rPr>
          <w:rFonts w:hint="eastAsia"/>
          <w:sz w:val="32"/>
          <w:szCs w:val="32"/>
        </w:rPr>
        <w:t>推进辽冀蒙区域性物流中心</w:t>
      </w:r>
      <w:r>
        <w:rPr>
          <w:rFonts w:hint="eastAsia" w:ascii="宋体" w:hAnsi="宋体"/>
          <w:sz w:val="32"/>
          <w:szCs w:val="32"/>
        </w:rPr>
        <w:t>建设”的工作部署</w:t>
      </w:r>
      <w:r>
        <w:rPr>
          <w:rFonts w:ascii="宋体" w:hAnsi="宋体"/>
          <w:sz w:val="32"/>
          <w:szCs w:val="32"/>
        </w:rPr>
        <w:t>，</w:t>
      </w:r>
      <w:r>
        <w:rPr>
          <w:rFonts w:hint="eastAsia" w:ascii="宋体" w:hAnsi="宋体"/>
          <w:sz w:val="32"/>
          <w:szCs w:val="32"/>
        </w:rPr>
        <w:t>进一步理清“十四五”期间凌源市现代物流业的发展思路、发展方向，明确发展目标及主要任务，加快推进重点工程建设，加快完善保障机制，确保物流业高质量发展，</w:t>
      </w:r>
      <w:r>
        <w:rPr>
          <w:rFonts w:ascii="宋体" w:hAnsi="宋体"/>
          <w:sz w:val="32"/>
          <w:szCs w:val="32"/>
        </w:rPr>
        <w:t>特制定本规划。</w:t>
      </w:r>
    </w:p>
    <w:p w14:paraId="34A80AD9">
      <w:pPr>
        <w:pStyle w:val="5"/>
        <w:spacing w:line="360" w:lineRule="auto"/>
        <w:rPr>
          <w:rFonts w:asciiTheme="minorEastAsia" w:hAnsiTheme="minorEastAsia"/>
        </w:rPr>
      </w:pPr>
      <w:bookmarkStart w:id="6" w:name="_Toc79497917"/>
      <w:bookmarkStart w:id="7" w:name="_Toc7547262"/>
      <w:bookmarkStart w:id="8" w:name="_Toc56438976"/>
      <w:bookmarkStart w:id="9" w:name="_Toc515824205"/>
      <w:r>
        <w:rPr>
          <w:rFonts w:hint="eastAsia" w:asciiTheme="minorEastAsia" w:hAnsiTheme="minorEastAsia"/>
        </w:rPr>
        <w:t>二、规划依据</w:t>
      </w:r>
      <w:bookmarkEnd w:id="6"/>
      <w:bookmarkEnd w:id="7"/>
      <w:bookmarkEnd w:id="8"/>
    </w:p>
    <w:p w14:paraId="2DB50787">
      <w:pPr>
        <w:pStyle w:val="66"/>
        <w:numPr>
          <w:ilvl w:val="0"/>
          <w:numId w:val="1"/>
        </w:numPr>
        <w:spacing w:line="360" w:lineRule="auto"/>
        <w:ind w:firstLineChars="0"/>
        <w:rPr>
          <w:rFonts w:ascii="宋体" w:hAnsi="宋体"/>
          <w:sz w:val="32"/>
          <w:szCs w:val="32"/>
        </w:rPr>
      </w:pPr>
      <w:r>
        <w:rPr>
          <w:rFonts w:hint="eastAsia" w:ascii="宋体" w:hAnsi="宋体"/>
          <w:sz w:val="32"/>
          <w:szCs w:val="32"/>
        </w:rPr>
        <w:t>《中共中央关于制定国民经济和社会发展第十四个五年规划和二〇三五年远景目标的建议》；</w:t>
      </w:r>
    </w:p>
    <w:p w14:paraId="14EE9C53">
      <w:pPr>
        <w:pStyle w:val="66"/>
        <w:numPr>
          <w:ilvl w:val="0"/>
          <w:numId w:val="1"/>
        </w:numPr>
        <w:spacing w:line="360" w:lineRule="auto"/>
        <w:ind w:firstLineChars="0"/>
        <w:rPr>
          <w:rFonts w:ascii="宋体" w:hAnsi="宋体"/>
          <w:sz w:val="32"/>
          <w:szCs w:val="32"/>
        </w:rPr>
      </w:pPr>
      <w:r>
        <w:rPr>
          <w:rFonts w:hint="eastAsia" w:ascii="宋体" w:hAnsi="宋体"/>
          <w:sz w:val="32"/>
          <w:szCs w:val="32"/>
        </w:rPr>
        <w:t>《推动物流业制造业深度融合创新发展实施方案》（发改经贸</w:t>
      </w:r>
      <w:r>
        <w:rPr>
          <w:rFonts w:hint="eastAsia" w:asciiTheme="minorEastAsia" w:hAnsiTheme="minorEastAsia"/>
          <w:sz w:val="32"/>
          <w:szCs w:val="32"/>
        </w:rPr>
        <w:t>〔2020〕1315号），</w:t>
      </w:r>
      <w:r>
        <w:rPr>
          <w:rFonts w:hint="eastAsia" w:ascii="宋体" w:hAnsi="宋体"/>
          <w:sz w:val="32"/>
          <w:szCs w:val="32"/>
        </w:rPr>
        <w:t>国家发改委、工业和信息化部、交通运输部等13个部门和单位，2020年9月；</w:t>
      </w:r>
    </w:p>
    <w:p w14:paraId="20EFE8EB">
      <w:pPr>
        <w:pStyle w:val="66"/>
        <w:numPr>
          <w:ilvl w:val="0"/>
          <w:numId w:val="1"/>
        </w:numPr>
        <w:spacing w:line="360" w:lineRule="auto"/>
        <w:ind w:firstLineChars="0"/>
        <w:rPr>
          <w:rFonts w:ascii="宋体" w:hAnsi="宋体"/>
          <w:sz w:val="32"/>
          <w:szCs w:val="32"/>
        </w:rPr>
      </w:pPr>
      <w:r>
        <w:rPr>
          <w:rFonts w:hint="eastAsia" w:ascii="宋体" w:hAnsi="宋体"/>
          <w:sz w:val="32"/>
          <w:szCs w:val="32"/>
        </w:rPr>
        <w:t>《关于进一步降低物流成本的实施意见》，国家发展改革委、交通运输部，2</w:t>
      </w:r>
      <w:r>
        <w:rPr>
          <w:rFonts w:ascii="宋体" w:hAnsi="宋体"/>
          <w:sz w:val="32"/>
          <w:szCs w:val="32"/>
        </w:rPr>
        <w:t>020</w:t>
      </w:r>
      <w:r>
        <w:rPr>
          <w:rFonts w:hint="eastAsia" w:ascii="宋体" w:hAnsi="宋体"/>
          <w:sz w:val="32"/>
          <w:szCs w:val="32"/>
        </w:rPr>
        <w:t>年5月；</w:t>
      </w:r>
    </w:p>
    <w:p w14:paraId="2EC74984">
      <w:pPr>
        <w:pStyle w:val="66"/>
        <w:numPr>
          <w:ilvl w:val="0"/>
          <w:numId w:val="1"/>
        </w:numPr>
        <w:spacing w:line="360" w:lineRule="auto"/>
        <w:ind w:firstLineChars="0"/>
        <w:rPr>
          <w:rFonts w:asciiTheme="minorEastAsia" w:hAnsiTheme="minorEastAsia"/>
          <w:sz w:val="32"/>
          <w:szCs w:val="32"/>
        </w:rPr>
      </w:pPr>
      <w:r>
        <w:rPr>
          <w:rFonts w:hint="eastAsia" w:asciiTheme="minorEastAsia" w:hAnsiTheme="minorEastAsia"/>
          <w:sz w:val="32"/>
          <w:szCs w:val="32"/>
        </w:rPr>
        <w:t>《交通强国建设纲要》，</w:t>
      </w:r>
      <w:r>
        <w:rPr>
          <w:rFonts w:asciiTheme="minorEastAsia" w:hAnsiTheme="minorEastAsia"/>
          <w:sz w:val="32"/>
          <w:szCs w:val="32"/>
        </w:rPr>
        <w:t>中共中央、国务院</w:t>
      </w:r>
      <w:r>
        <w:rPr>
          <w:rFonts w:hint="eastAsia" w:asciiTheme="minorEastAsia" w:hAnsiTheme="minorEastAsia"/>
          <w:sz w:val="32"/>
          <w:szCs w:val="32"/>
        </w:rPr>
        <w:t>，2019年9月；</w:t>
      </w:r>
    </w:p>
    <w:p w14:paraId="2E5C0962">
      <w:pPr>
        <w:pStyle w:val="66"/>
        <w:numPr>
          <w:ilvl w:val="0"/>
          <w:numId w:val="1"/>
        </w:numPr>
        <w:spacing w:line="360" w:lineRule="auto"/>
        <w:ind w:firstLineChars="0"/>
        <w:rPr>
          <w:rFonts w:ascii="宋体" w:hAnsi="宋体"/>
          <w:sz w:val="32"/>
          <w:szCs w:val="32"/>
        </w:rPr>
      </w:pPr>
      <w:r>
        <w:rPr>
          <w:rFonts w:hint="eastAsia" w:asciiTheme="minorEastAsia" w:hAnsiTheme="minorEastAsia"/>
          <w:sz w:val="32"/>
          <w:szCs w:val="32"/>
        </w:rPr>
        <w:t>《关于推动物流高质量发展促进形成强大国内市场的意见》</w:t>
      </w:r>
      <w:r>
        <w:rPr>
          <w:rFonts w:hint="eastAsia" w:ascii="宋体" w:hAnsi="宋体"/>
          <w:sz w:val="32"/>
          <w:szCs w:val="32"/>
        </w:rPr>
        <w:t>（发改经贸</w:t>
      </w:r>
      <w:r>
        <w:rPr>
          <w:rFonts w:hint="eastAsia" w:asciiTheme="minorEastAsia" w:hAnsiTheme="minorEastAsia"/>
          <w:sz w:val="32"/>
          <w:szCs w:val="32"/>
        </w:rPr>
        <w:t>〔2019〕</w:t>
      </w:r>
      <w:r>
        <w:rPr>
          <w:rFonts w:hint="eastAsia" w:ascii="宋体" w:hAnsi="宋体"/>
          <w:sz w:val="32"/>
          <w:szCs w:val="32"/>
        </w:rPr>
        <w:t>352号）,国家发改委，2019年1月；</w:t>
      </w:r>
    </w:p>
    <w:p w14:paraId="1BE0CE2E">
      <w:pPr>
        <w:pStyle w:val="66"/>
        <w:numPr>
          <w:ilvl w:val="0"/>
          <w:numId w:val="1"/>
        </w:numPr>
        <w:spacing w:line="360" w:lineRule="auto"/>
        <w:ind w:firstLineChars="0"/>
        <w:rPr>
          <w:rFonts w:asciiTheme="minorEastAsia" w:hAnsiTheme="minorEastAsia"/>
          <w:sz w:val="32"/>
          <w:szCs w:val="32"/>
        </w:rPr>
      </w:pPr>
      <w:r>
        <w:rPr>
          <w:rFonts w:hint="eastAsia" w:asciiTheme="minorEastAsia" w:hAnsiTheme="minorEastAsia"/>
          <w:sz w:val="32"/>
          <w:szCs w:val="32"/>
        </w:rPr>
        <w:t>《国家物流枢纽布局和建设规划》（发改经贸〔2018〕1886号），国家发改委、交通运输部，2018年12月；</w:t>
      </w:r>
    </w:p>
    <w:p w14:paraId="1A52872E">
      <w:pPr>
        <w:pStyle w:val="66"/>
        <w:numPr>
          <w:ilvl w:val="0"/>
          <w:numId w:val="1"/>
        </w:numPr>
        <w:spacing w:line="360" w:lineRule="auto"/>
        <w:ind w:firstLineChars="0"/>
        <w:rPr>
          <w:rFonts w:asciiTheme="minorEastAsia" w:hAnsiTheme="minorEastAsia"/>
          <w:sz w:val="32"/>
          <w:szCs w:val="32"/>
        </w:rPr>
      </w:pPr>
      <w:r>
        <w:rPr>
          <w:rFonts w:asciiTheme="minorEastAsia" w:hAnsiTheme="minorEastAsia"/>
          <w:sz w:val="32"/>
          <w:szCs w:val="32"/>
        </w:rPr>
        <w:t>《推进运输结构调整三年行动计划（2018—2020年）》</w:t>
      </w:r>
      <w:r>
        <w:rPr>
          <w:rFonts w:hint="eastAsia" w:asciiTheme="minorEastAsia" w:hAnsiTheme="minorEastAsia"/>
          <w:sz w:val="32"/>
          <w:szCs w:val="32"/>
        </w:rPr>
        <w:t>（国办发〔2018〕91号），</w:t>
      </w:r>
      <w:r>
        <w:rPr>
          <w:rFonts w:asciiTheme="minorEastAsia" w:hAnsiTheme="minorEastAsia"/>
          <w:sz w:val="32"/>
          <w:szCs w:val="32"/>
        </w:rPr>
        <w:t>国务院办公厅</w:t>
      </w:r>
      <w:r>
        <w:rPr>
          <w:rFonts w:hint="eastAsia" w:asciiTheme="minorEastAsia" w:hAnsiTheme="minorEastAsia"/>
          <w:sz w:val="32"/>
          <w:szCs w:val="32"/>
        </w:rPr>
        <w:t>，2018年</w:t>
      </w:r>
      <w:r>
        <w:rPr>
          <w:rFonts w:asciiTheme="minorEastAsia" w:hAnsiTheme="minorEastAsia"/>
          <w:sz w:val="32"/>
          <w:szCs w:val="32"/>
        </w:rPr>
        <w:t>10月</w:t>
      </w:r>
      <w:r>
        <w:rPr>
          <w:rFonts w:hint="eastAsia" w:asciiTheme="minorEastAsia" w:hAnsiTheme="minorEastAsia"/>
          <w:sz w:val="32"/>
          <w:szCs w:val="32"/>
        </w:rPr>
        <w:t>；</w:t>
      </w:r>
    </w:p>
    <w:p w14:paraId="6B189DFA">
      <w:pPr>
        <w:pStyle w:val="66"/>
        <w:numPr>
          <w:ilvl w:val="0"/>
          <w:numId w:val="1"/>
        </w:numPr>
        <w:spacing w:line="360" w:lineRule="auto"/>
        <w:ind w:firstLineChars="0"/>
        <w:rPr>
          <w:rFonts w:asciiTheme="minorEastAsia" w:hAnsiTheme="minorEastAsia"/>
          <w:sz w:val="32"/>
          <w:szCs w:val="32"/>
        </w:rPr>
      </w:pPr>
      <w:r>
        <w:rPr>
          <w:rFonts w:asciiTheme="minorEastAsia" w:hAnsiTheme="minorEastAsia"/>
          <w:sz w:val="32"/>
          <w:szCs w:val="32"/>
        </w:rPr>
        <w:t>《关于开展供应链创新与应用试点的通知》</w:t>
      </w:r>
      <w:r>
        <w:rPr>
          <w:rFonts w:hint="eastAsia" w:asciiTheme="minorEastAsia" w:hAnsiTheme="minorEastAsia"/>
          <w:sz w:val="32"/>
          <w:szCs w:val="32"/>
        </w:rPr>
        <w:t>（商建函〔2018〕142号），</w:t>
      </w:r>
      <w:r>
        <w:rPr>
          <w:rFonts w:asciiTheme="minorEastAsia" w:hAnsiTheme="minorEastAsia"/>
          <w:sz w:val="32"/>
          <w:szCs w:val="32"/>
        </w:rPr>
        <w:t>商务部、工业和信息化部</w:t>
      </w:r>
      <w:r>
        <w:rPr>
          <w:rFonts w:hint="eastAsia" w:asciiTheme="minorEastAsia" w:hAnsiTheme="minorEastAsia"/>
          <w:sz w:val="32"/>
          <w:szCs w:val="32"/>
        </w:rPr>
        <w:t>等，2018年</w:t>
      </w:r>
      <w:r>
        <w:rPr>
          <w:rFonts w:asciiTheme="minorEastAsia" w:hAnsiTheme="minorEastAsia"/>
          <w:sz w:val="32"/>
          <w:szCs w:val="32"/>
        </w:rPr>
        <w:t>4月</w:t>
      </w:r>
      <w:r>
        <w:rPr>
          <w:rFonts w:hint="eastAsia" w:asciiTheme="minorEastAsia" w:hAnsiTheme="minorEastAsia"/>
          <w:sz w:val="32"/>
          <w:szCs w:val="32"/>
        </w:rPr>
        <w:t>；</w:t>
      </w:r>
    </w:p>
    <w:p w14:paraId="2A717319">
      <w:pPr>
        <w:pStyle w:val="66"/>
        <w:numPr>
          <w:ilvl w:val="0"/>
          <w:numId w:val="1"/>
        </w:numPr>
        <w:spacing w:line="360" w:lineRule="auto"/>
        <w:ind w:firstLineChars="0"/>
        <w:rPr>
          <w:rFonts w:ascii="宋体" w:hAnsi="宋体"/>
          <w:sz w:val="32"/>
          <w:szCs w:val="32"/>
        </w:rPr>
      </w:pPr>
      <w:r>
        <w:rPr>
          <w:rFonts w:hint="eastAsia" w:ascii="宋体" w:hAnsi="宋体"/>
          <w:sz w:val="32"/>
          <w:szCs w:val="32"/>
        </w:rPr>
        <w:t>《国务院办公厅关于推进电子商务与快递物流协同发展的意见》（国办发〔2018〕1号）</w:t>
      </w:r>
      <w:r>
        <w:rPr>
          <w:rFonts w:asciiTheme="minorEastAsia" w:hAnsiTheme="minorEastAsia"/>
          <w:sz w:val="32"/>
          <w:szCs w:val="32"/>
        </w:rPr>
        <w:t>国务院办公厅</w:t>
      </w:r>
      <w:r>
        <w:rPr>
          <w:rFonts w:hint="eastAsia" w:asciiTheme="minorEastAsia" w:hAnsiTheme="minorEastAsia"/>
          <w:sz w:val="32"/>
          <w:szCs w:val="32"/>
        </w:rPr>
        <w:t>，2018年</w:t>
      </w:r>
      <w:r>
        <w:rPr>
          <w:rFonts w:asciiTheme="minorEastAsia" w:hAnsiTheme="minorEastAsia"/>
          <w:sz w:val="32"/>
          <w:szCs w:val="32"/>
        </w:rPr>
        <w:t>1月</w:t>
      </w:r>
      <w:r>
        <w:rPr>
          <w:rFonts w:hint="eastAsia" w:asciiTheme="minorEastAsia" w:hAnsiTheme="minorEastAsia"/>
          <w:sz w:val="32"/>
          <w:szCs w:val="32"/>
        </w:rPr>
        <w:t>；</w:t>
      </w:r>
    </w:p>
    <w:p w14:paraId="5D595E45">
      <w:pPr>
        <w:pStyle w:val="66"/>
        <w:numPr>
          <w:ilvl w:val="0"/>
          <w:numId w:val="1"/>
        </w:numPr>
        <w:spacing w:line="360" w:lineRule="auto"/>
        <w:ind w:firstLineChars="0"/>
        <w:rPr>
          <w:rFonts w:ascii="宋体" w:hAnsi="宋体"/>
          <w:sz w:val="32"/>
          <w:szCs w:val="32"/>
        </w:rPr>
      </w:pPr>
      <w:r>
        <w:rPr>
          <w:rFonts w:hint="eastAsia" w:ascii="宋体" w:hAnsi="宋体"/>
          <w:sz w:val="32"/>
          <w:szCs w:val="32"/>
        </w:rPr>
        <w:t>《关于积极推进供应链创新与应用的指导意见》（国办发〔2017〕84号），国务院,2017年10月；</w:t>
      </w:r>
    </w:p>
    <w:p w14:paraId="48827540">
      <w:pPr>
        <w:pStyle w:val="66"/>
        <w:numPr>
          <w:ilvl w:val="0"/>
          <w:numId w:val="1"/>
        </w:numPr>
        <w:spacing w:line="360" w:lineRule="auto"/>
        <w:ind w:firstLineChars="0"/>
        <w:rPr>
          <w:rFonts w:asciiTheme="minorEastAsia" w:hAnsiTheme="minorEastAsia"/>
          <w:sz w:val="32"/>
          <w:szCs w:val="32"/>
        </w:rPr>
      </w:pPr>
      <w:r>
        <w:rPr>
          <w:rFonts w:hint="eastAsia" w:asciiTheme="minorEastAsia" w:hAnsiTheme="minorEastAsia"/>
          <w:sz w:val="32"/>
          <w:szCs w:val="32"/>
        </w:rPr>
        <w:t>《国务院办公厅关于进一步推进物流降本增效促进实体经济发展的意见》</w:t>
      </w:r>
      <w:r>
        <w:rPr>
          <w:rFonts w:hint="eastAsia" w:ascii="宋体" w:hAnsi="宋体"/>
          <w:sz w:val="32"/>
          <w:szCs w:val="32"/>
        </w:rPr>
        <w:t>（国办发〔2017〕73号），国务院,2017年8月；</w:t>
      </w:r>
    </w:p>
    <w:p w14:paraId="4FD8FF93">
      <w:pPr>
        <w:pStyle w:val="66"/>
        <w:numPr>
          <w:ilvl w:val="0"/>
          <w:numId w:val="1"/>
        </w:numPr>
        <w:spacing w:line="360" w:lineRule="auto"/>
        <w:ind w:firstLineChars="0"/>
        <w:rPr>
          <w:rFonts w:asciiTheme="minorEastAsia" w:hAnsiTheme="minorEastAsia"/>
          <w:sz w:val="32"/>
          <w:szCs w:val="32"/>
        </w:rPr>
      </w:pPr>
      <w:r>
        <w:rPr>
          <w:rFonts w:hint="eastAsia" w:ascii="宋体" w:hAnsi="宋体"/>
          <w:sz w:val="32"/>
          <w:szCs w:val="32"/>
        </w:rPr>
        <w:t>《物流业发展中长期规划（2014</w:t>
      </w:r>
      <w:r>
        <w:rPr>
          <w:rFonts w:ascii="宋体" w:hAnsi="宋体"/>
          <w:sz w:val="32"/>
          <w:szCs w:val="32"/>
        </w:rPr>
        <w:t>-2020</w:t>
      </w:r>
      <w:r>
        <w:rPr>
          <w:rFonts w:hint="eastAsia" w:ascii="宋体" w:hAnsi="宋体"/>
          <w:sz w:val="32"/>
          <w:szCs w:val="32"/>
        </w:rPr>
        <w:t>年）》（国发〔2014〕42号），国务院,2014年9月；</w:t>
      </w:r>
    </w:p>
    <w:p w14:paraId="52D196BF">
      <w:pPr>
        <w:pStyle w:val="66"/>
        <w:numPr>
          <w:ilvl w:val="0"/>
          <w:numId w:val="1"/>
        </w:numPr>
        <w:spacing w:line="360" w:lineRule="auto"/>
        <w:ind w:firstLineChars="0"/>
        <w:rPr>
          <w:rFonts w:asciiTheme="minorEastAsia" w:hAnsiTheme="minorEastAsia"/>
          <w:sz w:val="32"/>
          <w:szCs w:val="32"/>
        </w:rPr>
      </w:pPr>
      <w:r>
        <w:rPr>
          <w:rFonts w:hint="eastAsia"/>
          <w:sz w:val="32"/>
          <w:szCs w:val="32"/>
        </w:rPr>
        <w:t>《辽宁省人民政府关于大力发展现代物流业的实施意见》</w:t>
      </w:r>
      <w:r>
        <w:rPr>
          <w:rFonts w:hint="eastAsia" w:ascii="宋体" w:hAnsi="宋体"/>
          <w:sz w:val="32"/>
          <w:szCs w:val="32"/>
        </w:rPr>
        <w:t>（</w:t>
      </w:r>
      <w:r>
        <w:rPr>
          <w:rFonts w:hint="eastAsia"/>
          <w:sz w:val="32"/>
          <w:szCs w:val="32"/>
        </w:rPr>
        <w:t>辽政</w:t>
      </w:r>
      <w:r>
        <w:rPr>
          <w:rFonts w:hint="eastAsia" w:ascii="宋体" w:hAnsi="宋体"/>
          <w:sz w:val="32"/>
          <w:szCs w:val="32"/>
        </w:rPr>
        <w:t>发〔201</w:t>
      </w:r>
      <w:r>
        <w:rPr>
          <w:rFonts w:ascii="宋体" w:hAnsi="宋体"/>
          <w:sz w:val="32"/>
          <w:szCs w:val="32"/>
        </w:rPr>
        <w:t>8</w:t>
      </w:r>
      <w:r>
        <w:rPr>
          <w:rFonts w:hint="eastAsia" w:ascii="宋体" w:hAnsi="宋体"/>
          <w:sz w:val="32"/>
          <w:szCs w:val="32"/>
        </w:rPr>
        <w:t>〕</w:t>
      </w:r>
      <w:r>
        <w:rPr>
          <w:rFonts w:ascii="宋体" w:hAnsi="宋体"/>
          <w:sz w:val="32"/>
          <w:szCs w:val="32"/>
        </w:rPr>
        <w:t>30</w:t>
      </w:r>
      <w:r>
        <w:rPr>
          <w:rFonts w:hint="eastAsia" w:ascii="宋体" w:hAnsi="宋体"/>
          <w:sz w:val="32"/>
          <w:szCs w:val="32"/>
        </w:rPr>
        <w:t>号），2</w:t>
      </w:r>
      <w:r>
        <w:rPr>
          <w:rFonts w:ascii="宋体" w:hAnsi="宋体"/>
          <w:sz w:val="32"/>
          <w:szCs w:val="32"/>
        </w:rPr>
        <w:t>018</w:t>
      </w:r>
      <w:r>
        <w:rPr>
          <w:rFonts w:hint="eastAsia" w:ascii="宋体" w:hAnsi="宋体"/>
          <w:sz w:val="32"/>
          <w:szCs w:val="32"/>
        </w:rPr>
        <w:t>年1</w:t>
      </w:r>
      <w:r>
        <w:rPr>
          <w:rFonts w:ascii="宋体" w:hAnsi="宋体"/>
          <w:sz w:val="32"/>
          <w:szCs w:val="32"/>
        </w:rPr>
        <w:t>0</w:t>
      </w:r>
      <w:r>
        <w:rPr>
          <w:rFonts w:hint="eastAsia" w:ascii="宋体" w:hAnsi="宋体"/>
          <w:sz w:val="32"/>
          <w:szCs w:val="32"/>
        </w:rPr>
        <w:t>月</w:t>
      </w:r>
      <w:r>
        <w:rPr>
          <w:rFonts w:hint="eastAsia"/>
          <w:sz w:val="32"/>
          <w:szCs w:val="32"/>
        </w:rPr>
        <w:t>；</w:t>
      </w:r>
    </w:p>
    <w:p w14:paraId="4D911040">
      <w:pPr>
        <w:pStyle w:val="31"/>
        <w:numPr>
          <w:ilvl w:val="0"/>
          <w:numId w:val="1"/>
        </w:numPr>
        <w:spacing w:before="0" w:beforeAutospacing="0" w:after="0" w:afterAutospacing="0"/>
        <w:jc w:val="both"/>
        <w:textAlignment w:val="top"/>
        <w:rPr>
          <w:rFonts w:asciiTheme="minorHAnsi" w:hAnsiTheme="minorHAnsi" w:eastAsiaTheme="minorEastAsia" w:cstheme="minorBidi"/>
          <w:kern w:val="2"/>
          <w:sz w:val="32"/>
          <w:szCs w:val="32"/>
        </w:rPr>
      </w:pPr>
      <w:r>
        <w:rPr>
          <w:rFonts w:hint="eastAsia" w:asciiTheme="minorHAnsi" w:hAnsiTheme="minorHAnsi" w:eastAsiaTheme="minorEastAsia" w:cstheme="minorBidi"/>
          <w:kern w:val="2"/>
          <w:sz w:val="32"/>
          <w:szCs w:val="32"/>
        </w:rPr>
        <w:t>《关于推进辽冀蒙区域性物流中心建设的意见》，朝阳市，</w:t>
      </w:r>
      <w:r>
        <w:rPr>
          <w:rFonts w:hint="eastAsia" w:cstheme="minorBidi"/>
          <w:kern w:val="2"/>
          <w:sz w:val="32"/>
          <w:szCs w:val="32"/>
        </w:rPr>
        <w:t>2020年9月</w:t>
      </w:r>
      <w:r>
        <w:rPr>
          <w:rFonts w:hint="eastAsia" w:asciiTheme="minorHAnsi" w:hAnsiTheme="minorHAnsi" w:eastAsiaTheme="minorEastAsia" w:cstheme="minorBidi"/>
          <w:kern w:val="2"/>
          <w:sz w:val="32"/>
          <w:szCs w:val="32"/>
        </w:rPr>
        <w:t>；</w:t>
      </w:r>
    </w:p>
    <w:p w14:paraId="5129528C">
      <w:pPr>
        <w:pStyle w:val="31"/>
        <w:numPr>
          <w:ilvl w:val="0"/>
          <w:numId w:val="1"/>
        </w:numPr>
        <w:spacing w:before="0" w:beforeAutospacing="0" w:after="0" w:afterAutospacing="0"/>
        <w:jc w:val="both"/>
        <w:textAlignment w:val="top"/>
        <w:rPr>
          <w:sz w:val="32"/>
          <w:szCs w:val="32"/>
        </w:rPr>
      </w:pPr>
      <w:r>
        <w:rPr>
          <w:rFonts w:hint="eastAsia"/>
          <w:sz w:val="32"/>
          <w:szCs w:val="32"/>
        </w:rPr>
        <w:t>《朝阳市人民政府办公室关于印发朝阳市推进电子商务与快递物流协同发展实施方案的通知》（朝政办发〔2018〕160号），2</w:t>
      </w:r>
      <w:r>
        <w:rPr>
          <w:sz w:val="32"/>
          <w:szCs w:val="32"/>
        </w:rPr>
        <w:t>018</w:t>
      </w:r>
      <w:r>
        <w:rPr>
          <w:rFonts w:hint="eastAsia"/>
          <w:sz w:val="32"/>
          <w:szCs w:val="32"/>
        </w:rPr>
        <w:t>年1</w:t>
      </w:r>
      <w:r>
        <w:rPr>
          <w:sz w:val="32"/>
          <w:szCs w:val="32"/>
        </w:rPr>
        <w:t>2</w:t>
      </w:r>
      <w:r>
        <w:rPr>
          <w:rFonts w:hint="eastAsia"/>
          <w:sz w:val="32"/>
          <w:szCs w:val="32"/>
        </w:rPr>
        <w:t>月；</w:t>
      </w:r>
    </w:p>
    <w:p w14:paraId="3950A2E5">
      <w:pPr>
        <w:pStyle w:val="66"/>
        <w:numPr>
          <w:ilvl w:val="0"/>
          <w:numId w:val="1"/>
        </w:numPr>
        <w:spacing w:line="360" w:lineRule="auto"/>
        <w:ind w:firstLineChars="0"/>
        <w:rPr>
          <w:rFonts w:ascii="宋体" w:hAnsi="宋体"/>
          <w:sz w:val="32"/>
          <w:szCs w:val="32"/>
        </w:rPr>
      </w:pPr>
      <w:r>
        <w:rPr>
          <w:rFonts w:hint="eastAsia" w:ascii="宋体" w:hAnsi="宋体"/>
          <w:sz w:val="32"/>
          <w:szCs w:val="32"/>
        </w:rPr>
        <w:t>《凌源市国民经济和社会发展第十三个五年规划纲要》，凌源市人民政府办公室，2</w:t>
      </w:r>
      <w:r>
        <w:rPr>
          <w:rFonts w:ascii="宋体" w:hAnsi="宋体"/>
          <w:sz w:val="32"/>
          <w:szCs w:val="32"/>
        </w:rPr>
        <w:t>016</w:t>
      </w:r>
      <w:r>
        <w:rPr>
          <w:rFonts w:hint="eastAsia" w:ascii="宋体" w:hAnsi="宋体"/>
          <w:sz w:val="32"/>
          <w:szCs w:val="32"/>
        </w:rPr>
        <w:t>年6月；</w:t>
      </w:r>
    </w:p>
    <w:p w14:paraId="65860374">
      <w:pPr>
        <w:pStyle w:val="66"/>
        <w:numPr>
          <w:ilvl w:val="0"/>
          <w:numId w:val="1"/>
        </w:numPr>
        <w:spacing w:line="360" w:lineRule="auto"/>
        <w:ind w:firstLineChars="0"/>
        <w:rPr>
          <w:rFonts w:ascii="宋体" w:hAnsi="宋体"/>
          <w:sz w:val="32"/>
          <w:szCs w:val="32"/>
        </w:rPr>
      </w:pPr>
      <w:r>
        <w:rPr>
          <w:rFonts w:hint="eastAsia" w:ascii="宋体" w:hAnsi="宋体"/>
          <w:sz w:val="32"/>
          <w:szCs w:val="32"/>
        </w:rPr>
        <w:t>《关于实施物流强市战略建设区域性物流中心的工作方案》（凌委办发，2020年9月）；</w:t>
      </w:r>
    </w:p>
    <w:p w14:paraId="613F784B">
      <w:pPr>
        <w:pStyle w:val="66"/>
        <w:numPr>
          <w:ilvl w:val="0"/>
          <w:numId w:val="1"/>
        </w:numPr>
        <w:spacing w:line="360" w:lineRule="auto"/>
        <w:ind w:firstLineChars="0"/>
        <w:rPr>
          <w:rFonts w:ascii="宋体" w:hAnsi="宋体"/>
          <w:sz w:val="32"/>
          <w:szCs w:val="32"/>
        </w:rPr>
      </w:pPr>
      <w:r>
        <w:rPr>
          <w:rFonts w:hint="eastAsia" w:ascii="宋体" w:hAnsi="宋体"/>
          <w:sz w:val="32"/>
          <w:szCs w:val="32"/>
        </w:rPr>
        <w:t>《关于实施物流强市战略建设区域性物流中心的实施意见》（凌委办发，2020年9月）；</w:t>
      </w:r>
    </w:p>
    <w:p w14:paraId="5AF6B873">
      <w:pPr>
        <w:pStyle w:val="66"/>
        <w:numPr>
          <w:ilvl w:val="0"/>
          <w:numId w:val="1"/>
        </w:numPr>
        <w:spacing w:line="360" w:lineRule="auto"/>
        <w:ind w:firstLineChars="0"/>
        <w:rPr>
          <w:rFonts w:ascii="宋体" w:hAnsi="宋体"/>
          <w:sz w:val="32"/>
          <w:szCs w:val="32"/>
        </w:rPr>
      </w:pPr>
      <w:bookmarkStart w:id="10" w:name="_Hlk24292881"/>
      <w:r>
        <w:rPr>
          <w:rFonts w:hint="eastAsia" w:ascii="宋体" w:hAnsi="宋体"/>
          <w:sz w:val="32"/>
          <w:szCs w:val="32"/>
        </w:rPr>
        <w:t>《凌源市城市总体规划(20</w:t>
      </w:r>
      <w:r>
        <w:rPr>
          <w:rFonts w:ascii="宋体" w:hAnsi="宋体"/>
          <w:sz w:val="32"/>
          <w:szCs w:val="32"/>
        </w:rPr>
        <w:t>09</w:t>
      </w:r>
      <w:r>
        <w:rPr>
          <w:rFonts w:hint="eastAsia" w:ascii="宋体" w:hAnsi="宋体"/>
          <w:sz w:val="32"/>
          <w:szCs w:val="32"/>
        </w:rPr>
        <w:t>—20</w:t>
      </w:r>
      <w:r>
        <w:rPr>
          <w:rFonts w:ascii="宋体" w:hAnsi="宋体"/>
          <w:sz w:val="32"/>
          <w:szCs w:val="32"/>
        </w:rPr>
        <w:t>3</w:t>
      </w:r>
      <w:r>
        <w:rPr>
          <w:rFonts w:hint="eastAsia" w:ascii="宋体" w:hAnsi="宋体"/>
          <w:sz w:val="32"/>
          <w:szCs w:val="32"/>
        </w:rPr>
        <w:t>0年)》</w:t>
      </w:r>
      <w:bookmarkEnd w:id="10"/>
      <w:r>
        <w:rPr>
          <w:rFonts w:hint="eastAsia" w:ascii="宋体" w:hAnsi="宋体"/>
          <w:sz w:val="32"/>
          <w:szCs w:val="32"/>
        </w:rPr>
        <w:t>（2</w:t>
      </w:r>
      <w:r>
        <w:rPr>
          <w:rFonts w:ascii="宋体" w:hAnsi="宋体"/>
          <w:sz w:val="32"/>
          <w:szCs w:val="32"/>
        </w:rPr>
        <w:t>017</w:t>
      </w:r>
      <w:r>
        <w:rPr>
          <w:rFonts w:hint="eastAsia" w:ascii="宋体" w:hAnsi="宋体"/>
          <w:sz w:val="32"/>
          <w:szCs w:val="32"/>
        </w:rPr>
        <w:t>年修订）；</w:t>
      </w:r>
    </w:p>
    <w:p w14:paraId="460F0080">
      <w:pPr>
        <w:pStyle w:val="66"/>
        <w:numPr>
          <w:ilvl w:val="0"/>
          <w:numId w:val="1"/>
        </w:numPr>
        <w:spacing w:line="360" w:lineRule="auto"/>
        <w:ind w:firstLineChars="0"/>
        <w:rPr>
          <w:rFonts w:ascii="宋体" w:hAnsi="宋体"/>
          <w:sz w:val="32"/>
          <w:szCs w:val="32"/>
        </w:rPr>
      </w:pPr>
      <w:r>
        <w:rPr>
          <w:rFonts w:hint="eastAsia" w:ascii="宋体" w:hAnsi="宋体"/>
          <w:sz w:val="32"/>
          <w:szCs w:val="32"/>
        </w:rPr>
        <w:t>其他。</w:t>
      </w:r>
    </w:p>
    <w:bookmarkEnd w:id="9"/>
    <w:p w14:paraId="4892F77B">
      <w:pPr>
        <w:pStyle w:val="5"/>
        <w:spacing w:line="360" w:lineRule="auto"/>
        <w:rPr>
          <w:rFonts w:asciiTheme="minorEastAsia" w:hAnsiTheme="minorEastAsia"/>
        </w:rPr>
      </w:pPr>
      <w:bookmarkStart w:id="11" w:name="_Toc79497918"/>
      <w:bookmarkStart w:id="12" w:name="_Toc515824206"/>
      <w:bookmarkStart w:id="13" w:name="_Toc56438977"/>
      <w:r>
        <w:rPr>
          <w:rFonts w:hint="eastAsia" w:asciiTheme="minorEastAsia" w:hAnsiTheme="minorEastAsia"/>
        </w:rPr>
        <w:t>三</w:t>
      </w:r>
      <w:r>
        <w:rPr>
          <w:rFonts w:asciiTheme="minorEastAsia" w:hAnsiTheme="minorEastAsia"/>
        </w:rPr>
        <w:t>、</w:t>
      </w:r>
      <w:r>
        <w:rPr>
          <w:rFonts w:hint="eastAsia" w:asciiTheme="minorEastAsia" w:hAnsiTheme="minorEastAsia"/>
        </w:rPr>
        <w:t>规划范围</w:t>
      </w:r>
      <w:bookmarkEnd w:id="11"/>
      <w:bookmarkEnd w:id="12"/>
      <w:bookmarkEnd w:id="13"/>
    </w:p>
    <w:p w14:paraId="492D0060">
      <w:pPr>
        <w:spacing w:line="360" w:lineRule="auto"/>
        <w:ind w:firstLine="646" w:firstLineChars="202"/>
        <w:rPr>
          <w:rFonts w:ascii="宋体" w:hAnsi="宋体"/>
          <w:sz w:val="32"/>
          <w:szCs w:val="32"/>
        </w:rPr>
      </w:pPr>
      <w:r>
        <w:rPr>
          <w:rFonts w:hint="eastAsia" w:ascii="宋体" w:hAnsi="宋体"/>
          <w:sz w:val="32"/>
          <w:szCs w:val="32"/>
        </w:rPr>
        <w:t>凌源市全域，规划总面积为3278 平方公里。</w:t>
      </w:r>
    </w:p>
    <w:p w14:paraId="5E7442C8">
      <w:pPr>
        <w:pStyle w:val="5"/>
        <w:spacing w:line="360" w:lineRule="auto"/>
        <w:rPr>
          <w:rFonts w:asciiTheme="minorEastAsia" w:hAnsiTheme="minorEastAsia"/>
        </w:rPr>
      </w:pPr>
      <w:bookmarkStart w:id="14" w:name="_Toc515824207"/>
      <w:bookmarkStart w:id="15" w:name="_Toc79497919"/>
      <w:bookmarkStart w:id="16" w:name="_Toc56438978"/>
      <w:r>
        <w:rPr>
          <w:rFonts w:hint="eastAsia" w:asciiTheme="minorEastAsia" w:hAnsiTheme="minorEastAsia"/>
        </w:rPr>
        <w:t>四、规划期限</w:t>
      </w:r>
      <w:bookmarkEnd w:id="14"/>
      <w:bookmarkEnd w:id="15"/>
      <w:bookmarkEnd w:id="16"/>
    </w:p>
    <w:p w14:paraId="2D32DFAE">
      <w:pPr>
        <w:spacing w:line="360" w:lineRule="auto"/>
        <w:ind w:firstLine="646" w:firstLineChars="202"/>
        <w:rPr>
          <w:rFonts w:ascii="宋体" w:hAnsi="宋体"/>
          <w:sz w:val="32"/>
          <w:szCs w:val="32"/>
        </w:rPr>
      </w:pPr>
      <w:r>
        <w:rPr>
          <w:rFonts w:hint="eastAsia" w:ascii="宋体" w:hAnsi="宋体"/>
          <w:sz w:val="32"/>
          <w:szCs w:val="32"/>
        </w:rPr>
        <w:t>规划基准年为2019年，规划期限为20</w:t>
      </w:r>
      <w:r>
        <w:rPr>
          <w:rFonts w:ascii="宋体" w:hAnsi="宋体"/>
          <w:sz w:val="32"/>
          <w:szCs w:val="32"/>
        </w:rPr>
        <w:t>21</w:t>
      </w:r>
      <w:r>
        <w:rPr>
          <w:rFonts w:asciiTheme="minorEastAsia" w:hAnsiTheme="minorEastAsia"/>
          <w:sz w:val="32"/>
          <w:szCs w:val="32"/>
        </w:rPr>
        <w:t>—</w:t>
      </w:r>
      <w:r>
        <w:rPr>
          <w:rFonts w:hint="eastAsia" w:ascii="宋体" w:hAnsi="宋体"/>
          <w:sz w:val="32"/>
          <w:szCs w:val="32"/>
        </w:rPr>
        <w:t>20</w:t>
      </w:r>
      <w:r>
        <w:rPr>
          <w:rFonts w:ascii="宋体" w:hAnsi="宋体"/>
          <w:sz w:val="32"/>
          <w:szCs w:val="32"/>
        </w:rPr>
        <w:t>25</w:t>
      </w:r>
      <w:r>
        <w:rPr>
          <w:rFonts w:hint="eastAsia" w:ascii="宋体" w:hAnsi="宋体"/>
          <w:sz w:val="32"/>
          <w:szCs w:val="32"/>
        </w:rPr>
        <w:t>年，远期展望至</w:t>
      </w:r>
      <w:r>
        <w:rPr>
          <w:rFonts w:ascii="宋体" w:hAnsi="宋体"/>
          <w:sz w:val="32"/>
          <w:szCs w:val="32"/>
        </w:rPr>
        <w:t>20</w:t>
      </w:r>
      <w:r>
        <w:rPr>
          <w:rFonts w:hint="eastAsia" w:ascii="宋体" w:hAnsi="宋体"/>
          <w:sz w:val="32"/>
          <w:szCs w:val="32"/>
        </w:rPr>
        <w:t>30年。</w:t>
      </w:r>
    </w:p>
    <w:p w14:paraId="13BBD4B4">
      <w:pPr>
        <w:pStyle w:val="3"/>
        <w:numPr>
          <w:ilvl w:val="0"/>
          <w:numId w:val="2"/>
        </w:numPr>
        <w:spacing w:line="360" w:lineRule="auto"/>
        <w:ind w:left="0" w:firstLine="0"/>
        <w:jc w:val="center"/>
        <w:rPr>
          <w:rFonts w:ascii="黑体" w:hAnsi="黑体" w:eastAsia="黑体"/>
        </w:rPr>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pPr>
    </w:p>
    <w:p w14:paraId="27DBC39A">
      <w:pPr>
        <w:pStyle w:val="3"/>
        <w:numPr>
          <w:ilvl w:val="0"/>
          <w:numId w:val="2"/>
        </w:numPr>
        <w:spacing w:line="360" w:lineRule="auto"/>
        <w:ind w:left="0" w:firstLine="0"/>
        <w:jc w:val="center"/>
        <w:rPr>
          <w:rFonts w:ascii="黑体" w:hAnsi="黑体" w:eastAsia="黑体"/>
        </w:rPr>
      </w:pPr>
      <w:bookmarkStart w:id="17" w:name="_Toc57553299"/>
      <w:bookmarkStart w:id="18" w:name="_Toc79497920"/>
      <w:bookmarkStart w:id="19" w:name="_Toc56439006"/>
      <w:r>
        <w:rPr>
          <w:rFonts w:hint="eastAsia" w:ascii="黑体" w:hAnsi="黑体" w:eastAsia="黑体"/>
        </w:rPr>
        <w:t>发展基础</w:t>
      </w:r>
      <w:bookmarkEnd w:id="17"/>
      <w:r>
        <w:rPr>
          <w:rFonts w:hint="eastAsia" w:ascii="黑体" w:hAnsi="黑体" w:eastAsia="黑体"/>
        </w:rPr>
        <w:t>与面临形势</w:t>
      </w:r>
      <w:bookmarkEnd w:id="18"/>
    </w:p>
    <w:p w14:paraId="34EBA5FD">
      <w:pPr>
        <w:pStyle w:val="4"/>
        <w:spacing w:line="360" w:lineRule="auto"/>
        <w:jc w:val="center"/>
      </w:pPr>
      <w:bookmarkStart w:id="20" w:name="_Toc57553300"/>
      <w:bookmarkStart w:id="21" w:name="_Toc79497921"/>
      <w:r>
        <w:rPr>
          <w:rFonts w:hint="eastAsia"/>
        </w:rPr>
        <w:t>第一节 发展</w:t>
      </w:r>
      <w:bookmarkEnd w:id="20"/>
      <w:r>
        <w:rPr>
          <w:rFonts w:hint="eastAsia"/>
        </w:rPr>
        <w:t>基础</w:t>
      </w:r>
      <w:bookmarkEnd w:id="21"/>
    </w:p>
    <w:p w14:paraId="4F4BB9D8">
      <w:pPr>
        <w:pStyle w:val="5"/>
        <w:spacing w:line="360" w:lineRule="auto"/>
        <w:rPr>
          <w:rFonts w:asciiTheme="minorEastAsia" w:hAnsiTheme="minorEastAsia"/>
        </w:rPr>
      </w:pPr>
      <w:bookmarkStart w:id="22" w:name="_Toc57553316"/>
      <w:bookmarkStart w:id="23" w:name="_Toc79497922"/>
      <w:r>
        <w:rPr>
          <w:rFonts w:hint="eastAsia" w:asciiTheme="minorEastAsia" w:hAnsiTheme="minorEastAsia"/>
        </w:rPr>
        <w:t>一、交通区位</w:t>
      </w:r>
      <w:bookmarkEnd w:id="22"/>
      <w:r>
        <w:rPr>
          <w:rFonts w:hint="eastAsia" w:asciiTheme="minorEastAsia" w:hAnsiTheme="minorEastAsia"/>
        </w:rPr>
        <w:t>条件独特</w:t>
      </w:r>
      <w:bookmarkEnd w:id="23"/>
    </w:p>
    <w:p w14:paraId="272572A1">
      <w:pPr>
        <w:pStyle w:val="6"/>
        <w:spacing w:before="240" w:after="240" w:line="360" w:lineRule="auto"/>
        <w:rPr>
          <w:rFonts w:ascii="宋体" w:hAnsi="宋体"/>
          <w:sz w:val="32"/>
          <w:szCs w:val="32"/>
        </w:rPr>
      </w:pPr>
      <w:r>
        <w:rPr>
          <w:rFonts w:hint="eastAsia" w:ascii="宋体" w:hAnsi="宋体"/>
          <w:sz w:val="32"/>
          <w:szCs w:val="32"/>
        </w:rPr>
        <w:t>（一）区位条件</w:t>
      </w:r>
    </w:p>
    <w:p w14:paraId="62AB5830">
      <w:pPr>
        <w:spacing w:line="360" w:lineRule="auto"/>
        <w:ind w:firstLine="646" w:firstLineChars="202"/>
        <w:rPr>
          <w:rFonts w:ascii="宋体" w:hAnsi="宋体"/>
          <w:sz w:val="32"/>
          <w:szCs w:val="32"/>
        </w:rPr>
      </w:pPr>
      <w:r>
        <w:rPr>
          <w:rFonts w:hint="eastAsia" w:ascii="宋体" w:hAnsi="宋体"/>
          <w:sz w:val="32"/>
          <w:szCs w:val="32"/>
        </w:rPr>
        <w:t>凌源市隶属辽宁省朝阳市，地处辽宁西部，</w:t>
      </w:r>
      <w:r>
        <w:rPr>
          <w:rFonts w:ascii="宋体" w:hAnsi="宋体"/>
          <w:sz w:val="32"/>
          <w:szCs w:val="32"/>
        </w:rPr>
        <w:t>位于辽、</w:t>
      </w:r>
      <w:r>
        <w:rPr>
          <w:rFonts w:hint="eastAsia" w:ascii="宋体" w:hAnsi="宋体"/>
          <w:sz w:val="32"/>
          <w:szCs w:val="32"/>
        </w:rPr>
        <w:t>冀</w:t>
      </w:r>
      <w:r>
        <w:rPr>
          <w:rFonts w:ascii="宋体" w:hAnsi="宋体"/>
          <w:sz w:val="32"/>
          <w:szCs w:val="32"/>
        </w:rPr>
        <w:t>、蒙三省（区）交汇处，</w:t>
      </w:r>
      <w:r>
        <w:rPr>
          <w:rFonts w:hint="eastAsia" w:ascii="宋体" w:hAnsi="宋体"/>
          <w:sz w:val="32"/>
          <w:szCs w:val="32"/>
        </w:rPr>
        <w:t>北与建平县、内蒙古宁城县毗连，东北及东与喀左县接界，西及西北与河北省平泉县相邻，西南与河北宽城县、平泉县接壤，南与建昌县、河北青龙县相连，东南与建昌、喀左两县搭界。</w:t>
      </w:r>
    </w:p>
    <w:p w14:paraId="62631123">
      <w:pPr>
        <w:spacing w:line="360" w:lineRule="auto"/>
        <w:ind w:firstLine="646" w:firstLineChars="202"/>
        <w:rPr>
          <w:rFonts w:ascii="宋体" w:hAnsi="宋体"/>
          <w:sz w:val="32"/>
          <w:szCs w:val="32"/>
        </w:rPr>
      </w:pPr>
      <w:r>
        <w:rPr>
          <w:rFonts w:hint="eastAsia" w:ascii="宋体" w:hAnsi="宋体"/>
          <w:sz w:val="32"/>
          <w:szCs w:val="32"/>
        </w:rPr>
        <w:t>作为辽西走廊北通道上的要冲，凌源是历史上中原进入东北的主要通道，自古就有关内外“天然孔道”之称，历来为商贾云集的经贸发达之地。如今，凌源已成为辽宁开放合作的西门户、连通京津冀的桥头堡，是</w:t>
      </w:r>
      <w:r>
        <w:rPr>
          <w:rFonts w:ascii="宋体" w:hAnsi="宋体"/>
          <w:sz w:val="32"/>
          <w:szCs w:val="32"/>
        </w:rPr>
        <w:t>连接京沈两大都市群、沟通内蒙古腹地与沿海港</w:t>
      </w:r>
      <w:r>
        <w:rPr>
          <w:rFonts w:hint="eastAsia" w:ascii="宋体" w:hAnsi="宋体"/>
          <w:sz w:val="32"/>
          <w:szCs w:val="32"/>
        </w:rPr>
        <w:t>口</w:t>
      </w:r>
      <w:r>
        <w:rPr>
          <w:rFonts w:ascii="宋体" w:hAnsi="宋体"/>
          <w:sz w:val="32"/>
          <w:szCs w:val="32"/>
        </w:rPr>
        <w:t>的重要交通接点城市</w:t>
      </w:r>
      <w:r>
        <w:rPr>
          <w:rFonts w:hint="eastAsia" w:ascii="宋体" w:hAnsi="宋体"/>
          <w:sz w:val="32"/>
          <w:szCs w:val="32"/>
        </w:rPr>
        <w:t>，也是中蒙俄经济走廊和东北亚经济圈的重要节点城市。</w:t>
      </w:r>
    </w:p>
    <w:p w14:paraId="0D95548B">
      <w:pPr>
        <w:pStyle w:val="2"/>
        <w:ind w:firstLine="640" w:firstLineChars="200"/>
      </w:pPr>
      <w:r>
        <w:rPr>
          <w:rFonts w:hint="eastAsia" w:ascii="宋体" w:hAnsi="宋体"/>
          <w:sz w:val="32"/>
          <w:szCs w:val="32"/>
        </w:rPr>
        <w:t>凌源</w:t>
      </w:r>
      <w:r>
        <w:rPr>
          <w:rFonts w:ascii="宋体" w:hAnsi="宋体"/>
          <w:sz w:val="32"/>
          <w:szCs w:val="32"/>
        </w:rPr>
        <w:t>市区距</w:t>
      </w:r>
      <w:r>
        <w:fldChar w:fldCharType="begin"/>
      </w:r>
      <w:r>
        <w:instrText xml:space="preserve"> HYPERLINK "https://baike.baidu.com/item/%E5%8C%97%E4%BA%AC/128981" \t "_blank" </w:instrText>
      </w:r>
      <w:r>
        <w:fldChar w:fldCharType="separate"/>
      </w:r>
      <w:r>
        <w:rPr>
          <w:rFonts w:ascii="宋体" w:hAnsi="宋体"/>
          <w:sz w:val="32"/>
          <w:szCs w:val="32"/>
        </w:rPr>
        <w:t>北京</w:t>
      </w:r>
      <w:r>
        <w:rPr>
          <w:rFonts w:ascii="宋体" w:hAnsi="宋体"/>
          <w:sz w:val="32"/>
          <w:szCs w:val="32"/>
        </w:rPr>
        <w:fldChar w:fldCharType="end"/>
      </w:r>
      <w:r>
        <w:rPr>
          <w:rFonts w:ascii="宋体" w:hAnsi="宋体"/>
          <w:sz w:val="32"/>
          <w:szCs w:val="32"/>
        </w:rPr>
        <w:t>371</w:t>
      </w:r>
      <w:r>
        <w:rPr>
          <w:rFonts w:hint="eastAsia" w:ascii="宋体" w:hAnsi="宋体"/>
          <w:sz w:val="32"/>
          <w:szCs w:val="32"/>
        </w:rPr>
        <w:t>公里</w:t>
      </w:r>
      <w:r>
        <w:rPr>
          <w:rFonts w:ascii="宋体" w:hAnsi="宋体"/>
          <w:sz w:val="32"/>
          <w:szCs w:val="32"/>
        </w:rPr>
        <w:t>，距</w:t>
      </w:r>
      <w:r>
        <w:fldChar w:fldCharType="begin"/>
      </w:r>
      <w:r>
        <w:instrText xml:space="preserve"> HYPERLINK "https://baike.baidu.com/item/%E6%B2%88%E9%98%B3/13034" \t "_blank" </w:instrText>
      </w:r>
      <w:r>
        <w:fldChar w:fldCharType="separate"/>
      </w:r>
      <w:r>
        <w:rPr>
          <w:rFonts w:ascii="宋体" w:hAnsi="宋体"/>
          <w:sz w:val="32"/>
          <w:szCs w:val="32"/>
        </w:rPr>
        <w:t>沈阳</w:t>
      </w:r>
      <w:r>
        <w:rPr>
          <w:rFonts w:ascii="宋体" w:hAnsi="宋体"/>
          <w:sz w:val="32"/>
          <w:szCs w:val="32"/>
        </w:rPr>
        <w:fldChar w:fldCharType="end"/>
      </w:r>
      <w:r>
        <w:rPr>
          <w:rFonts w:ascii="宋体" w:hAnsi="宋体"/>
          <w:sz w:val="32"/>
          <w:szCs w:val="32"/>
        </w:rPr>
        <w:t>435</w:t>
      </w:r>
      <w:r>
        <w:rPr>
          <w:rFonts w:hint="eastAsia" w:ascii="宋体" w:hAnsi="宋体"/>
          <w:sz w:val="32"/>
          <w:szCs w:val="32"/>
        </w:rPr>
        <w:t>公里，</w:t>
      </w:r>
      <w:r>
        <w:rPr>
          <w:rFonts w:ascii="宋体" w:hAnsi="宋体"/>
          <w:sz w:val="32"/>
          <w:szCs w:val="32"/>
        </w:rPr>
        <w:t>距</w:t>
      </w:r>
      <w:r>
        <w:fldChar w:fldCharType="begin"/>
      </w:r>
      <w:r>
        <w:instrText xml:space="preserve"> HYPERLINK "https://baike.baidu.com/item/%E6%89%BF%E5%BE%B7/372735" \t "_blank" </w:instrText>
      </w:r>
      <w:r>
        <w:fldChar w:fldCharType="separate"/>
      </w:r>
      <w:r>
        <w:rPr>
          <w:rFonts w:ascii="宋体" w:hAnsi="宋体"/>
          <w:sz w:val="32"/>
          <w:szCs w:val="32"/>
        </w:rPr>
        <w:t>承德</w:t>
      </w:r>
      <w:r>
        <w:rPr>
          <w:rFonts w:ascii="宋体" w:hAnsi="宋体"/>
          <w:sz w:val="32"/>
          <w:szCs w:val="32"/>
        </w:rPr>
        <w:fldChar w:fldCharType="end"/>
      </w:r>
      <w:r>
        <w:rPr>
          <w:rFonts w:ascii="宋体" w:hAnsi="宋体"/>
          <w:sz w:val="32"/>
          <w:szCs w:val="32"/>
        </w:rPr>
        <w:t>180</w:t>
      </w:r>
      <w:r>
        <w:rPr>
          <w:rFonts w:hint="eastAsia" w:ascii="宋体" w:hAnsi="宋体"/>
          <w:sz w:val="32"/>
          <w:szCs w:val="32"/>
        </w:rPr>
        <w:t>公里</w:t>
      </w:r>
      <w:r>
        <w:rPr>
          <w:rFonts w:ascii="宋体" w:hAnsi="宋体"/>
          <w:sz w:val="32"/>
          <w:szCs w:val="32"/>
        </w:rPr>
        <w:t>，距</w:t>
      </w:r>
      <w:r>
        <w:fldChar w:fldCharType="begin"/>
      </w:r>
      <w:r>
        <w:instrText xml:space="preserve"> HYPERLINK "https://baike.baidu.com/item/%E8%B5%A4%E5%B3%B0" \t "_blank" </w:instrText>
      </w:r>
      <w:r>
        <w:fldChar w:fldCharType="separate"/>
      </w:r>
      <w:r>
        <w:rPr>
          <w:rFonts w:ascii="宋体" w:hAnsi="宋体"/>
          <w:sz w:val="32"/>
          <w:szCs w:val="32"/>
        </w:rPr>
        <w:t>赤峰</w:t>
      </w:r>
      <w:r>
        <w:rPr>
          <w:rFonts w:ascii="宋体" w:hAnsi="宋体"/>
          <w:sz w:val="32"/>
          <w:szCs w:val="32"/>
        </w:rPr>
        <w:fldChar w:fldCharType="end"/>
      </w:r>
      <w:r>
        <w:rPr>
          <w:rFonts w:ascii="宋体" w:hAnsi="宋体"/>
          <w:sz w:val="32"/>
          <w:szCs w:val="32"/>
        </w:rPr>
        <w:t>140</w:t>
      </w:r>
      <w:r>
        <w:rPr>
          <w:rFonts w:hint="eastAsia" w:ascii="宋体" w:hAnsi="宋体"/>
          <w:sz w:val="32"/>
          <w:szCs w:val="32"/>
        </w:rPr>
        <w:t>公里</w:t>
      </w:r>
      <w:r>
        <w:rPr>
          <w:rFonts w:ascii="宋体" w:hAnsi="宋体"/>
          <w:sz w:val="32"/>
          <w:szCs w:val="32"/>
        </w:rPr>
        <w:t>，距</w:t>
      </w:r>
      <w:r>
        <w:fldChar w:fldCharType="begin"/>
      </w:r>
      <w:r>
        <w:instrText xml:space="preserve"> HYPERLINK "https://baike.baidu.com/item/%E6%9C%9D%E9%98%B3/6818" \t "_blank" </w:instrText>
      </w:r>
      <w:r>
        <w:fldChar w:fldCharType="separate"/>
      </w:r>
      <w:r>
        <w:rPr>
          <w:rFonts w:ascii="宋体" w:hAnsi="宋体"/>
          <w:sz w:val="32"/>
          <w:szCs w:val="32"/>
        </w:rPr>
        <w:t>朝阳</w:t>
      </w:r>
      <w:r>
        <w:rPr>
          <w:rFonts w:ascii="宋体" w:hAnsi="宋体"/>
          <w:sz w:val="32"/>
          <w:szCs w:val="32"/>
        </w:rPr>
        <w:fldChar w:fldCharType="end"/>
      </w:r>
      <w:r>
        <w:rPr>
          <w:rFonts w:ascii="宋体" w:hAnsi="宋体"/>
          <w:sz w:val="32"/>
          <w:szCs w:val="32"/>
        </w:rPr>
        <w:t>120</w:t>
      </w:r>
      <w:r>
        <w:rPr>
          <w:rFonts w:hint="eastAsia" w:ascii="宋体" w:hAnsi="宋体"/>
          <w:sz w:val="32"/>
          <w:szCs w:val="32"/>
        </w:rPr>
        <w:t>公里</w:t>
      </w:r>
      <w:r>
        <w:rPr>
          <w:rFonts w:ascii="宋体" w:hAnsi="宋体"/>
          <w:sz w:val="32"/>
          <w:szCs w:val="32"/>
        </w:rPr>
        <w:t>，</w:t>
      </w:r>
      <w:r>
        <w:rPr>
          <w:rFonts w:hint="eastAsia" w:ascii="宋体" w:hAnsi="宋体"/>
          <w:sz w:val="32"/>
          <w:szCs w:val="32"/>
        </w:rPr>
        <w:t>距锦州220公里，距绥中158公里，</w:t>
      </w:r>
      <w:r>
        <w:rPr>
          <w:rFonts w:ascii="宋体" w:hAnsi="宋体"/>
          <w:sz w:val="32"/>
          <w:szCs w:val="32"/>
        </w:rPr>
        <w:t>距</w:t>
      </w:r>
      <w:r>
        <w:fldChar w:fldCharType="begin"/>
      </w:r>
      <w:r>
        <w:instrText xml:space="preserve"> HYPERLINK "https://baike.baidu.com/item/%E7%A7%A6%E7%9A%87%E5%B2%9B/180698" \t "_blank" </w:instrText>
      </w:r>
      <w:r>
        <w:fldChar w:fldCharType="separate"/>
      </w:r>
      <w:r>
        <w:rPr>
          <w:rFonts w:ascii="宋体" w:hAnsi="宋体"/>
          <w:sz w:val="32"/>
          <w:szCs w:val="32"/>
        </w:rPr>
        <w:t>秦皇岛</w:t>
      </w:r>
      <w:r>
        <w:rPr>
          <w:rFonts w:ascii="宋体" w:hAnsi="宋体"/>
          <w:sz w:val="32"/>
          <w:szCs w:val="32"/>
        </w:rPr>
        <w:fldChar w:fldCharType="end"/>
      </w:r>
      <w:r>
        <w:rPr>
          <w:rFonts w:hint="eastAsia" w:ascii="宋体" w:hAnsi="宋体"/>
          <w:sz w:val="32"/>
          <w:szCs w:val="32"/>
        </w:rPr>
        <w:t>15</w:t>
      </w:r>
      <w:r>
        <w:rPr>
          <w:rFonts w:ascii="宋体" w:hAnsi="宋体"/>
          <w:sz w:val="32"/>
          <w:szCs w:val="32"/>
        </w:rPr>
        <w:t>0公里，</w:t>
      </w:r>
      <w:r>
        <w:rPr>
          <w:rFonts w:hint="eastAsia" w:ascii="宋体" w:hAnsi="宋体"/>
          <w:sz w:val="32"/>
          <w:szCs w:val="32"/>
        </w:rPr>
        <w:t>距葫芦岛市144公里，</w:t>
      </w:r>
      <w:r>
        <w:rPr>
          <w:rFonts w:ascii="宋体" w:hAnsi="宋体"/>
          <w:sz w:val="32"/>
          <w:szCs w:val="32"/>
        </w:rPr>
        <w:t>距</w:t>
      </w:r>
      <w:r>
        <w:fldChar w:fldCharType="begin"/>
      </w:r>
      <w:r>
        <w:instrText xml:space="preserve"> HYPERLINK "https://baike.baidu.com/item/%E5%BB%BA%E5%B9%B3/8662" \t "_blank" </w:instrText>
      </w:r>
      <w:r>
        <w:fldChar w:fldCharType="separate"/>
      </w:r>
      <w:r>
        <w:rPr>
          <w:rFonts w:ascii="宋体" w:hAnsi="宋体"/>
          <w:sz w:val="32"/>
          <w:szCs w:val="32"/>
        </w:rPr>
        <w:t>建平</w:t>
      </w:r>
      <w:r>
        <w:rPr>
          <w:rFonts w:ascii="宋体" w:hAnsi="宋体"/>
          <w:sz w:val="32"/>
          <w:szCs w:val="32"/>
        </w:rPr>
        <w:fldChar w:fldCharType="end"/>
      </w:r>
      <w:r>
        <w:rPr>
          <w:rFonts w:ascii="宋体" w:hAnsi="宋体"/>
          <w:sz w:val="32"/>
          <w:szCs w:val="32"/>
        </w:rPr>
        <w:t>35</w:t>
      </w:r>
      <w:r>
        <w:rPr>
          <w:rFonts w:hint="eastAsia" w:ascii="宋体" w:hAnsi="宋体"/>
          <w:sz w:val="32"/>
          <w:szCs w:val="32"/>
        </w:rPr>
        <w:t>公里</w:t>
      </w:r>
      <w:r>
        <w:rPr>
          <w:rFonts w:ascii="宋体" w:hAnsi="宋体"/>
          <w:sz w:val="32"/>
          <w:szCs w:val="32"/>
        </w:rPr>
        <w:t>，距</w:t>
      </w:r>
      <w:r>
        <w:fldChar w:fldCharType="begin"/>
      </w:r>
      <w:r>
        <w:instrText xml:space="preserve"> HYPERLINK "https://baike.baidu.com/item/%E5%96%80%E5%B7%A6" \t "_blank" </w:instrText>
      </w:r>
      <w:r>
        <w:fldChar w:fldCharType="separate"/>
      </w:r>
      <w:r>
        <w:rPr>
          <w:rFonts w:ascii="宋体" w:hAnsi="宋体"/>
          <w:sz w:val="32"/>
          <w:szCs w:val="32"/>
        </w:rPr>
        <w:t>喀左</w:t>
      </w:r>
      <w:r>
        <w:rPr>
          <w:rFonts w:ascii="宋体" w:hAnsi="宋体"/>
          <w:sz w:val="32"/>
          <w:szCs w:val="32"/>
        </w:rPr>
        <w:fldChar w:fldCharType="end"/>
      </w:r>
      <w:r>
        <w:rPr>
          <w:rFonts w:ascii="宋体" w:hAnsi="宋体"/>
          <w:sz w:val="32"/>
          <w:szCs w:val="32"/>
        </w:rPr>
        <w:t>35</w:t>
      </w:r>
      <w:r>
        <w:rPr>
          <w:rFonts w:hint="eastAsia" w:ascii="宋体" w:hAnsi="宋体"/>
          <w:sz w:val="32"/>
          <w:szCs w:val="32"/>
        </w:rPr>
        <w:t>公里</w:t>
      </w:r>
      <w:r>
        <w:rPr>
          <w:rFonts w:ascii="宋体" w:hAnsi="宋体"/>
          <w:sz w:val="32"/>
          <w:szCs w:val="32"/>
        </w:rPr>
        <w:t>，距</w:t>
      </w:r>
      <w:r>
        <w:fldChar w:fldCharType="begin"/>
      </w:r>
      <w:r>
        <w:instrText xml:space="preserve"> HYPERLINK "https://baike.baidu.com/item/%E5%BB%BA%E6%98%8C/61943" \t "_blank" </w:instrText>
      </w:r>
      <w:r>
        <w:fldChar w:fldCharType="separate"/>
      </w:r>
      <w:r>
        <w:rPr>
          <w:rFonts w:ascii="宋体" w:hAnsi="宋体"/>
          <w:sz w:val="32"/>
          <w:szCs w:val="32"/>
        </w:rPr>
        <w:t>建昌</w:t>
      </w:r>
      <w:r>
        <w:rPr>
          <w:rFonts w:ascii="宋体" w:hAnsi="宋体"/>
          <w:sz w:val="32"/>
          <w:szCs w:val="32"/>
        </w:rPr>
        <w:fldChar w:fldCharType="end"/>
      </w:r>
      <w:r>
        <w:rPr>
          <w:rFonts w:ascii="宋体" w:hAnsi="宋体"/>
          <w:sz w:val="32"/>
          <w:szCs w:val="32"/>
        </w:rPr>
        <w:t>74</w:t>
      </w:r>
      <w:r>
        <w:rPr>
          <w:rFonts w:hint="eastAsia" w:ascii="宋体" w:hAnsi="宋体"/>
          <w:sz w:val="32"/>
          <w:szCs w:val="32"/>
        </w:rPr>
        <w:t>公里。随着京沈高铁的开通，凌源已正式跨入以沈阳为中心的1小时经济圈，以北京为中心的1.5小时经济圈，实现与北京、沈阳的“同城化”效应。</w:t>
      </w:r>
    </w:p>
    <w:p w14:paraId="34D91065">
      <w:pPr>
        <w:pStyle w:val="2"/>
        <w:ind w:firstLine="0"/>
        <w:jc w:val="center"/>
      </w:pPr>
      <w:r>
        <w:drawing>
          <wp:inline distT="0" distB="0" distL="0" distR="0">
            <wp:extent cx="5274310" cy="421830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4218305"/>
                    </a:xfrm>
                    <a:prstGeom prst="rect">
                      <a:avLst/>
                    </a:prstGeom>
                    <a:noFill/>
                    <a:ln>
                      <a:noFill/>
                    </a:ln>
                  </pic:spPr>
                </pic:pic>
              </a:graphicData>
            </a:graphic>
          </wp:inline>
        </w:drawing>
      </w:r>
    </w:p>
    <w:p w14:paraId="0656B981">
      <w:pPr>
        <w:pStyle w:val="10"/>
        <w:jc w:val="center"/>
        <w:rPr>
          <w:rFonts w:ascii="黑体" w:hAnsi="黑体"/>
          <w:b/>
          <w:bCs/>
          <w:sz w:val="24"/>
          <w:szCs w:val="24"/>
        </w:rPr>
      </w:pPr>
      <w:bookmarkStart w:id="24" w:name="_Toc79498047"/>
      <w:r>
        <w:rPr>
          <w:rFonts w:hint="eastAsia" w:ascii="黑体" w:hAnsi="黑体"/>
          <w:b/>
          <w:bCs/>
          <w:sz w:val="24"/>
          <w:szCs w:val="24"/>
        </w:rPr>
        <w:t xml:space="preserve">图 </w:t>
      </w:r>
      <w:r>
        <w:rPr>
          <w:rFonts w:ascii="黑体" w:hAnsi="黑体"/>
          <w:b/>
          <w:bCs/>
          <w:sz w:val="24"/>
          <w:szCs w:val="24"/>
        </w:rPr>
        <w:fldChar w:fldCharType="begin"/>
      </w:r>
      <w:r>
        <w:rPr>
          <w:rFonts w:hint="eastAsia" w:ascii="黑体" w:hAnsi="黑体"/>
          <w:b/>
          <w:bCs/>
          <w:sz w:val="24"/>
          <w:szCs w:val="24"/>
        </w:rPr>
        <w:instrText xml:space="preserve">SEQ 图 \* ARABIC</w:instrText>
      </w:r>
      <w:r>
        <w:rPr>
          <w:rFonts w:ascii="黑体" w:hAnsi="黑体"/>
          <w:b/>
          <w:bCs/>
          <w:sz w:val="24"/>
          <w:szCs w:val="24"/>
        </w:rPr>
        <w:fldChar w:fldCharType="separate"/>
      </w:r>
      <w:r>
        <w:rPr>
          <w:rFonts w:ascii="黑体" w:hAnsi="黑体"/>
          <w:b/>
          <w:bCs/>
          <w:sz w:val="24"/>
          <w:szCs w:val="24"/>
        </w:rPr>
        <w:t>1</w:t>
      </w:r>
      <w:r>
        <w:rPr>
          <w:rFonts w:ascii="黑体" w:hAnsi="黑体"/>
          <w:b/>
          <w:bCs/>
          <w:sz w:val="24"/>
          <w:szCs w:val="24"/>
        </w:rPr>
        <w:fldChar w:fldCharType="end"/>
      </w:r>
      <w:r>
        <w:rPr>
          <w:rFonts w:hint="eastAsia" w:ascii="黑体" w:hAnsi="黑体"/>
          <w:b/>
          <w:bCs/>
          <w:sz w:val="24"/>
          <w:szCs w:val="24"/>
        </w:rPr>
        <w:t>凌源市交通区位示意图</w:t>
      </w:r>
      <w:bookmarkEnd w:id="24"/>
    </w:p>
    <w:p w14:paraId="48172FED"/>
    <w:p w14:paraId="3C967B6D">
      <w:pPr>
        <w:spacing w:line="360" w:lineRule="auto"/>
        <w:ind w:firstLine="646" w:firstLineChars="202"/>
        <w:rPr>
          <w:rFonts w:ascii="宋体" w:hAnsi="宋体"/>
          <w:sz w:val="32"/>
          <w:szCs w:val="32"/>
        </w:rPr>
      </w:pPr>
      <w:r>
        <w:rPr>
          <w:rFonts w:hint="eastAsia" w:ascii="宋体" w:hAnsi="宋体"/>
          <w:sz w:val="32"/>
          <w:szCs w:val="32"/>
        </w:rPr>
        <w:t>优越的交通区位为凌源现代物流业全面加强与京津冀及周边地区的通道对接、产业对接、市场对接创造了良好条件。</w:t>
      </w:r>
    </w:p>
    <w:p w14:paraId="7409E6C0">
      <w:pPr>
        <w:pStyle w:val="6"/>
        <w:keepNext w:val="0"/>
        <w:keepLines w:val="0"/>
        <w:spacing w:before="240" w:after="240" w:line="360" w:lineRule="auto"/>
        <w:rPr>
          <w:rFonts w:ascii="宋体" w:hAnsi="宋体"/>
          <w:sz w:val="32"/>
          <w:szCs w:val="32"/>
        </w:rPr>
      </w:pPr>
      <w:r>
        <w:rPr>
          <w:rFonts w:hint="eastAsia" w:ascii="宋体" w:hAnsi="宋体"/>
          <w:sz w:val="32"/>
          <w:szCs w:val="32"/>
        </w:rPr>
        <w:t>（二）交通条件</w:t>
      </w:r>
    </w:p>
    <w:p w14:paraId="3AE65201">
      <w:pPr>
        <w:spacing w:line="360" w:lineRule="auto"/>
        <w:ind w:firstLine="646" w:firstLineChars="202"/>
        <w:rPr>
          <w:rFonts w:ascii="宋体" w:hAnsi="宋体" w:eastAsia="宋体"/>
          <w:sz w:val="32"/>
          <w:szCs w:val="32"/>
        </w:rPr>
      </w:pPr>
      <w:r>
        <w:rPr>
          <w:rFonts w:hint="eastAsia" w:ascii="宋体" w:hAnsi="宋体"/>
          <w:sz w:val="32"/>
          <w:szCs w:val="32"/>
        </w:rPr>
        <w:t>凌源公路、铁路路网较为完善</w:t>
      </w:r>
      <w:r>
        <w:rPr>
          <w:rFonts w:hint="eastAsia" w:ascii="宋体" w:hAnsi="宋体" w:eastAsia="宋体"/>
          <w:sz w:val="32"/>
          <w:szCs w:val="32"/>
        </w:rPr>
        <w:t>，</w:t>
      </w:r>
      <w:r>
        <w:rPr>
          <w:rFonts w:hint="eastAsia" w:ascii="宋体" w:hAnsi="宋体"/>
          <w:sz w:val="32"/>
          <w:szCs w:val="32"/>
        </w:rPr>
        <w:t>交通便捷，</w:t>
      </w:r>
      <w:r>
        <w:rPr>
          <w:rFonts w:hint="eastAsia" w:ascii="宋体" w:hAnsi="宋体" w:eastAsia="宋体"/>
          <w:sz w:val="32"/>
          <w:szCs w:val="32"/>
        </w:rPr>
        <w:t>借助周边机场、港口</w:t>
      </w:r>
      <w:r>
        <w:rPr>
          <w:rFonts w:hint="eastAsia" w:ascii="宋体" w:hAnsi="宋体"/>
          <w:sz w:val="32"/>
          <w:szCs w:val="32"/>
        </w:rPr>
        <w:t>，已形成了通江达海的“立体化”交通网络体系。</w:t>
      </w:r>
    </w:p>
    <w:p w14:paraId="30E4CCC0">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1、公路</w:t>
      </w:r>
    </w:p>
    <w:p w14:paraId="548FBA2A">
      <w:pPr>
        <w:spacing w:line="360" w:lineRule="auto"/>
        <w:ind w:firstLine="646" w:firstLineChars="202"/>
        <w:rPr>
          <w:rFonts w:ascii="宋体" w:hAnsi="宋体" w:eastAsia="宋体"/>
          <w:sz w:val="32"/>
          <w:szCs w:val="32"/>
        </w:rPr>
      </w:pPr>
      <w:r>
        <w:rPr>
          <w:rFonts w:hint="eastAsia" w:ascii="宋体" w:hAnsi="宋体" w:eastAsia="宋体"/>
          <w:sz w:val="32"/>
          <w:szCs w:val="32"/>
        </w:rPr>
        <w:t>目前，凌源市已形成以国省干线为骨干，以县乡道路为依托，以乡村道路为基础，纵横交错的公路路网格局。凌源市境内现有1条长深高速公路，贯穿东西全境，设凌源、北炉、三十家子三处进出口；有国家级公路2条，即101国道和306国道。其中，101国道横贯市区，是东北地区连接关内的重要通道。306国道由西向东过境，是辽蒙交通要衢；另有省道</w:t>
      </w:r>
      <w:r>
        <w:rPr>
          <w:rFonts w:ascii="宋体" w:hAnsi="宋体" w:eastAsia="宋体"/>
          <w:sz w:val="32"/>
          <w:szCs w:val="32"/>
        </w:rPr>
        <w:t>S315</w:t>
      </w:r>
      <w:r>
        <w:rPr>
          <w:rFonts w:hint="eastAsia" w:ascii="宋体" w:hAnsi="宋体" w:eastAsia="宋体"/>
          <w:sz w:val="32"/>
          <w:szCs w:val="32"/>
        </w:rPr>
        <w:t>（老宽线）、</w:t>
      </w:r>
      <w:r>
        <w:rPr>
          <w:rFonts w:ascii="宋体" w:hAnsi="宋体" w:eastAsia="宋体"/>
          <w:sz w:val="32"/>
          <w:szCs w:val="32"/>
        </w:rPr>
        <w:t>S318</w:t>
      </w:r>
      <w:r>
        <w:rPr>
          <w:rFonts w:hint="eastAsia" w:ascii="宋体" w:hAnsi="宋体" w:eastAsia="宋体"/>
          <w:sz w:val="32"/>
          <w:szCs w:val="32"/>
        </w:rPr>
        <w:t>（兴凌线）、绥三线与北杨线。其中，老宽线是目前凌源市境内南北向的主通道。绥三线是连接“秦皇岛-绥中-凌源-三十家子-赤峰”的旅游交通线路；全市现有县级以上公路1</w:t>
      </w:r>
      <w:r>
        <w:rPr>
          <w:rFonts w:ascii="宋体" w:hAnsi="宋体" w:eastAsia="宋体"/>
          <w:sz w:val="32"/>
          <w:szCs w:val="32"/>
        </w:rPr>
        <w:t>1</w:t>
      </w:r>
      <w:r>
        <w:rPr>
          <w:rFonts w:hint="eastAsia" w:ascii="宋体" w:hAnsi="宋体" w:eastAsia="宋体"/>
          <w:sz w:val="32"/>
          <w:szCs w:val="32"/>
        </w:rPr>
        <w:t>条，乡级公路6</w:t>
      </w:r>
      <w:r>
        <w:rPr>
          <w:rFonts w:ascii="宋体" w:hAnsi="宋体" w:eastAsia="宋体"/>
          <w:sz w:val="32"/>
          <w:szCs w:val="32"/>
        </w:rPr>
        <w:t>1</w:t>
      </w:r>
      <w:r>
        <w:rPr>
          <w:rFonts w:hint="eastAsia" w:ascii="宋体" w:hAnsi="宋体" w:eastAsia="宋体"/>
          <w:sz w:val="32"/>
          <w:szCs w:val="32"/>
        </w:rPr>
        <w:t>条，村级公路5</w:t>
      </w:r>
      <w:r>
        <w:rPr>
          <w:rFonts w:ascii="宋体" w:hAnsi="宋体" w:eastAsia="宋体"/>
          <w:sz w:val="32"/>
          <w:szCs w:val="32"/>
        </w:rPr>
        <w:t>14</w:t>
      </w:r>
      <w:r>
        <w:rPr>
          <w:rFonts w:hint="eastAsia" w:ascii="宋体" w:hAnsi="宋体" w:eastAsia="宋体"/>
          <w:sz w:val="32"/>
          <w:szCs w:val="32"/>
        </w:rPr>
        <w:t>条。</w:t>
      </w:r>
    </w:p>
    <w:p w14:paraId="28E5C3FC">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2、铁路</w:t>
      </w:r>
    </w:p>
    <w:p w14:paraId="119C7583">
      <w:pPr>
        <w:spacing w:line="360" w:lineRule="auto"/>
        <w:ind w:firstLine="646" w:firstLineChars="202"/>
        <w:rPr>
          <w:rFonts w:ascii="宋体" w:hAnsi="宋体" w:eastAsia="宋体"/>
          <w:sz w:val="32"/>
          <w:szCs w:val="32"/>
        </w:rPr>
      </w:pPr>
      <w:r>
        <w:rPr>
          <w:rFonts w:hint="eastAsia" w:ascii="宋体" w:hAnsi="宋体" w:eastAsia="宋体"/>
          <w:sz w:val="32"/>
          <w:szCs w:val="32"/>
        </w:rPr>
        <w:t>凌源境内有锦承（锦州</w:t>
      </w:r>
      <w:r>
        <w:rPr>
          <w:rFonts w:ascii="宋体" w:hAnsi="宋体" w:eastAsia="宋体"/>
          <w:sz w:val="32"/>
          <w:szCs w:val="32"/>
        </w:rPr>
        <w:t>—</w:t>
      </w:r>
      <w:r>
        <w:rPr>
          <w:rFonts w:hint="eastAsia" w:ascii="宋体" w:hAnsi="宋体" w:eastAsia="宋体"/>
          <w:sz w:val="32"/>
          <w:szCs w:val="32"/>
        </w:rPr>
        <w:t>承德）铁路、魏塔铁路、京沈高铁三条铁路。其中，锦承铁路从北向西横穿北境，全长</w:t>
      </w:r>
      <w:r>
        <w:rPr>
          <w:rFonts w:ascii="宋体" w:hAnsi="宋体" w:eastAsia="宋体"/>
          <w:sz w:val="32"/>
          <w:szCs w:val="32"/>
        </w:rPr>
        <w:t>436.7</w:t>
      </w:r>
      <w:r>
        <w:rPr>
          <w:rFonts w:hint="eastAsia" w:ascii="宋体" w:hAnsi="宋体" w:eastAsia="宋体"/>
          <w:sz w:val="32"/>
          <w:szCs w:val="32"/>
        </w:rPr>
        <w:t>公里，是内蒙古东部煤炭外运至辽宁的主要铁路运输通道，并与北票支线、新义线、叶赤线、魏塔线、京承线相连。锦承铁路与</w:t>
      </w:r>
      <w:r>
        <w:fldChar w:fldCharType="begin"/>
      </w:r>
      <w:r>
        <w:instrText xml:space="preserve"> HYPERLINK "https://baike.baidu.com/item/%E4%BA%AC%E6%89%BF%E9%93%81%E8%B7%AF/4975339" \t "_blank" </w:instrText>
      </w:r>
      <w:r>
        <w:fldChar w:fldCharType="separate"/>
      </w:r>
      <w:r>
        <w:rPr>
          <w:rFonts w:hint="eastAsia" w:ascii="宋体" w:hAnsi="宋体" w:eastAsia="宋体"/>
          <w:sz w:val="32"/>
          <w:szCs w:val="32"/>
        </w:rPr>
        <w:t>京承铁路</w:t>
      </w:r>
      <w:r>
        <w:rPr>
          <w:rFonts w:hint="eastAsia" w:ascii="宋体" w:hAnsi="宋体" w:eastAsia="宋体"/>
          <w:sz w:val="32"/>
          <w:szCs w:val="32"/>
        </w:rPr>
        <w:fldChar w:fldCharType="end"/>
      </w:r>
      <w:r>
        <w:rPr>
          <w:rFonts w:hint="eastAsia" w:ascii="宋体" w:hAnsi="宋体" w:eastAsia="宋体"/>
          <w:sz w:val="32"/>
          <w:szCs w:val="32"/>
        </w:rPr>
        <w:t>一起，构成了</w:t>
      </w:r>
      <w:r>
        <w:fldChar w:fldCharType="begin"/>
      </w:r>
      <w:r>
        <w:instrText xml:space="preserve"> HYPERLINK "https://baike.baidu.com/item/%E4%BA%AC%E5%93%88%E9%93%81%E8%B7%AF/894745" \t "_blank" </w:instrText>
      </w:r>
      <w:r>
        <w:fldChar w:fldCharType="separate"/>
      </w:r>
      <w:r>
        <w:rPr>
          <w:rFonts w:hint="eastAsia" w:ascii="宋体" w:hAnsi="宋体" w:eastAsia="宋体"/>
          <w:sz w:val="32"/>
          <w:szCs w:val="32"/>
        </w:rPr>
        <w:t>京沈</w:t>
      </w:r>
      <w:r>
        <w:rPr>
          <w:rFonts w:hint="eastAsia" w:ascii="宋体" w:hAnsi="宋体" w:eastAsia="宋体"/>
          <w:sz w:val="32"/>
          <w:szCs w:val="32"/>
        </w:rPr>
        <w:fldChar w:fldCharType="end"/>
      </w:r>
      <w:r>
        <w:rPr>
          <w:rFonts w:hint="eastAsia" w:ascii="宋体" w:hAnsi="宋体" w:eastAsia="宋体"/>
          <w:sz w:val="32"/>
          <w:szCs w:val="32"/>
        </w:rPr>
        <w:t>高铁之外，</w:t>
      </w:r>
      <w:r>
        <w:fldChar w:fldCharType="begin"/>
      </w:r>
      <w:r>
        <w:instrText xml:space="preserve"> HYPERLINK "https://baike.baidu.com/item/%E6%B2%88%E9%98%B3/13034" \t "_blank" </w:instrText>
      </w:r>
      <w:r>
        <w:fldChar w:fldCharType="separate"/>
      </w:r>
      <w:r>
        <w:rPr>
          <w:rFonts w:hint="eastAsia" w:ascii="宋体" w:hAnsi="宋体" w:eastAsia="宋体"/>
          <w:sz w:val="32"/>
          <w:szCs w:val="32"/>
        </w:rPr>
        <w:t>沈阳</w:t>
      </w:r>
      <w:r>
        <w:rPr>
          <w:rFonts w:hint="eastAsia" w:ascii="宋体" w:hAnsi="宋体" w:eastAsia="宋体"/>
          <w:sz w:val="32"/>
          <w:szCs w:val="32"/>
        </w:rPr>
        <w:fldChar w:fldCharType="end"/>
      </w:r>
      <w:r>
        <w:rPr>
          <w:rFonts w:hint="eastAsia" w:ascii="宋体" w:hAnsi="宋体" w:eastAsia="宋体"/>
          <w:sz w:val="32"/>
          <w:szCs w:val="32"/>
        </w:rPr>
        <w:t>乃至</w:t>
      </w:r>
      <w:r>
        <w:fldChar w:fldCharType="begin"/>
      </w:r>
      <w:r>
        <w:instrText xml:space="preserve"> HYPERLINK "https://baike.baidu.com/item/%E4%B8%9C%E5%8C%97/330949" \t "_blank" </w:instrText>
      </w:r>
      <w:r>
        <w:fldChar w:fldCharType="separate"/>
      </w:r>
      <w:r>
        <w:rPr>
          <w:rFonts w:hint="eastAsia" w:ascii="宋体" w:hAnsi="宋体" w:eastAsia="宋体"/>
          <w:sz w:val="32"/>
          <w:szCs w:val="32"/>
        </w:rPr>
        <w:t>东北</w:t>
      </w:r>
      <w:r>
        <w:rPr>
          <w:rFonts w:hint="eastAsia" w:ascii="宋体" w:hAnsi="宋体" w:eastAsia="宋体"/>
          <w:sz w:val="32"/>
          <w:szCs w:val="32"/>
        </w:rPr>
        <w:fldChar w:fldCharType="end"/>
      </w:r>
      <w:r>
        <w:rPr>
          <w:rFonts w:hint="eastAsia" w:ascii="宋体" w:hAnsi="宋体" w:eastAsia="宋体"/>
          <w:sz w:val="32"/>
          <w:szCs w:val="32"/>
        </w:rPr>
        <w:t>进京的第二条铁路干线。魏塔铁路蜿蜒东南，全长</w:t>
      </w:r>
      <w:r>
        <w:rPr>
          <w:rFonts w:ascii="宋体" w:hAnsi="宋体" w:eastAsia="宋体"/>
          <w:sz w:val="32"/>
          <w:szCs w:val="32"/>
        </w:rPr>
        <w:t>247.7</w:t>
      </w:r>
      <w:r>
        <w:rPr>
          <w:rFonts w:hint="eastAsia" w:ascii="宋体" w:hAnsi="宋体" w:eastAsia="宋体"/>
          <w:sz w:val="32"/>
          <w:szCs w:val="32"/>
        </w:rPr>
        <w:t>公里，线路自</w:t>
      </w:r>
      <w:r>
        <w:fldChar w:fldCharType="begin"/>
      </w:r>
      <w:r>
        <w:instrText xml:space="preserve"> HYPERLINK "https://baike.baidu.com/item/%E9%94%A6%E6%89%BF%E7%BA%BF/8289316" \t "_blank" </w:instrText>
      </w:r>
      <w:r>
        <w:fldChar w:fldCharType="separate"/>
      </w:r>
      <w:r>
        <w:rPr>
          <w:rFonts w:hint="eastAsia" w:ascii="宋体" w:hAnsi="宋体" w:eastAsia="宋体"/>
          <w:sz w:val="32"/>
          <w:szCs w:val="32"/>
        </w:rPr>
        <w:t>锦承线</w:t>
      </w:r>
      <w:r>
        <w:rPr>
          <w:rFonts w:hint="eastAsia" w:ascii="宋体" w:hAnsi="宋体" w:eastAsia="宋体"/>
          <w:sz w:val="32"/>
          <w:szCs w:val="32"/>
        </w:rPr>
        <w:fldChar w:fldCharType="end"/>
      </w:r>
      <w:r>
        <w:rPr>
          <w:rFonts w:hint="eastAsia" w:ascii="宋体" w:hAnsi="宋体" w:eastAsia="宋体"/>
          <w:sz w:val="32"/>
          <w:szCs w:val="32"/>
        </w:rPr>
        <w:t>上的</w:t>
      </w:r>
      <w:r>
        <w:fldChar w:fldCharType="begin"/>
      </w:r>
      <w:r>
        <w:instrText xml:space="preserve"> HYPERLINK "https://baike.baidu.com/item/%E9%AD%8F%E6%9D%96%E5%AD%90%E7%AB%99/9772832" \t "_blank" </w:instrText>
      </w:r>
      <w:r>
        <w:fldChar w:fldCharType="separate"/>
      </w:r>
      <w:r>
        <w:rPr>
          <w:rFonts w:hint="eastAsia" w:ascii="宋体" w:hAnsi="宋体" w:eastAsia="宋体"/>
          <w:sz w:val="32"/>
          <w:szCs w:val="32"/>
        </w:rPr>
        <w:t>魏杖子站</w:t>
      </w:r>
      <w:r>
        <w:rPr>
          <w:rFonts w:hint="eastAsia" w:ascii="宋体" w:hAnsi="宋体" w:eastAsia="宋体"/>
          <w:sz w:val="32"/>
          <w:szCs w:val="32"/>
        </w:rPr>
        <w:fldChar w:fldCharType="end"/>
      </w:r>
      <w:r>
        <w:rPr>
          <w:rFonts w:hint="eastAsia" w:ascii="宋体" w:hAnsi="宋体" w:eastAsia="宋体"/>
          <w:sz w:val="32"/>
          <w:szCs w:val="32"/>
        </w:rPr>
        <w:t>向东南引出，在</w:t>
      </w:r>
      <w:r>
        <w:fldChar w:fldCharType="begin"/>
      </w:r>
      <w:r>
        <w:instrText xml:space="preserve"> HYPERLINK "https://baike.baidu.com/item/%E5%88%80%E5%B0%94%E7%99%BB%E7%AB%99/6392862" \t "_blank" </w:instrText>
      </w:r>
      <w:r>
        <w:fldChar w:fldCharType="separate"/>
      </w:r>
      <w:r>
        <w:rPr>
          <w:rFonts w:hint="eastAsia" w:ascii="宋体" w:hAnsi="宋体" w:eastAsia="宋体"/>
          <w:sz w:val="32"/>
          <w:szCs w:val="32"/>
        </w:rPr>
        <w:t>刀尔登站</w:t>
      </w:r>
      <w:r>
        <w:rPr>
          <w:rFonts w:hint="eastAsia" w:ascii="宋体" w:hAnsi="宋体" w:eastAsia="宋体"/>
          <w:sz w:val="32"/>
          <w:szCs w:val="32"/>
        </w:rPr>
        <w:fldChar w:fldCharType="end"/>
      </w:r>
      <w:r>
        <w:rPr>
          <w:rFonts w:hint="eastAsia" w:ascii="宋体" w:hAnsi="宋体" w:eastAsia="宋体"/>
          <w:sz w:val="32"/>
          <w:szCs w:val="32"/>
        </w:rPr>
        <w:t>折向东北，在</w:t>
      </w:r>
      <w:r>
        <w:fldChar w:fldCharType="begin"/>
      </w:r>
      <w:r>
        <w:instrText xml:space="preserve"> HYPERLINK "https://baike.baidu.com/item/%E5%A1%94%E5%B1%B1%E7%AB%99/7263282" \t "_blank" </w:instrText>
      </w:r>
      <w:r>
        <w:fldChar w:fldCharType="separate"/>
      </w:r>
      <w:r>
        <w:rPr>
          <w:rFonts w:hint="eastAsia" w:ascii="宋体" w:hAnsi="宋体" w:eastAsia="宋体"/>
          <w:sz w:val="32"/>
          <w:szCs w:val="32"/>
        </w:rPr>
        <w:t>塔山站</w:t>
      </w:r>
      <w:r>
        <w:rPr>
          <w:rFonts w:hint="eastAsia" w:ascii="宋体" w:hAnsi="宋体" w:eastAsia="宋体"/>
          <w:sz w:val="32"/>
          <w:szCs w:val="32"/>
        </w:rPr>
        <w:fldChar w:fldCharType="end"/>
      </w:r>
      <w:r>
        <w:rPr>
          <w:rFonts w:hint="eastAsia" w:ascii="宋体" w:hAnsi="宋体" w:eastAsia="宋体"/>
          <w:sz w:val="32"/>
          <w:szCs w:val="32"/>
        </w:rPr>
        <w:t>与</w:t>
      </w:r>
      <w:r>
        <w:fldChar w:fldCharType="begin"/>
      </w:r>
      <w:r>
        <w:instrText xml:space="preserve"> HYPERLINK "https://baike.baidu.com/item/%E6%B2%88%E5%B1%B1%E9%93%81%E8%B7%AF/13217496" \t "_blank" </w:instrText>
      </w:r>
      <w:r>
        <w:fldChar w:fldCharType="separate"/>
      </w:r>
      <w:r>
        <w:rPr>
          <w:rFonts w:hint="eastAsia" w:ascii="宋体" w:hAnsi="宋体" w:eastAsia="宋体"/>
          <w:sz w:val="32"/>
          <w:szCs w:val="32"/>
        </w:rPr>
        <w:t>沈山铁路</w:t>
      </w:r>
      <w:r>
        <w:rPr>
          <w:rFonts w:hint="eastAsia" w:ascii="宋体" w:hAnsi="宋体" w:eastAsia="宋体"/>
          <w:sz w:val="32"/>
          <w:szCs w:val="32"/>
        </w:rPr>
        <w:fldChar w:fldCharType="end"/>
      </w:r>
      <w:r>
        <w:rPr>
          <w:rFonts w:hint="eastAsia" w:ascii="宋体" w:hAnsi="宋体" w:eastAsia="宋体"/>
          <w:sz w:val="32"/>
          <w:szCs w:val="32"/>
        </w:rPr>
        <w:t>相接，是沈山、锦承两条铁路的联络线。京沈高铁为客运线路。凌源境内现有凌源站和凌源东站两个铁路货运站，为货运三等站，位于锦承铁路上，隶属于沈阳铁路局阜新车务段管辖，其中凌源东站主要为凌钢服务。另有凌源南站（牛河梁站），是京沈高铁的一个中间站。凌源市现有铁路专用线7条，其中，正在运营的1条，为凌钢铁路专用线，位于凌源经济开发区，厂区内专用线长度50公里，由凌源东站接驳锦承线。闲置的有5条，分别为位于杨杖子的向东化工厂铁路专用线，长度3.17公里，由杨杖子站接驳魏塔线；位于刀尔登的四七五浮法玻璃厂铁路专用线，长度4.8公里，由刀尔登站接驳魏塔线；位于刀尔登的刀尔登热电厂铁路专用线，长度7.9公里，由刀尔登站接驳魏塔线；位于宋杖子镇的国家粮食储备库铁路专用线，长度1.93公里，由水泉车站接驳锦承线；位于市里凌源车站西侧的中石油铁路专用线，长度0.5公里，由凌源站接驳锦承线。已报废的1条，为市化肥厂铁路专用线。</w:t>
      </w:r>
    </w:p>
    <w:p w14:paraId="3A54E9B3">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3、航空</w:t>
      </w:r>
    </w:p>
    <w:p w14:paraId="669639F6">
      <w:pPr>
        <w:spacing w:line="360" w:lineRule="auto"/>
        <w:ind w:firstLine="640" w:firstLineChars="200"/>
        <w:rPr>
          <w:rFonts w:ascii="宋体" w:hAnsi="宋体" w:eastAsia="宋体"/>
          <w:sz w:val="32"/>
          <w:szCs w:val="32"/>
        </w:rPr>
      </w:pPr>
      <w:r>
        <w:rPr>
          <w:rFonts w:hint="eastAsia" w:ascii="宋体" w:hAnsi="宋体" w:eastAsia="宋体"/>
          <w:sz w:val="32"/>
          <w:szCs w:val="32"/>
        </w:rPr>
        <w:t>凌源距朝阳机场107公里，距赤峰玉龙机场132公里，距承德普宁机场157公里。</w:t>
      </w:r>
    </w:p>
    <w:p w14:paraId="2C3A8C94">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4、港口</w:t>
      </w:r>
    </w:p>
    <w:p w14:paraId="5D2FC70E">
      <w:pPr>
        <w:spacing w:line="360" w:lineRule="auto"/>
        <w:ind w:firstLine="640" w:firstLineChars="200"/>
        <w:rPr>
          <w:rFonts w:ascii="宋体" w:hAnsi="宋体" w:eastAsia="宋体"/>
          <w:sz w:val="32"/>
          <w:szCs w:val="32"/>
        </w:rPr>
      </w:pPr>
      <w:r>
        <w:rPr>
          <w:rFonts w:hint="eastAsia" w:ascii="宋体" w:hAnsi="宋体" w:eastAsia="宋体"/>
          <w:sz w:val="32"/>
          <w:szCs w:val="32"/>
        </w:rPr>
        <w:t>凌源距锦州港219公里，距葫芦岛港243公里，距秦皇岛港233公里，陆海联运交通衔接顺畅。</w:t>
      </w:r>
    </w:p>
    <w:p w14:paraId="0CF45442">
      <w:pPr>
        <w:spacing w:line="360" w:lineRule="auto"/>
        <w:ind w:firstLine="640" w:firstLineChars="200"/>
        <w:rPr>
          <w:rFonts w:ascii="宋体" w:hAnsi="宋体" w:eastAsia="宋体"/>
          <w:b/>
          <w:bCs/>
          <w:sz w:val="32"/>
          <w:szCs w:val="32"/>
        </w:rPr>
      </w:pPr>
      <w:r>
        <w:rPr>
          <w:rFonts w:hint="eastAsia" w:ascii="宋体" w:hAnsi="宋体"/>
          <w:sz w:val="32"/>
          <w:szCs w:val="32"/>
        </w:rPr>
        <w:t>完善的综合交通运输体系为凌源市现代物流业的发展奠定了坚实基础。</w:t>
      </w:r>
    </w:p>
    <w:p w14:paraId="1451183C">
      <w:pPr>
        <w:pStyle w:val="5"/>
        <w:spacing w:line="360" w:lineRule="auto"/>
        <w:rPr>
          <w:rFonts w:asciiTheme="minorEastAsia" w:hAnsiTheme="minorEastAsia"/>
        </w:rPr>
      </w:pPr>
      <w:bookmarkStart w:id="25" w:name="_Toc79497923"/>
      <w:r>
        <w:rPr>
          <w:rFonts w:hint="eastAsia" w:asciiTheme="minorEastAsia" w:hAnsiTheme="minorEastAsia"/>
        </w:rPr>
        <w:t>二、</w:t>
      </w:r>
      <w:r>
        <w:rPr>
          <w:rFonts w:asciiTheme="minorEastAsia" w:hAnsiTheme="minorEastAsia"/>
        </w:rPr>
        <w:t>产业经济特色</w:t>
      </w:r>
      <w:r>
        <w:rPr>
          <w:rFonts w:hint="eastAsia" w:asciiTheme="minorEastAsia" w:hAnsiTheme="minorEastAsia"/>
        </w:rPr>
        <w:t>鲜明</w:t>
      </w:r>
      <w:bookmarkEnd w:id="25"/>
    </w:p>
    <w:p w14:paraId="061B6861">
      <w:pPr>
        <w:spacing w:line="360" w:lineRule="auto"/>
        <w:ind w:firstLine="646" w:firstLineChars="202"/>
        <w:rPr>
          <w:rFonts w:ascii="宋体" w:hAnsi="宋体"/>
          <w:sz w:val="32"/>
          <w:szCs w:val="32"/>
        </w:rPr>
      </w:pPr>
      <w:r>
        <w:rPr>
          <w:rFonts w:hint="eastAsia" w:ascii="宋体" w:hAnsi="宋体"/>
          <w:sz w:val="32"/>
          <w:szCs w:val="32"/>
        </w:rPr>
        <w:t>近年来，凌源市围绕工业立市、产业强市发展战略，积极做优第一产业、做大第二产业、做强第三产业，形成了第一产业以设施农业为主导，第二产业以钢铁冶金、非金属新材料为主导的特色产业体系。“十四五”期间，凌源还将大力发展汽车及零部件、农产品深加工等产业，形成更为完善的产业体系。凌源主要产业发展情况如下：</w:t>
      </w:r>
    </w:p>
    <w:p w14:paraId="647FF5A7">
      <w:pPr>
        <w:pStyle w:val="6"/>
        <w:spacing w:before="240" w:after="240" w:line="360" w:lineRule="auto"/>
        <w:rPr>
          <w:rFonts w:ascii="宋体" w:hAnsi="宋体"/>
          <w:sz w:val="32"/>
          <w:szCs w:val="32"/>
        </w:rPr>
      </w:pPr>
      <w:r>
        <w:rPr>
          <w:rFonts w:hint="eastAsia" w:ascii="宋体" w:hAnsi="宋体"/>
          <w:sz w:val="32"/>
          <w:szCs w:val="32"/>
        </w:rPr>
        <w:t>（一）设施农业</w:t>
      </w:r>
    </w:p>
    <w:p w14:paraId="1BFFEC26">
      <w:pPr>
        <w:ind w:firstLine="640" w:firstLineChars="200"/>
      </w:pPr>
      <w:r>
        <w:rPr>
          <w:rFonts w:hint="eastAsia" w:ascii="宋体" w:hAnsi="宋体"/>
          <w:sz w:val="32"/>
          <w:szCs w:val="32"/>
        </w:rPr>
        <w:t>凌源市设施农业具有较大的市场优势和规模优势，产量效益均居全省前列。2019年，全市设施农业总面积已达24.7万亩，建成高标准日光温室、冷棚近10万栋，总产值34.75亿元。产品主要有反季节黄瓜、椒类、茄子、番茄、西葫芦、菜豆、食用菌等各类优质蔬菜，以及百合、郁金香、玫瑰、唐菖蒲、菊花等各类鲜切花、种球。目前，凌源市已成为全国最大的反季节无公害黄瓜生产基地、东北地区最大的反季节椒类蔬菜生产基地、中国北方最大的设施鲜切花生产基地。先后获得“国家现代农业示范区”“国家农产品质量安全示范县”“中国百合第一县”“中国果菜日光温室黄瓜生产全国第一县”“中国优质农产品示范基地”“标准化生产示范基地县”等诸多殊荣。</w:t>
      </w:r>
    </w:p>
    <w:p w14:paraId="44133789">
      <w:pPr>
        <w:pStyle w:val="6"/>
        <w:spacing w:before="240" w:after="240" w:line="360" w:lineRule="auto"/>
        <w:rPr>
          <w:rFonts w:ascii="宋体" w:hAnsi="宋体"/>
          <w:sz w:val="32"/>
          <w:szCs w:val="32"/>
        </w:rPr>
      </w:pPr>
      <w:r>
        <w:rPr>
          <w:rFonts w:hint="eastAsia" w:ascii="宋体" w:hAnsi="宋体"/>
          <w:sz w:val="32"/>
          <w:szCs w:val="32"/>
        </w:rPr>
        <w:t>（二）钢铁冶金</w:t>
      </w:r>
    </w:p>
    <w:p w14:paraId="3046526B">
      <w:pPr>
        <w:pStyle w:val="2"/>
        <w:ind w:firstLine="640" w:firstLineChars="200"/>
        <w:rPr>
          <w:rFonts w:ascii="宋体" w:hAnsi="宋体"/>
          <w:sz w:val="32"/>
          <w:szCs w:val="32"/>
        </w:rPr>
      </w:pPr>
      <w:r>
        <w:rPr>
          <w:rFonts w:hint="eastAsia" w:ascii="宋体" w:hAnsi="宋体"/>
          <w:sz w:val="32"/>
          <w:szCs w:val="32"/>
        </w:rPr>
        <w:t>以凌钢为代表的凌源市钢铁冶金业发展态势良好。2019年凌钢产值达到206亿。凌钢已连续30多年保持朝阳市第一纳税大户地位，在地区经济社会发展中发挥着十分重要的作用。2019年凌钢位列</w:t>
      </w:r>
      <w:r>
        <w:rPr>
          <w:rFonts w:ascii="宋体" w:hAnsi="宋体"/>
          <w:sz w:val="32"/>
          <w:szCs w:val="32"/>
        </w:rPr>
        <w:t>中国制造业企业500强第343位</w:t>
      </w:r>
      <w:r>
        <w:rPr>
          <w:rFonts w:hint="eastAsia" w:ascii="宋体" w:hAnsi="宋体"/>
          <w:sz w:val="32"/>
          <w:szCs w:val="32"/>
        </w:rPr>
        <w:t>，进入中国钢铁企业综合竞争力排名榜前30。目前，朝阳市正在围绕凌钢推动形成千亿级钢铁冶金产业集群。</w:t>
      </w:r>
    </w:p>
    <w:p w14:paraId="14D4AFEF">
      <w:pPr>
        <w:pStyle w:val="6"/>
        <w:spacing w:before="240" w:after="240" w:line="360" w:lineRule="auto"/>
        <w:rPr>
          <w:rFonts w:ascii="宋体" w:hAnsi="宋体"/>
          <w:sz w:val="32"/>
          <w:szCs w:val="32"/>
        </w:rPr>
      </w:pPr>
      <w:r>
        <w:rPr>
          <w:rFonts w:hint="eastAsia" w:ascii="宋体" w:hAnsi="宋体"/>
          <w:sz w:val="32"/>
          <w:szCs w:val="32"/>
        </w:rPr>
        <w:t>（三）非金属新材料</w:t>
      </w:r>
    </w:p>
    <w:p w14:paraId="3E6E2E3A">
      <w:pPr>
        <w:ind w:firstLine="640" w:firstLineChars="200"/>
        <w:rPr>
          <w:rFonts w:ascii="宋体" w:hAnsi="宋体"/>
          <w:sz w:val="32"/>
          <w:szCs w:val="32"/>
        </w:rPr>
      </w:pPr>
      <w:r>
        <w:rPr>
          <w:rFonts w:ascii="宋体" w:hAnsi="宋体" w:cs="Times New Roman"/>
          <w:sz w:val="32"/>
          <w:szCs w:val="32"/>
        </w:rPr>
        <w:t>凌源矿产资源比较丰富，矿产品种较多</w:t>
      </w:r>
      <w:r>
        <w:rPr>
          <w:rFonts w:hint="eastAsia" w:ascii="宋体" w:hAnsi="宋体" w:cs="Times New Roman"/>
          <w:sz w:val="32"/>
          <w:szCs w:val="32"/>
        </w:rPr>
        <w:t>。</w:t>
      </w:r>
      <w:r>
        <w:rPr>
          <w:rFonts w:ascii="宋体" w:hAnsi="宋体" w:cs="Times New Roman"/>
          <w:sz w:val="32"/>
          <w:szCs w:val="32"/>
        </w:rPr>
        <w:t>其中有数百亿吨</w:t>
      </w:r>
      <w:r>
        <w:rPr>
          <w:rFonts w:hint="eastAsia" w:ascii="宋体" w:hAnsi="宋体" w:cs="Times New Roman"/>
          <w:sz w:val="32"/>
          <w:szCs w:val="32"/>
        </w:rPr>
        <w:t>储</w:t>
      </w:r>
      <w:r>
        <w:rPr>
          <w:rFonts w:ascii="宋体" w:hAnsi="宋体" w:cs="Times New Roman"/>
          <w:sz w:val="32"/>
          <w:szCs w:val="32"/>
        </w:rPr>
        <w:t>量的石灰岩、白云岩；亿吨以上储量的珍珠岩、菱铁矿、油母页岩、沸石、玄武岩、辉岩、石英砂岩；储量在数千万吨以上的煤矿。另外，</w:t>
      </w:r>
      <w:r>
        <w:rPr>
          <w:rFonts w:hint="eastAsia" w:ascii="宋体" w:hAnsi="宋体" w:cs="Times New Roman"/>
          <w:sz w:val="32"/>
          <w:szCs w:val="32"/>
          <w:lang w:eastAsia="zh-CN"/>
        </w:rPr>
        <w:t>炭灰</w:t>
      </w:r>
      <w:r>
        <w:rPr>
          <w:rFonts w:ascii="宋体" w:hAnsi="宋体" w:cs="Times New Roman"/>
          <w:sz w:val="32"/>
          <w:szCs w:val="32"/>
        </w:rPr>
        <w:t>石、萤石、高岭土、矿泉水等矿产资源都具有广阔的开发前景。</w:t>
      </w:r>
      <w:r>
        <w:rPr>
          <w:rFonts w:hint="eastAsia" w:ascii="宋体" w:hAnsi="宋体" w:cs="Times New Roman"/>
          <w:sz w:val="32"/>
          <w:szCs w:val="32"/>
        </w:rPr>
        <w:t>目前，凌源正在依托丰富的非金属矿资源，大力推进</w:t>
      </w:r>
      <w:r>
        <w:rPr>
          <w:rFonts w:ascii="宋体" w:hAnsi="宋体" w:cs="Times New Roman"/>
          <w:sz w:val="32"/>
          <w:szCs w:val="32"/>
        </w:rPr>
        <w:t>朝阳凌源非金属新材料产业园</w:t>
      </w:r>
      <w:r>
        <w:rPr>
          <w:rFonts w:hint="eastAsia" w:ascii="宋体" w:hAnsi="宋体" w:cs="Times New Roman"/>
          <w:sz w:val="32"/>
          <w:szCs w:val="32"/>
        </w:rPr>
        <w:t>的发展。产业园</w:t>
      </w:r>
      <w:r>
        <w:rPr>
          <w:rFonts w:ascii="宋体" w:hAnsi="宋体" w:cs="Times New Roman"/>
          <w:sz w:val="32"/>
          <w:szCs w:val="32"/>
        </w:rPr>
        <w:t>位于</w:t>
      </w:r>
      <w:r>
        <w:rPr>
          <w:rFonts w:hint="eastAsia" w:ascii="宋体" w:hAnsi="宋体" w:cs="Times New Roman"/>
          <w:sz w:val="32"/>
          <w:szCs w:val="32"/>
        </w:rPr>
        <w:t>凌源</w:t>
      </w:r>
      <w:r>
        <w:rPr>
          <w:rFonts w:ascii="宋体" w:hAnsi="宋体" w:cs="Times New Roman"/>
          <w:sz w:val="32"/>
          <w:szCs w:val="32"/>
        </w:rPr>
        <w:t>南部三家子乡和四合当镇</w:t>
      </w:r>
      <w:r>
        <w:rPr>
          <w:rFonts w:hint="eastAsia" w:ascii="宋体" w:hAnsi="宋体" w:cs="Times New Roman"/>
          <w:sz w:val="32"/>
          <w:szCs w:val="32"/>
        </w:rPr>
        <w:t>，</w:t>
      </w:r>
      <w:r>
        <w:rPr>
          <w:rFonts w:ascii="宋体" w:hAnsi="宋体" w:cs="Times New Roman"/>
          <w:sz w:val="32"/>
          <w:szCs w:val="32"/>
        </w:rPr>
        <w:t>核心区规划建设面积20平方公里</w:t>
      </w:r>
      <w:r>
        <w:rPr>
          <w:rFonts w:hint="eastAsia" w:ascii="宋体" w:hAnsi="宋体" w:cs="Times New Roman"/>
          <w:sz w:val="32"/>
          <w:szCs w:val="32"/>
        </w:rPr>
        <w:t>，</w:t>
      </w:r>
      <w:r>
        <w:rPr>
          <w:rFonts w:ascii="宋体" w:hAnsi="宋体" w:cs="Times New Roman"/>
          <w:sz w:val="32"/>
          <w:szCs w:val="32"/>
        </w:rPr>
        <w:t>以中国建材集团</w:t>
      </w:r>
      <w:r>
        <w:rPr>
          <w:rFonts w:hint="eastAsia" w:ascii="宋体" w:hAnsi="宋体" w:cs="Times New Roman"/>
          <w:sz w:val="32"/>
          <w:szCs w:val="32"/>
        </w:rPr>
        <w:t>、</w:t>
      </w:r>
      <w:r>
        <w:rPr>
          <w:rFonts w:hint="eastAsia" w:ascii="宋体" w:hAnsi="宋体" w:eastAsia="宋体"/>
          <w:sz w:val="32"/>
          <w:szCs w:val="32"/>
        </w:rPr>
        <w:t>翅冀矿业等</w:t>
      </w:r>
      <w:r>
        <w:rPr>
          <w:rFonts w:ascii="宋体" w:hAnsi="宋体" w:cs="Times New Roman"/>
          <w:sz w:val="32"/>
          <w:szCs w:val="32"/>
        </w:rPr>
        <w:t>为龙头，大力发展冶金工业原料、新型建筑材料、</w:t>
      </w:r>
      <w:bookmarkStart w:id="253" w:name="_GoBack"/>
      <w:bookmarkEnd w:id="253"/>
      <w:r>
        <w:rPr>
          <w:rFonts w:ascii="宋体" w:hAnsi="宋体" w:cs="Times New Roman"/>
          <w:sz w:val="32"/>
          <w:szCs w:val="32"/>
        </w:rPr>
        <w:t>装备式建筑部件等</w:t>
      </w:r>
      <w:r>
        <w:rPr>
          <w:rFonts w:hint="eastAsia" w:ascii="宋体" w:hAnsi="宋体" w:cs="Times New Roman"/>
          <w:sz w:val="32"/>
          <w:szCs w:val="32"/>
        </w:rPr>
        <w:t>非金属产业板块。另外，地处凌源经济开发区</w:t>
      </w:r>
      <w:r>
        <w:rPr>
          <w:rFonts w:hint="eastAsia" w:ascii="宋体" w:hAnsi="宋体"/>
          <w:sz w:val="32"/>
          <w:szCs w:val="32"/>
        </w:rPr>
        <w:t>的中玻（朝阳）新材料有限公司、辽宁利浩管业股份有限公司、辽宁炜盛新型复合材料有限公司等企业已形成了包括新型节能环保材料、高性能玻璃纤维、石墨烯高导热地暖管材等新型材料为主导的产业集群。“十四五”期间，凌源将着重培育非金属产业，力争到2025年，总产值规模达到</w:t>
      </w:r>
      <w:r>
        <w:rPr>
          <w:rFonts w:ascii="宋体" w:hAnsi="宋体"/>
          <w:sz w:val="32"/>
          <w:szCs w:val="32"/>
        </w:rPr>
        <w:t>2</w:t>
      </w:r>
      <w:r>
        <w:rPr>
          <w:rFonts w:hint="eastAsia" w:ascii="宋体" w:hAnsi="宋体"/>
          <w:sz w:val="32"/>
          <w:szCs w:val="32"/>
        </w:rPr>
        <w:t>00亿元，到2035年，使其成为千亿级产业集群。</w:t>
      </w:r>
    </w:p>
    <w:p w14:paraId="23F04F13">
      <w:pPr>
        <w:pStyle w:val="6"/>
        <w:spacing w:before="240" w:after="240" w:line="360" w:lineRule="auto"/>
        <w:rPr>
          <w:rFonts w:ascii="宋体" w:hAnsi="宋体"/>
          <w:sz w:val="32"/>
          <w:szCs w:val="32"/>
        </w:rPr>
      </w:pPr>
      <w:r>
        <w:rPr>
          <w:rFonts w:hint="eastAsia" w:ascii="宋体" w:hAnsi="宋体"/>
          <w:sz w:val="32"/>
          <w:szCs w:val="32"/>
        </w:rPr>
        <w:t>（四）汽车及零部件</w:t>
      </w:r>
    </w:p>
    <w:p w14:paraId="551643DF">
      <w:pPr>
        <w:pStyle w:val="2"/>
        <w:ind w:firstLine="640" w:firstLineChars="200"/>
      </w:pPr>
      <w:r>
        <w:rPr>
          <w:rFonts w:ascii="宋体" w:hAnsi="宋体"/>
          <w:sz w:val="32"/>
          <w:szCs w:val="32"/>
        </w:rPr>
        <w:t>凌源市汽车产业历史悠久，上世纪60年代末即生产整车，被称为</w:t>
      </w:r>
      <w:r>
        <w:rPr>
          <w:rFonts w:hint="eastAsia" w:ascii="宋体" w:hAnsi="宋体"/>
          <w:sz w:val="32"/>
          <w:szCs w:val="32"/>
        </w:rPr>
        <w:t>“</w:t>
      </w:r>
      <w:r>
        <w:rPr>
          <w:rFonts w:ascii="宋体" w:hAnsi="宋体"/>
          <w:sz w:val="32"/>
          <w:szCs w:val="32"/>
        </w:rPr>
        <w:t>辽老大</w:t>
      </w:r>
      <w:r>
        <w:rPr>
          <w:rFonts w:hint="eastAsia" w:ascii="宋体" w:hAnsi="宋体"/>
          <w:sz w:val="32"/>
          <w:szCs w:val="32"/>
        </w:rPr>
        <w:t>”</w:t>
      </w:r>
      <w:r>
        <w:rPr>
          <w:rFonts w:ascii="宋体" w:hAnsi="宋体"/>
          <w:sz w:val="32"/>
          <w:szCs w:val="32"/>
        </w:rPr>
        <w:t>的中国第一辆平头大卡车</w:t>
      </w:r>
      <w:r>
        <w:rPr>
          <w:rFonts w:hint="eastAsia" w:ascii="宋体" w:hAnsi="宋体"/>
          <w:sz w:val="32"/>
          <w:szCs w:val="32"/>
        </w:rPr>
        <w:t>“凌河牌”</w:t>
      </w:r>
      <w:r>
        <w:rPr>
          <w:rFonts w:ascii="宋体" w:hAnsi="宋体"/>
          <w:sz w:val="32"/>
          <w:szCs w:val="32"/>
        </w:rPr>
        <w:t>卡车就产自凌源。凌源市现有整车厂2家，分别是辽宁航天凌河汽车有限公司和一汽凌源汽车制造有限公司，产品涵盖载货车、皮卡、轻卡、牵引车、专用车等车型，且拥有新能源汽车研发及生产能力</w:t>
      </w:r>
      <w:r>
        <w:rPr>
          <w:rFonts w:hint="eastAsia" w:ascii="宋体" w:hAnsi="宋体"/>
          <w:sz w:val="32"/>
          <w:szCs w:val="32"/>
        </w:rPr>
        <w:t>，建成达产可实现整车产能16万辆。</w:t>
      </w:r>
      <w:r>
        <w:rPr>
          <w:rFonts w:ascii="宋体" w:hAnsi="宋体"/>
          <w:sz w:val="32"/>
          <w:szCs w:val="32"/>
        </w:rPr>
        <w:t>此外，以整车厂为核心，</w:t>
      </w:r>
      <w:r>
        <w:rPr>
          <w:rFonts w:hint="eastAsia" w:ascii="宋体" w:hAnsi="宋体"/>
          <w:sz w:val="32"/>
          <w:szCs w:val="32"/>
        </w:rPr>
        <w:t>现有汽车制造集群关联企业18 家，包括一汽凌源车架制造、红山汽配、润航汽配、鑫屹电器设备、五环汽车装备等。</w:t>
      </w:r>
      <w:r>
        <w:rPr>
          <w:rFonts w:ascii="宋体" w:hAnsi="宋体"/>
          <w:sz w:val="32"/>
          <w:szCs w:val="32"/>
        </w:rPr>
        <w:t>凌源市已基本形成钢铁，发动机整机及配套产品，底盘转向系、制动系、行驶系配套产品及车身车架产品组成的产业链。</w:t>
      </w:r>
      <w:r>
        <w:rPr>
          <w:rFonts w:hint="eastAsia" w:ascii="宋体" w:hAnsi="宋体"/>
          <w:sz w:val="32"/>
          <w:szCs w:val="32"/>
        </w:rPr>
        <w:t>“十四五”期间，凌源市将发展全产业链汽车制造产业集群，计划总投资24亿元，预计产值达到84亿元。力争到2025年，将汽车产业集群建设成全国重要的商用车基地和东北氢能源（商用车）生产基地。</w:t>
      </w:r>
    </w:p>
    <w:p w14:paraId="5236B626">
      <w:pPr>
        <w:pStyle w:val="6"/>
        <w:keepNext w:val="0"/>
        <w:keepLines w:val="0"/>
        <w:spacing w:before="240" w:after="240" w:line="360" w:lineRule="auto"/>
        <w:rPr>
          <w:rFonts w:ascii="宋体" w:hAnsi="宋体"/>
          <w:sz w:val="32"/>
          <w:szCs w:val="32"/>
        </w:rPr>
      </w:pPr>
      <w:r>
        <w:rPr>
          <w:rFonts w:hint="eastAsia" w:ascii="宋体" w:hAnsi="宋体"/>
          <w:sz w:val="32"/>
          <w:szCs w:val="32"/>
        </w:rPr>
        <w:t>（五）农产品深加工</w:t>
      </w:r>
    </w:p>
    <w:p w14:paraId="17F6BE7A">
      <w:pPr>
        <w:ind w:firstLine="640" w:firstLineChars="200"/>
      </w:pPr>
      <w:r>
        <w:rPr>
          <w:rFonts w:hint="eastAsia" w:ascii="宋体" w:hAnsi="宋体" w:eastAsia="宋体"/>
          <w:sz w:val="32"/>
          <w:szCs w:val="32"/>
        </w:rPr>
        <w:t>近年来，凌源依托宏瑞肉联、晟昱菜业、喜加喜饮品、秋实生物蛋白等龙头企业，围绕京津冀及周边区域农业加工产品需求，重点发展花卉、蔬菜、食用菌、小杂粮的精细加工和包装，开发肉制品、皮革、生物制药、保健食品等产品。“十四五”期间，凌源将按照“设施现代化、设备智能化、技术标准化、管理科学化”的要求，建设集高新技术研发示范推广、设施农业生产加工为一体的农产品深加工产业集群，到2025年，将力争产值突破100亿元。</w:t>
      </w:r>
    </w:p>
    <w:p w14:paraId="6FF60CA8">
      <w:pPr>
        <w:pStyle w:val="5"/>
        <w:spacing w:line="360" w:lineRule="auto"/>
        <w:rPr>
          <w:rFonts w:asciiTheme="minorEastAsia" w:hAnsiTheme="minorEastAsia"/>
        </w:rPr>
      </w:pPr>
      <w:bookmarkStart w:id="26" w:name="_Toc79497924"/>
      <w:r>
        <w:rPr>
          <w:rFonts w:hint="eastAsia" w:asciiTheme="minorEastAsia" w:hAnsiTheme="minorEastAsia"/>
        </w:rPr>
        <w:t>三、物流业主要指标运行平稳</w:t>
      </w:r>
      <w:bookmarkEnd w:id="26"/>
    </w:p>
    <w:p w14:paraId="4D508E07">
      <w:pPr>
        <w:ind w:firstLine="640" w:firstLineChars="200"/>
      </w:pPr>
      <w:r>
        <w:rPr>
          <w:rFonts w:hint="eastAsia" w:ascii="宋体" w:hAnsi="宋体"/>
          <w:sz w:val="32"/>
          <w:szCs w:val="32"/>
        </w:rPr>
        <w:t>近年来，伴随区域经济的探底回升，凌源市物流业主要指标也呈现了“V型”增长的态势，各项指标运行总体平稳。</w:t>
      </w:r>
    </w:p>
    <w:p w14:paraId="26658C45">
      <w:pPr>
        <w:pStyle w:val="6"/>
        <w:spacing w:before="240" w:after="240" w:line="360" w:lineRule="auto"/>
        <w:rPr>
          <w:sz w:val="32"/>
          <w:szCs w:val="32"/>
        </w:rPr>
      </w:pPr>
      <w:r>
        <w:rPr>
          <w:rFonts w:hint="eastAsia"/>
          <w:sz w:val="32"/>
          <w:szCs w:val="32"/>
        </w:rPr>
        <w:t>（一）物流业增加值</w:t>
      </w:r>
    </w:p>
    <w:p w14:paraId="20C2F1DC">
      <w:pPr>
        <w:spacing w:line="360" w:lineRule="auto"/>
        <w:ind w:firstLine="646" w:firstLineChars="202"/>
        <w:rPr>
          <w:rFonts w:ascii="宋体" w:hAnsi="宋体"/>
          <w:sz w:val="32"/>
          <w:szCs w:val="32"/>
        </w:rPr>
      </w:pPr>
      <w:r>
        <w:rPr>
          <w:rFonts w:ascii="宋体" w:hAnsi="宋体"/>
          <w:sz w:val="32"/>
          <w:szCs w:val="32"/>
        </w:rPr>
        <w:t>2015</w:t>
      </w:r>
      <w:r>
        <w:rPr>
          <w:rFonts w:hint="eastAsia" w:ascii="宋体" w:hAnsi="宋体"/>
          <w:sz w:val="32"/>
          <w:szCs w:val="32"/>
        </w:rPr>
        <w:t>年凌源市物流业增加值为</w:t>
      </w:r>
      <w:r>
        <w:rPr>
          <w:rFonts w:ascii="宋体" w:hAnsi="宋体"/>
          <w:sz w:val="32"/>
          <w:szCs w:val="32"/>
        </w:rPr>
        <w:t>8</w:t>
      </w:r>
      <w:r>
        <w:rPr>
          <w:rFonts w:hint="eastAsia" w:ascii="宋体" w:hAnsi="宋体"/>
          <w:sz w:val="32"/>
          <w:szCs w:val="32"/>
        </w:rPr>
        <w:t>.</w:t>
      </w:r>
      <w:r>
        <w:rPr>
          <w:rFonts w:ascii="宋体" w:hAnsi="宋体"/>
          <w:sz w:val="32"/>
          <w:szCs w:val="32"/>
        </w:rPr>
        <w:t>01</w:t>
      </w:r>
      <w:r>
        <w:rPr>
          <w:rFonts w:hint="eastAsia" w:ascii="宋体" w:hAnsi="宋体"/>
          <w:sz w:val="32"/>
          <w:szCs w:val="32"/>
        </w:rPr>
        <w:t>亿元，2</w:t>
      </w:r>
      <w:r>
        <w:rPr>
          <w:rFonts w:ascii="宋体" w:hAnsi="宋体"/>
          <w:sz w:val="32"/>
          <w:szCs w:val="32"/>
        </w:rPr>
        <w:t>016</w:t>
      </w:r>
      <w:r>
        <w:rPr>
          <w:rFonts w:hint="eastAsia" w:ascii="宋体" w:hAnsi="宋体"/>
          <w:sz w:val="32"/>
          <w:szCs w:val="32"/>
        </w:rPr>
        <w:t>年降至6.92亿元，2</w:t>
      </w:r>
      <w:r>
        <w:rPr>
          <w:rFonts w:ascii="宋体" w:hAnsi="宋体"/>
          <w:sz w:val="32"/>
          <w:szCs w:val="32"/>
        </w:rPr>
        <w:t>019</w:t>
      </w:r>
      <w:r>
        <w:rPr>
          <w:rFonts w:hint="eastAsia" w:ascii="宋体" w:hAnsi="宋体"/>
          <w:sz w:val="32"/>
          <w:szCs w:val="32"/>
        </w:rPr>
        <w:t>年再次增至</w:t>
      </w:r>
      <w:r>
        <w:rPr>
          <w:rFonts w:ascii="宋体" w:hAnsi="宋体"/>
          <w:sz w:val="32"/>
          <w:szCs w:val="32"/>
        </w:rPr>
        <w:t>8</w:t>
      </w:r>
      <w:r>
        <w:rPr>
          <w:rFonts w:hint="eastAsia" w:ascii="宋体" w:hAnsi="宋体"/>
          <w:sz w:val="32"/>
          <w:szCs w:val="32"/>
        </w:rPr>
        <w:t>.</w:t>
      </w:r>
      <w:r>
        <w:rPr>
          <w:rFonts w:ascii="宋体" w:hAnsi="宋体"/>
          <w:sz w:val="32"/>
          <w:szCs w:val="32"/>
        </w:rPr>
        <w:t>01</w:t>
      </w:r>
      <w:r>
        <w:rPr>
          <w:rFonts w:hint="eastAsia" w:ascii="宋体" w:hAnsi="宋体"/>
          <w:sz w:val="32"/>
          <w:szCs w:val="32"/>
        </w:rPr>
        <w:t>亿元，同比增长7.</w:t>
      </w:r>
      <w:r>
        <w:rPr>
          <w:rFonts w:ascii="宋体" w:hAnsi="宋体"/>
          <w:sz w:val="32"/>
          <w:szCs w:val="32"/>
        </w:rPr>
        <w:t>3</w:t>
      </w:r>
      <w:r>
        <w:rPr>
          <w:rFonts w:hint="eastAsia" w:ascii="宋体" w:hAnsi="宋体"/>
          <w:sz w:val="32"/>
          <w:szCs w:val="32"/>
        </w:rPr>
        <w:t>9%，占服务业比重达</w:t>
      </w:r>
      <w:r>
        <w:rPr>
          <w:rFonts w:ascii="宋体" w:hAnsi="宋体"/>
          <w:sz w:val="32"/>
          <w:szCs w:val="32"/>
        </w:rPr>
        <w:t>11</w:t>
      </w:r>
      <w:r>
        <w:rPr>
          <w:rFonts w:hint="eastAsia" w:ascii="宋体" w:hAnsi="宋体"/>
          <w:sz w:val="32"/>
          <w:szCs w:val="32"/>
        </w:rPr>
        <w:t>%，占地区生产总值的比重达</w:t>
      </w:r>
      <w:r>
        <w:rPr>
          <w:rFonts w:ascii="宋体" w:hAnsi="宋体"/>
          <w:sz w:val="32"/>
          <w:szCs w:val="32"/>
        </w:rPr>
        <w:t>4</w:t>
      </w:r>
      <w:r>
        <w:rPr>
          <w:rFonts w:hint="eastAsia" w:ascii="宋体" w:hAnsi="宋体"/>
          <w:sz w:val="32"/>
          <w:szCs w:val="32"/>
        </w:rPr>
        <w:t>.</w:t>
      </w:r>
      <w:r>
        <w:rPr>
          <w:rFonts w:ascii="宋体" w:hAnsi="宋体"/>
          <w:sz w:val="32"/>
          <w:szCs w:val="32"/>
        </w:rPr>
        <w:t>02</w:t>
      </w:r>
      <w:r>
        <w:rPr>
          <w:rFonts w:hint="eastAsia" w:ascii="宋体" w:hAnsi="宋体"/>
          <w:sz w:val="32"/>
          <w:szCs w:val="32"/>
        </w:rPr>
        <w:t>%。</w:t>
      </w:r>
    </w:p>
    <w:p w14:paraId="71C540A3">
      <w:pPr>
        <w:pStyle w:val="10"/>
        <w:jc w:val="center"/>
        <w:rPr>
          <w:sz w:val="24"/>
          <w:szCs w:val="24"/>
        </w:rPr>
      </w:pPr>
      <w:r>
        <w:drawing>
          <wp:inline distT="0" distB="0" distL="0" distR="0">
            <wp:extent cx="5274310" cy="2760345"/>
            <wp:effectExtent l="0" t="0" r="2540" b="1905"/>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74DA480">
      <w:pPr>
        <w:pStyle w:val="10"/>
        <w:jc w:val="center"/>
        <w:rPr>
          <w:b/>
          <w:bCs/>
          <w:sz w:val="24"/>
          <w:szCs w:val="24"/>
        </w:rPr>
      </w:pPr>
      <w:bookmarkStart w:id="27" w:name="_Toc79498048"/>
      <w:r>
        <w:rPr>
          <w:rFonts w:hint="eastAsia"/>
          <w:b/>
          <w:bCs/>
          <w:sz w:val="24"/>
          <w:szCs w:val="24"/>
        </w:rPr>
        <w:t>图</w:t>
      </w:r>
      <w:r>
        <w:rPr>
          <w:b/>
          <w:bCs/>
          <w:sz w:val="24"/>
          <w:szCs w:val="24"/>
        </w:rPr>
        <w:fldChar w:fldCharType="begin"/>
      </w:r>
      <w:r>
        <w:rPr>
          <w:rFonts w:hint="eastAsia"/>
          <w:b/>
          <w:bCs/>
          <w:sz w:val="24"/>
          <w:szCs w:val="24"/>
        </w:rPr>
        <w:instrText xml:space="preserve">SEQ 图 \* ARABIC</w:instrText>
      </w:r>
      <w:r>
        <w:rPr>
          <w:b/>
          <w:bCs/>
          <w:sz w:val="24"/>
          <w:szCs w:val="24"/>
        </w:rPr>
        <w:fldChar w:fldCharType="separate"/>
      </w:r>
      <w:r>
        <w:rPr>
          <w:b/>
          <w:bCs/>
          <w:sz w:val="24"/>
          <w:szCs w:val="24"/>
        </w:rPr>
        <w:t>2</w:t>
      </w:r>
      <w:r>
        <w:rPr>
          <w:b/>
          <w:bCs/>
          <w:sz w:val="24"/>
          <w:szCs w:val="24"/>
        </w:rPr>
        <w:fldChar w:fldCharType="end"/>
      </w:r>
      <w:r>
        <w:rPr>
          <w:rFonts w:hint="eastAsia"/>
          <w:b/>
          <w:bCs/>
          <w:sz w:val="24"/>
          <w:szCs w:val="24"/>
        </w:rPr>
        <w:t>凌源市</w:t>
      </w:r>
      <w:r>
        <w:rPr>
          <w:b/>
          <w:bCs/>
          <w:sz w:val="24"/>
          <w:szCs w:val="24"/>
        </w:rPr>
        <w:t>2015-2019年度物流业增加值变化示意图</w:t>
      </w:r>
      <w:bookmarkEnd w:id="27"/>
    </w:p>
    <w:p w14:paraId="38ACA2EF">
      <w:pPr>
        <w:pStyle w:val="6"/>
        <w:spacing w:before="240" w:after="240" w:line="360" w:lineRule="auto"/>
        <w:rPr>
          <w:sz w:val="32"/>
          <w:szCs w:val="32"/>
        </w:rPr>
      </w:pPr>
      <w:r>
        <w:rPr>
          <w:rFonts w:hint="eastAsia"/>
          <w:sz w:val="32"/>
          <w:szCs w:val="32"/>
        </w:rPr>
        <w:t>（二）社会物流总额</w:t>
      </w:r>
    </w:p>
    <w:p w14:paraId="51F37BE5">
      <w:pPr>
        <w:spacing w:line="360" w:lineRule="auto"/>
        <w:ind w:firstLine="646" w:firstLineChars="202"/>
        <w:rPr>
          <w:rFonts w:ascii="宋体" w:hAnsi="宋体"/>
          <w:sz w:val="32"/>
          <w:szCs w:val="32"/>
        </w:rPr>
      </w:pPr>
      <w:r>
        <w:rPr>
          <w:rFonts w:ascii="宋体" w:hAnsi="宋体"/>
          <w:sz w:val="32"/>
          <w:szCs w:val="32"/>
        </w:rPr>
        <w:t>2015</w:t>
      </w:r>
      <w:r>
        <w:rPr>
          <w:rFonts w:hint="eastAsia" w:ascii="宋体" w:hAnsi="宋体"/>
          <w:sz w:val="32"/>
          <w:szCs w:val="32"/>
        </w:rPr>
        <w:t>年凌源市社会物流总额为242亿元，2</w:t>
      </w:r>
      <w:r>
        <w:rPr>
          <w:rFonts w:ascii="宋体" w:hAnsi="宋体"/>
          <w:sz w:val="32"/>
          <w:szCs w:val="32"/>
        </w:rPr>
        <w:t>016</w:t>
      </w:r>
      <w:r>
        <w:rPr>
          <w:rFonts w:hint="eastAsia" w:ascii="宋体" w:hAnsi="宋体"/>
          <w:sz w:val="32"/>
          <w:szCs w:val="32"/>
        </w:rPr>
        <w:t>年下降至212亿元，2</w:t>
      </w:r>
      <w:r>
        <w:rPr>
          <w:rFonts w:ascii="宋体" w:hAnsi="宋体"/>
          <w:sz w:val="32"/>
          <w:szCs w:val="32"/>
        </w:rPr>
        <w:t>019</w:t>
      </w:r>
      <w:r>
        <w:rPr>
          <w:rFonts w:hint="eastAsia" w:ascii="宋体" w:hAnsi="宋体"/>
          <w:sz w:val="32"/>
          <w:szCs w:val="32"/>
        </w:rPr>
        <w:t>年增长至246亿元，同比增长9.</w:t>
      </w:r>
      <w:r>
        <w:rPr>
          <w:rFonts w:ascii="宋体" w:hAnsi="宋体"/>
          <w:sz w:val="32"/>
          <w:szCs w:val="32"/>
        </w:rPr>
        <w:t>3</w:t>
      </w:r>
      <w:r>
        <w:rPr>
          <w:rFonts w:hint="eastAsia" w:ascii="宋体" w:hAnsi="宋体"/>
          <w:sz w:val="32"/>
          <w:szCs w:val="32"/>
        </w:rPr>
        <w:t>%。</w:t>
      </w:r>
    </w:p>
    <w:p w14:paraId="04E4EE91">
      <w:pPr>
        <w:spacing w:line="360" w:lineRule="auto"/>
        <w:jc w:val="center"/>
        <w:rPr>
          <w:rFonts w:ascii="宋体" w:hAnsi="宋体"/>
          <w:sz w:val="32"/>
          <w:szCs w:val="32"/>
        </w:rPr>
      </w:pPr>
      <w:r>
        <w:drawing>
          <wp:inline distT="0" distB="0" distL="0" distR="0">
            <wp:extent cx="5034915" cy="2743200"/>
            <wp:effectExtent l="0" t="0" r="13335" b="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DA0D324">
      <w:pPr>
        <w:pStyle w:val="10"/>
        <w:jc w:val="center"/>
        <w:rPr>
          <w:b/>
          <w:bCs/>
          <w:sz w:val="24"/>
          <w:szCs w:val="24"/>
        </w:rPr>
      </w:pPr>
      <w:bookmarkStart w:id="28" w:name="_Toc79498049"/>
      <w:r>
        <w:rPr>
          <w:rFonts w:hint="eastAsia"/>
          <w:b/>
          <w:bCs/>
          <w:sz w:val="24"/>
          <w:szCs w:val="24"/>
        </w:rPr>
        <w:t>图</w:t>
      </w:r>
      <w:r>
        <w:rPr>
          <w:b/>
          <w:bCs/>
          <w:sz w:val="24"/>
          <w:szCs w:val="24"/>
        </w:rPr>
        <w:fldChar w:fldCharType="begin"/>
      </w:r>
      <w:r>
        <w:rPr>
          <w:rFonts w:hint="eastAsia"/>
          <w:b/>
          <w:bCs/>
          <w:sz w:val="24"/>
          <w:szCs w:val="24"/>
        </w:rPr>
        <w:instrText xml:space="preserve">SEQ 图 \* ARABIC</w:instrText>
      </w:r>
      <w:r>
        <w:rPr>
          <w:b/>
          <w:bCs/>
          <w:sz w:val="24"/>
          <w:szCs w:val="24"/>
        </w:rPr>
        <w:fldChar w:fldCharType="separate"/>
      </w:r>
      <w:r>
        <w:rPr>
          <w:b/>
          <w:bCs/>
          <w:sz w:val="24"/>
          <w:szCs w:val="24"/>
        </w:rPr>
        <w:t>3</w:t>
      </w:r>
      <w:r>
        <w:rPr>
          <w:b/>
          <w:bCs/>
          <w:sz w:val="24"/>
          <w:szCs w:val="24"/>
        </w:rPr>
        <w:fldChar w:fldCharType="end"/>
      </w:r>
      <w:r>
        <w:rPr>
          <w:rFonts w:hint="eastAsia"/>
          <w:b/>
          <w:bCs/>
          <w:sz w:val="24"/>
          <w:szCs w:val="24"/>
        </w:rPr>
        <w:t>凌源市2015-2019年度社会物流总额变化示意图</w:t>
      </w:r>
      <w:bookmarkEnd w:id="28"/>
    </w:p>
    <w:p w14:paraId="7DD0FB31">
      <w:pPr>
        <w:pStyle w:val="6"/>
        <w:spacing w:before="240" w:after="240" w:line="360" w:lineRule="auto"/>
        <w:rPr>
          <w:sz w:val="32"/>
          <w:szCs w:val="32"/>
        </w:rPr>
      </w:pPr>
      <w:r>
        <w:rPr>
          <w:rFonts w:hint="eastAsia"/>
          <w:sz w:val="32"/>
          <w:szCs w:val="32"/>
        </w:rPr>
        <w:t>（三）货运量</w:t>
      </w:r>
    </w:p>
    <w:p w14:paraId="55419550">
      <w:pPr>
        <w:spacing w:line="360" w:lineRule="auto"/>
        <w:ind w:firstLine="640" w:firstLineChars="200"/>
        <w:rPr>
          <w:rFonts w:ascii="宋体" w:hAnsi="宋体"/>
          <w:sz w:val="32"/>
          <w:szCs w:val="32"/>
        </w:rPr>
      </w:pPr>
      <w:r>
        <w:rPr>
          <w:rFonts w:hint="eastAsia" w:ascii="宋体" w:hAnsi="宋体"/>
          <w:sz w:val="32"/>
          <w:szCs w:val="32"/>
        </w:rPr>
        <w:t>2019年，凌源市货运量为963万吨，同比增长32.1%，增速较快。近5年，凌源市货运量及货运周转量如下表所示：</w:t>
      </w:r>
    </w:p>
    <w:p w14:paraId="500A0A7C">
      <w:pPr>
        <w:pStyle w:val="10"/>
        <w:jc w:val="center"/>
        <w:rPr>
          <w:b/>
          <w:bCs/>
          <w:sz w:val="24"/>
          <w:szCs w:val="24"/>
        </w:rPr>
      </w:pPr>
      <w:bookmarkStart w:id="29" w:name="_Toc79498038"/>
      <w:r>
        <w:rPr>
          <w:rFonts w:hint="eastAsia"/>
          <w:b/>
          <w:bCs/>
          <w:sz w:val="24"/>
          <w:szCs w:val="24"/>
        </w:rPr>
        <w:t>表</w:t>
      </w:r>
      <w:r>
        <w:rPr>
          <w:b/>
          <w:bCs/>
          <w:sz w:val="24"/>
          <w:szCs w:val="24"/>
        </w:rPr>
        <w:fldChar w:fldCharType="begin"/>
      </w:r>
      <w:r>
        <w:rPr>
          <w:rFonts w:hint="eastAsia"/>
          <w:b/>
          <w:bCs/>
          <w:sz w:val="24"/>
          <w:szCs w:val="24"/>
        </w:rPr>
        <w:instrText xml:space="preserve">SEQ 表 \* ARABIC</w:instrText>
      </w:r>
      <w:r>
        <w:rPr>
          <w:b/>
          <w:bCs/>
          <w:sz w:val="24"/>
          <w:szCs w:val="24"/>
        </w:rPr>
        <w:fldChar w:fldCharType="separate"/>
      </w:r>
      <w:r>
        <w:rPr>
          <w:b/>
          <w:bCs/>
          <w:sz w:val="24"/>
          <w:szCs w:val="24"/>
        </w:rPr>
        <w:t>1</w:t>
      </w:r>
      <w:r>
        <w:rPr>
          <w:b/>
          <w:bCs/>
          <w:sz w:val="24"/>
          <w:szCs w:val="24"/>
        </w:rPr>
        <w:fldChar w:fldCharType="end"/>
      </w:r>
      <w:r>
        <w:rPr>
          <w:rFonts w:hint="eastAsia"/>
          <w:b/>
          <w:bCs/>
          <w:sz w:val="24"/>
          <w:szCs w:val="24"/>
        </w:rPr>
        <w:t>凌源市近</w:t>
      </w:r>
      <w:r>
        <w:rPr>
          <w:b/>
          <w:bCs/>
          <w:sz w:val="24"/>
          <w:szCs w:val="24"/>
        </w:rPr>
        <w:t>5年货运量、货运周转量统计表</w:t>
      </w:r>
      <w:bookmarkEnd w:id="29"/>
    </w:p>
    <w:tbl>
      <w:tblPr>
        <w:tblStyle w:val="35"/>
        <w:tblW w:w="8313" w:type="dxa"/>
        <w:tblInd w:w="0" w:type="dxa"/>
        <w:tblLayout w:type="autofit"/>
        <w:tblCellMar>
          <w:top w:w="0" w:type="dxa"/>
          <w:left w:w="108" w:type="dxa"/>
          <w:bottom w:w="0" w:type="dxa"/>
          <w:right w:w="108" w:type="dxa"/>
        </w:tblCellMar>
      </w:tblPr>
      <w:tblGrid>
        <w:gridCol w:w="2263"/>
        <w:gridCol w:w="1134"/>
        <w:gridCol w:w="1276"/>
        <w:gridCol w:w="1134"/>
        <w:gridCol w:w="1276"/>
        <w:gridCol w:w="1230"/>
      </w:tblGrid>
      <w:tr w14:paraId="27F71107">
        <w:tblPrEx>
          <w:tblCellMar>
            <w:top w:w="0" w:type="dxa"/>
            <w:left w:w="108" w:type="dxa"/>
            <w:bottom w:w="0" w:type="dxa"/>
            <w:right w:w="108" w:type="dxa"/>
          </w:tblCellMar>
        </w:tblPrEx>
        <w:trPr>
          <w:trHeight w:val="496" w:hRule="atLeast"/>
        </w:trPr>
        <w:tc>
          <w:tcPr>
            <w:tcW w:w="2263" w:type="dxa"/>
            <w:tcBorders>
              <w:top w:val="single" w:color="auto" w:sz="4" w:space="0"/>
              <w:left w:val="single" w:color="auto" w:sz="4" w:space="0"/>
              <w:bottom w:val="single" w:color="auto" w:sz="4" w:space="0"/>
              <w:right w:val="single" w:color="auto" w:sz="4" w:space="0"/>
            </w:tcBorders>
            <w:shd w:val="clear" w:color="000000" w:fill="DDEBF7"/>
            <w:vAlign w:val="center"/>
          </w:tcPr>
          <w:p w14:paraId="2C410A85">
            <w:pPr>
              <w:widowControl/>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年份</w:t>
            </w:r>
          </w:p>
        </w:tc>
        <w:tc>
          <w:tcPr>
            <w:tcW w:w="1134" w:type="dxa"/>
            <w:tcBorders>
              <w:top w:val="single" w:color="auto" w:sz="4" w:space="0"/>
              <w:left w:val="nil"/>
              <w:bottom w:val="single" w:color="auto" w:sz="4" w:space="0"/>
              <w:right w:val="single" w:color="auto" w:sz="4" w:space="0"/>
            </w:tcBorders>
            <w:shd w:val="clear" w:color="000000" w:fill="DDEBF7"/>
            <w:vAlign w:val="center"/>
          </w:tcPr>
          <w:p w14:paraId="563D5121">
            <w:pPr>
              <w:widowControl/>
              <w:jc w:val="center"/>
              <w:rPr>
                <w:rFonts w:ascii="宋体" w:hAnsi="宋体" w:eastAsia="宋体" w:cs="宋体"/>
                <w:b/>
                <w:bCs/>
                <w:color w:val="000000"/>
                <w:kern w:val="0"/>
                <w:sz w:val="28"/>
                <w:szCs w:val="28"/>
              </w:rPr>
            </w:pPr>
            <w:r>
              <w:rPr>
                <w:rFonts w:ascii="宋体" w:hAnsi="宋体" w:eastAsia="宋体" w:cs="宋体"/>
                <w:b/>
                <w:bCs/>
                <w:color w:val="000000"/>
                <w:kern w:val="0"/>
                <w:sz w:val="28"/>
                <w:szCs w:val="28"/>
              </w:rPr>
              <w:t>2015年</w:t>
            </w:r>
          </w:p>
        </w:tc>
        <w:tc>
          <w:tcPr>
            <w:tcW w:w="1276" w:type="dxa"/>
            <w:tcBorders>
              <w:top w:val="single" w:color="auto" w:sz="4" w:space="0"/>
              <w:left w:val="nil"/>
              <w:bottom w:val="single" w:color="auto" w:sz="4" w:space="0"/>
              <w:right w:val="single" w:color="auto" w:sz="4" w:space="0"/>
            </w:tcBorders>
            <w:shd w:val="clear" w:color="000000" w:fill="DDEBF7"/>
            <w:vAlign w:val="center"/>
          </w:tcPr>
          <w:p w14:paraId="095E3D67">
            <w:pPr>
              <w:widowControl/>
              <w:jc w:val="center"/>
              <w:rPr>
                <w:rFonts w:ascii="宋体" w:hAnsi="宋体" w:eastAsia="宋体" w:cs="宋体"/>
                <w:b/>
                <w:bCs/>
                <w:color w:val="000000"/>
                <w:kern w:val="0"/>
                <w:sz w:val="28"/>
                <w:szCs w:val="28"/>
              </w:rPr>
            </w:pPr>
            <w:r>
              <w:rPr>
                <w:rFonts w:ascii="宋体" w:hAnsi="宋体" w:eastAsia="宋体" w:cs="宋体"/>
                <w:b/>
                <w:bCs/>
                <w:color w:val="000000"/>
                <w:kern w:val="0"/>
                <w:sz w:val="28"/>
                <w:szCs w:val="28"/>
              </w:rPr>
              <w:t>2016年</w:t>
            </w:r>
          </w:p>
        </w:tc>
        <w:tc>
          <w:tcPr>
            <w:tcW w:w="1134" w:type="dxa"/>
            <w:tcBorders>
              <w:top w:val="single" w:color="auto" w:sz="4" w:space="0"/>
              <w:left w:val="nil"/>
              <w:bottom w:val="single" w:color="auto" w:sz="4" w:space="0"/>
              <w:right w:val="single" w:color="auto" w:sz="4" w:space="0"/>
            </w:tcBorders>
            <w:shd w:val="clear" w:color="000000" w:fill="DDEBF7"/>
            <w:vAlign w:val="center"/>
          </w:tcPr>
          <w:p w14:paraId="7F6646CC">
            <w:pPr>
              <w:widowControl/>
              <w:jc w:val="center"/>
              <w:rPr>
                <w:rFonts w:ascii="宋体" w:hAnsi="宋体" w:eastAsia="宋体" w:cs="宋体"/>
                <w:b/>
                <w:bCs/>
                <w:color w:val="000000"/>
                <w:kern w:val="0"/>
                <w:sz w:val="28"/>
                <w:szCs w:val="28"/>
              </w:rPr>
            </w:pPr>
            <w:r>
              <w:rPr>
                <w:rFonts w:ascii="宋体" w:hAnsi="宋体" w:eastAsia="宋体" w:cs="宋体"/>
                <w:b/>
                <w:bCs/>
                <w:color w:val="000000"/>
                <w:kern w:val="0"/>
                <w:sz w:val="28"/>
                <w:szCs w:val="28"/>
              </w:rPr>
              <w:t>2017年</w:t>
            </w:r>
          </w:p>
        </w:tc>
        <w:tc>
          <w:tcPr>
            <w:tcW w:w="1276" w:type="dxa"/>
            <w:tcBorders>
              <w:top w:val="single" w:color="auto" w:sz="4" w:space="0"/>
              <w:left w:val="nil"/>
              <w:bottom w:val="single" w:color="auto" w:sz="4" w:space="0"/>
              <w:right w:val="single" w:color="auto" w:sz="4" w:space="0"/>
            </w:tcBorders>
            <w:shd w:val="clear" w:color="000000" w:fill="DDEBF7"/>
            <w:vAlign w:val="center"/>
          </w:tcPr>
          <w:p w14:paraId="11B6EAA9">
            <w:pPr>
              <w:widowControl/>
              <w:jc w:val="center"/>
              <w:rPr>
                <w:rFonts w:ascii="宋体" w:hAnsi="宋体" w:eastAsia="宋体" w:cs="宋体"/>
                <w:b/>
                <w:bCs/>
                <w:color w:val="000000"/>
                <w:kern w:val="0"/>
                <w:sz w:val="28"/>
                <w:szCs w:val="28"/>
              </w:rPr>
            </w:pPr>
            <w:r>
              <w:rPr>
                <w:rFonts w:ascii="宋体" w:hAnsi="宋体" w:eastAsia="宋体" w:cs="宋体"/>
                <w:b/>
                <w:bCs/>
                <w:color w:val="000000"/>
                <w:kern w:val="0"/>
                <w:sz w:val="28"/>
                <w:szCs w:val="28"/>
              </w:rPr>
              <w:t>2018年</w:t>
            </w:r>
          </w:p>
        </w:tc>
        <w:tc>
          <w:tcPr>
            <w:tcW w:w="1230" w:type="dxa"/>
            <w:tcBorders>
              <w:top w:val="single" w:color="auto" w:sz="4" w:space="0"/>
              <w:left w:val="nil"/>
              <w:bottom w:val="single" w:color="auto" w:sz="4" w:space="0"/>
              <w:right w:val="single" w:color="auto" w:sz="4" w:space="0"/>
            </w:tcBorders>
            <w:shd w:val="clear" w:color="000000" w:fill="DDEBF7"/>
            <w:vAlign w:val="center"/>
          </w:tcPr>
          <w:p w14:paraId="31551443">
            <w:pPr>
              <w:widowControl/>
              <w:jc w:val="center"/>
              <w:rPr>
                <w:rFonts w:ascii="宋体" w:hAnsi="宋体" w:eastAsia="宋体" w:cs="宋体"/>
                <w:b/>
                <w:bCs/>
                <w:color w:val="000000"/>
                <w:kern w:val="0"/>
                <w:sz w:val="28"/>
                <w:szCs w:val="28"/>
              </w:rPr>
            </w:pPr>
            <w:r>
              <w:rPr>
                <w:rFonts w:ascii="宋体" w:hAnsi="宋体" w:eastAsia="宋体" w:cs="宋体"/>
                <w:b/>
                <w:bCs/>
                <w:color w:val="000000"/>
                <w:kern w:val="0"/>
                <w:sz w:val="28"/>
                <w:szCs w:val="28"/>
              </w:rPr>
              <w:t>2019年</w:t>
            </w:r>
          </w:p>
        </w:tc>
      </w:tr>
      <w:tr w14:paraId="47252963">
        <w:tblPrEx>
          <w:tblCellMar>
            <w:top w:w="0" w:type="dxa"/>
            <w:left w:w="108" w:type="dxa"/>
            <w:bottom w:w="0" w:type="dxa"/>
            <w:right w:w="108" w:type="dxa"/>
          </w:tblCellMar>
        </w:tblPrEx>
        <w:trPr>
          <w:trHeight w:val="496"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14:paraId="4C550658">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货运量（万吨）</w:t>
            </w:r>
          </w:p>
        </w:tc>
        <w:tc>
          <w:tcPr>
            <w:tcW w:w="1134" w:type="dxa"/>
            <w:tcBorders>
              <w:top w:val="nil"/>
              <w:left w:val="nil"/>
              <w:bottom w:val="single" w:color="auto" w:sz="4" w:space="0"/>
              <w:right w:val="single" w:color="auto" w:sz="4" w:space="0"/>
            </w:tcBorders>
            <w:shd w:val="clear" w:color="auto" w:fill="auto"/>
            <w:noWrap/>
            <w:vAlign w:val="center"/>
          </w:tcPr>
          <w:p w14:paraId="74E13EC6">
            <w:pPr>
              <w:widowControl/>
              <w:jc w:val="center"/>
              <w:rPr>
                <w:rFonts w:ascii="宋体" w:hAnsi="宋体" w:eastAsia="宋体" w:cs="宋体"/>
                <w:color w:val="000000"/>
                <w:kern w:val="0"/>
                <w:sz w:val="28"/>
                <w:szCs w:val="28"/>
              </w:rPr>
            </w:pPr>
            <w:r>
              <w:rPr>
                <w:rFonts w:ascii="宋体" w:hAnsi="宋体" w:eastAsia="宋体" w:cs="宋体"/>
                <w:color w:val="000000"/>
                <w:kern w:val="0"/>
                <w:sz w:val="28"/>
                <w:szCs w:val="28"/>
              </w:rPr>
              <w:t>1154</w:t>
            </w:r>
          </w:p>
        </w:tc>
        <w:tc>
          <w:tcPr>
            <w:tcW w:w="1276" w:type="dxa"/>
            <w:tcBorders>
              <w:top w:val="nil"/>
              <w:left w:val="nil"/>
              <w:bottom w:val="single" w:color="auto" w:sz="4" w:space="0"/>
              <w:right w:val="single" w:color="auto" w:sz="4" w:space="0"/>
            </w:tcBorders>
            <w:shd w:val="clear" w:color="auto" w:fill="auto"/>
            <w:noWrap/>
            <w:vAlign w:val="center"/>
          </w:tcPr>
          <w:p w14:paraId="003225D9">
            <w:pPr>
              <w:widowControl/>
              <w:jc w:val="center"/>
              <w:rPr>
                <w:rFonts w:ascii="宋体" w:hAnsi="宋体" w:eastAsia="宋体" w:cs="宋体"/>
                <w:color w:val="000000"/>
                <w:kern w:val="0"/>
                <w:sz w:val="28"/>
                <w:szCs w:val="28"/>
              </w:rPr>
            </w:pPr>
            <w:r>
              <w:rPr>
                <w:rFonts w:ascii="宋体" w:hAnsi="宋体" w:eastAsia="宋体" w:cs="宋体"/>
                <w:color w:val="000000"/>
                <w:kern w:val="0"/>
                <w:sz w:val="28"/>
                <w:szCs w:val="28"/>
              </w:rPr>
              <w:t>1164</w:t>
            </w:r>
          </w:p>
        </w:tc>
        <w:tc>
          <w:tcPr>
            <w:tcW w:w="1134" w:type="dxa"/>
            <w:tcBorders>
              <w:top w:val="nil"/>
              <w:left w:val="nil"/>
              <w:bottom w:val="single" w:color="auto" w:sz="4" w:space="0"/>
              <w:right w:val="single" w:color="auto" w:sz="4" w:space="0"/>
            </w:tcBorders>
            <w:shd w:val="clear" w:color="auto" w:fill="auto"/>
            <w:noWrap/>
            <w:vAlign w:val="center"/>
          </w:tcPr>
          <w:p w14:paraId="1EE2A94F">
            <w:pPr>
              <w:widowControl/>
              <w:jc w:val="center"/>
              <w:rPr>
                <w:rFonts w:ascii="宋体" w:hAnsi="宋体" w:eastAsia="宋体" w:cs="宋体"/>
                <w:color w:val="000000"/>
                <w:kern w:val="0"/>
                <w:sz w:val="28"/>
                <w:szCs w:val="28"/>
              </w:rPr>
            </w:pPr>
            <w:r>
              <w:rPr>
                <w:rFonts w:ascii="宋体" w:hAnsi="宋体" w:eastAsia="宋体" w:cs="宋体"/>
                <w:color w:val="000000"/>
                <w:kern w:val="0"/>
                <w:sz w:val="28"/>
                <w:szCs w:val="28"/>
              </w:rPr>
              <w:t>703</w:t>
            </w:r>
          </w:p>
        </w:tc>
        <w:tc>
          <w:tcPr>
            <w:tcW w:w="1276" w:type="dxa"/>
            <w:tcBorders>
              <w:top w:val="nil"/>
              <w:left w:val="nil"/>
              <w:bottom w:val="single" w:color="auto" w:sz="4" w:space="0"/>
              <w:right w:val="single" w:color="auto" w:sz="4" w:space="0"/>
            </w:tcBorders>
            <w:shd w:val="clear" w:color="auto" w:fill="auto"/>
            <w:noWrap/>
            <w:vAlign w:val="center"/>
          </w:tcPr>
          <w:p w14:paraId="78860D5F">
            <w:pPr>
              <w:widowControl/>
              <w:jc w:val="center"/>
              <w:rPr>
                <w:rFonts w:ascii="宋体" w:hAnsi="宋体" w:eastAsia="宋体" w:cs="宋体"/>
                <w:color w:val="000000"/>
                <w:kern w:val="0"/>
                <w:sz w:val="28"/>
                <w:szCs w:val="28"/>
              </w:rPr>
            </w:pPr>
            <w:r>
              <w:rPr>
                <w:rFonts w:ascii="宋体" w:hAnsi="宋体" w:eastAsia="宋体" w:cs="宋体"/>
                <w:color w:val="000000"/>
                <w:kern w:val="0"/>
                <w:sz w:val="28"/>
                <w:szCs w:val="28"/>
              </w:rPr>
              <w:t>729</w:t>
            </w:r>
          </w:p>
        </w:tc>
        <w:tc>
          <w:tcPr>
            <w:tcW w:w="1230" w:type="dxa"/>
            <w:tcBorders>
              <w:top w:val="nil"/>
              <w:left w:val="nil"/>
              <w:bottom w:val="single" w:color="auto" w:sz="4" w:space="0"/>
              <w:right w:val="single" w:color="auto" w:sz="4" w:space="0"/>
            </w:tcBorders>
            <w:shd w:val="clear" w:color="auto" w:fill="auto"/>
            <w:noWrap/>
            <w:vAlign w:val="center"/>
          </w:tcPr>
          <w:p w14:paraId="49BBDD4A">
            <w:pPr>
              <w:widowControl/>
              <w:jc w:val="center"/>
              <w:rPr>
                <w:rFonts w:ascii="宋体" w:hAnsi="宋体" w:eastAsia="宋体" w:cs="宋体"/>
                <w:color w:val="000000"/>
                <w:kern w:val="0"/>
                <w:sz w:val="28"/>
                <w:szCs w:val="28"/>
              </w:rPr>
            </w:pPr>
            <w:r>
              <w:rPr>
                <w:rFonts w:ascii="宋体" w:hAnsi="宋体" w:eastAsia="宋体" w:cs="宋体"/>
                <w:color w:val="000000"/>
                <w:kern w:val="0"/>
                <w:sz w:val="28"/>
                <w:szCs w:val="28"/>
              </w:rPr>
              <w:t>963</w:t>
            </w:r>
          </w:p>
        </w:tc>
      </w:tr>
      <w:tr w14:paraId="79F167E6">
        <w:tblPrEx>
          <w:tblCellMar>
            <w:top w:w="0" w:type="dxa"/>
            <w:left w:w="108" w:type="dxa"/>
            <w:bottom w:w="0" w:type="dxa"/>
            <w:right w:w="108" w:type="dxa"/>
          </w:tblCellMar>
        </w:tblPrEx>
        <w:trPr>
          <w:trHeight w:val="496" w:hRule="atLeast"/>
        </w:trPr>
        <w:tc>
          <w:tcPr>
            <w:tcW w:w="2263" w:type="dxa"/>
            <w:tcBorders>
              <w:top w:val="nil"/>
              <w:left w:val="single" w:color="auto" w:sz="4" w:space="0"/>
              <w:bottom w:val="single" w:color="auto" w:sz="4" w:space="0"/>
              <w:right w:val="single" w:color="auto" w:sz="4" w:space="0"/>
            </w:tcBorders>
            <w:shd w:val="clear" w:color="auto" w:fill="auto"/>
            <w:noWrap/>
            <w:vAlign w:val="bottom"/>
          </w:tcPr>
          <w:p w14:paraId="77B19C12">
            <w:pPr>
              <w:widowControl/>
              <w:spacing w:line="60" w:lineRule="auto"/>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货运周转量</w:t>
            </w:r>
          </w:p>
          <w:p w14:paraId="73BD47F6">
            <w:pPr>
              <w:widowControl/>
              <w:spacing w:line="60" w:lineRule="auto"/>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（万吨公里）</w:t>
            </w:r>
          </w:p>
        </w:tc>
        <w:tc>
          <w:tcPr>
            <w:tcW w:w="1134" w:type="dxa"/>
            <w:tcBorders>
              <w:top w:val="nil"/>
              <w:left w:val="nil"/>
              <w:bottom w:val="single" w:color="auto" w:sz="4" w:space="0"/>
              <w:right w:val="single" w:color="auto" w:sz="4" w:space="0"/>
            </w:tcBorders>
            <w:shd w:val="clear" w:color="auto" w:fill="auto"/>
            <w:noWrap/>
            <w:vAlign w:val="center"/>
          </w:tcPr>
          <w:p w14:paraId="3F7E9816">
            <w:pPr>
              <w:widowControl/>
              <w:jc w:val="center"/>
              <w:rPr>
                <w:rFonts w:ascii="宋体" w:hAnsi="宋体" w:eastAsia="宋体" w:cs="宋体"/>
                <w:color w:val="000000"/>
                <w:kern w:val="0"/>
                <w:sz w:val="28"/>
                <w:szCs w:val="28"/>
              </w:rPr>
            </w:pPr>
            <w:r>
              <w:rPr>
                <w:rFonts w:ascii="宋体" w:hAnsi="宋体" w:eastAsia="宋体" w:cs="宋体"/>
                <w:color w:val="000000"/>
                <w:kern w:val="0"/>
                <w:sz w:val="28"/>
                <w:szCs w:val="28"/>
              </w:rPr>
              <w:t>153705</w:t>
            </w:r>
          </w:p>
        </w:tc>
        <w:tc>
          <w:tcPr>
            <w:tcW w:w="1276" w:type="dxa"/>
            <w:tcBorders>
              <w:top w:val="nil"/>
              <w:left w:val="nil"/>
              <w:bottom w:val="single" w:color="auto" w:sz="4" w:space="0"/>
              <w:right w:val="single" w:color="auto" w:sz="4" w:space="0"/>
            </w:tcBorders>
            <w:shd w:val="clear" w:color="auto" w:fill="auto"/>
            <w:noWrap/>
            <w:vAlign w:val="center"/>
          </w:tcPr>
          <w:p w14:paraId="769D573C">
            <w:pPr>
              <w:widowControl/>
              <w:jc w:val="center"/>
              <w:rPr>
                <w:rFonts w:ascii="宋体" w:hAnsi="宋体" w:eastAsia="宋体" w:cs="宋体"/>
                <w:color w:val="000000"/>
                <w:kern w:val="0"/>
                <w:sz w:val="28"/>
                <w:szCs w:val="28"/>
              </w:rPr>
            </w:pPr>
            <w:r>
              <w:rPr>
                <w:rFonts w:ascii="宋体" w:hAnsi="宋体" w:eastAsia="宋体" w:cs="宋体"/>
                <w:color w:val="000000"/>
                <w:kern w:val="0"/>
                <w:sz w:val="28"/>
                <w:szCs w:val="28"/>
              </w:rPr>
              <w:t>155289</w:t>
            </w:r>
          </w:p>
        </w:tc>
        <w:tc>
          <w:tcPr>
            <w:tcW w:w="1134" w:type="dxa"/>
            <w:tcBorders>
              <w:top w:val="nil"/>
              <w:left w:val="nil"/>
              <w:bottom w:val="single" w:color="auto" w:sz="4" w:space="0"/>
              <w:right w:val="single" w:color="auto" w:sz="4" w:space="0"/>
            </w:tcBorders>
            <w:shd w:val="clear" w:color="auto" w:fill="auto"/>
            <w:noWrap/>
            <w:vAlign w:val="center"/>
          </w:tcPr>
          <w:p w14:paraId="0D28916F">
            <w:pPr>
              <w:widowControl/>
              <w:jc w:val="center"/>
              <w:rPr>
                <w:rFonts w:ascii="宋体" w:hAnsi="宋体" w:eastAsia="宋体" w:cs="宋体"/>
                <w:color w:val="000000"/>
                <w:kern w:val="0"/>
                <w:sz w:val="28"/>
                <w:szCs w:val="28"/>
              </w:rPr>
            </w:pPr>
            <w:r>
              <w:rPr>
                <w:rFonts w:ascii="宋体" w:hAnsi="宋体" w:eastAsia="宋体" w:cs="宋体"/>
                <w:color w:val="000000"/>
                <w:kern w:val="0"/>
                <w:sz w:val="28"/>
                <w:szCs w:val="28"/>
              </w:rPr>
              <w:t>110502</w:t>
            </w:r>
          </w:p>
        </w:tc>
        <w:tc>
          <w:tcPr>
            <w:tcW w:w="1276" w:type="dxa"/>
            <w:tcBorders>
              <w:top w:val="nil"/>
              <w:left w:val="nil"/>
              <w:bottom w:val="single" w:color="auto" w:sz="4" w:space="0"/>
              <w:right w:val="single" w:color="auto" w:sz="4" w:space="0"/>
            </w:tcBorders>
            <w:shd w:val="clear" w:color="auto" w:fill="auto"/>
            <w:noWrap/>
            <w:vAlign w:val="center"/>
          </w:tcPr>
          <w:p w14:paraId="686013E2">
            <w:pPr>
              <w:widowControl/>
              <w:jc w:val="center"/>
              <w:rPr>
                <w:rFonts w:ascii="宋体" w:hAnsi="宋体" w:eastAsia="宋体" w:cs="宋体"/>
                <w:color w:val="000000"/>
                <w:kern w:val="0"/>
                <w:sz w:val="28"/>
                <w:szCs w:val="28"/>
              </w:rPr>
            </w:pPr>
            <w:r>
              <w:rPr>
                <w:rFonts w:ascii="宋体" w:hAnsi="宋体" w:eastAsia="宋体" w:cs="宋体"/>
                <w:color w:val="000000"/>
                <w:kern w:val="0"/>
                <w:sz w:val="28"/>
                <w:szCs w:val="28"/>
              </w:rPr>
              <w:t>114591</w:t>
            </w:r>
          </w:p>
        </w:tc>
        <w:tc>
          <w:tcPr>
            <w:tcW w:w="1230" w:type="dxa"/>
            <w:tcBorders>
              <w:top w:val="nil"/>
              <w:left w:val="nil"/>
              <w:bottom w:val="single" w:color="auto" w:sz="4" w:space="0"/>
              <w:right w:val="single" w:color="auto" w:sz="4" w:space="0"/>
            </w:tcBorders>
            <w:shd w:val="clear" w:color="auto" w:fill="auto"/>
            <w:noWrap/>
            <w:vAlign w:val="center"/>
          </w:tcPr>
          <w:p w14:paraId="48E7A6A8">
            <w:pPr>
              <w:widowControl/>
              <w:jc w:val="center"/>
              <w:rPr>
                <w:rFonts w:ascii="宋体" w:hAnsi="宋体" w:eastAsia="宋体" w:cs="宋体"/>
                <w:color w:val="000000"/>
                <w:kern w:val="0"/>
                <w:sz w:val="28"/>
                <w:szCs w:val="28"/>
              </w:rPr>
            </w:pPr>
            <w:r>
              <w:rPr>
                <w:rFonts w:ascii="宋体" w:hAnsi="宋体" w:eastAsia="宋体" w:cs="宋体"/>
                <w:color w:val="000000"/>
                <w:kern w:val="0"/>
                <w:sz w:val="28"/>
                <w:szCs w:val="28"/>
              </w:rPr>
              <w:t>112547</w:t>
            </w:r>
          </w:p>
        </w:tc>
      </w:tr>
    </w:tbl>
    <w:p w14:paraId="3D2BDFD6">
      <w:pPr>
        <w:spacing w:line="360" w:lineRule="auto"/>
        <w:ind w:firstLine="640" w:firstLineChars="200"/>
        <w:rPr>
          <w:rFonts w:ascii="宋体" w:hAnsi="宋体"/>
          <w:sz w:val="32"/>
          <w:szCs w:val="32"/>
        </w:rPr>
      </w:pPr>
    </w:p>
    <w:p w14:paraId="5736E331">
      <w:pPr>
        <w:spacing w:line="360" w:lineRule="auto"/>
        <w:jc w:val="center"/>
        <w:rPr>
          <w:rFonts w:ascii="宋体" w:hAnsi="宋体"/>
          <w:sz w:val="32"/>
          <w:szCs w:val="32"/>
        </w:rPr>
      </w:pPr>
      <w:r>
        <w:drawing>
          <wp:inline distT="0" distB="0" distL="0" distR="0">
            <wp:extent cx="4892040" cy="2743200"/>
            <wp:effectExtent l="0" t="0" r="381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B6AF75">
      <w:pPr>
        <w:pStyle w:val="10"/>
        <w:jc w:val="center"/>
        <w:rPr>
          <w:b/>
          <w:bCs/>
          <w:sz w:val="24"/>
          <w:szCs w:val="24"/>
        </w:rPr>
      </w:pPr>
      <w:bookmarkStart w:id="30" w:name="_Toc79498050"/>
      <w:r>
        <w:rPr>
          <w:rFonts w:hint="eastAsia"/>
          <w:b/>
          <w:bCs/>
          <w:sz w:val="24"/>
          <w:szCs w:val="24"/>
        </w:rPr>
        <w:t>图</w:t>
      </w:r>
      <w:r>
        <w:rPr>
          <w:b/>
          <w:bCs/>
          <w:sz w:val="24"/>
          <w:szCs w:val="24"/>
        </w:rPr>
        <w:fldChar w:fldCharType="begin"/>
      </w:r>
      <w:r>
        <w:rPr>
          <w:rFonts w:hint="eastAsia"/>
          <w:b/>
          <w:bCs/>
          <w:sz w:val="24"/>
          <w:szCs w:val="24"/>
        </w:rPr>
        <w:instrText xml:space="preserve">SEQ 图 \* ARABIC</w:instrText>
      </w:r>
      <w:r>
        <w:rPr>
          <w:b/>
          <w:bCs/>
          <w:sz w:val="24"/>
          <w:szCs w:val="24"/>
        </w:rPr>
        <w:fldChar w:fldCharType="separate"/>
      </w:r>
      <w:r>
        <w:rPr>
          <w:b/>
          <w:bCs/>
          <w:sz w:val="24"/>
          <w:szCs w:val="24"/>
        </w:rPr>
        <w:t>4</w:t>
      </w:r>
      <w:r>
        <w:rPr>
          <w:b/>
          <w:bCs/>
          <w:sz w:val="24"/>
          <w:szCs w:val="24"/>
        </w:rPr>
        <w:fldChar w:fldCharType="end"/>
      </w:r>
      <w:r>
        <w:rPr>
          <w:rFonts w:hint="eastAsia"/>
          <w:b/>
          <w:bCs/>
          <w:sz w:val="24"/>
          <w:szCs w:val="24"/>
        </w:rPr>
        <w:t>凌源市2015-2019年度</w:t>
      </w:r>
      <w:r>
        <w:rPr>
          <w:b/>
          <w:bCs/>
          <w:sz w:val="24"/>
          <w:szCs w:val="24"/>
        </w:rPr>
        <w:t>货运量变化示意图</w:t>
      </w:r>
      <w:bookmarkEnd w:id="30"/>
    </w:p>
    <w:p w14:paraId="4E76017B"/>
    <w:p w14:paraId="2023ADC4">
      <w:pPr>
        <w:jc w:val="center"/>
      </w:pPr>
      <w:r>
        <w:drawing>
          <wp:inline distT="0" distB="0" distL="0" distR="0">
            <wp:extent cx="5082540" cy="2743200"/>
            <wp:effectExtent l="0" t="0" r="381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CE0921">
      <w:pPr>
        <w:pStyle w:val="10"/>
        <w:jc w:val="center"/>
        <w:rPr>
          <w:b/>
          <w:bCs/>
          <w:sz w:val="24"/>
          <w:szCs w:val="24"/>
        </w:rPr>
      </w:pPr>
      <w:bookmarkStart w:id="31" w:name="_Toc79498051"/>
      <w:r>
        <w:rPr>
          <w:rFonts w:hint="eastAsia"/>
          <w:b/>
          <w:bCs/>
          <w:sz w:val="24"/>
          <w:szCs w:val="24"/>
        </w:rPr>
        <w:t>图</w:t>
      </w:r>
      <w:r>
        <w:rPr>
          <w:b/>
          <w:bCs/>
          <w:sz w:val="24"/>
          <w:szCs w:val="24"/>
        </w:rPr>
        <w:fldChar w:fldCharType="begin"/>
      </w:r>
      <w:r>
        <w:rPr>
          <w:rFonts w:hint="eastAsia"/>
          <w:b/>
          <w:bCs/>
          <w:sz w:val="24"/>
          <w:szCs w:val="24"/>
        </w:rPr>
        <w:instrText xml:space="preserve">SEQ 图 \* ARABIC</w:instrText>
      </w:r>
      <w:r>
        <w:rPr>
          <w:b/>
          <w:bCs/>
          <w:sz w:val="24"/>
          <w:szCs w:val="24"/>
        </w:rPr>
        <w:fldChar w:fldCharType="separate"/>
      </w:r>
      <w:r>
        <w:rPr>
          <w:b/>
          <w:bCs/>
          <w:sz w:val="24"/>
          <w:szCs w:val="24"/>
        </w:rPr>
        <w:t>5</w:t>
      </w:r>
      <w:r>
        <w:rPr>
          <w:b/>
          <w:bCs/>
          <w:sz w:val="24"/>
          <w:szCs w:val="24"/>
        </w:rPr>
        <w:fldChar w:fldCharType="end"/>
      </w:r>
      <w:r>
        <w:rPr>
          <w:rFonts w:hint="eastAsia"/>
          <w:b/>
          <w:bCs/>
          <w:sz w:val="24"/>
          <w:szCs w:val="24"/>
        </w:rPr>
        <w:t>凌源市</w:t>
      </w:r>
      <w:r>
        <w:rPr>
          <w:b/>
          <w:bCs/>
          <w:sz w:val="24"/>
          <w:szCs w:val="24"/>
        </w:rPr>
        <w:t>2015-2019年度货运周转量变化示意图</w:t>
      </w:r>
      <w:bookmarkEnd w:id="31"/>
    </w:p>
    <w:p w14:paraId="6240F10E">
      <w:pPr>
        <w:pStyle w:val="5"/>
        <w:spacing w:line="360" w:lineRule="auto"/>
        <w:rPr>
          <w:rFonts w:asciiTheme="minorEastAsia" w:hAnsiTheme="minorEastAsia"/>
        </w:rPr>
      </w:pPr>
      <w:bookmarkStart w:id="32" w:name="_Toc79497925"/>
      <w:r>
        <w:rPr>
          <w:rFonts w:hint="eastAsia" w:asciiTheme="minorEastAsia" w:hAnsiTheme="minorEastAsia"/>
        </w:rPr>
        <w:t>四、物流产业体系逐步建立</w:t>
      </w:r>
      <w:bookmarkEnd w:id="32"/>
    </w:p>
    <w:p w14:paraId="706C9D85">
      <w:pPr>
        <w:pStyle w:val="6"/>
        <w:spacing w:before="240" w:after="240" w:line="360" w:lineRule="auto"/>
        <w:rPr>
          <w:sz w:val="32"/>
          <w:szCs w:val="32"/>
        </w:rPr>
      </w:pPr>
      <w:r>
        <w:rPr>
          <w:rFonts w:hint="eastAsia"/>
          <w:sz w:val="32"/>
          <w:szCs w:val="32"/>
        </w:rPr>
        <w:t>（一）物流基础设施建设正在起步</w:t>
      </w:r>
    </w:p>
    <w:p w14:paraId="11E3E5B0">
      <w:pPr>
        <w:spacing w:line="360" w:lineRule="auto"/>
        <w:ind w:firstLine="640" w:firstLineChars="200"/>
        <w:rPr>
          <w:rFonts w:ascii="宋体" w:hAnsi="宋体"/>
          <w:sz w:val="32"/>
          <w:szCs w:val="32"/>
        </w:rPr>
      </w:pPr>
      <w:r>
        <w:rPr>
          <w:rFonts w:ascii="宋体" w:hAnsi="宋体"/>
          <w:sz w:val="32"/>
          <w:szCs w:val="32"/>
        </w:rPr>
        <w:t>2019</w:t>
      </w:r>
      <w:r>
        <w:rPr>
          <w:rFonts w:hint="eastAsia" w:ascii="宋体" w:hAnsi="宋体"/>
          <w:sz w:val="32"/>
          <w:szCs w:val="32"/>
        </w:rPr>
        <w:t>年8月，朝阳致远金融物流港一期项目开工建设，标志着凌源市现代物流基础设施项目建设开始起步。截至目前，该项目一期已完工，正在开展招商工作。目前在建的项目主要有三沅农业数字化智能低温仓储及物流中心、凌源市城市绿色农产品配送中心项目。具体情况详见表2。</w:t>
      </w:r>
    </w:p>
    <w:p w14:paraId="6EEF59D7">
      <w:pPr>
        <w:pStyle w:val="6"/>
        <w:spacing w:before="240" w:after="240" w:line="360" w:lineRule="auto"/>
        <w:rPr>
          <w:sz w:val="32"/>
          <w:szCs w:val="32"/>
        </w:rPr>
      </w:pPr>
      <w:r>
        <w:rPr>
          <w:rFonts w:hint="eastAsia"/>
          <w:sz w:val="32"/>
          <w:szCs w:val="32"/>
        </w:rPr>
        <w:t>（二）物流</w:t>
      </w:r>
      <w:r>
        <w:rPr>
          <w:sz w:val="32"/>
          <w:szCs w:val="32"/>
        </w:rPr>
        <w:t>市场主体不断</w:t>
      </w:r>
      <w:r>
        <w:rPr>
          <w:rFonts w:hint="eastAsia"/>
          <w:sz w:val="32"/>
          <w:szCs w:val="32"/>
        </w:rPr>
        <w:t>增多</w:t>
      </w:r>
    </w:p>
    <w:p w14:paraId="6F568331">
      <w:pPr>
        <w:spacing w:line="360" w:lineRule="auto"/>
        <w:ind w:firstLine="640" w:firstLineChars="200"/>
        <w:rPr>
          <w:rFonts w:ascii="宋体" w:hAnsi="宋体" w:eastAsia="宋体"/>
          <w:sz w:val="32"/>
          <w:szCs w:val="32"/>
        </w:rPr>
      </w:pPr>
      <w:r>
        <w:rPr>
          <w:rFonts w:hint="eastAsia" w:ascii="宋体" w:hAnsi="宋体" w:eastAsia="宋体"/>
          <w:sz w:val="32"/>
          <w:szCs w:val="32"/>
        </w:rPr>
        <w:t>截至</w:t>
      </w:r>
      <w:r>
        <w:rPr>
          <w:rFonts w:ascii="宋体" w:hAnsi="宋体" w:eastAsia="宋体"/>
          <w:sz w:val="32"/>
          <w:szCs w:val="32"/>
        </w:rPr>
        <w:t>2020</w:t>
      </w:r>
      <w:r>
        <w:rPr>
          <w:rFonts w:hint="eastAsia" w:ascii="宋体" w:hAnsi="宋体" w:eastAsia="宋体"/>
          <w:sz w:val="32"/>
          <w:szCs w:val="32"/>
        </w:rPr>
        <w:t>年6月3</w:t>
      </w:r>
      <w:r>
        <w:rPr>
          <w:rFonts w:ascii="宋体" w:hAnsi="宋体" w:eastAsia="宋体"/>
          <w:sz w:val="32"/>
          <w:szCs w:val="32"/>
        </w:rPr>
        <w:t>0</w:t>
      </w:r>
      <w:r>
        <w:rPr>
          <w:rFonts w:hint="eastAsia" w:ascii="宋体" w:hAnsi="宋体" w:eastAsia="宋体"/>
          <w:sz w:val="32"/>
          <w:szCs w:val="32"/>
        </w:rPr>
        <w:t>日，凌源全市物流企业数量为2</w:t>
      </w:r>
      <w:r>
        <w:rPr>
          <w:rFonts w:ascii="宋体" w:hAnsi="宋体" w:eastAsia="宋体"/>
          <w:sz w:val="32"/>
          <w:szCs w:val="32"/>
        </w:rPr>
        <w:t>70</w:t>
      </w:r>
      <w:r>
        <w:rPr>
          <w:rFonts w:hint="eastAsia" w:ascii="宋体" w:hAnsi="宋体" w:eastAsia="宋体"/>
          <w:sz w:val="32"/>
          <w:szCs w:val="32"/>
        </w:rPr>
        <w:t>家，其中，</w:t>
      </w:r>
      <w:r>
        <w:rPr>
          <w:rFonts w:ascii="宋体" w:hAnsi="宋体" w:eastAsia="宋体"/>
          <w:sz w:val="32"/>
          <w:szCs w:val="32"/>
        </w:rPr>
        <w:t>注册资本500万</w:t>
      </w:r>
      <w:r>
        <w:rPr>
          <w:rFonts w:hint="eastAsia" w:ascii="宋体" w:hAnsi="宋体" w:eastAsia="宋体"/>
          <w:sz w:val="32"/>
          <w:szCs w:val="32"/>
        </w:rPr>
        <w:t>元</w:t>
      </w:r>
      <w:r>
        <w:rPr>
          <w:rFonts w:ascii="宋体" w:hAnsi="宋体" w:eastAsia="宋体"/>
          <w:sz w:val="32"/>
          <w:szCs w:val="32"/>
        </w:rPr>
        <w:t>以上的物流企业6家</w:t>
      </w:r>
      <w:r>
        <w:rPr>
          <w:rFonts w:hint="eastAsia" w:ascii="宋体" w:hAnsi="宋体" w:eastAsia="宋体"/>
          <w:sz w:val="32"/>
          <w:szCs w:val="32"/>
        </w:rPr>
        <w:t>。目前，凌源市快递业已吸引顺丰、申通、圆通、中通、菜鸟等1</w:t>
      </w:r>
      <w:r>
        <w:rPr>
          <w:rFonts w:ascii="宋体" w:hAnsi="宋体" w:eastAsia="宋体"/>
          <w:sz w:val="32"/>
          <w:szCs w:val="32"/>
        </w:rPr>
        <w:t>0</w:t>
      </w:r>
      <w:r>
        <w:rPr>
          <w:rFonts w:hint="eastAsia" w:ascii="宋体" w:hAnsi="宋体" w:eastAsia="宋体"/>
          <w:sz w:val="32"/>
          <w:szCs w:val="32"/>
        </w:rPr>
        <w:t>多家知名快递品牌入驻。</w:t>
      </w:r>
    </w:p>
    <w:p w14:paraId="64F3D2D4">
      <w:pPr>
        <w:pStyle w:val="6"/>
        <w:spacing w:before="240" w:after="240" w:line="360" w:lineRule="auto"/>
        <w:rPr>
          <w:sz w:val="32"/>
          <w:szCs w:val="32"/>
        </w:rPr>
      </w:pPr>
      <w:r>
        <w:rPr>
          <w:rFonts w:hint="eastAsia"/>
          <w:sz w:val="32"/>
          <w:szCs w:val="32"/>
        </w:rPr>
        <w:t>（三）物流信息化水平逐步提升</w:t>
      </w:r>
    </w:p>
    <w:p w14:paraId="78EBFBBC">
      <w:pPr>
        <w:spacing w:line="360" w:lineRule="auto"/>
        <w:ind w:firstLine="640" w:firstLineChars="200"/>
        <w:rPr>
          <w:rFonts w:ascii="宋体" w:hAnsi="宋体" w:eastAsia="宋体"/>
          <w:sz w:val="32"/>
          <w:szCs w:val="32"/>
        </w:rPr>
      </w:pPr>
      <w:r>
        <w:rPr>
          <w:rFonts w:hint="eastAsia" w:ascii="宋体" w:hAnsi="宋体" w:eastAsia="宋体"/>
          <w:sz w:val="32"/>
          <w:szCs w:val="32"/>
        </w:rPr>
        <w:t>朝阳致远金融物流港已上线物流信息平台，初步具备了用户及车辆信息管理、运单管理、轨迹跟踪、财务结算、在线开发票等功能，并获得了朝阳市网络货运牌照。</w:t>
      </w:r>
    </w:p>
    <w:p w14:paraId="10254AA5">
      <w:pPr>
        <w:pStyle w:val="10"/>
        <w:jc w:val="center"/>
        <w:rPr>
          <w:sz w:val="24"/>
          <w:szCs w:val="24"/>
        </w:rPr>
      </w:pPr>
    </w:p>
    <w:p w14:paraId="01AD4C6D">
      <w:pPr>
        <w:jc w:val="left"/>
        <w:sectPr>
          <w:headerReference r:id="rId8" w:type="default"/>
          <w:footerReference r:id="rId9" w:type="default"/>
          <w:pgSz w:w="11906" w:h="16838"/>
          <w:pgMar w:top="1440" w:right="1800" w:bottom="1440" w:left="1800" w:header="851" w:footer="992" w:gutter="0"/>
          <w:cols w:space="425" w:num="1"/>
          <w:docGrid w:type="lines" w:linePitch="312" w:charSpace="0"/>
        </w:sectPr>
      </w:pPr>
    </w:p>
    <w:p w14:paraId="705992B7">
      <w:pPr>
        <w:pStyle w:val="10"/>
        <w:jc w:val="center"/>
        <w:rPr>
          <w:b/>
          <w:bCs/>
          <w:sz w:val="24"/>
          <w:szCs w:val="24"/>
        </w:rPr>
      </w:pPr>
      <w:bookmarkStart w:id="33" w:name="_Toc79498039"/>
      <w:r>
        <w:rPr>
          <w:rFonts w:hint="eastAsia"/>
          <w:b/>
          <w:bCs/>
          <w:sz w:val="24"/>
          <w:szCs w:val="24"/>
        </w:rPr>
        <w:t>表</w:t>
      </w:r>
      <w:r>
        <w:rPr>
          <w:b/>
          <w:bCs/>
          <w:sz w:val="24"/>
          <w:szCs w:val="24"/>
        </w:rPr>
        <w:fldChar w:fldCharType="begin"/>
      </w:r>
      <w:r>
        <w:rPr>
          <w:rFonts w:hint="eastAsia"/>
          <w:b/>
          <w:bCs/>
          <w:sz w:val="24"/>
          <w:szCs w:val="24"/>
        </w:rPr>
        <w:instrText xml:space="preserve">SEQ 表 \* ARABIC</w:instrText>
      </w:r>
      <w:r>
        <w:rPr>
          <w:b/>
          <w:bCs/>
          <w:sz w:val="24"/>
          <w:szCs w:val="24"/>
        </w:rPr>
        <w:fldChar w:fldCharType="separate"/>
      </w:r>
      <w:r>
        <w:rPr>
          <w:b/>
          <w:bCs/>
          <w:sz w:val="24"/>
          <w:szCs w:val="24"/>
        </w:rPr>
        <w:t>2</w:t>
      </w:r>
      <w:r>
        <w:rPr>
          <w:b/>
          <w:bCs/>
          <w:sz w:val="24"/>
          <w:szCs w:val="24"/>
        </w:rPr>
        <w:fldChar w:fldCharType="end"/>
      </w:r>
      <w:r>
        <w:rPr>
          <w:rFonts w:hint="eastAsia"/>
          <w:b/>
          <w:bCs/>
          <w:sz w:val="24"/>
          <w:szCs w:val="24"/>
        </w:rPr>
        <w:t>凌源市现有及在建物流园区情况表</w:t>
      </w:r>
      <w:bookmarkEnd w:id="33"/>
    </w:p>
    <w:tbl>
      <w:tblPr>
        <w:tblStyle w:val="35"/>
        <w:tblW w:w="14029" w:type="dxa"/>
        <w:tblInd w:w="0" w:type="dxa"/>
        <w:tblLayout w:type="autofit"/>
        <w:tblCellMar>
          <w:top w:w="0" w:type="dxa"/>
          <w:left w:w="108" w:type="dxa"/>
          <w:bottom w:w="0" w:type="dxa"/>
          <w:right w:w="108" w:type="dxa"/>
        </w:tblCellMar>
      </w:tblPr>
      <w:tblGrid>
        <w:gridCol w:w="555"/>
        <w:gridCol w:w="1679"/>
        <w:gridCol w:w="1128"/>
        <w:gridCol w:w="6150"/>
        <w:gridCol w:w="1401"/>
        <w:gridCol w:w="1060"/>
        <w:gridCol w:w="1200"/>
        <w:gridCol w:w="856"/>
      </w:tblGrid>
      <w:tr w14:paraId="7D2343C4">
        <w:tblPrEx>
          <w:tblCellMar>
            <w:top w:w="0" w:type="dxa"/>
            <w:left w:w="108" w:type="dxa"/>
            <w:bottom w:w="0" w:type="dxa"/>
            <w:right w:w="108" w:type="dxa"/>
          </w:tblCellMar>
        </w:tblPrEx>
        <w:trPr>
          <w:trHeight w:val="397" w:hRule="atLeast"/>
        </w:trPr>
        <w:tc>
          <w:tcPr>
            <w:tcW w:w="555" w:type="dxa"/>
            <w:tcBorders>
              <w:top w:val="single" w:color="auto" w:sz="4" w:space="0"/>
              <w:left w:val="single" w:color="auto" w:sz="4" w:space="0"/>
              <w:bottom w:val="single" w:color="auto" w:sz="4" w:space="0"/>
              <w:right w:val="single" w:color="auto" w:sz="4" w:space="0"/>
            </w:tcBorders>
            <w:shd w:val="clear" w:color="auto" w:fill="auto"/>
            <w:vAlign w:val="center"/>
          </w:tcPr>
          <w:p w14:paraId="375E5B43">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序</w:t>
            </w:r>
          </w:p>
          <w:p w14:paraId="39DFEF95">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号</w:t>
            </w:r>
          </w:p>
        </w:tc>
        <w:tc>
          <w:tcPr>
            <w:tcW w:w="1680" w:type="dxa"/>
            <w:tcBorders>
              <w:top w:val="single" w:color="auto" w:sz="4" w:space="0"/>
              <w:left w:val="nil"/>
              <w:bottom w:val="single" w:color="auto" w:sz="4" w:space="0"/>
              <w:right w:val="single" w:color="auto" w:sz="4" w:space="0"/>
            </w:tcBorders>
            <w:shd w:val="clear" w:color="auto" w:fill="auto"/>
            <w:vAlign w:val="center"/>
          </w:tcPr>
          <w:p w14:paraId="5EF70397">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项目名称</w:t>
            </w:r>
          </w:p>
        </w:tc>
        <w:tc>
          <w:tcPr>
            <w:tcW w:w="1128" w:type="dxa"/>
            <w:tcBorders>
              <w:top w:val="single" w:color="auto" w:sz="4" w:space="0"/>
              <w:left w:val="nil"/>
              <w:bottom w:val="single" w:color="auto" w:sz="4" w:space="0"/>
              <w:right w:val="single" w:color="auto" w:sz="4" w:space="0"/>
            </w:tcBorders>
            <w:shd w:val="clear" w:color="auto" w:fill="auto"/>
            <w:vAlign w:val="center"/>
          </w:tcPr>
          <w:p w14:paraId="4551973D">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总投资</w:t>
            </w:r>
          </w:p>
        </w:tc>
        <w:tc>
          <w:tcPr>
            <w:tcW w:w="6154" w:type="dxa"/>
            <w:tcBorders>
              <w:top w:val="single" w:color="auto" w:sz="4" w:space="0"/>
              <w:left w:val="nil"/>
              <w:bottom w:val="single" w:color="auto" w:sz="4" w:space="0"/>
              <w:right w:val="nil"/>
            </w:tcBorders>
            <w:shd w:val="clear" w:color="auto" w:fill="auto"/>
            <w:vAlign w:val="center"/>
          </w:tcPr>
          <w:p w14:paraId="6623E1C4">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项目主要建设内容</w:t>
            </w:r>
          </w:p>
        </w:tc>
        <w:tc>
          <w:tcPr>
            <w:tcW w:w="1402" w:type="dxa"/>
            <w:tcBorders>
              <w:top w:val="single" w:color="auto" w:sz="4" w:space="0"/>
              <w:left w:val="single" w:color="auto" w:sz="4" w:space="0"/>
              <w:bottom w:val="single" w:color="auto" w:sz="4" w:space="0"/>
              <w:right w:val="single" w:color="auto" w:sz="4" w:space="0"/>
            </w:tcBorders>
            <w:shd w:val="clear" w:color="auto" w:fill="auto"/>
            <w:vAlign w:val="center"/>
          </w:tcPr>
          <w:p w14:paraId="0998F78B">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所在位置</w:t>
            </w:r>
          </w:p>
        </w:tc>
        <w:tc>
          <w:tcPr>
            <w:tcW w:w="1054" w:type="dxa"/>
            <w:tcBorders>
              <w:top w:val="single" w:color="auto" w:sz="4" w:space="0"/>
              <w:left w:val="nil"/>
              <w:bottom w:val="single" w:color="auto" w:sz="4" w:space="0"/>
              <w:right w:val="single" w:color="auto" w:sz="4" w:space="0"/>
            </w:tcBorders>
            <w:shd w:val="clear" w:color="auto" w:fill="auto"/>
            <w:vAlign w:val="center"/>
          </w:tcPr>
          <w:p w14:paraId="4C5D5315">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占地</w:t>
            </w:r>
          </w:p>
          <w:p w14:paraId="33492053">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规模</w:t>
            </w:r>
          </w:p>
          <w:p w14:paraId="1769E5E0">
            <w:pPr>
              <w:widowControl/>
              <w:jc w:val="center"/>
            </w:pPr>
            <w:r>
              <w:rPr>
                <w:rFonts w:hint="eastAsia" w:ascii="宋体" w:hAnsi="宋体" w:eastAsia="宋体" w:cs="宋体"/>
                <w:b/>
                <w:bCs/>
                <w:kern w:val="0"/>
                <w:sz w:val="28"/>
                <w:szCs w:val="28"/>
              </w:rPr>
              <w:t>（亩）</w:t>
            </w:r>
          </w:p>
        </w:tc>
        <w:tc>
          <w:tcPr>
            <w:tcW w:w="1200" w:type="dxa"/>
            <w:tcBorders>
              <w:top w:val="single" w:color="auto" w:sz="4" w:space="0"/>
              <w:left w:val="nil"/>
              <w:bottom w:val="single" w:color="auto" w:sz="4" w:space="0"/>
              <w:right w:val="nil"/>
            </w:tcBorders>
            <w:shd w:val="clear" w:color="auto" w:fill="auto"/>
            <w:vAlign w:val="center"/>
          </w:tcPr>
          <w:p w14:paraId="54A46E0F">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建设</w:t>
            </w:r>
          </w:p>
          <w:p w14:paraId="431F0B51">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主体</w:t>
            </w:r>
          </w:p>
        </w:tc>
        <w:tc>
          <w:tcPr>
            <w:tcW w:w="856" w:type="dxa"/>
            <w:tcBorders>
              <w:top w:val="single" w:color="auto" w:sz="4" w:space="0"/>
              <w:left w:val="single" w:color="auto" w:sz="4" w:space="0"/>
              <w:bottom w:val="single" w:color="auto" w:sz="4" w:space="0"/>
              <w:right w:val="single" w:color="auto" w:sz="4" w:space="0"/>
            </w:tcBorders>
            <w:shd w:val="clear" w:color="auto" w:fill="auto"/>
            <w:vAlign w:val="center"/>
          </w:tcPr>
          <w:p w14:paraId="19020269">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备注</w:t>
            </w:r>
          </w:p>
        </w:tc>
      </w:tr>
      <w:tr w14:paraId="37666D2E">
        <w:tblPrEx>
          <w:tblCellMar>
            <w:top w:w="0" w:type="dxa"/>
            <w:left w:w="108" w:type="dxa"/>
            <w:bottom w:w="0" w:type="dxa"/>
            <w:right w:w="108" w:type="dxa"/>
          </w:tblCellMar>
        </w:tblPrEx>
        <w:trPr>
          <w:trHeight w:val="871" w:hRule="atLeast"/>
        </w:trPr>
        <w:tc>
          <w:tcPr>
            <w:tcW w:w="555" w:type="dxa"/>
            <w:tcBorders>
              <w:top w:val="nil"/>
              <w:left w:val="single" w:color="auto" w:sz="4" w:space="0"/>
              <w:bottom w:val="single" w:color="auto" w:sz="4" w:space="0"/>
              <w:right w:val="single" w:color="auto" w:sz="4" w:space="0"/>
            </w:tcBorders>
            <w:shd w:val="clear" w:color="auto" w:fill="auto"/>
            <w:vAlign w:val="center"/>
          </w:tcPr>
          <w:p w14:paraId="4CEBBD4C">
            <w:pPr>
              <w:widowControl/>
              <w:jc w:val="center"/>
              <w:rPr>
                <w:rFonts w:ascii="宋体" w:hAnsi="宋体" w:eastAsia="宋体" w:cs="宋体"/>
                <w:kern w:val="0"/>
                <w:sz w:val="28"/>
                <w:szCs w:val="28"/>
              </w:rPr>
            </w:pPr>
            <w:r>
              <w:rPr>
                <w:rFonts w:hint="eastAsia" w:ascii="宋体" w:hAnsi="宋体" w:eastAsia="宋体" w:cs="宋体"/>
                <w:kern w:val="0"/>
                <w:sz w:val="28"/>
                <w:szCs w:val="28"/>
              </w:rPr>
              <w:t>1</w:t>
            </w:r>
          </w:p>
        </w:tc>
        <w:tc>
          <w:tcPr>
            <w:tcW w:w="1680" w:type="dxa"/>
            <w:tcBorders>
              <w:top w:val="nil"/>
              <w:left w:val="nil"/>
              <w:bottom w:val="single" w:color="auto" w:sz="4" w:space="0"/>
              <w:right w:val="single" w:color="auto" w:sz="4" w:space="0"/>
            </w:tcBorders>
            <w:shd w:val="clear" w:color="auto" w:fill="auto"/>
            <w:vAlign w:val="center"/>
          </w:tcPr>
          <w:p w14:paraId="0AC9F9A2">
            <w:pPr>
              <w:widowControl/>
              <w:jc w:val="left"/>
              <w:rPr>
                <w:rFonts w:ascii="宋体" w:hAnsi="宋体" w:eastAsia="宋体" w:cs="宋体"/>
                <w:kern w:val="0"/>
                <w:sz w:val="28"/>
                <w:szCs w:val="28"/>
              </w:rPr>
            </w:pPr>
            <w:r>
              <w:rPr>
                <w:rFonts w:hint="eastAsia" w:ascii="宋体" w:hAnsi="宋体" w:eastAsia="宋体" w:cs="宋体"/>
                <w:kern w:val="0"/>
                <w:sz w:val="28"/>
                <w:szCs w:val="28"/>
              </w:rPr>
              <w:t>朝阳致远金融物流港项目一期</w:t>
            </w:r>
          </w:p>
        </w:tc>
        <w:tc>
          <w:tcPr>
            <w:tcW w:w="1128" w:type="dxa"/>
            <w:tcBorders>
              <w:top w:val="nil"/>
              <w:left w:val="nil"/>
              <w:bottom w:val="single" w:color="auto" w:sz="4" w:space="0"/>
              <w:right w:val="single" w:color="auto" w:sz="4" w:space="0"/>
            </w:tcBorders>
            <w:shd w:val="clear" w:color="auto" w:fill="auto"/>
            <w:vAlign w:val="center"/>
          </w:tcPr>
          <w:p w14:paraId="017A7A59">
            <w:pPr>
              <w:widowControl/>
              <w:jc w:val="left"/>
              <w:rPr>
                <w:rFonts w:ascii="宋体" w:hAnsi="宋体" w:eastAsia="宋体" w:cs="宋体"/>
                <w:kern w:val="0"/>
                <w:sz w:val="28"/>
                <w:szCs w:val="28"/>
              </w:rPr>
            </w:pPr>
            <w:r>
              <w:rPr>
                <w:rFonts w:hint="eastAsia" w:ascii="宋体" w:hAnsi="宋体" w:eastAsia="宋体" w:cs="宋体"/>
                <w:kern w:val="0"/>
                <w:sz w:val="28"/>
                <w:szCs w:val="28"/>
              </w:rPr>
              <w:t>1.2亿元</w:t>
            </w:r>
          </w:p>
        </w:tc>
        <w:tc>
          <w:tcPr>
            <w:tcW w:w="6154" w:type="dxa"/>
            <w:tcBorders>
              <w:top w:val="nil"/>
              <w:left w:val="nil"/>
              <w:bottom w:val="single" w:color="auto" w:sz="4" w:space="0"/>
              <w:right w:val="single" w:color="auto" w:sz="4" w:space="0"/>
            </w:tcBorders>
            <w:shd w:val="clear" w:color="auto" w:fill="auto"/>
            <w:vAlign w:val="center"/>
          </w:tcPr>
          <w:p w14:paraId="52B4482D">
            <w:pPr>
              <w:widowControl/>
              <w:jc w:val="left"/>
              <w:rPr>
                <w:rFonts w:ascii="宋体" w:hAnsi="宋体" w:eastAsia="宋体" w:cs="宋体"/>
                <w:kern w:val="0"/>
                <w:sz w:val="28"/>
                <w:szCs w:val="28"/>
              </w:rPr>
            </w:pPr>
            <w:r>
              <w:rPr>
                <w:rFonts w:hint="eastAsia" w:ascii="宋体" w:hAnsi="宋体" w:eastAsia="宋体" w:cs="宋体"/>
                <w:kern w:val="0"/>
                <w:sz w:val="28"/>
                <w:szCs w:val="28"/>
              </w:rPr>
              <w:t>总建筑面积2.7万平方米,主要建设矿石原材料物流区、综合商务配套区两大功能区。</w:t>
            </w:r>
          </w:p>
        </w:tc>
        <w:tc>
          <w:tcPr>
            <w:tcW w:w="1402" w:type="dxa"/>
            <w:tcBorders>
              <w:top w:val="nil"/>
              <w:left w:val="nil"/>
              <w:bottom w:val="single" w:color="auto" w:sz="4" w:space="0"/>
              <w:right w:val="single" w:color="auto" w:sz="4" w:space="0"/>
            </w:tcBorders>
            <w:shd w:val="clear" w:color="auto" w:fill="auto"/>
            <w:vAlign w:val="center"/>
          </w:tcPr>
          <w:p w14:paraId="6941C7C1">
            <w:pPr>
              <w:widowControl/>
              <w:rPr>
                <w:rFonts w:ascii="宋体" w:hAnsi="宋体" w:eastAsia="宋体" w:cs="宋体"/>
                <w:kern w:val="0"/>
                <w:sz w:val="28"/>
                <w:szCs w:val="28"/>
              </w:rPr>
            </w:pPr>
            <w:r>
              <w:rPr>
                <w:rFonts w:hint="eastAsia" w:ascii="宋体" w:hAnsi="宋体" w:eastAsia="宋体" w:cs="宋体"/>
                <w:kern w:val="0"/>
                <w:sz w:val="28"/>
                <w:szCs w:val="28"/>
              </w:rPr>
              <w:t>朝阳凌源经济开发区</w:t>
            </w:r>
          </w:p>
        </w:tc>
        <w:tc>
          <w:tcPr>
            <w:tcW w:w="1054" w:type="dxa"/>
            <w:tcBorders>
              <w:top w:val="nil"/>
              <w:left w:val="nil"/>
              <w:bottom w:val="single" w:color="auto" w:sz="4" w:space="0"/>
              <w:right w:val="single" w:color="auto" w:sz="4" w:space="0"/>
            </w:tcBorders>
            <w:shd w:val="clear" w:color="auto" w:fill="auto"/>
            <w:vAlign w:val="center"/>
          </w:tcPr>
          <w:p w14:paraId="1B992184">
            <w:pPr>
              <w:widowControl/>
              <w:rPr>
                <w:rFonts w:ascii="宋体" w:hAnsi="宋体" w:eastAsia="宋体" w:cs="宋体"/>
                <w:kern w:val="0"/>
                <w:sz w:val="28"/>
                <w:szCs w:val="28"/>
              </w:rPr>
            </w:pPr>
            <w:r>
              <w:rPr>
                <w:rFonts w:hint="eastAsia" w:ascii="宋体" w:hAnsi="宋体" w:eastAsia="宋体" w:cs="宋体"/>
                <w:kern w:val="0"/>
                <w:sz w:val="28"/>
                <w:szCs w:val="28"/>
              </w:rPr>
              <w:t>100亩</w:t>
            </w:r>
          </w:p>
        </w:tc>
        <w:tc>
          <w:tcPr>
            <w:tcW w:w="1200" w:type="dxa"/>
            <w:tcBorders>
              <w:top w:val="nil"/>
              <w:left w:val="nil"/>
              <w:bottom w:val="single" w:color="auto" w:sz="4" w:space="0"/>
              <w:right w:val="nil"/>
            </w:tcBorders>
            <w:shd w:val="clear" w:color="auto" w:fill="auto"/>
            <w:vAlign w:val="center"/>
          </w:tcPr>
          <w:p w14:paraId="5CA775BB">
            <w:pPr>
              <w:widowControl/>
              <w:rPr>
                <w:rFonts w:ascii="宋体" w:hAnsi="宋体" w:eastAsia="宋体" w:cs="宋体"/>
                <w:kern w:val="0"/>
                <w:sz w:val="28"/>
                <w:szCs w:val="28"/>
              </w:rPr>
            </w:pPr>
            <w:r>
              <w:rPr>
                <w:rFonts w:hint="eastAsia" w:ascii="宋体" w:hAnsi="宋体" w:eastAsia="宋体" w:cs="宋体"/>
                <w:kern w:val="0"/>
                <w:sz w:val="28"/>
                <w:szCs w:val="28"/>
              </w:rPr>
              <w:t>朝阳致远物流港有限公司</w:t>
            </w:r>
          </w:p>
        </w:tc>
        <w:tc>
          <w:tcPr>
            <w:tcW w:w="856" w:type="dxa"/>
            <w:tcBorders>
              <w:top w:val="nil"/>
              <w:left w:val="single" w:color="auto" w:sz="4" w:space="0"/>
              <w:bottom w:val="single" w:color="auto" w:sz="4" w:space="0"/>
              <w:right w:val="single" w:color="auto" w:sz="4" w:space="0"/>
            </w:tcBorders>
            <w:shd w:val="clear" w:color="auto" w:fill="auto"/>
            <w:vAlign w:val="center"/>
          </w:tcPr>
          <w:p w14:paraId="1F5C6A4A">
            <w:pPr>
              <w:widowControl/>
              <w:rPr>
                <w:rFonts w:ascii="宋体" w:hAnsi="宋体" w:eastAsia="宋体" w:cs="宋体"/>
                <w:kern w:val="0"/>
                <w:sz w:val="28"/>
                <w:szCs w:val="28"/>
              </w:rPr>
            </w:pPr>
            <w:r>
              <w:rPr>
                <w:rFonts w:hint="eastAsia" w:ascii="宋体" w:hAnsi="宋体" w:eastAsia="宋体" w:cs="宋体"/>
                <w:kern w:val="0"/>
                <w:sz w:val="28"/>
                <w:szCs w:val="28"/>
              </w:rPr>
              <w:t>部分建成</w:t>
            </w:r>
          </w:p>
        </w:tc>
      </w:tr>
      <w:tr w14:paraId="5680D5FB">
        <w:tblPrEx>
          <w:tblCellMar>
            <w:top w:w="0" w:type="dxa"/>
            <w:left w:w="108" w:type="dxa"/>
            <w:bottom w:w="0" w:type="dxa"/>
            <w:right w:w="108" w:type="dxa"/>
          </w:tblCellMar>
        </w:tblPrEx>
        <w:trPr>
          <w:trHeight w:val="1130" w:hRule="atLeast"/>
        </w:trPr>
        <w:tc>
          <w:tcPr>
            <w:tcW w:w="555" w:type="dxa"/>
            <w:tcBorders>
              <w:top w:val="nil"/>
              <w:left w:val="single" w:color="auto" w:sz="4" w:space="0"/>
              <w:bottom w:val="single" w:color="auto" w:sz="4" w:space="0"/>
              <w:right w:val="single" w:color="auto" w:sz="4" w:space="0"/>
            </w:tcBorders>
            <w:shd w:val="clear" w:color="auto" w:fill="auto"/>
            <w:vAlign w:val="center"/>
          </w:tcPr>
          <w:p w14:paraId="6F773E72">
            <w:pPr>
              <w:widowControl/>
              <w:rPr>
                <w:rFonts w:ascii="宋体" w:hAnsi="宋体" w:eastAsia="宋体" w:cs="宋体"/>
                <w:kern w:val="0"/>
                <w:sz w:val="28"/>
                <w:szCs w:val="28"/>
              </w:rPr>
            </w:pPr>
            <w:r>
              <w:rPr>
                <w:rFonts w:hint="eastAsia" w:ascii="宋体" w:hAnsi="宋体" w:eastAsia="宋体" w:cs="宋体"/>
                <w:kern w:val="0"/>
                <w:sz w:val="28"/>
                <w:szCs w:val="28"/>
              </w:rPr>
              <w:t>2</w:t>
            </w:r>
          </w:p>
        </w:tc>
        <w:tc>
          <w:tcPr>
            <w:tcW w:w="1680" w:type="dxa"/>
            <w:tcBorders>
              <w:top w:val="nil"/>
              <w:left w:val="nil"/>
              <w:bottom w:val="single" w:color="auto" w:sz="4" w:space="0"/>
              <w:right w:val="single" w:color="auto" w:sz="4" w:space="0"/>
            </w:tcBorders>
            <w:shd w:val="clear" w:color="000000" w:fill="FFFFFF"/>
            <w:vAlign w:val="center"/>
          </w:tcPr>
          <w:p w14:paraId="4CA39938">
            <w:pPr>
              <w:widowControl/>
              <w:jc w:val="left"/>
              <w:rPr>
                <w:rFonts w:ascii="宋体" w:hAnsi="宋体" w:eastAsia="宋体" w:cs="宋体"/>
                <w:kern w:val="0"/>
                <w:sz w:val="28"/>
                <w:szCs w:val="28"/>
              </w:rPr>
            </w:pPr>
            <w:r>
              <w:rPr>
                <w:rFonts w:hint="eastAsia" w:ascii="宋体" w:hAnsi="宋体" w:eastAsia="宋体" w:cs="宋体"/>
                <w:kern w:val="0"/>
                <w:sz w:val="28"/>
                <w:szCs w:val="28"/>
              </w:rPr>
              <w:t>三沅农业数字化智能低温仓储及物流中心</w:t>
            </w:r>
          </w:p>
        </w:tc>
        <w:tc>
          <w:tcPr>
            <w:tcW w:w="1128" w:type="dxa"/>
            <w:tcBorders>
              <w:top w:val="nil"/>
              <w:left w:val="nil"/>
              <w:bottom w:val="single" w:color="auto" w:sz="4" w:space="0"/>
              <w:right w:val="single" w:color="auto" w:sz="4" w:space="0"/>
            </w:tcBorders>
            <w:shd w:val="clear" w:color="000000" w:fill="FFFFFF"/>
            <w:vAlign w:val="center"/>
          </w:tcPr>
          <w:p w14:paraId="3B39D249">
            <w:pPr>
              <w:widowControl/>
              <w:jc w:val="left"/>
              <w:rPr>
                <w:rFonts w:ascii="宋体" w:hAnsi="宋体" w:eastAsia="宋体" w:cs="宋体"/>
                <w:kern w:val="0"/>
                <w:sz w:val="28"/>
                <w:szCs w:val="28"/>
              </w:rPr>
            </w:pPr>
            <w:r>
              <w:rPr>
                <w:rFonts w:hint="eastAsia" w:ascii="宋体" w:hAnsi="宋体" w:eastAsia="宋体" w:cs="宋体"/>
                <w:kern w:val="0"/>
                <w:sz w:val="28"/>
                <w:szCs w:val="28"/>
              </w:rPr>
              <w:t>1.5亿元</w:t>
            </w:r>
          </w:p>
        </w:tc>
        <w:tc>
          <w:tcPr>
            <w:tcW w:w="6154" w:type="dxa"/>
            <w:tcBorders>
              <w:top w:val="nil"/>
              <w:left w:val="nil"/>
              <w:bottom w:val="single" w:color="auto" w:sz="4" w:space="0"/>
              <w:right w:val="single" w:color="auto" w:sz="4" w:space="0"/>
            </w:tcBorders>
            <w:shd w:val="clear" w:color="000000" w:fill="FFFFFF"/>
            <w:vAlign w:val="center"/>
          </w:tcPr>
          <w:p w14:paraId="3445054D">
            <w:pPr>
              <w:widowControl/>
              <w:jc w:val="left"/>
              <w:rPr>
                <w:rFonts w:ascii="宋体" w:hAnsi="宋体" w:eastAsia="宋体" w:cs="宋体"/>
                <w:kern w:val="0"/>
                <w:sz w:val="28"/>
                <w:szCs w:val="28"/>
              </w:rPr>
            </w:pPr>
            <w:r>
              <w:rPr>
                <w:rFonts w:hint="eastAsia" w:ascii="宋体" w:hAnsi="宋体" w:eastAsia="宋体" w:cs="宋体"/>
                <w:kern w:val="0"/>
                <w:sz w:val="28"/>
                <w:szCs w:val="28"/>
              </w:rPr>
              <w:t>建筑面积13785.88平方米，包括2座恒温保鲜库8800平方米，1座加工车间4400平方米，1座机房585.88平方米。生产水池占地533.52平方米，消防水池占地655.26平方米。</w:t>
            </w:r>
          </w:p>
        </w:tc>
        <w:tc>
          <w:tcPr>
            <w:tcW w:w="1402" w:type="dxa"/>
            <w:tcBorders>
              <w:top w:val="nil"/>
              <w:left w:val="nil"/>
              <w:bottom w:val="single" w:color="auto" w:sz="4" w:space="0"/>
              <w:right w:val="single" w:color="auto" w:sz="4" w:space="0"/>
            </w:tcBorders>
            <w:shd w:val="clear" w:color="auto" w:fill="auto"/>
            <w:vAlign w:val="center"/>
          </w:tcPr>
          <w:p w14:paraId="56E91916">
            <w:pPr>
              <w:widowControl/>
              <w:rPr>
                <w:rFonts w:ascii="宋体" w:hAnsi="宋体" w:eastAsia="宋体" w:cs="宋体"/>
                <w:kern w:val="0"/>
                <w:sz w:val="28"/>
                <w:szCs w:val="28"/>
              </w:rPr>
            </w:pPr>
            <w:r>
              <w:rPr>
                <w:rFonts w:hint="eastAsia" w:ascii="宋体" w:hAnsi="宋体" w:eastAsia="宋体" w:cs="宋体"/>
                <w:kern w:val="0"/>
                <w:sz w:val="28"/>
                <w:szCs w:val="28"/>
              </w:rPr>
              <w:t>朝阳凌源经济开发区</w:t>
            </w:r>
          </w:p>
        </w:tc>
        <w:tc>
          <w:tcPr>
            <w:tcW w:w="1054" w:type="dxa"/>
            <w:tcBorders>
              <w:top w:val="nil"/>
              <w:left w:val="nil"/>
              <w:bottom w:val="single" w:color="auto" w:sz="4" w:space="0"/>
              <w:right w:val="single" w:color="auto" w:sz="4" w:space="0"/>
            </w:tcBorders>
            <w:shd w:val="clear" w:color="000000" w:fill="FFFFFF"/>
            <w:vAlign w:val="center"/>
          </w:tcPr>
          <w:p w14:paraId="47745116">
            <w:pPr>
              <w:widowControl/>
              <w:jc w:val="center"/>
              <w:rPr>
                <w:rFonts w:ascii="宋体" w:hAnsi="宋体" w:eastAsia="宋体" w:cs="宋体"/>
                <w:kern w:val="0"/>
                <w:sz w:val="28"/>
                <w:szCs w:val="28"/>
              </w:rPr>
            </w:pPr>
            <w:r>
              <w:rPr>
                <w:rFonts w:hint="eastAsia" w:ascii="宋体" w:hAnsi="宋体" w:eastAsia="宋体" w:cs="宋体"/>
                <w:kern w:val="0"/>
                <w:sz w:val="28"/>
                <w:szCs w:val="28"/>
              </w:rPr>
              <w:t>50亩</w:t>
            </w:r>
          </w:p>
        </w:tc>
        <w:tc>
          <w:tcPr>
            <w:tcW w:w="1200" w:type="dxa"/>
            <w:tcBorders>
              <w:top w:val="nil"/>
              <w:left w:val="nil"/>
              <w:bottom w:val="single" w:color="auto" w:sz="4" w:space="0"/>
              <w:right w:val="nil"/>
            </w:tcBorders>
            <w:shd w:val="clear" w:color="000000" w:fill="FFFFFF"/>
            <w:vAlign w:val="center"/>
          </w:tcPr>
          <w:p w14:paraId="545788A4">
            <w:pPr>
              <w:widowControl/>
              <w:rPr>
                <w:rFonts w:ascii="宋体" w:hAnsi="宋体" w:eastAsia="宋体" w:cs="宋体"/>
                <w:kern w:val="0"/>
                <w:sz w:val="28"/>
                <w:szCs w:val="28"/>
              </w:rPr>
            </w:pPr>
            <w:r>
              <w:rPr>
                <w:rFonts w:hint="eastAsia" w:ascii="宋体" w:hAnsi="宋体" w:eastAsia="宋体" w:cs="宋体"/>
                <w:kern w:val="0"/>
                <w:sz w:val="28"/>
                <w:szCs w:val="28"/>
              </w:rPr>
              <w:t>三沅农业科技发展(凌源)有限公司</w:t>
            </w:r>
          </w:p>
        </w:tc>
        <w:tc>
          <w:tcPr>
            <w:tcW w:w="856" w:type="dxa"/>
            <w:tcBorders>
              <w:top w:val="nil"/>
              <w:left w:val="single" w:color="auto" w:sz="4" w:space="0"/>
              <w:bottom w:val="single" w:color="auto" w:sz="4" w:space="0"/>
              <w:right w:val="single" w:color="auto" w:sz="4" w:space="0"/>
            </w:tcBorders>
            <w:shd w:val="clear" w:color="auto" w:fill="auto"/>
            <w:noWrap/>
            <w:vAlign w:val="center"/>
          </w:tcPr>
          <w:p w14:paraId="3D21D8A4">
            <w:pPr>
              <w:widowControl/>
              <w:rPr>
                <w:rFonts w:ascii="宋体" w:hAnsi="宋体" w:eastAsia="宋体" w:cs="宋体"/>
                <w:kern w:val="0"/>
                <w:sz w:val="28"/>
                <w:szCs w:val="28"/>
              </w:rPr>
            </w:pPr>
            <w:r>
              <w:rPr>
                <w:rFonts w:hint="eastAsia" w:ascii="宋体" w:hAnsi="宋体" w:eastAsia="宋体" w:cs="宋体"/>
                <w:kern w:val="0"/>
                <w:sz w:val="28"/>
                <w:szCs w:val="28"/>
              </w:rPr>
              <w:t>在建</w:t>
            </w:r>
          </w:p>
        </w:tc>
      </w:tr>
      <w:tr w14:paraId="565347B1">
        <w:tblPrEx>
          <w:tblCellMar>
            <w:top w:w="0" w:type="dxa"/>
            <w:left w:w="108" w:type="dxa"/>
            <w:bottom w:w="0" w:type="dxa"/>
            <w:right w:w="108" w:type="dxa"/>
          </w:tblCellMar>
        </w:tblPrEx>
        <w:trPr>
          <w:trHeight w:val="871" w:hRule="atLeast"/>
        </w:trPr>
        <w:tc>
          <w:tcPr>
            <w:tcW w:w="555" w:type="dxa"/>
            <w:tcBorders>
              <w:top w:val="nil"/>
              <w:left w:val="single" w:color="auto" w:sz="4" w:space="0"/>
              <w:bottom w:val="single" w:color="auto" w:sz="4" w:space="0"/>
              <w:right w:val="single" w:color="auto" w:sz="4" w:space="0"/>
            </w:tcBorders>
            <w:shd w:val="clear" w:color="auto" w:fill="auto"/>
            <w:vAlign w:val="center"/>
          </w:tcPr>
          <w:p w14:paraId="279DE630">
            <w:pPr>
              <w:widowControl/>
              <w:rPr>
                <w:rFonts w:ascii="宋体" w:hAnsi="宋体" w:eastAsia="宋体" w:cs="宋体"/>
                <w:kern w:val="0"/>
                <w:sz w:val="28"/>
                <w:szCs w:val="28"/>
              </w:rPr>
            </w:pPr>
            <w:r>
              <w:rPr>
                <w:rFonts w:hint="eastAsia" w:ascii="宋体" w:hAnsi="宋体" w:eastAsia="宋体" w:cs="宋体"/>
                <w:kern w:val="0"/>
                <w:sz w:val="28"/>
                <w:szCs w:val="28"/>
              </w:rPr>
              <w:t>3</w:t>
            </w:r>
          </w:p>
        </w:tc>
        <w:tc>
          <w:tcPr>
            <w:tcW w:w="1680" w:type="dxa"/>
            <w:tcBorders>
              <w:top w:val="nil"/>
              <w:left w:val="nil"/>
              <w:bottom w:val="single" w:color="auto" w:sz="4" w:space="0"/>
              <w:right w:val="single" w:color="auto" w:sz="4" w:space="0"/>
            </w:tcBorders>
            <w:shd w:val="clear" w:color="000000" w:fill="FFFFFF"/>
            <w:vAlign w:val="center"/>
          </w:tcPr>
          <w:p w14:paraId="6F947768">
            <w:pPr>
              <w:widowControl/>
              <w:jc w:val="left"/>
              <w:rPr>
                <w:rFonts w:ascii="宋体" w:hAnsi="宋体" w:eastAsia="宋体" w:cs="宋体"/>
                <w:kern w:val="0"/>
                <w:sz w:val="28"/>
                <w:szCs w:val="28"/>
              </w:rPr>
            </w:pPr>
            <w:r>
              <w:rPr>
                <w:rFonts w:hint="eastAsia" w:ascii="宋体" w:hAnsi="宋体" w:eastAsia="宋体" w:cs="宋体"/>
                <w:kern w:val="0"/>
                <w:sz w:val="28"/>
                <w:szCs w:val="28"/>
              </w:rPr>
              <w:t>凌源市城市绿色农产品配送中心项目</w:t>
            </w:r>
          </w:p>
        </w:tc>
        <w:tc>
          <w:tcPr>
            <w:tcW w:w="1128" w:type="dxa"/>
            <w:tcBorders>
              <w:top w:val="nil"/>
              <w:left w:val="nil"/>
              <w:bottom w:val="single" w:color="auto" w:sz="4" w:space="0"/>
              <w:right w:val="single" w:color="auto" w:sz="4" w:space="0"/>
            </w:tcBorders>
            <w:shd w:val="clear" w:color="000000" w:fill="FFFFFF"/>
            <w:vAlign w:val="center"/>
          </w:tcPr>
          <w:p w14:paraId="2DB5C4EC">
            <w:pPr>
              <w:widowControl/>
              <w:jc w:val="left"/>
              <w:rPr>
                <w:rFonts w:ascii="宋体" w:hAnsi="宋体" w:eastAsia="宋体" w:cs="宋体"/>
                <w:kern w:val="0"/>
                <w:sz w:val="28"/>
                <w:szCs w:val="28"/>
              </w:rPr>
            </w:pPr>
            <w:r>
              <w:rPr>
                <w:rFonts w:ascii="宋体" w:hAnsi="宋体" w:eastAsia="宋体" w:cs="宋体"/>
                <w:kern w:val="0"/>
                <w:sz w:val="28"/>
                <w:szCs w:val="28"/>
              </w:rPr>
              <w:t>1</w:t>
            </w:r>
            <w:r>
              <w:rPr>
                <w:rFonts w:hint="eastAsia" w:ascii="宋体" w:hAnsi="宋体" w:eastAsia="宋体" w:cs="宋体"/>
                <w:kern w:val="0"/>
                <w:sz w:val="28"/>
                <w:szCs w:val="28"/>
              </w:rPr>
              <w:t>.</w:t>
            </w:r>
            <w:r>
              <w:rPr>
                <w:rFonts w:ascii="宋体" w:hAnsi="宋体" w:eastAsia="宋体" w:cs="宋体"/>
                <w:kern w:val="0"/>
                <w:sz w:val="28"/>
                <w:szCs w:val="28"/>
              </w:rPr>
              <w:t>25</w:t>
            </w:r>
            <w:r>
              <w:rPr>
                <w:rFonts w:hint="eastAsia" w:ascii="宋体" w:hAnsi="宋体" w:eastAsia="宋体" w:cs="宋体"/>
                <w:kern w:val="0"/>
                <w:sz w:val="28"/>
                <w:szCs w:val="28"/>
              </w:rPr>
              <w:t>亿元</w:t>
            </w:r>
          </w:p>
        </w:tc>
        <w:tc>
          <w:tcPr>
            <w:tcW w:w="6154" w:type="dxa"/>
            <w:tcBorders>
              <w:top w:val="nil"/>
              <w:left w:val="nil"/>
              <w:bottom w:val="single" w:color="auto" w:sz="4" w:space="0"/>
              <w:right w:val="single" w:color="auto" w:sz="4" w:space="0"/>
            </w:tcBorders>
            <w:shd w:val="clear" w:color="000000" w:fill="FFFFFF"/>
            <w:vAlign w:val="center"/>
          </w:tcPr>
          <w:p w14:paraId="31505A31">
            <w:pPr>
              <w:widowControl/>
              <w:jc w:val="left"/>
              <w:rPr>
                <w:rFonts w:ascii="宋体" w:hAnsi="宋体" w:eastAsia="宋体" w:cs="宋体"/>
                <w:kern w:val="0"/>
                <w:sz w:val="28"/>
                <w:szCs w:val="28"/>
              </w:rPr>
            </w:pPr>
            <w:r>
              <w:rPr>
                <w:rFonts w:hint="eastAsia" w:ascii="宋体" w:hAnsi="宋体" w:eastAsia="宋体" w:cs="宋体"/>
                <w:kern w:val="0"/>
                <w:sz w:val="28"/>
                <w:szCs w:val="28"/>
              </w:rPr>
              <w:t>建筑面积48700平方米。主要建设办公楼、农产品交易大厅、检测室、恒温库、生产车间、包装车间等。</w:t>
            </w:r>
          </w:p>
        </w:tc>
        <w:tc>
          <w:tcPr>
            <w:tcW w:w="1402" w:type="dxa"/>
            <w:tcBorders>
              <w:top w:val="nil"/>
              <w:left w:val="nil"/>
              <w:bottom w:val="single" w:color="auto" w:sz="4" w:space="0"/>
              <w:right w:val="single" w:color="auto" w:sz="4" w:space="0"/>
            </w:tcBorders>
            <w:shd w:val="clear" w:color="auto" w:fill="auto"/>
            <w:vAlign w:val="center"/>
          </w:tcPr>
          <w:p w14:paraId="72A0D613">
            <w:pPr>
              <w:widowControl/>
              <w:rPr>
                <w:rFonts w:ascii="宋体" w:hAnsi="宋体" w:eastAsia="宋体" w:cs="宋体"/>
                <w:kern w:val="0"/>
                <w:sz w:val="28"/>
                <w:szCs w:val="28"/>
              </w:rPr>
            </w:pPr>
            <w:r>
              <w:rPr>
                <w:rFonts w:hint="eastAsia" w:ascii="宋体" w:hAnsi="宋体" w:eastAsia="宋体" w:cs="宋体"/>
                <w:kern w:val="0"/>
                <w:sz w:val="28"/>
                <w:szCs w:val="28"/>
              </w:rPr>
              <w:t>凌源市宋杖子镇</w:t>
            </w:r>
          </w:p>
        </w:tc>
        <w:tc>
          <w:tcPr>
            <w:tcW w:w="1054" w:type="dxa"/>
            <w:tcBorders>
              <w:top w:val="nil"/>
              <w:left w:val="nil"/>
              <w:bottom w:val="single" w:color="auto" w:sz="4" w:space="0"/>
              <w:right w:val="single" w:color="auto" w:sz="4" w:space="0"/>
            </w:tcBorders>
            <w:shd w:val="clear" w:color="auto" w:fill="auto"/>
            <w:vAlign w:val="center"/>
          </w:tcPr>
          <w:p w14:paraId="1F4193A9">
            <w:pPr>
              <w:widowControl/>
              <w:rPr>
                <w:rFonts w:ascii="宋体" w:hAnsi="宋体" w:eastAsia="宋体" w:cs="宋体"/>
                <w:kern w:val="0"/>
                <w:sz w:val="28"/>
                <w:szCs w:val="28"/>
              </w:rPr>
            </w:pPr>
            <w:r>
              <w:rPr>
                <w:rFonts w:hint="eastAsia" w:ascii="宋体" w:hAnsi="宋体" w:eastAsia="宋体" w:cs="宋体"/>
                <w:kern w:val="0"/>
                <w:sz w:val="28"/>
                <w:szCs w:val="28"/>
              </w:rPr>
              <w:t>200亩</w:t>
            </w:r>
          </w:p>
        </w:tc>
        <w:tc>
          <w:tcPr>
            <w:tcW w:w="1200" w:type="dxa"/>
            <w:tcBorders>
              <w:top w:val="nil"/>
              <w:left w:val="nil"/>
              <w:bottom w:val="single" w:color="auto" w:sz="4" w:space="0"/>
              <w:right w:val="nil"/>
            </w:tcBorders>
            <w:shd w:val="clear" w:color="auto" w:fill="auto"/>
            <w:vAlign w:val="center"/>
          </w:tcPr>
          <w:p w14:paraId="31CA7E81">
            <w:pPr>
              <w:widowControl/>
              <w:rPr>
                <w:rFonts w:ascii="宋体" w:hAnsi="宋体" w:eastAsia="宋体" w:cs="宋体"/>
                <w:kern w:val="0"/>
                <w:sz w:val="28"/>
                <w:szCs w:val="28"/>
              </w:rPr>
            </w:pPr>
            <w:r>
              <w:rPr>
                <w:rFonts w:hint="eastAsia" w:ascii="宋体" w:hAnsi="宋体" w:eastAsia="宋体" w:cs="宋体"/>
                <w:kern w:val="0"/>
                <w:sz w:val="28"/>
                <w:szCs w:val="28"/>
              </w:rPr>
              <w:t>凌源市天性农业开发有限公司</w:t>
            </w:r>
          </w:p>
        </w:tc>
        <w:tc>
          <w:tcPr>
            <w:tcW w:w="856" w:type="dxa"/>
            <w:tcBorders>
              <w:top w:val="nil"/>
              <w:left w:val="single" w:color="auto" w:sz="4" w:space="0"/>
              <w:bottom w:val="single" w:color="auto" w:sz="4" w:space="0"/>
              <w:right w:val="single" w:color="auto" w:sz="4" w:space="0"/>
            </w:tcBorders>
            <w:shd w:val="clear" w:color="auto" w:fill="auto"/>
            <w:noWrap/>
            <w:vAlign w:val="center"/>
          </w:tcPr>
          <w:p w14:paraId="4063F8F9">
            <w:pPr>
              <w:widowControl/>
              <w:rPr>
                <w:rFonts w:ascii="宋体" w:hAnsi="宋体" w:eastAsia="宋体" w:cs="宋体"/>
                <w:kern w:val="0"/>
                <w:sz w:val="28"/>
                <w:szCs w:val="28"/>
              </w:rPr>
            </w:pPr>
            <w:r>
              <w:rPr>
                <w:rFonts w:hint="eastAsia" w:ascii="宋体" w:hAnsi="宋体" w:eastAsia="宋体" w:cs="宋体"/>
                <w:kern w:val="0"/>
                <w:sz w:val="28"/>
                <w:szCs w:val="28"/>
              </w:rPr>
              <w:t>在建</w:t>
            </w:r>
          </w:p>
        </w:tc>
      </w:tr>
    </w:tbl>
    <w:p w14:paraId="53F225F8">
      <w:pPr>
        <w:ind w:firstLine="560"/>
        <w:rPr>
          <w:rFonts w:ascii="宋体" w:hAnsi="宋体" w:eastAsia="宋体"/>
          <w:sz w:val="32"/>
          <w:szCs w:val="32"/>
        </w:rPr>
      </w:pPr>
      <w:r>
        <w:rPr>
          <w:rFonts w:ascii="宋体" w:hAnsi="宋体" w:eastAsia="宋体"/>
          <w:sz w:val="32"/>
          <w:szCs w:val="32"/>
        </w:rPr>
        <w:br w:type="page"/>
      </w:r>
    </w:p>
    <w:p w14:paraId="0BA77EAD">
      <w:pPr>
        <w:ind w:firstLine="560"/>
        <w:rPr>
          <w:rFonts w:ascii="宋体" w:hAnsi="宋体" w:eastAsia="宋体"/>
          <w:sz w:val="32"/>
          <w:szCs w:val="32"/>
        </w:rPr>
        <w:sectPr>
          <w:headerReference r:id="rId12" w:type="first"/>
          <w:footerReference r:id="rId15" w:type="first"/>
          <w:headerReference r:id="rId10" w:type="default"/>
          <w:footerReference r:id="rId13" w:type="default"/>
          <w:headerReference r:id="rId11" w:type="even"/>
          <w:footerReference r:id="rId14" w:type="even"/>
          <w:pgSz w:w="16838" w:h="11906" w:orient="landscape"/>
          <w:pgMar w:top="1800" w:right="1440" w:bottom="1800" w:left="1440" w:header="851" w:footer="992" w:gutter="0"/>
          <w:cols w:space="425" w:num="1"/>
          <w:docGrid w:type="lines" w:linePitch="381" w:charSpace="0"/>
        </w:sectPr>
      </w:pPr>
    </w:p>
    <w:p w14:paraId="33B375AF">
      <w:pPr>
        <w:pStyle w:val="4"/>
        <w:spacing w:line="360" w:lineRule="auto"/>
        <w:jc w:val="center"/>
      </w:pPr>
      <w:bookmarkStart w:id="34" w:name="_Toc79497926"/>
      <w:bookmarkStart w:id="35" w:name="_Toc57553305"/>
      <w:r>
        <w:rPr>
          <w:rFonts w:hint="eastAsia"/>
        </w:rPr>
        <w:t>第二节 主要问题</w:t>
      </w:r>
      <w:bookmarkEnd w:id="34"/>
      <w:bookmarkEnd w:id="35"/>
    </w:p>
    <w:p w14:paraId="06B69551">
      <w:pPr>
        <w:pStyle w:val="5"/>
        <w:spacing w:line="360" w:lineRule="auto"/>
        <w:rPr>
          <w:rFonts w:asciiTheme="minorEastAsia" w:hAnsiTheme="minorEastAsia"/>
        </w:rPr>
      </w:pPr>
      <w:bookmarkStart w:id="36" w:name="_Toc79497927"/>
      <w:bookmarkStart w:id="37" w:name="_Toc57553307"/>
      <w:bookmarkStart w:id="38" w:name="_Toc57622840"/>
      <w:bookmarkStart w:id="39" w:name="_Toc57553311"/>
      <w:bookmarkStart w:id="40" w:name="_Toc57553306"/>
      <w:r>
        <w:rPr>
          <w:rFonts w:hint="eastAsia" w:asciiTheme="minorEastAsia" w:hAnsiTheme="minorEastAsia"/>
        </w:rPr>
        <w:t>一、物流基础设施建设滞后</w:t>
      </w:r>
      <w:bookmarkEnd w:id="36"/>
      <w:bookmarkEnd w:id="37"/>
    </w:p>
    <w:p w14:paraId="258AF6A1">
      <w:pPr>
        <w:spacing w:line="360" w:lineRule="auto"/>
        <w:ind w:firstLine="646" w:firstLineChars="202"/>
        <w:rPr>
          <w:rFonts w:ascii="宋体" w:hAnsi="宋体"/>
          <w:sz w:val="32"/>
          <w:szCs w:val="32"/>
        </w:rPr>
      </w:pPr>
      <w:r>
        <w:rPr>
          <w:rFonts w:hint="eastAsia" w:ascii="宋体" w:hAnsi="宋体"/>
          <w:sz w:val="32"/>
          <w:szCs w:val="32"/>
        </w:rPr>
        <w:t>物流基础设施</w:t>
      </w:r>
      <w:r>
        <w:rPr>
          <w:rFonts w:ascii="宋体" w:hAnsi="宋体"/>
          <w:sz w:val="32"/>
          <w:szCs w:val="32"/>
        </w:rPr>
        <w:t>主要包括</w:t>
      </w:r>
      <w:r>
        <w:rPr>
          <w:rFonts w:hint="eastAsia" w:ascii="宋体" w:hAnsi="宋体"/>
          <w:sz w:val="32"/>
          <w:szCs w:val="32"/>
        </w:rPr>
        <w:t>物流园区、公路港、多式联运场站、冷库</w:t>
      </w:r>
      <w:r>
        <w:rPr>
          <w:rFonts w:ascii="宋体" w:hAnsi="宋体"/>
          <w:sz w:val="32"/>
          <w:szCs w:val="32"/>
        </w:rPr>
        <w:t>等</w:t>
      </w:r>
      <w:r>
        <w:rPr>
          <w:rFonts w:hint="eastAsia" w:ascii="宋体" w:hAnsi="宋体"/>
          <w:sz w:val="32"/>
          <w:szCs w:val="32"/>
        </w:rPr>
        <w:t>。目前，凌源物流基础设施建设相对滞后，具体表现在以下三个方面：一是缺乏规模化、专业化、现代化的大型物流园区。除朝阳致远金融物流港一期正在招商运营外，暂无较大规模的物流园区。二是缺乏正规化的公路港，导致城区大量货车无序停放，给城市交通安全带来极大隐患。三是凌源北部除了凌钢集团自用的铁路场站之外，没有公共型的铁路场站，凌源南部现有的几处铁路场站都比较陈旧，部分设施已多年未用，年久失修。四是农产品流通配套物流设施不完善，批发市场设施陈旧，冷库及田间地头的预冷设施严重缺乏。</w:t>
      </w:r>
    </w:p>
    <w:p w14:paraId="5F244CC9">
      <w:pPr>
        <w:pStyle w:val="5"/>
        <w:spacing w:line="360" w:lineRule="auto"/>
        <w:rPr>
          <w:rFonts w:asciiTheme="minorEastAsia" w:hAnsiTheme="minorEastAsia"/>
        </w:rPr>
      </w:pPr>
      <w:bookmarkStart w:id="41" w:name="_Toc79497928"/>
      <w:r>
        <w:rPr>
          <w:rFonts w:hint="eastAsia" w:asciiTheme="minorEastAsia" w:hAnsiTheme="minorEastAsia"/>
        </w:rPr>
        <w:t>二、物流企业服务能力亟待提高</w:t>
      </w:r>
      <w:bookmarkEnd w:id="38"/>
      <w:bookmarkEnd w:id="41"/>
    </w:p>
    <w:p w14:paraId="0EA2B41B">
      <w:pPr>
        <w:spacing w:line="360" w:lineRule="auto"/>
        <w:ind w:firstLine="646" w:firstLineChars="202"/>
        <w:rPr>
          <w:rFonts w:ascii="宋体" w:hAnsi="宋体"/>
          <w:sz w:val="32"/>
          <w:szCs w:val="32"/>
        </w:rPr>
      </w:pPr>
      <w:r>
        <w:rPr>
          <w:rFonts w:hint="eastAsia" w:ascii="宋体" w:hAnsi="宋体"/>
          <w:sz w:val="32"/>
          <w:szCs w:val="32"/>
        </w:rPr>
        <w:t>凌源现有物流企业“小、散、弱”现象突出，截至目前，全市无3A级以上物流企业，大多数物流企业规模偏小、业务单一，仅能提供简单的运输、仓储等业务，缺乏集现代化储运、分拨配送、流通加工、物流信息、物流金融、供应链物流等服务于一体的综合型物流企业和供应链管理服务企业。面对正在崛起的钢铁冶金、汽车及零部件、农产品深加工等产业集群，凌源现有物流企业的服务能力无法满足市场的需要。</w:t>
      </w:r>
    </w:p>
    <w:bookmarkEnd w:id="39"/>
    <w:bookmarkEnd w:id="40"/>
    <w:p w14:paraId="12E437AB">
      <w:pPr>
        <w:pStyle w:val="5"/>
        <w:spacing w:line="360" w:lineRule="auto"/>
        <w:rPr>
          <w:rFonts w:asciiTheme="minorEastAsia" w:hAnsiTheme="minorEastAsia"/>
        </w:rPr>
      </w:pPr>
      <w:bookmarkStart w:id="42" w:name="_Toc57553310"/>
      <w:bookmarkStart w:id="43" w:name="_Toc79497929"/>
      <w:bookmarkStart w:id="44" w:name="_Toc57553308"/>
      <w:r>
        <w:rPr>
          <w:rFonts w:hint="eastAsia" w:asciiTheme="minorEastAsia" w:hAnsiTheme="minorEastAsia"/>
        </w:rPr>
        <w:t>三、物流信息化建设亟待加强</w:t>
      </w:r>
      <w:bookmarkEnd w:id="42"/>
      <w:bookmarkEnd w:id="43"/>
    </w:p>
    <w:p w14:paraId="58385603">
      <w:pPr>
        <w:spacing w:line="360" w:lineRule="auto"/>
        <w:ind w:firstLine="646" w:firstLineChars="202"/>
        <w:rPr>
          <w:rFonts w:ascii="宋体" w:hAnsi="宋体"/>
          <w:sz w:val="32"/>
          <w:szCs w:val="32"/>
        </w:rPr>
      </w:pPr>
      <w:r>
        <w:rPr>
          <w:rFonts w:hint="eastAsia" w:ascii="宋体" w:hAnsi="宋体"/>
          <w:sz w:val="32"/>
          <w:szCs w:val="32"/>
        </w:rPr>
        <w:t>一是企业物流信息化程度偏低，多数企业不具备物流业务管理信息系统，相关业务管理仍处于手工处理阶段，管理能力落后。二是政府物流行业管理信息平台缺乏，工商、税务、运管、商贸流通、服务业等行业管理部门之间的信息传递效率低下，不利于政府对物流市场的规范与管理。三是缺乏统一的物流行业信息统计平台，全市货运量、货运周转量、社会物流总额、物流费用等物流运行数据统计缺失，难以为主管部门分析决策提供依据。</w:t>
      </w:r>
    </w:p>
    <w:p w14:paraId="0448A874">
      <w:pPr>
        <w:pStyle w:val="5"/>
        <w:spacing w:line="360" w:lineRule="auto"/>
        <w:rPr>
          <w:rFonts w:asciiTheme="minorEastAsia" w:hAnsiTheme="minorEastAsia"/>
        </w:rPr>
      </w:pPr>
      <w:bookmarkStart w:id="45" w:name="_Toc79497930"/>
      <w:r>
        <w:rPr>
          <w:rFonts w:hint="eastAsia" w:asciiTheme="minorEastAsia" w:hAnsiTheme="minorEastAsia"/>
        </w:rPr>
        <w:t>四、物流业税收流失现象突出</w:t>
      </w:r>
      <w:bookmarkEnd w:id="44"/>
      <w:bookmarkEnd w:id="45"/>
    </w:p>
    <w:p w14:paraId="72732B2D">
      <w:pPr>
        <w:spacing w:line="360" w:lineRule="auto"/>
        <w:ind w:firstLine="646" w:firstLineChars="202"/>
        <w:rPr>
          <w:rFonts w:ascii="宋体" w:hAnsi="宋体"/>
          <w:sz w:val="32"/>
          <w:szCs w:val="32"/>
        </w:rPr>
      </w:pPr>
      <w:r>
        <w:rPr>
          <w:rFonts w:hint="eastAsia" w:ascii="宋体" w:hAnsi="宋体"/>
          <w:sz w:val="32"/>
          <w:szCs w:val="32"/>
        </w:rPr>
        <w:t>虽然凌源市货量充足、物流业务繁忙，但是物流业税收流失却比较严重。据调研，目前在凌源开展货运业务的4.</w:t>
      </w:r>
      <w:r>
        <w:rPr>
          <w:rFonts w:ascii="宋体" w:hAnsi="宋体"/>
          <w:sz w:val="32"/>
          <w:szCs w:val="32"/>
        </w:rPr>
        <w:t>5</w:t>
      </w:r>
      <w:r>
        <w:rPr>
          <w:rFonts w:hint="eastAsia" w:ascii="宋体" w:hAnsi="宋体"/>
          <w:sz w:val="32"/>
          <w:szCs w:val="32"/>
        </w:rPr>
        <w:t>吨以上货运车辆为6000余辆，其中有将近一半的车辆为唐山市以及周边其它县市的车辆。经初步估算，仅凌源现有货运行业每年流失的税收约为2亿元。</w:t>
      </w:r>
    </w:p>
    <w:p w14:paraId="474C50AA">
      <w:pPr>
        <w:pStyle w:val="4"/>
        <w:keepNext w:val="0"/>
        <w:keepLines w:val="0"/>
        <w:spacing w:line="360" w:lineRule="auto"/>
        <w:jc w:val="center"/>
      </w:pPr>
      <w:bookmarkStart w:id="46" w:name="_Toc79497931"/>
      <w:bookmarkStart w:id="47" w:name="_Toc57553312"/>
      <w:r>
        <w:rPr>
          <w:rFonts w:hint="eastAsia"/>
        </w:rPr>
        <w:t>第三节 形势与机遇</w:t>
      </w:r>
      <w:bookmarkEnd w:id="46"/>
      <w:bookmarkEnd w:id="47"/>
    </w:p>
    <w:p w14:paraId="55BF5236">
      <w:pPr>
        <w:pStyle w:val="5"/>
        <w:keepNext w:val="0"/>
        <w:keepLines w:val="0"/>
        <w:spacing w:line="360" w:lineRule="auto"/>
        <w:rPr>
          <w:rFonts w:asciiTheme="minorEastAsia" w:hAnsiTheme="minorEastAsia"/>
        </w:rPr>
      </w:pPr>
      <w:bookmarkStart w:id="48" w:name="_Toc79497932"/>
      <w:bookmarkStart w:id="49" w:name="_Toc57553313"/>
      <w:r>
        <w:rPr>
          <w:rFonts w:hint="eastAsia" w:asciiTheme="minorEastAsia" w:hAnsiTheme="minorEastAsia"/>
        </w:rPr>
        <w:t>一、物流业政策环境持续向好</w:t>
      </w:r>
      <w:bookmarkEnd w:id="48"/>
    </w:p>
    <w:p w14:paraId="27C1D442">
      <w:pPr>
        <w:spacing w:line="360" w:lineRule="auto"/>
        <w:ind w:firstLine="646" w:firstLineChars="202"/>
        <w:rPr>
          <w:rFonts w:ascii="宋体" w:hAnsi="宋体"/>
          <w:sz w:val="32"/>
          <w:szCs w:val="32"/>
        </w:rPr>
      </w:pPr>
      <w:r>
        <w:rPr>
          <w:rFonts w:ascii="宋体" w:hAnsi="宋体"/>
          <w:sz w:val="32"/>
          <w:szCs w:val="32"/>
        </w:rPr>
        <w:t>党的十八大以来，习近平总书记对物流业</w:t>
      </w:r>
      <w:r>
        <w:rPr>
          <w:rFonts w:hint="eastAsia" w:ascii="宋体" w:hAnsi="宋体"/>
          <w:sz w:val="32"/>
          <w:szCs w:val="32"/>
        </w:rPr>
        <w:t>的</w:t>
      </w:r>
      <w:r>
        <w:rPr>
          <w:rFonts w:ascii="宋体" w:hAnsi="宋体"/>
          <w:sz w:val="32"/>
          <w:szCs w:val="32"/>
        </w:rPr>
        <w:t>发展作出了一系列重要指示，为</w:t>
      </w:r>
      <w:r>
        <w:rPr>
          <w:rFonts w:hint="eastAsia" w:ascii="宋体" w:hAnsi="宋体"/>
          <w:sz w:val="32"/>
          <w:szCs w:val="32"/>
        </w:rPr>
        <w:t>我国</w:t>
      </w:r>
      <w:r>
        <w:rPr>
          <w:rFonts w:ascii="宋体" w:hAnsi="宋体"/>
          <w:sz w:val="32"/>
          <w:szCs w:val="32"/>
        </w:rPr>
        <w:t>物流业高质量发展指明了方向，提供了</w:t>
      </w:r>
      <w:r>
        <w:rPr>
          <w:rFonts w:hint="eastAsia" w:ascii="宋体" w:hAnsi="宋体"/>
          <w:sz w:val="32"/>
          <w:szCs w:val="32"/>
        </w:rPr>
        <w:t>根</w:t>
      </w:r>
      <w:r>
        <w:rPr>
          <w:rFonts w:ascii="宋体" w:hAnsi="宋体"/>
          <w:sz w:val="32"/>
          <w:szCs w:val="32"/>
        </w:rPr>
        <w:t>本遵循。</w:t>
      </w:r>
      <w:r>
        <w:rPr>
          <w:rFonts w:hint="eastAsia" w:ascii="宋体" w:hAnsi="宋体"/>
          <w:sz w:val="32"/>
          <w:szCs w:val="32"/>
        </w:rPr>
        <w:t>党中央、国务院对物流业的发展高度重视，有关部委、省、地市都相继出台了一系列鼓励物流业发展的政策措施，为激发市场活力、促进我国物流业健康发展创造了良好条件。</w:t>
      </w:r>
    </w:p>
    <w:p w14:paraId="51F8BE5E">
      <w:pPr>
        <w:pStyle w:val="6"/>
        <w:keepNext w:val="0"/>
        <w:keepLines w:val="0"/>
        <w:spacing w:before="240" w:after="240" w:line="360" w:lineRule="auto"/>
        <w:rPr>
          <w:sz w:val="32"/>
          <w:szCs w:val="32"/>
        </w:rPr>
      </w:pPr>
      <w:r>
        <w:rPr>
          <w:rFonts w:hint="eastAsia"/>
          <w:sz w:val="32"/>
          <w:szCs w:val="32"/>
        </w:rPr>
        <w:t>（一）国家层面政策</w:t>
      </w:r>
    </w:p>
    <w:p w14:paraId="4EAC068C">
      <w:pPr>
        <w:spacing w:line="360" w:lineRule="auto"/>
        <w:ind w:firstLine="646" w:firstLineChars="202"/>
        <w:rPr>
          <w:rFonts w:ascii="宋体" w:hAnsi="宋体"/>
          <w:sz w:val="32"/>
          <w:szCs w:val="32"/>
        </w:rPr>
      </w:pPr>
      <w:r>
        <w:rPr>
          <w:rFonts w:hint="eastAsia" w:ascii="宋体" w:hAnsi="宋体"/>
          <w:sz w:val="32"/>
          <w:szCs w:val="32"/>
        </w:rPr>
        <w:t>近年来，《国务院办公厅关于进一步推进物流降本增效促进实体经济发展的意见》《国务院办公厅关于加快发展冷链物流保障食品安全促进消费升级的意见》</w:t>
      </w:r>
      <w:r>
        <w:rPr>
          <w:rFonts w:ascii="宋体" w:hAnsi="宋体"/>
          <w:sz w:val="32"/>
          <w:szCs w:val="32"/>
        </w:rPr>
        <w:t>《关于进一步鼓励开展多式联运工作的通知》</w:t>
      </w:r>
      <w:r>
        <w:rPr>
          <w:rFonts w:hint="eastAsia" w:ascii="宋体" w:hAnsi="宋体"/>
          <w:sz w:val="32"/>
          <w:szCs w:val="32"/>
        </w:rPr>
        <w:t>《关于推动物流高质量发展促进形成强大国内市场的意见》《国家物流枢纽布局和建设规划》</w:t>
      </w:r>
      <w:r>
        <w:rPr>
          <w:rFonts w:ascii="宋体" w:hAnsi="宋体"/>
          <w:sz w:val="32"/>
          <w:szCs w:val="32"/>
        </w:rPr>
        <w:t>《推进运输结构调整三年行动计划（2018—2020年）》《关于开展供应链创新与应用试点的通知》</w:t>
      </w:r>
      <w:r>
        <w:rPr>
          <w:rFonts w:hint="eastAsia" w:ascii="宋体" w:hAnsi="宋体"/>
          <w:sz w:val="32"/>
          <w:szCs w:val="32"/>
        </w:rPr>
        <w:t>《国务院办公厅关于推进电子商务与快递物流协同发展的意见》《关于开展首批国家骨干冷链物流基地建设工作的通知》等文件相继颁布，明确要求各地要不断提高物流基础设施网络的建设标准，深入优化产业营商环境，完善配套支撑体系，着力增强物流业内生动力以及服务其他产业的配套能力。2020年6月，国务院办公厅转发了国家发改委、交通运输部《关于进一步降低物流成本的实施意见》，力求深入贯彻落实党中央、国务院关于统筹推进疫情防控和经济社会发展工作的决策部署，进一步降低物流成本、提升物流效率，加快恢复生产生活秩序。2020年9月，国家发改委会同工业和信息化部、交通运输部等13个部门和单位联合印发了《推动物流业制造业深度融合创新发展实施方案》，目的在于做好“六稳”工作，落实“六保”任务，进一步推动物流业制造业深度融合、创新发展，推进物流降本增效，促进制造业转型升级。</w:t>
      </w:r>
    </w:p>
    <w:p w14:paraId="38840000">
      <w:pPr>
        <w:pStyle w:val="6"/>
        <w:spacing w:before="240" w:after="240" w:line="360" w:lineRule="auto"/>
        <w:rPr>
          <w:sz w:val="32"/>
          <w:szCs w:val="32"/>
        </w:rPr>
      </w:pPr>
      <w:r>
        <w:rPr>
          <w:rFonts w:hint="eastAsia"/>
          <w:sz w:val="32"/>
          <w:szCs w:val="32"/>
        </w:rPr>
        <w:t>（二）省级层面政策</w:t>
      </w:r>
    </w:p>
    <w:p w14:paraId="3B00E35B">
      <w:pPr>
        <w:spacing w:line="360" w:lineRule="auto"/>
        <w:ind w:firstLine="646" w:firstLineChars="202"/>
        <w:rPr>
          <w:rFonts w:ascii="宋体" w:hAnsi="宋体"/>
          <w:sz w:val="32"/>
          <w:szCs w:val="32"/>
        </w:rPr>
      </w:pPr>
      <w:r>
        <w:rPr>
          <w:rFonts w:hint="eastAsia" w:ascii="宋体" w:hAnsi="宋体"/>
          <w:sz w:val="32"/>
          <w:szCs w:val="32"/>
        </w:rPr>
        <w:t>近年来，辽宁省高度重视物流业转型升级和高质量发展工作，始终把打造“联通境内外、辐射东中西的物流通道枢纽”作为全省经济社会发展的重大战略。围绕推动和促进物流业发展，陆续出台了冷链物流、电商物流、快递物流等专业物流转型升级的实施方案，有力地推动了物流业规模的壮大、质量的提升和竞争力的改善。自2</w:t>
      </w:r>
      <w:r>
        <w:rPr>
          <w:rFonts w:ascii="宋体" w:hAnsi="宋体"/>
          <w:sz w:val="32"/>
          <w:szCs w:val="32"/>
        </w:rPr>
        <w:t>017</w:t>
      </w:r>
      <w:r>
        <w:rPr>
          <w:rFonts w:hint="eastAsia" w:ascii="宋体" w:hAnsi="宋体"/>
          <w:sz w:val="32"/>
          <w:szCs w:val="32"/>
        </w:rPr>
        <w:t>年开始，辽宁省陆续颁布了《关于进一步推进物流降本增效促进实体经济发展的实施意见》（辽政办发〔2017〕119号）文件，为物流业的转型升级和融合发展营造了良好的政策环境。2</w:t>
      </w:r>
      <w:r>
        <w:rPr>
          <w:rFonts w:ascii="宋体" w:hAnsi="宋体"/>
          <w:sz w:val="32"/>
          <w:szCs w:val="32"/>
        </w:rPr>
        <w:t>018</w:t>
      </w:r>
      <w:r>
        <w:rPr>
          <w:rFonts w:hint="eastAsia" w:ascii="宋体" w:hAnsi="宋体"/>
          <w:sz w:val="32"/>
          <w:szCs w:val="32"/>
        </w:rPr>
        <w:t>年，辽宁省又相继颁布了《关于推进电子商务与快递物流协同发展的实施意见》（辽政办发〔2018〕15号）、《关于大力发展现代物流业的实施意见》（辽政发〔2018〕30号）等文件。其中，《关于大力发展现代物流业的实施意见》明确提出，辽宁省要以物流业高质量发展为主线，以物流与相关产业融合发展为重点，以物流资源整合和物流基础建设为抓手，以科技创新和“互联网+”高效物流为动力，以制度和政策创新为保障，坚持新发展理念，着力构建和完善现代物流服务体系，加快提升物流业服务经济发展的能力，大力构建辽宁省内外联动、陆海互济的全面开放新格局，强势打造面向东北亚开放的大门户。</w:t>
      </w:r>
    </w:p>
    <w:p w14:paraId="2C1EEE5B">
      <w:pPr>
        <w:pStyle w:val="6"/>
        <w:spacing w:before="240" w:after="240" w:line="360" w:lineRule="auto"/>
        <w:rPr>
          <w:sz w:val="32"/>
          <w:szCs w:val="32"/>
        </w:rPr>
      </w:pPr>
      <w:r>
        <w:rPr>
          <w:rFonts w:hint="eastAsia"/>
          <w:sz w:val="32"/>
          <w:szCs w:val="32"/>
        </w:rPr>
        <w:t>（三）市级层面政策</w:t>
      </w:r>
    </w:p>
    <w:p w14:paraId="39AAD9CC">
      <w:pPr>
        <w:spacing w:line="360" w:lineRule="auto"/>
        <w:ind w:firstLine="646" w:firstLineChars="202"/>
        <w:rPr>
          <w:rFonts w:ascii="宋体" w:hAnsi="宋体"/>
          <w:sz w:val="32"/>
          <w:szCs w:val="32"/>
        </w:rPr>
      </w:pPr>
      <w:r>
        <w:rPr>
          <w:rFonts w:hint="eastAsia" w:ascii="宋体" w:hAnsi="宋体"/>
          <w:sz w:val="32"/>
          <w:szCs w:val="32"/>
        </w:rPr>
        <w:t>“十三五”时期，朝阳市一直高度重视物流业转型升级工作，并陆续出台了多项物流政策。其中，《朝阳市促进物流业发展三年（2016-2018）行动计划的实施意见》(朝政办发〔2016〕75号)，目的在于加快发展现代物流业，降低物流成本，提升物流业规模化、集约化水平。《朝阳市推进电子商务与快递物流协同发展实施方案》（朝政办发〔2018〕160号）提出要在全市建成适应电子商务全渠道、多平台、线上线下融合发展的快递物流服务体系，实现快递物流网络城乡全覆盖，探索推广“互联网+电商产业园+快递物流园”融合发展新模式，形成产业集聚效应，提高区域辐射能力。《朝阳市推进运输结构调整三年行动计划实施方案（2018-2020年）》(朝政办发〔2019〕65号)，旨在加快完善交通基础设施网络，提升物流业信息化和标准化水平，增强跨区域物流服务能力。2</w:t>
      </w:r>
      <w:r>
        <w:rPr>
          <w:rFonts w:ascii="宋体" w:hAnsi="宋体"/>
          <w:sz w:val="32"/>
          <w:szCs w:val="32"/>
        </w:rPr>
        <w:t>020</w:t>
      </w:r>
      <w:r>
        <w:rPr>
          <w:rFonts w:hint="eastAsia" w:ascii="宋体" w:hAnsi="宋体"/>
          <w:sz w:val="32"/>
          <w:szCs w:val="32"/>
        </w:rPr>
        <w:t>年8月朝阳市委市政府《关于推进辽冀蒙区域性物流中心建设的意见》提出要大力推进辽冀蒙区域性物流中心建设，明确提出各县（市）至少规划建设1个1～3平方公里的物流园区，全力打造“1+5”一体化现代物流产业发展格局。2020年8月朝阳市委市政府印发了《蹇彪、谢卫东同志在全市辽冀蒙区域性物流中心建设推进会上的讲话》（朝办通报〔2020〕第13期），进一步明确了全力推动朝阳现代物流业发展，加快建设辽冀蒙区域性物流中心的总方针，并为“十四五”时期全市现代物流业的发展明确了思路、目标和具体举措。</w:t>
      </w:r>
    </w:p>
    <w:p w14:paraId="6A723E8C">
      <w:pPr>
        <w:pStyle w:val="6"/>
        <w:spacing w:before="240" w:after="240" w:line="360" w:lineRule="auto"/>
        <w:rPr>
          <w:sz w:val="32"/>
          <w:szCs w:val="32"/>
        </w:rPr>
      </w:pPr>
      <w:r>
        <w:rPr>
          <w:rFonts w:hint="eastAsia"/>
          <w:sz w:val="32"/>
          <w:szCs w:val="32"/>
        </w:rPr>
        <w:t>（四）小结</w:t>
      </w:r>
    </w:p>
    <w:p w14:paraId="3BD68017">
      <w:pPr>
        <w:spacing w:line="360" w:lineRule="auto"/>
        <w:ind w:firstLine="646" w:firstLineChars="202"/>
        <w:rPr>
          <w:rFonts w:ascii="宋体" w:hAnsi="宋体"/>
          <w:sz w:val="32"/>
          <w:szCs w:val="32"/>
        </w:rPr>
      </w:pPr>
      <w:r>
        <w:rPr>
          <w:rFonts w:hint="eastAsia" w:ascii="宋体" w:hAnsi="宋体"/>
          <w:sz w:val="32"/>
          <w:szCs w:val="32"/>
        </w:rPr>
        <w:t>从中央到地方一系列鼓励政策的密集推出，为现代物流业的发展提供了指引、明确了方向，凌源市应借力政策优势，结合自身实际，着重在以下三个方面下功夫，通过政策落实、申请政策配套资金等方式，大力推动现代物流业高质量发展：一是结合鼓励发展冷链物流、物流枢纽等方面的政策，加快推动农产品物流、冷链物流、综合物流园区发展，包括田间地头预冷设施、农产品交易市场配套冷链物流基础设施建设及区域大型物流园区建设，为申报国家级骨干冷链物流基地、国家级和省级物流枢纽奠定基础；二是结合</w:t>
      </w:r>
      <w:r>
        <w:rPr>
          <w:rFonts w:ascii="宋体" w:hAnsi="宋体"/>
          <w:sz w:val="32"/>
          <w:szCs w:val="32"/>
        </w:rPr>
        <w:t>鼓励开展多式联运</w:t>
      </w:r>
      <w:r>
        <w:rPr>
          <w:rFonts w:hint="eastAsia" w:ascii="宋体" w:hAnsi="宋体"/>
          <w:sz w:val="32"/>
          <w:szCs w:val="32"/>
        </w:rPr>
        <w:t>方面的政策，加快推动多式联运场站及系统平台建设，</w:t>
      </w:r>
      <w:r>
        <w:rPr>
          <w:rFonts w:ascii="宋体" w:hAnsi="宋体"/>
          <w:sz w:val="32"/>
          <w:szCs w:val="32"/>
        </w:rPr>
        <w:t>着力降低</w:t>
      </w:r>
      <w:r>
        <w:rPr>
          <w:rFonts w:hint="eastAsia" w:ascii="宋体" w:hAnsi="宋体"/>
          <w:sz w:val="32"/>
          <w:szCs w:val="32"/>
        </w:rPr>
        <w:t>区域</w:t>
      </w:r>
      <w:r>
        <w:rPr>
          <w:rFonts w:ascii="宋体" w:hAnsi="宋体"/>
          <w:sz w:val="32"/>
          <w:szCs w:val="32"/>
        </w:rPr>
        <w:t>物流成本</w:t>
      </w:r>
      <w:r>
        <w:rPr>
          <w:rFonts w:hint="eastAsia" w:ascii="宋体" w:hAnsi="宋体"/>
          <w:sz w:val="32"/>
          <w:szCs w:val="32"/>
        </w:rPr>
        <w:t>；三是结合鼓励“互联网+电商产业园+快递物流园”融合发展方面的政策，加快推动电商快递物流园区和城乡一体化配送体系建设，满足城乡居民生活需要。</w:t>
      </w:r>
    </w:p>
    <w:p w14:paraId="2EFCB62B">
      <w:pPr>
        <w:pStyle w:val="5"/>
        <w:spacing w:line="360" w:lineRule="auto"/>
        <w:rPr>
          <w:rFonts w:asciiTheme="minorEastAsia" w:hAnsiTheme="minorEastAsia"/>
        </w:rPr>
      </w:pPr>
      <w:bookmarkStart w:id="50" w:name="_Toc79497933"/>
      <w:r>
        <w:rPr>
          <w:rFonts w:hint="eastAsia" w:asciiTheme="minorEastAsia" w:hAnsiTheme="minorEastAsia"/>
        </w:rPr>
        <w:t>二、</w:t>
      </w:r>
      <w:r>
        <w:rPr>
          <w:rFonts w:asciiTheme="minorEastAsia" w:hAnsiTheme="minorEastAsia"/>
        </w:rPr>
        <w:t>物流需求快速增长</w:t>
      </w:r>
      <w:bookmarkEnd w:id="50"/>
    </w:p>
    <w:p w14:paraId="2FE551DC">
      <w:pPr>
        <w:spacing w:line="360" w:lineRule="auto"/>
        <w:ind w:firstLine="646" w:firstLineChars="202"/>
        <w:rPr>
          <w:rFonts w:ascii="宋体" w:hAnsi="宋体"/>
          <w:sz w:val="32"/>
          <w:szCs w:val="32"/>
        </w:rPr>
      </w:pPr>
      <w:r>
        <w:rPr>
          <w:rFonts w:hint="eastAsia" w:ascii="宋体" w:hAnsi="宋体"/>
          <w:sz w:val="32"/>
          <w:szCs w:val="32"/>
        </w:rPr>
        <w:t>“十四五”期间，凌源市将通过完善产业链条，统筹推动一、二、三产业集群式发展、创新发展、融合发展，经济发展的内生动力将进一步增强，居民消费升级步伐不断加快。随着区域产业的快速发展以及城乡居民消费水平的快速提升，区域农产品、工业产品的产量将进一步扩大，消费品总量将大幅上升，势必带动物流需求快速增长。</w:t>
      </w:r>
    </w:p>
    <w:p w14:paraId="0B822E48">
      <w:pPr>
        <w:pStyle w:val="5"/>
        <w:spacing w:line="360" w:lineRule="auto"/>
        <w:rPr>
          <w:rFonts w:asciiTheme="minorEastAsia" w:hAnsiTheme="minorEastAsia"/>
        </w:rPr>
      </w:pPr>
      <w:bookmarkStart w:id="51" w:name="_Toc79497934"/>
      <w:r>
        <w:rPr>
          <w:rFonts w:hint="eastAsia" w:asciiTheme="minorEastAsia" w:hAnsiTheme="minorEastAsia"/>
        </w:rPr>
        <w:t>三、国家及区域战略强势叠加</w:t>
      </w:r>
      <w:bookmarkEnd w:id="49"/>
      <w:bookmarkEnd w:id="51"/>
    </w:p>
    <w:p w14:paraId="1C362CF7">
      <w:pPr>
        <w:spacing w:line="360" w:lineRule="auto"/>
        <w:ind w:firstLine="646" w:firstLineChars="202"/>
        <w:rPr>
          <w:rFonts w:ascii="Times New Roman" w:hAnsi="Times New Roman"/>
          <w:sz w:val="28"/>
        </w:rPr>
      </w:pPr>
      <w:r>
        <w:rPr>
          <w:rFonts w:hint="eastAsia" w:ascii="宋体" w:hAnsi="宋体"/>
          <w:sz w:val="32"/>
          <w:szCs w:val="32"/>
        </w:rPr>
        <w:t>近年来，国家“一带一路”倡议、构建国内国际双循环新发展格局、京津冀协同发展、新时代东北振兴、国家辽西北承接产业转移示范区、辽宁省“五大区域发展战略”等多重战略强势叠加，凌源市正成为辽西北融入京津冀协同发展的战略先导区，在辽冀蒙发展格局中的地位将进一步凸显。随着区域一体化和产业转移步伐的加快，区域经济规模将持续扩大，区域产业间的分工协作将进一步深化，区域间的物流往来将会更加密切，迫切需要培养一批能够深入参与区域合作、区域分工的大型物流企业，构建起通往周边省（区、市）乃至联通国际的物流大通道，形成具有强大支撑力的区域物流基础设施。国家和区域战略的强势叠加，为凌源现代物流业的发展开创了更为广阔的空间。</w:t>
      </w:r>
    </w:p>
    <w:p w14:paraId="6567CB08">
      <w:pPr>
        <w:pStyle w:val="4"/>
        <w:keepNext w:val="0"/>
        <w:keepLines w:val="0"/>
        <w:spacing w:line="360" w:lineRule="auto"/>
        <w:jc w:val="center"/>
      </w:pPr>
      <w:bookmarkStart w:id="52" w:name="_Toc79497935"/>
      <w:bookmarkStart w:id="53" w:name="_Toc57553317"/>
      <w:r>
        <w:rPr>
          <w:rFonts w:hint="eastAsia"/>
        </w:rPr>
        <w:t>第四节 面临的挑战</w:t>
      </w:r>
      <w:bookmarkEnd w:id="52"/>
      <w:bookmarkEnd w:id="53"/>
    </w:p>
    <w:p w14:paraId="59E4E0CD">
      <w:pPr>
        <w:pStyle w:val="5"/>
        <w:keepNext w:val="0"/>
        <w:keepLines w:val="0"/>
        <w:spacing w:line="360" w:lineRule="auto"/>
        <w:rPr>
          <w:rFonts w:asciiTheme="minorEastAsia" w:hAnsiTheme="minorEastAsia"/>
        </w:rPr>
      </w:pPr>
      <w:bookmarkStart w:id="54" w:name="_Toc79497936"/>
      <w:bookmarkStart w:id="55" w:name="_Toc57553318"/>
      <w:r>
        <w:rPr>
          <w:rFonts w:hint="eastAsia" w:asciiTheme="minorEastAsia" w:hAnsiTheme="minorEastAsia"/>
        </w:rPr>
        <w:t>一、物流业高质量发展带来的挑战</w:t>
      </w:r>
      <w:bookmarkEnd w:id="54"/>
    </w:p>
    <w:p w14:paraId="3C90EBB8">
      <w:pPr>
        <w:spacing w:line="360" w:lineRule="auto"/>
        <w:ind w:firstLine="646" w:firstLineChars="202"/>
        <w:rPr>
          <w:rFonts w:ascii="黑体" w:hAnsi="黑体" w:eastAsia="黑体"/>
          <w:b/>
          <w:bCs/>
          <w:kern w:val="44"/>
          <w:sz w:val="44"/>
          <w:szCs w:val="44"/>
        </w:rPr>
      </w:pPr>
      <w:r>
        <w:rPr>
          <w:rFonts w:ascii="宋体" w:hAnsi="宋体"/>
          <w:sz w:val="32"/>
          <w:szCs w:val="32"/>
        </w:rPr>
        <w:t>当前，我国经济已</w:t>
      </w:r>
      <w:r>
        <w:rPr>
          <w:rFonts w:hint="eastAsia" w:ascii="宋体" w:hAnsi="宋体"/>
          <w:sz w:val="32"/>
          <w:szCs w:val="32"/>
        </w:rPr>
        <w:t>进入</w:t>
      </w:r>
      <w:r>
        <w:rPr>
          <w:rFonts w:ascii="宋体" w:hAnsi="宋体"/>
          <w:sz w:val="32"/>
          <w:szCs w:val="32"/>
        </w:rPr>
        <w:t>高质量发展</w:t>
      </w:r>
      <w:r>
        <w:rPr>
          <w:rFonts w:hint="eastAsia" w:ascii="宋体" w:hAnsi="宋体"/>
          <w:sz w:val="32"/>
          <w:szCs w:val="32"/>
        </w:rPr>
        <w:t>新</w:t>
      </w:r>
      <w:r>
        <w:rPr>
          <w:rFonts w:ascii="宋体" w:hAnsi="宋体"/>
          <w:sz w:val="32"/>
          <w:szCs w:val="32"/>
        </w:rPr>
        <w:t>阶段</w:t>
      </w:r>
      <w:r>
        <w:rPr>
          <w:rFonts w:hint="eastAsia" w:ascii="宋体" w:hAnsi="宋体"/>
          <w:sz w:val="32"/>
          <w:szCs w:val="32"/>
        </w:rPr>
        <w:t>。经济的高质量发展有力地</w:t>
      </w:r>
      <w:r>
        <w:rPr>
          <w:rFonts w:ascii="宋体" w:hAnsi="宋体"/>
          <w:sz w:val="32"/>
          <w:szCs w:val="32"/>
        </w:rPr>
        <w:t>推动</w:t>
      </w:r>
      <w:r>
        <w:rPr>
          <w:rFonts w:hint="eastAsia" w:ascii="宋体" w:hAnsi="宋体"/>
          <w:sz w:val="32"/>
          <w:szCs w:val="32"/>
        </w:rPr>
        <w:t>了</w:t>
      </w:r>
      <w:r>
        <w:rPr>
          <w:rFonts w:ascii="宋体" w:hAnsi="宋体"/>
          <w:sz w:val="32"/>
          <w:szCs w:val="32"/>
        </w:rPr>
        <w:t>物流业</w:t>
      </w:r>
      <w:r>
        <w:rPr>
          <w:rFonts w:hint="eastAsia" w:ascii="宋体" w:hAnsi="宋体"/>
          <w:sz w:val="32"/>
          <w:szCs w:val="32"/>
        </w:rPr>
        <w:t>的</w:t>
      </w:r>
      <w:r>
        <w:rPr>
          <w:rFonts w:ascii="宋体" w:hAnsi="宋体"/>
          <w:sz w:val="32"/>
          <w:szCs w:val="32"/>
        </w:rPr>
        <w:t>质量变革、效率变革、动力变革，</w:t>
      </w:r>
      <w:r>
        <w:rPr>
          <w:rFonts w:hint="eastAsia" w:ascii="宋体" w:hAnsi="宋体"/>
          <w:sz w:val="32"/>
          <w:szCs w:val="32"/>
        </w:rPr>
        <w:t>物流基础设施进一步提升、物流大通道进一步畅通，物流业与产业的融合逐渐深化，智慧物流、绿色物流发展进入快车道。近期，国家级、省市层面出台的相关政策对今后一个时期物流业的发展提出了更高要求，主要包括以下几个方面：一是要求全面提升物流业基础设施网络体系、服务实体经济能力，增强物流业高质量发展的内生动力，改善物流业发展的营商环境、配套支撑和政策保障体系；二是强调要培育推动国家物流枢纽网络建设、加强联运转运衔接设施短板建设、完善城乡消费物流体系、建立资源共享的物流公共信息平台；三是要求促进现代物流业与制造业深度融合、积极推动物流装备制造业发展、提升制造业供应链智慧化水平、发挥物流对产业的支撑带动作用；四是要求加快发展物流新服务模式、实施物流智能化改造行动、推进多式联运发展、促进物流供应链创新发展、加快国际物流发展、加快绿色物流发展、促进标准化单元化物流设施设备应用等。但是，目前凌源物流业还处于传统发展阶段，物流基础设施薄弱、运行效率低、产业支撑能力不足；物流企业经营压力持续加大，物流企业利润率较低，资金短缺、人才短缺等问题较突出；物流新技术运用、供应链创新、绿色物流等“软实力”严重缺乏。“十四五”期间，凌源物流业既要尽早补齐短板，又要抢抓机遇锻造长板，必将面临巨大的压力。</w:t>
      </w:r>
    </w:p>
    <w:p w14:paraId="1EAFC41E">
      <w:pPr>
        <w:pStyle w:val="5"/>
        <w:spacing w:line="360" w:lineRule="auto"/>
        <w:rPr>
          <w:rFonts w:asciiTheme="minorEastAsia" w:hAnsiTheme="minorEastAsia"/>
        </w:rPr>
      </w:pPr>
      <w:bookmarkStart w:id="56" w:name="_Toc79497937"/>
      <w:bookmarkStart w:id="57" w:name="_Toc42165866"/>
      <w:bookmarkStart w:id="58" w:name="_Toc57553320"/>
      <w:r>
        <w:rPr>
          <w:rFonts w:hint="eastAsia" w:asciiTheme="minorEastAsia" w:hAnsiTheme="minorEastAsia"/>
        </w:rPr>
        <w:t>二、周边城市物流业发展“虹吸效应</w:t>
      </w:r>
      <w:r>
        <w:rPr>
          <w:rFonts w:asciiTheme="minorEastAsia" w:hAnsiTheme="minorEastAsia"/>
        </w:rPr>
        <w:t>”</w:t>
      </w:r>
      <w:r>
        <w:rPr>
          <w:rFonts w:hint="eastAsia" w:asciiTheme="minorEastAsia" w:hAnsiTheme="minorEastAsia"/>
        </w:rPr>
        <w:t>带来的挑战</w:t>
      </w:r>
      <w:bookmarkEnd w:id="56"/>
      <w:bookmarkEnd w:id="57"/>
    </w:p>
    <w:p w14:paraId="5803774F">
      <w:pPr>
        <w:spacing w:line="360" w:lineRule="auto"/>
        <w:ind w:firstLine="646" w:firstLineChars="202"/>
        <w:rPr>
          <w:rFonts w:ascii="宋体" w:hAnsi="宋体"/>
          <w:sz w:val="32"/>
          <w:szCs w:val="32"/>
        </w:rPr>
      </w:pPr>
      <w:r>
        <w:rPr>
          <w:rFonts w:hint="eastAsia" w:ascii="宋体" w:hAnsi="宋体"/>
          <w:sz w:val="32"/>
          <w:szCs w:val="32"/>
        </w:rPr>
        <w:t>凌源北邻赤峰市，西与承德市平泉县接壤，南与河北省青龙县相接，周边县市物流业的发展已取得了一定成就。尤其是赤峰市，经济规模相对较大、产业发展实力相对较强，从</w:t>
      </w:r>
      <w:r>
        <w:rPr>
          <w:rFonts w:ascii="宋体" w:hAnsi="宋体"/>
          <w:sz w:val="32"/>
          <w:szCs w:val="32"/>
        </w:rPr>
        <w:t>2010</w:t>
      </w:r>
      <w:r>
        <w:rPr>
          <w:rFonts w:hint="eastAsia" w:ascii="宋体" w:hAnsi="宋体"/>
          <w:sz w:val="32"/>
          <w:szCs w:val="32"/>
        </w:rPr>
        <w:t>年开始建设区域物流体系，已有赤峰金融物流港、赤峰松山物流园、赛欧亚物流园区、赤峰保税物流中心（B型）等多个大型物流园区，基本形成了“通道+枢纽+网络”的现代物流运行体系。近年来，赤峰市又相继出台了一系列扶持物流业发展的政策，所形成的政策洼地和集聚反馈机制吸引了周边城市的高流动性资源和要素的集中，尤其是对物流、商贸流通等具备高流动性资源和要素特点的产业所产生的“虹吸效应</w:t>
      </w:r>
      <w:r>
        <w:rPr>
          <w:rFonts w:ascii="宋体" w:hAnsi="宋体"/>
          <w:sz w:val="32"/>
          <w:szCs w:val="32"/>
        </w:rPr>
        <w:t>”</w:t>
      </w:r>
      <w:r>
        <w:rPr>
          <w:rFonts w:hint="eastAsia" w:ascii="宋体" w:hAnsi="宋体"/>
          <w:sz w:val="32"/>
          <w:szCs w:val="32"/>
        </w:rPr>
        <w:t>更加显著，客观上为凌源市物流业的发展带来了巨大挑战。周边县市在物流领域的频频发力，造成了区域物流业竞争态势的进一步加剧，给凌源市发展现代物流业带来了较大的影响。</w:t>
      </w:r>
    </w:p>
    <w:p w14:paraId="1804E552">
      <w:pPr>
        <w:pStyle w:val="5"/>
        <w:keepNext w:val="0"/>
        <w:keepLines w:val="0"/>
        <w:spacing w:line="360" w:lineRule="auto"/>
        <w:rPr>
          <w:rFonts w:asciiTheme="minorEastAsia" w:hAnsiTheme="minorEastAsia"/>
        </w:rPr>
      </w:pPr>
      <w:bookmarkStart w:id="59" w:name="_Toc79497938"/>
      <w:r>
        <w:rPr>
          <w:rFonts w:hint="eastAsia" w:asciiTheme="minorEastAsia" w:hAnsiTheme="minorEastAsia"/>
        </w:rPr>
        <w:t>三、</w:t>
      </w:r>
      <w:r>
        <w:rPr>
          <w:rFonts w:ascii="宋体" w:hAnsi="宋体"/>
        </w:rPr>
        <w:t>资源环境约束日益加强</w:t>
      </w:r>
      <w:r>
        <w:rPr>
          <w:rFonts w:hint="eastAsia" w:ascii="宋体" w:hAnsi="宋体"/>
        </w:rPr>
        <w:t>带</w:t>
      </w:r>
      <w:r>
        <w:rPr>
          <w:rFonts w:hint="eastAsia" w:asciiTheme="minorEastAsia" w:hAnsiTheme="minorEastAsia"/>
        </w:rPr>
        <w:t>来的挑战</w:t>
      </w:r>
      <w:bookmarkEnd w:id="58"/>
      <w:bookmarkEnd w:id="59"/>
    </w:p>
    <w:p w14:paraId="0EDE498B">
      <w:pPr>
        <w:spacing w:line="360" w:lineRule="auto"/>
        <w:ind w:firstLine="646" w:firstLineChars="202"/>
        <w:rPr>
          <w:rFonts w:ascii="宋体" w:hAnsi="宋体"/>
          <w:sz w:val="32"/>
          <w:szCs w:val="32"/>
        </w:rPr>
      </w:pPr>
      <w:bookmarkStart w:id="60" w:name="_Toc57553321"/>
      <w:r>
        <w:rPr>
          <w:rFonts w:hint="eastAsia" w:ascii="宋体" w:hAnsi="宋体"/>
          <w:sz w:val="32"/>
          <w:szCs w:val="32"/>
        </w:rPr>
        <w:t>经济增长势必造成自然资源消耗和环境污染，近年来，全球经济社会发展与资源环境约束的矛盾日益突出，环境保护面临严峻挑战。随着区域社会物流规模的不断扩大，传统的物流运作模式将会导致能源消耗不断上升、环境污染不断加重、城市交通压力不断加大。2020年9月22日，国家主席习近平在第七十五届联合国大会一般性辩论上宣布，中国将提高国家自主贡献力度，采取更加有力的政策和措施，二氧化碳排放力争于2030年前达到峰值，努力争取2060年前实现碳中和。日益强化的资源环境约束对物流业的发展带来了全新的挑战。因此，凌源物流业必须增强危机意识，树立绿色、低碳的发展理念，以节能减排为重点，健全激励和约束机制，加快构建资源节约、环境友好的物流发展模式，增强可持续发展能力。</w:t>
      </w:r>
    </w:p>
    <w:bookmarkEnd w:id="55"/>
    <w:bookmarkEnd w:id="60"/>
    <w:p w14:paraId="00B8094E">
      <w:pPr>
        <w:widowControl/>
        <w:jc w:val="left"/>
        <w:rPr>
          <w:rFonts w:ascii="黑体" w:hAnsi="黑体" w:eastAsia="黑体"/>
          <w:b/>
          <w:bCs/>
          <w:kern w:val="44"/>
          <w:sz w:val="44"/>
          <w:szCs w:val="44"/>
        </w:rPr>
      </w:pPr>
      <w:r>
        <w:rPr>
          <w:rFonts w:ascii="黑体" w:hAnsi="黑体" w:eastAsia="黑体"/>
        </w:rPr>
        <w:br w:type="page"/>
      </w:r>
    </w:p>
    <w:p w14:paraId="2F49A478">
      <w:pPr>
        <w:pStyle w:val="3"/>
        <w:numPr>
          <w:ilvl w:val="0"/>
          <w:numId w:val="2"/>
        </w:numPr>
        <w:spacing w:line="360" w:lineRule="auto"/>
        <w:ind w:left="0" w:firstLine="0"/>
        <w:jc w:val="center"/>
        <w:rPr>
          <w:rFonts w:ascii="黑体" w:hAnsi="黑体" w:eastAsia="黑体"/>
        </w:rPr>
      </w:pPr>
      <w:bookmarkStart w:id="61" w:name="_Toc79497939"/>
      <w:r>
        <w:rPr>
          <w:rFonts w:hint="eastAsia" w:ascii="黑体" w:hAnsi="黑体" w:eastAsia="黑体"/>
        </w:rPr>
        <w:t>总体需求分析与预测</w:t>
      </w:r>
      <w:bookmarkEnd w:id="19"/>
      <w:bookmarkEnd w:id="61"/>
    </w:p>
    <w:p w14:paraId="37374CBD">
      <w:pPr>
        <w:pStyle w:val="4"/>
        <w:spacing w:line="360" w:lineRule="auto"/>
        <w:jc w:val="center"/>
      </w:pPr>
      <w:bookmarkStart w:id="62" w:name="_Toc79497940"/>
      <w:bookmarkStart w:id="63" w:name="_Toc56439007"/>
      <w:r>
        <w:rPr>
          <w:rFonts w:hint="eastAsia"/>
        </w:rPr>
        <w:t>第一节 总体需求分析</w:t>
      </w:r>
      <w:bookmarkEnd w:id="62"/>
      <w:bookmarkEnd w:id="63"/>
    </w:p>
    <w:p w14:paraId="5F87B607">
      <w:pPr>
        <w:spacing w:line="360" w:lineRule="auto"/>
        <w:ind w:firstLine="646" w:firstLineChars="202"/>
        <w:rPr>
          <w:rFonts w:ascii="宋体" w:hAnsi="宋体"/>
          <w:sz w:val="32"/>
          <w:szCs w:val="32"/>
        </w:rPr>
      </w:pPr>
      <w:r>
        <w:rPr>
          <w:rFonts w:hint="eastAsia" w:ascii="宋体" w:hAnsi="宋体"/>
          <w:sz w:val="32"/>
          <w:szCs w:val="32"/>
        </w:rPr>
        <w:t>现阶段凌源的物流市场需求大部分来源于制造业和农业两个方面。其中，制造业中的钢铁冶金、非金属新材料、汽车及零部件、农产品深加工等产业的快速发展，要求加快建立规模化、专业化的制造业物流服务体系；设施农业和畜牧业的加快发展，将带动大宗农产品物流和鲜活农产品冷链物流需求的不断增长。此外，居民消费升级、以及电子商务、网络消费等新兴业态的快速发展，也迫切需要建立更加完善、便捷、高效、安全的消费品商贸物流体系。因此，凌源市现阶段物流市场的总体需求主要包括制造业物流需求、农产品物流需求、商贸物流需求三大板块。</w:t>
      </w:r>
    </w:p>
    <w:p w14:paraId="745F1816">
      <w:pPr>
        <w:pStyle w:val="4"/>
        <w:spacing w:line="360" w:lineRule="auto"/>
        <w:jc w:val="center"/>
      </w:pPr>
      <w:bookmarkStart w:id="64" w:name="_Toc79497941"/>
      <w:bookmarkStart w:id="65" w:name="_Toc56439008"/>
      <w:r>
        <w:rPr>
          <w:rFonts w:hint="eastAsia"/>
        </w:rPr>
        <w:t>第二节 区域货运总量预测</w:t>
      </w:r>
      <w:bookmarkEnd w:id="64"/>
      <w:bookmarkEnd w:id="65"/>
    </w:p>
    <w:p w14:paraId="7F2BF342">
      <w:pPr>
        <w:pStyle w:val="5"/>
        <w:spacing w:line="360" w:lineRule="auto"/>
        <w:rPr>
          <w:rFonts w:asciiTheme="minorEastAsia" w:hAnsiTheme="minorEastAsia"/>
        </w:rPr>
      </w:pPr>
      <w:bookmarkStart w:id="66" w:name="_Toc79497942"/>
      <w:r>
        <w:rPr>
          <w:rFonts w:hint="eastAsia" w:asciiTheme="minorEastAsia" w:hAnsiTheme="minorEastAsia"/>
        </w:rPr>
        <w:t>一、货运总量预测说明</w:t>
      </w:r>
      <w:bookmarkEnd w:id="66"/>
    </w:p>
    <w:p w14:paraId="54202123">
      <w:pPr>
        <w:spacing w:line="360" w:lineRule="auto"/>
        <w:ind w:firstLine="646" w:firstLineChars="202"/>
        <w:rPr>
          <w:rFonts w:ascii="宋体" w:hAnsi="宋体"/>
          <w:sz w:val="32"/>
          <w:szCs w:val="32"/>
        </w:rPr>
      </w:pPr>
      <w:r>
        <w:rPr>
          <w:rFonts w:hint="eastAsia" w:ascii="宋体" w:hAnsi="宋体"/>
          <w:sz w:val="32"/>
          <w:szCs w:val="32"/>
        </w:rPr>
        <w:t>货运总量是确定区域物流需求的一个重要指标，是确定物流基础设施建设规模和制定各项相关政策决策的一个主要依据。由于凌源市在物流行业统计方面存在数据缺失，因此，本规划采用区域生产总值分配法来计算凌源市基准年份（2019年）的货运量数据。在对凌源市2025年的货运量进行预测过程中，考虑到相关产业集群加速发展、区域产业链突变式壮大等因素，因此，我们将货运量预测分为存量预测和增量预测两部分，其中，存量货运量预测是指按照基准年度和此前数年的货运量数据形成的变化趋势，对节点年份的货运量进行预测；增量货运量预测的数据来源于各重点产业发展规划中提出的“十四五”期末的货运量。最终，节点年份的货运总量将是存量货运量预测与增量货运量预测的总和，从而能够更好地反映出凌源市货运量变化的特点及趋势。即：</w:t>
      </w:r>
      <w:r>
        <w:rPr>
          <w:rFonts w:hint="eastAsia" w:ascii="宋体" w:hAnsi="宋体"/>
          <w:b/>
          <w:bCs/>
          <w:sz w:val="32"/>
          <w:szCs w:val="32"/>
        </w:rPr>
        <w:t>节点年份货运总量</w:t>
      </w:r>
      <w:r>
        <w:rPr>
          <w:rFonts w:ascii="宋体" w:hAnsi="宋体"/>
          <w:b/>
          <w:bCs/>
          <w:sz w:val="32"/>
          <w:szCs w:val="32"/>
        </w:rPr>
        <w:t>=存量货运量预测值+增量货运量预测</w:t>
      </w:r>
      <w:r>
        <w:rPr>
          <w:rFonts w:hint="eastAsia" w:ascii="宋体" w:hAnsi="宋体"/>
          <w:b/>
          <w:bCs/>
          <w:sz w:val="32"/>
          <w:szCs w:val="32"/>
        </w:rPr>
        <w:t>值。</w:t>
      </w:r>
      <w:r>
        <w:rPr>
          <w:rFonts w:hint="eastAsia" w:ascii="宋体" w:hAnsi="宋体"/>
          <w:sz w:val="32"/>
          <w:szCs w:val="32"/>
        </w:rPr>
        <w:t>在此需要说明的是，存量货运量中不包含凌钢的货运量，由于“十四五”期间，凌钢的产量将实现大幅跃升，因此，本规划中将与凌钢相关的货运量视作增量货运量。</w:t>
      </w:r>
    </w:p>
    <w:p w14:paraId="6FA426C9">
      <w:pPr>
        <w:pStyle w:val="5"/>
        <w:spacing w:line="360" w:lineRule="auto"/>
        <w:rPr>
          <w:rFonts w:asciiTheme="minorEastAsia" w:hAnsiTheme="minorEastAsia"/>
        </w:rPr>
      </w:pPr>
      <w:bookmarkStart w:id="67" w:name="_Toc79497943"/>
      <w:r>
        <w:rPr>
          <w:rFonts w:hint="eastAsia" w:asciiTheme="minorEastAsia" w:hAnsiTheme="minorEastAsia"/>
        </w:rPr>
        <w:t>二、货运总量预测</w:t>
      </w:r>
      <w:bookmarkEnd w:id="67"/>
    </w:p>
    <w:p w14:paraId="0770DC84">
      <w:pPr>
        <w:pStyle w:val="6"/>
        <w:spacing w:before="240" w:after="240" w:line="360" w:lineRule="auto"/>
        <w:rPr>
          <w:sz w:val="32"/>
          <w:szCs w:val="32"/>
        </w:rPr>
      </w:pPr>
      <w:r>
        <w:rPr>
          <w:rFonts w:hint="eastAsia"/>
          <w:sz w:val="32"/>
          <w:szCs w:val="32"/>
        </w:rPr>
        <w:t>（一）存量货运量增长预测</w:t>
      </w:r>
    </w:p>
    <w:p w14:paraId="0FC87239">
      <w:pPr>
        <w:spacing w:line="360" w:lineRule="auto"/>
        <w:ind w:firstLine="646" w:firstLineChars="202"/>
        <w:rPr>
          <w:rFonts w:ascii="宋体" w:hAnsi="宋体"/>
          <w:sz w:val="32"/>
          <w:szCs w:val="32"/>
        </w:rPr>
      </w:pPr>
      <w:r>
        <w:rPr>
          <w:rFonts w:hint="eastAsia" w:ascii="宋体" w:hAnsi="宋体"/>
          <w:sz w:val="32"/>
          <w:szCs w:val="32"/>
        </w:rPr>
        <w:t>经测算，“十四五”期间，存量货运量（不含凌钢）年均增长8.7%，截至2025年凌源市货运总量为1535万吨，其中，公路货运量为1235万吨，铁路货运量为300万吨。具体如下表所示：</w:t>
      </w:r>
    </w:p>
    <w:p w14:paraId="17D2A603">
      <w:pPr>
        <w:sectPr>
          <w:headerReference r:id="rId16" w:type="default"/>
          <w:footerReference r:id="rId17" w:type="default"/>
          <w:pgSz w:w="11906" w:h="16838"/>
          <w:pgMar w:top="1440" w:right="1797" w:bottom="1440" w:left="1797" w:header="851" w:footer="992" w:gutter="0"/>
          <w:cols w:space="425" w:num="1"/>
          <w:docGrid w:linePitch="312" w:charSpace="0"/>
        </w:sectPr>
      </w:pPr>
    </w:p>
    <w:p w14:paraId="07378880">
      <w:pPr>
        <w:pStyle w:val="10"/>
        <w:jc w:val="center"/>
        <w:rPr>
          <w:rFonts w:ascii="黑体" w:hAnsi="黑体"/>
          <w:b/>
          <w:bCs/>
          <w:sz w:val="24"/>
          <w:szCs w:val="24"/>
        </w:rPr>
      </w:pPr>
      <w:bookmarkStart w:id="68" w:name="_Toc79498040"/>
      <w:r>
        <w:rPr>
          <w:rFonts w:hint="eastAsia" w:ascii="黑体" w:hAnsi="黑体"/>
          <w:b/>
          <w:bCs/>
          <w:sz w:val="24"/>
          <w:szCs w:val="24"/>
        </w:rPr>
        <w:t xml:space="preserve">表 </w:t>
      </w:r>
      <w:r>
        <w:rPr>
          <w:rFonts w:ascii="黑体" w:hAnsi="黑体"/>
          <w:b/>
          <w:bCs/>
          <w:sz w:val="24"/>
          <w:szCs w:val="24"/>
        </w:rPr>
        <w:fldChar w:fldCharType="begin"/>
      </w:r>
      <w:r>
        <w:rPr>
          <w:rFonts w:hint="eastAsia" w:ascii="黑体" w:hAnsi="黑体"/>
          <w:b/>
          <w:bCs/>
          <w:sz w:val="24"/>
          <w:szCs w:val="24"/>
        </w:rPr>
        <w:instrText xml:space="preserve">SEQ 表 \* ARABIC</w:instrText>
      </w:r>
      <w:r>
        <w:rPr>
          <w:rFonts w:ascii="黑体" w:hAnsi="黑体"/>
          <w:b/>
          <w:bCs/>
          <w:sz w:val="24"/>
          <w:szCs w:val="24"/>
        </w:rPr>
        <w:fldChar w:fldCharType="separate"/>
      </w:r>
      <w:r>
        <w:rPr>
          <w:rFonts w:ascii="黑体" w:hAnsi="黑体"/>
          <w:b/>
          <w:bCs/>
          <w:sz w:val="24"/>
          <w:szCs w:val="24"/>
        </w:rPr>
        <w:t>3</w:t>
      </w:r>
      <w:r>
        <w:rPr>
          <w:rFonts w:ascii="黑体" w:hAnsi="黑体"/>
          <w:b/>
          <w:bCs/>
          <w:sz w:val="24"/>
          <w:szCs w:val="24"/>
        </w:rPr>
        <w:fldChar w:fldCharType="end"/>
      </w:r>
      <w:r>
        <w:rPr>
          <w:rFonts w:hint="eastAsia" w:ascii="黑体" w:hAnsi="黑体"/>
          <w:b/>
          <w:bCs/>
          <w:sz w:val="24"/>
          <w:szCs w:val="24"/>
        </w:rPr>
        <w:t>凌源市”十四五”货运总量预测值</w:t>
      </w:r>
      <w:bookmarkEnd w:id="68"/>
    </w:p>
    <w:p w14:paraId="787C4DF2">
      <w:pPr>
        <w:spacing w:line="360" w:lineRule="auto"/>
        <w:ind w:firstLine="487" w:firstLineChars="202"/>
        <w:jc w:val="right"/>
        <w:rPr>
          <w:rFonts w:ascii="宋体" w:hAnsi="宋体"/>
          <w:b/>
          <w:bCs/>
          <w:sz w:val="24"/>
          <w:szCs w:val="24"/>
        </w:rPr>
      </w:pPr>
      <w:r>
        <w:rPr>
          <w:rFonts w:hint="eastAsia" w:ascii="宋体" w:hAnsi="宋体"/>
          <w:b/>
          <w:bCs/>
          <w:sz w:val="24"/>
          <w:szCs w:val="24"/>
        </w:rPr>
        <w:t>（单位：万吨）</w:t>
      </w:r>
    </w:p>
    <w:tbl>
      <w:tblPr>
        <w:tblStyle w:val="35"/>
        <w:tblW w:w="13608" w:type="dxa"/>
        <w:tblInd w:w="0" w:type="dxa"/>
        <w:tblLayout w:type="autofit"/>
        <w:tblCellMar>
          <w:top w:w="0" w:type="dxa"/>
          <w:left w:w="108" w:type="dxa"/>
          <w:bottom w:w="0" w:type="dxa"/>
          <w:right w:w="108" w:type="dxa"/>
        </w:tblCellMar>
      </w:tblPr>
      <w:tblGrid>
        <w:gridCol w:w="1134"/>
        <w:gridCol w:w="1134"/>
        <w:gridCol w:w="1134"/>
        <w:gridCol w:w="1134"/>
        <w:gridCol w:w="1134"/>
        <w:gridCol w:w="1134"/>
        <w:gridCol w:w="1134"/>
        <w:gridCol w:w="1134"/>
        <w:gridCol w:w="1134"/>
        <w:gridCol w:w="1134"/>
        <w:gridCol w:w="1134"/>
        <w:gridCol w:w="1134"/>
      </w:tblGrid>
      <w:tr w14:paraId="2B8A1672">
        <w:trPr>
          <w:trHeight w:val="840" w:hRule="atLeast"/>
        </w:trPr>
        <w:tc>
          <w:tcPr>
            <w:tcW w:w="1134" w:type="dxa"/>
            <w:tcBorders>
              <w:top w:val="single" w:color="auto" w:sz="4" w:space="0"/>
              <w:left w:val="single" w:color="auto" w:sz="4" w:space="0"/>
              <w:bottom w:val="single" w:color="auto" w:sz="4" w:space="0"/>
              <w:right w:val="single" w:color="auto" w:sz="4" w:space="0"/>
            </w:tcBorders>
            <w:shd w:val="clear" w:color="000000" w:fill="D9E1F2"/>
            <w:vAlign w:val="center"/>
          </w:tcPr>
          <w:p w14:paraId="53C726A3">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年份</w:t>
            </w:r>
          </w:p>
        </w:tc>
        <w:tc>
          <w:tcPr>
            <w:tcW w:w="1134" w:type="dxa"/>
            <w:tcBorders>
              <w:top w:val="single" w:color="auto" w:sz="4" w:space="0"/>
              <w:left w:val="single" w:color="auto" w:sz="4" w:space="0"/>
              <w:bottom w:val="single" w:color="auto" w:sz="4" w:space="0"/>
              <w:right w:val="single" w:color="auto" w:sz="4" w:space="0"/>
            </w:tcBorders>
            <w:shd w:val="clear" w:color="000000" w:fill="D9E1F2"/>
            <w:vAlign w:val="center"/>
          </w:tcPr>
          <w:p w14:paraId="1A222072">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2015年</w:t>
            </w:r>
            <w:r>
              <w:rPr>
                <w:rFonts w:hint="eastAsia" w:ascii="等线" w:hAnsi="等线" w:eastAsia="等线" w:cs="宋体"/>
                <w:b/>
                <w:bCs/>
                <w:color w:val="000000"/>
                <w:kern w:val="0"/>
                <w:sz w:val="24"/>
                <w:szCs w:val="24"/>
              </w:rPr>
              <w:br w:type="textWrapping"/>
            </w:r>
            <w:r>
              <w:rPr>
                <w:rFonts w:hint="eastAsia" w:ascii="等线" w:hAnsi="等线" w:eastAsia="等线" w:cs="宋体"/>
                <w:b/>
                <w:bCs/>
                <w:color w:val="000000"/>
                <w:kern w:val="0"/>
                <w:sz w:val="24"/>
                <w:szCs w:val="24"/>
              </w:rPr>
              <w:t>（实现值）</w:t>
            </w:r>
          </w:p>
        </w:tc>
        <w:tc>
          <w:tcPr>
            <w:tcW w:w="1134" w:type="dxa"/>
            <w:tcBorders>
              <w:top w:val="single" w:color="auto" w:sz="4" w:space="0"/>
              <w:left w:val="nil"/>
              <w:bottom w:val="single" w:color="auto" w:sz="4" w:space="0"/>
              <w:right w:val="single" w:color="auto" w:sz="4" w:space="0"/>
            </w:tcBorders>
            <w:shd w:val="clear" w:color="000000" w:fill="D9E1F2"/>
            <w:vAlign w:val="center"/>
          </w:tcPr>
          <w:p w14:paraId="2A43781A">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2016年</w:t>
            </w:r>
            <w:r>
              <w:rPr>
                <w:rFonts w:hint="eastAsia" w:ascii="等线" w:hAnsi="等线" w:eastAsia="等线" w:cs="宋体"/>
                <w:b/>
                <w:bCs/>
                <w:color w:val="000000"/>
                <w:kern w:val="0"/>
                <w:sz w:val="24"/>
                <w:szCs w:val="24"/>
              </w:rPr>
              <w:br w:type="textWrapping"/>
            </w:r>
            <w:r>
              <w:rPr>
                <w:rFonts w:hint="eastAsia" w:ascii="等线" w:hAnsi="等线" w:eastAsia="等线" w:cs="宋体"/>
                <w:b/>
                <w:bCs/>
                <w:color w:val="000000"/>
                <w:kern w:val="0"/>
                <w:sz w:val="24"/>
                <w:szCs w:val="24"/>
              </w:rPr>
              <w:t>（实现值）</w:t>
            </w:r>
          </w:p>
        </w:tc>
        <w:tc>
          <w:tcPr>
            <w:tcW w:w="1134" w:type="dxa"/>
            <w:tcBorders>
              <w:top w:val="single" w:color="auto" w:sz="4" w:space="0"/>
              <w:left w:val="nil"/>
              <w:bottom w:val="single" w:color="auto" w:sz="4" w:space="0"/>
              <w:right w:val="single" w:color="auto" w:sz="4" w:space="0"/>
            </w:tcBorders>
            <w:shd w:val="clear" w:color="000000" w:fill="D9E1F2"/>
            <w:vAlign w:val="center"/>
          </w:tcPr>
          <w:p w14:paraId="79634A3E">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2017年</w:t>
            </w:r>
            <w:r>
              <w:rPr>
                <w:rFonts w:hint="eastAsia" w:ascii="等线" w:hAnsi="等线" w:eastAsia="等线" w:cs="宋体"/>
                <w:b/>
                <w:bCs/>
                <w:color w:val="000000"/>
                <w:kern w:val="0"/>
                <w:sz w:val="24"/>
                <w:szCs w:val="24"/>
              </w:rPr>
              <w:br w:type="textWrapping"/>
            </w:r>
            <w:r>
              <w:rPr>
                <w:rFonts w:hint="eastAsia" w:ascii="等线" w:hAnsi="等线" w:eastAsia="等线" w:cs="宋体"/>
                <w:b/>
                <w:bCs/>
                <w:color w:val="000000"/>
                <w:kern w:val="0"/>
                <w:sz w:val="24"/>
                <w:szCs w:val="24"/>
              </w:rPr>
              <w:t>（实现值）</w:t>
            </w:r>
          </w:p>
        </w:tc>
        <w:tc>
          <w:tcPr>
            <w:tcW w:w="1134" w:type="dxa"/>
            <w:tcBorders>
              <w:top w:val="single" w:color="auto" w:sz="4" w:space="0"/>
              <w:left w:val="nil"/>
              <w:bottom w:val="single" w:color="auto" w:sz="4" w:space="0"/>
              <w:right w:val="single" w:color="auto" w:sz="4" w:space="0"/>
            </w:tcBorders>
            <w:shd w:val="clear" w:color="000000" w:fill="D9E1F2"/>
            <w:vAlign w:val="center"/>
          </w:tcPr>
          <w:p w14:paraId="712433B1">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2018年</w:t>
            </w:r>
            <w:r>
              <w:rPr>
                <w:rFonts w:hint="eastAsia" w:ascii="等线" w:hAnsi="等线" w:eastAsia="等线" w:cs="宋体"/>
                <w:b/>
                <w:bCs/>
                <w:color w:val="000000"/>
                <w:kern w:val="0"/>
                <w:sz w:val="24"/>
                <w:szCs w:val="24"/>
              </w:rPr>
              <w:br w:type="textWrapping"/>
            </w:r>
            <w:r>
              <w:rPr>
                <w:rFonts w:hint="eastAsia" w:ascii="等线" w:hAnsi="等线" w:eastAsia="等线" w:cs="宋体"/>
                <w:b/>
                <w:bCs/>
                <w:color w:val="000000"/>
                <w:kern w:val="0"/>
                <w:sz w:val="24"/>
                <w:szCs w:val="24"/>
              </w:rPr>
              <w:t>（实现值）</w:t>
            </w:r>
          </w:p>
        </w:tc>
        <w:tc>
          <w:tcPr>
            <w:tcW w:w="1134" w:type="dxa"/>
            <w:tcBorders>
              <w:top w:val="single" w:color="auto" w:sz="4" w:space="0"/>
              <w:left w:val="nil"/>
              <w:bottom w:val="single" w:color="auto" w:sz="4" w:space="0"/>
              <w:right w:val="single" w:color="auto" w:sz="4" w:space="0"/>
            </w:tcBorders>
            <w:shd w:val="clear" w:color="000000" w:fill="D9E1F2"/>
            <w:vAlign w:val="center"/>
          </w:tcPr>
          <w:p w14:paraId="14E00138">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2019年</w:t>
            </w:r>
            <w:r>
              <w:rPr>
                <w:rFonts w:hint="eastAsia" w:ascii="等线" w:hAnsi="等线" w:eastAsia="等线" w:cs="宋体"/>
                <w:b/>
                <w:bCs/>
                <w:color w:val="000000"/>
                <w:kern w:val="0"/>
                <w:sz w:val="24"/>
                <w:szCs w:val="24"/>
              </w:rPr>
              <w:br w:type="textWrapping"/>
            </w:r>
            <w:r>
              <w:rPr>
                <w:rFonts w:hint="eastAsia" w:ascii="等线" w:hAnsi="等线" w:eastAsia="等线" w:cs="宋体"/>
                <w:b/>
                <w:bCs/>
                <w:color w:val="000000"/>
                <w:kern w:val="0"/>
                <w:sz w:val="24"/>
                <w:szCs w:val="24"/>
              </w:rPr>
              <w:t>（实现值）</w:t>
            </w:r>
          </w:p>
        </w:tc>
        <w:tc>
          <w:tcPr>
            <w:tcW w:w="1134" w:type="dxa"/>
            <w:tcBorders>
              <w:top w:val="single" w:color="auto" w:sz="4" w:space="0"/>
              <w:left w:val="nil"/>
              <w:bottom w:val="single" w:color="auto" w:sz="4" w:space="0"/>
              <w:right w:val="single" w:color="auto" w:sz="4" w:space="0"/>
            </w:tcBorders>
            <w:shd w:val="clear" w:color="000000" w:fill="D9E1F2"/>
            <w:vAlign w:val="center"/>
          </w:tcPr>
          <w:p w14:paraId="709B74D1">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2020年</w:t>
            </w:r>
            <w:r>
              <w:rPr>
                <w:rFonts w:hint="eastAsia" w:ascii="等线" w:hAnsi="等线" w:eastAsia="等线" w:cs="宋体"/>
                <w:b/>
                <w:bCs/>
                <w:color w:val="000000"/>
                <w:kern w:val="0"/>
                <w:sz w:val="24"/>
                <w:szCs w:val="24"/>
              </w:rPr>
              <w:br w:type="textWrapping"/>
            </w:r>
            <w:r>
              <w:rPr>
                <w:rFonts w:hint="eastAsia" w:ascii="等线" w:hAnsi="等线" w:eastAsia="等线" w:cs="宋体"/>
                <w:b/>
                <w:bCs/>
                <w:color w:val="000000"/>
                <w:kern w:val="0"/>
                <w:sz w:val="24"/>
                <w:szCs w:val="24"/>
              </w:rPr>
              <w:t>（实现值）</w:t>
            </w:r>
          </w:p>
        </w:tc>
        <w:tc>
          <w:tcPr>
            <w:tcW w:w="1134" w:type="dxa"/>
            <w:tcBorders>
              <w:top w:val="single" w:color="auto" w:sz="4" w:space="0"/>
              <w:left w:val="nil"/>
              <w:bottom w:val="single" w:color="auto" w:sz="4" w:space="0"/>
              <w:right w:val="single" w:color="auto" w:sz="4" w:space="0"/>
            </w:tcBorders>
            <w:shd w:val="clear" w:color="000000" w:fill="D9E1F2"/>
            <w:vAlign w:val="center"/>
          </w:tcPr>
          <w:p w14:paraId="16DD6DF7">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2021年</w:t>
            </w:r>
            <w:r>
              <w:rPr>
                <w:rFonts w:hint="eastAsia" w:ascii="等线" w:hAnsi="等线" w:eastAsia="等线" w:cs="宋体"/>
                <w:b/>
                <w:bCs/>
                <w:color w:val="000000"/>
                <w:kern w:val="0"/>
                <w:sz w:val="24"/>
                <w:szCs w:val="24"/>
              </w:rPr>
              <w:br w:type="textWrapping"/>
            </w:r>
            <w:r>
              <w:rPr>
                <w:rFonts w:hint="eastAsia" w:ascii="等线" w:hAnsi="等线" w:eastAsia="等线" w:cs="宋体"/>
                <w:b/>
                <w:bCs/>
                <w:color w:val="000000"/>
                <w:kern w:val="0"/>
                <w:sz w:val="24"/>
                <w:szCs w:val="24"/>
              </w:rPr>
              <w:t>（预测值）</w:t>
            </w:r>
          </w:p>
        </w:tc>
        <w:tc>
          <w:tcPr>
            <w:tcW w:w="1134" w:type="dxa"/>
            <w:tcBorders>
              <w:top w:val="single" w:color="auto" w:sz="4" w:space="0"/>
              <w:left w:val="nil"/>
              <w:bottom w:val="single" w:color="auto" w:sz="4" w:space="0"/>
              <w:right w:val="single" w:color="auto" w:sz="4" w:space="0"/>
            </w:tcBorders>
            <w:shd w:val="clear" w:color="000000" w:fill="D9E1F2"/>
            <w:vAlign w:val="center"/>
          </w:tcPr>
          <w:p w14:paraId="47D04FE8">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2022年</w:t>
            </w:r>
            <w:r>
              <w:rPr>
                <w:rFonts w:hint="eastAsia" w:ascii="等线" w:hAnsi="等线" w:eastAsia="等线" w:cs="宋体"/>
                <w:b/>
                <w:bCs/>
                <w:color w:val="000000"/>
                <w:kern w:val="0"/>
                <w:sz w:val="24"/>
                <w:szCs w:val="24"/>
              </w:rPr>
              <w:br w:type="textWrapping"/>
            </w:r>
            <w:r>
              <w:rPr>
                <w:rFonts w:hint="eastAsia" w:ascii="等线" w:hAnsi="等线" w:eastAsia="等线" w:cs="宋体"/>
                <w:b/>
                <w:bCs/>
                <w:color w:val="000000"/>
                <w:kern w:val="0"/>
                <w:sz w:val="24"/>
                <w:szCs w:val="24"/>
              </w:rPr>
              <w:t>（预测值）</w:t>
            </w:r>
          </w:p>
        </w:tc>
        <w:tc>
          <w:tcPr>
            <w:tcW w:w="1134" w:type="dxa"/>
            <w:tcBorders>
              <w:top w:val="single" w:color="auto" w:sz="4" w:space="0"/>
              <w:left w:val="nil"/>
              <w:bottom w:val="single" w:color="auto" w:sz="4" w:space="0"/>
              <w:right w:val="single" w:color="auto" w:sz="4" w:space="0"/>
            </w:tcBorders>
            <w:shd w:val="clear" w:color="000000" w:fill="D9E1F2"/>
            <w:vAlign w:val="center"/>
          </w:tcPr>
          <w:p w14:paraId="1D965372">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2023年</w:t>
            </w:r>
          </w:p>
          <w:p w14:paraId="2B0BFFED">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（预测值）</w:t>
            </w:r>
          </w:p>
        </w:tc>
        <w:tc>
          <w:tcPr>
            <w:tcW w:w="1134" w:type="dxa"/>
            <w:tcBorders>
              <w:top w:val="single" w:color="auto" w:sz="4" w:space="0"/>
              <w:left w:val="nil"/>
              <w:bottom w:val="single" w:color="auto" w:sz="4" w:space="0"/>
              <w:right w:val="single" w:color="auto" w:sz="4" w:space="0"/>
            </w:tcBorders>
            <w:shd w:val="clear" w:color="000000" w:fill="D9E1F2"/>
            <w:vAlign w:val="center"/>
          </w:tcPr>
          <w:p w14:paraId="0665F3D4">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2024年</w:t>
            </w:r>
            <w:r>
              <w:rPr>
                <w:rFonts w:hint="eastAsia" w:ascii="等线" w:hAnsi="等线" w:eastAsia="等线" w:cs="宋体"/>
                <w:b/>
                <w:bCs/>
                <w:color w:val="000000"/>
                <w:kern w:val="0"/>
                <w:sz w:val="24"/>
                <w:szCs w:val="24"/>
              </w:rPr>
              <w:br w:type="textWrapping"/>
            </w:r>
            <w:r>
              <w:rPr>
                <w:rFonts w:hint="eastAsia" w:ascii="等线" w:hAnsi="等线" w:eastAsia="等线" w:cs="宋体"/>
                <w:b/>
                <w:bCs/>
                <w:color w:val="000000"/>
                <w:kern w:val="0"/>
                <w:sz w:val="24"/>
                <w:szCs w:val="24"/>
              </w:rPr>
              <w:t>（预测值）</w:t>
            </w:r>
          </w:p>
        </w:tc>
        <w:tc>
          <w:tcPr>
            <w:tcW w:w="1134" w:type="dxa"/>
            <w:tcBorders>
              <w:top w:val="single" w:color="auto" w:sz="4" w:space="0"/>
              <w:left w:val="nil"/>
              <w:bottom w:val="single" w:color="auto" w:sz="4" w:space="0"/>
              <w:right w:val="single" w:color="auto" w:sz="4" w:space="0"/>
            </w:tcBorders>
            <w:shd w:val="clear" w:color="000000" w:fill="D9E1F2"/>
            <w:vAlign w:val="center"/>
          </w:tcPr>
          <w:p w14:paraId="1047BF7F">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2025年</w:t>
            </w:r>
            <w:r>
              <w:rPr>
                <w:rFonts w:hint="eastAsia" w:ascii="等线" w:hAnsi="等线" w:eastAsia="等线" w:cs="宋体"/>
                <w:b/>
                <w:bCs/>
                <w:color w:val="000000"/>
                <w:kern w:val="0"/>
                <w:sz w:val="24"/>
                <w:szCs w:val="24"/>
              </w:rPr>
              <w:br w:type="textWrapping"/>
            </w:r>
            <w:r>
              <w:rPr>
                <w:rFonts w:hint="eastAsia" w:ascii="等线" w:hAnsi="等线" w:eastAsia="等线" w:cs="宋体"/>
                <w:b/>
                <w:bCs/>
                <w:color w:val="000000"/>
                <w:kern w:val="0"/>
                <w:sz w:val="24"/>
                <w:szCs w:val="24"/>
              </w:rPr>
              <w:t>（预测值）</w:t>
            </w:r>
          </w:p>
        </w:tc>
      </w:tr>
      <w:tr w14:paraId="072547D0">
        <w:trPr>
          <w:trHeight w:val="840" w:hRule="atLeast"/>
        </w:trPr>
        <w:tc>
          <w:tcPr>
            <w:tcW w:w="1134" w:type="dxa"/>
            <w:tcBorders>
              <w:top w:val="single" w:color="auto" w:sz="4" w:space="0"/>
              <w:left w:val="single" w:color="auto" w:sz="4" w:space="0"/>
              <w:bottom w:val="single" w:color="auto" w:sz="4" w:space="0"/>
              <w:right w:val="single" w:color="auto" w:sz="4" w:space="0"/>
            </w:tcBorders>
            <w:vAlign w:val="center"/>
          </w:tcPr>
          <w:p w14:paraId="6B8BECCD">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货运总量</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08690F">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1154</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47B35691">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1164</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460CC4BA">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703</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2E3FB6B">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729</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2F312EA2">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963</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0CD6D2F3">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1011</w:t>
            </w:r>
          </w:p>
        </w:tc>
        <w:tc>
          <w:tcPr>
            <w:tcW w:w="1134" w:type="dxa"/>
            <w:tcBorders>
              <w:top w:val="single" w:color="auto" w:sz="4" w:space="0"/>
              <w:left w:val="nil"/>
              <w:bottom w:val="single" w:color="auto" w:sz="4" w:space="0"/>
              <w:right w:val="single" w:color="auto" w:sz="4" w:space="0"/>
            </w:tcBorders>
            <w:shd w:val="clear" w:color="000000" w:fill="F2F2F2"/>
            <w:noWrap/>
            <w:vAlign w:val="center"/>
          </w:tcPr>
          <w:p w14:paraId="28675C71">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1096</w:t>
            </w:r>
          </w:p>
        </w:tc>
        <w:tc>
          <w:tcPr>
            <w:tcW w:w="1134" w:type="dxa"/>
            <w:tcBorders>
              <w:top w:val="single" w:color="auto" w:sz="4" w:space="0"/>
              <w:left w:val="nil"/>
              <w:bottom w:val="single" w:color="auto" w:sz="4" w:space="0"/>
              <w:right w:val="single" w:color="auto" w:sz="4" w:space="0"/>
            </w:tcBorders>
            <w:shd w:val="clear" w:color="000000" w:fill="F2F2F2"/>
            <w:noWrap/>
            <w:vAlign w:val="center"/>
          </w:tcPr>
          <w:p w14:paraId="20521C51">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1190</w:t>
            </w:r>
          </w:p>
        </w:tc>
        <w:tc>
          <w:tcPr>
            <w:tcW w:w="1134" w:type="dxa"/>
            <w:tcBorders>
              <w:top w:val="single" w:color="auto" w:sz="4" w:space="0"/>
              <w:left w:val="nil"/>
              <w:bottom w:val="single" w:color="auto" w:sz="4" w:space="0"/>
              <w:right w:val="single" w:color="auto" w:sz="4" w:space="0"/>
            </w:tcBorders>
            <w:shd w:val="clear" w:color="000000" w:fill="F2F2F2"/>
            <w:noWrap/>
            <w:vAlign w:val="center"/>
          </w:tcPr>
          <w:p w14:paraId="09150AEC">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1294</w:t>
            </w:r>
          </w:p>
        </w:tc>
        <w:tc>
          <w:tcPr>
            <w:tcW w:w="1134" w:type="dxa"/>
            <w:tcBorders>
              <w:top w:val="single" w:color="auto" w:sz="4" w:space="0"/>
              <w:left w:val="nil"/>
              <w:bottom w:val="single" w:color="auto" w:sz="4" w:space="0"/>
              <w:right w:val="single" w:color="auto" w:sz="4" w:space="0"/>
            </w:tcBorders>
            <w:shd w:val="clear" w:color="000000" w:fill="F2F2F2"/>
            <w:noWrap/>
            <w:vAlign w:val="center"/>
          </w:tcPr>
          <w:p w14:paraId="0750BBC1">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1408</w:t>
            </w:r>
          </w:p>
        </w:tc>
        <w:tc>
          <w:tcPr>
            <w:tcW w:w="1134" w:type="dxa"/>
            <w:tcBorders>
              <w:top w:val="single" w:color="auto" w:sz="4" w:space="0"/>
              <w:left w:val="nil"/>
              <w:bottom w:val="single" w:color="auto" w:sz="4" w:space="0"/>
              <w:right w:val="single" w:color="auto" w:sz="4" w:space="0"/>
            </w:tcBorders>
            <w:shd w:val="clear" w:color="000000" w:fill="F2F2F2"/>
            <w:noWrap/>
            <w:vAlign w:val="center"/>
          </w:tcPr>
          <w:p w14:paraId="3F3FA18C">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1535</w:t>
            </w:r>
          </w:p>
        </w:tc>
      </w:tr>
      <w:tr w14:paraId="5C6512D5">
        <w:tblPrEx>
          <w:tblCellMar>
            <w:top w:w="0" w:type="dxa"/>
            <w:left w:w="108" w:type="dxa"/>
            <w:bottom w:w="0" w:type="dxa"/>
            <w:right w:w="108" w:type="dxa"/>
          </w:tblCellMar>
        </w:tblPrEx>
        <w:trPr>
          <w:trHeight w:val="840" w:hRule="atLeast"/>
        </w:trPr>
        <w:tc>
          <w:tcPr>
            <w:tcW w:w="1134" w:type="dxa"/>
            <w:tcBorders>
              <w:top w:val="single" w:color="auto" w:sz="4" w:space="0"/>
              <w:left w:val="single" w:color="auto" w:sz="4" w:space="0"/>
              <w:bottom w:val="single" w:color="auto" w:sz="4" w:space="0"/>
              <w:right w:val="single" w:color="auto" w:sz="4" w:space="0"/>
            </w:tcBorders>
            <w:vAlign w:val="center"/>
          </w:tcPr>
          <w:p w14:paraId="3C40A2C5">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公路货运量</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B13FDA">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1096</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28EB5155">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1106</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669BFA20">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668</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08D78C13">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693</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50255E56">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914</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44A0F43D">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960</w:t>
            </w:r>
          </w:p>
        </w:tc>
        <w:tc>
          <w:tcPr>
            <w:tcW w:w="1134" w:type="dxa"/>
            <w:tcBorders>
              <w:top w:val="single" w:color="auto" w:sz="4" w:space="0"/>
              <w:left w:val="nil"/>
              <w:bottom w:val="single" w:color="auto" w:sz="4" w:space="0"/>
              <w:right w:val="single" w:color="auto" w:sz="4" w:space="0"/>
            </w:tcBorders>
            <w:shd w:val="clear" w:color="000000" w:fill="F2F2F2"/>
            <w:noWrap/>
            <w:vAlign w:val="center"/>
          </w:tcPr>
          <w:p w14:paraId="6DC6B0AF">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996</w:t>
            </w:r>
          </w:p>
        </w:tc>
        <w:tc>
          <w:tcPr>
            <w:tcW w:w="1134" w:type="dxa"/>
            <w:tcBorders>
              <w:top w:val="single" w:color="auto" w:sz="4" w:space="0"/>
              <w:left w:val="nil"/>
              <w:bottom w:val="single" w:color="auto" w:sz="4" w:space="0"/>
              <w:right w:val="single" w:color="auto" w:sz="4" w:space="0"/>
            </w:tcBorders>
            <w:shd w:val="clear" w:color="000000" w:fill="F2F2F2"/>
            <w:noWrap/>
            <w:vAlign w:val="center"/>
          </w:tcPr>
          <w:p w14:paraId="7A751252">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1040</w:t>
            </w:r>
          </w:p>
        </w:tc>
        <w:tc>
          <w:tcPr>
            <w:tcW w:w="1134" w:type="dxa"/>
            <w:tcBorders>
              <w:top w:val="single" w:color="auto" w:sz="4" w:space="0"/>
              <w:left w:val="nil"/>
              <w:bottom w:val="single" w:color="auto" w:sz="4" w:space="0"/>
              <w:right w:val="single" w:color="auto" w:sz="4" w:space="0"/>
            </w:tcBorders>
            <w:shd w:val="clear" w:color="000000" w:fill="F2F2F2"/>
            <w:noWrap/>
            <w:vAlign w:val="center"/>
          </w:tcPr>
          <w:p w14:paraId="784CD197">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1094</w:t>
            </w:r>
          </w:p>
        </w:tc>
        <w:tc>
          <w:tcPr>
            <w:tcW w:w="1134" w:type="dxa"/>
            <w:tcBorders>
              <w:top w:val="single" w:color="auto" w:sz="4" w:space="0"/>
              <w:left w:val="nil"/>
              <w:bottom w:val="single" w:color="auto" w:sz="4" w:space="0"/>
              <w:right w:val="single" w:color="auto" w:sz="4" w:space="0"/>
            </w:tcBorders>
            <w:shd w:val="clear" w:color="000000" w:fill="F2F2F2"/>
            <w:noWrap/>
            <w:vAlign w:val="center"/>
          </w:tcPr>
          <w:p w14:paraId="36118D29">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1158</w:t>
            </w:r>
          </w:p>
        </w:tc>
        <w:tc>
          <w:tcPr>
            <w:tcW w:w="1134" w:type="dxa"/>
            <w:tcBorders>
              <w:top w:val="single" w:color="auto" w:sz="4" w:space="0"/>
              <w:left w:val="nil"/>
              <w:bottom w:val="single" w:color="auto" w:sz="4" w:space="0"/>
              <w:right w:val="single" w:color="auto" w:sz="4" w:space="0"/>
            </w:tcBorders>
            <w:shd w:val="clear" w:color="000000" w:fill="F2F2F2"/>
            <w:noWrap/>
            <w:vAlign w:val="center"/>
          </w:tcPr>
          <w:p w14:paraId="5A6128BF">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1235</w:t>
            </w:r>
          </w:p>
        </w:tc>
      </w:tr>
      <w:tr w14:paraId="4A911FCB">
        <w:tblPrEx>
          <w:tblCellMar>
            <w:top w:w="0" w:type="dxa"/>
            <w:left w:w="108" w:type="dxa"/>
            <w:bottom w:w="0" w:type="dxa"/>
            <w:right w:w="108" w:type="dxa"/>
          </w:tblCellMar>
        </w:tblPrEx>
        <w:trPr>
          <w:trHeight w:val="840" w:hRule="atLeast"/>
        </w:trPr>
        <w:tc>
          <w:tcPr>
            <w:tcW w:w="1134" w:type="dxa"/>
            <w:tcBorders>
              <w:top w:val="single" w:color="auto" w:sz="4" w:space="0"/>
              <w:left w:val="single" w:color="auto" w:sz="4" w:space="0"/>
              <w:bottom w:val="single" w:color="auto" w:sz="4" w:space="0"/>
              <w:right w:val="single" w:color="auto" w:sz="4" w:space="0"/>
            </w:tcBorders>
            <w:vAlign w:val="center"/>
          </w:tcPr>
          <w:p w14:paraId="2C90615A">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铁路货运量</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F389B8">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58</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4EF73162">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58</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C2E58C3">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35</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19101AB7">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36</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19DDAB49">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48</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6800C9F6">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51</w:t>
            </w:r>
          </w:p>
        </w:tc>
        <w:tc>
          <w:tcPr>
            <w:tcW w:w="1134" w:type="dxa"/>
            <w:tcBorders>
              <w:top w:val="single" w:color="auto" w:sz="4" w:space="0"/>
              <w:left w:val="nil"/>
              <w:bottom w:val="single" w:color="auto" w:sz="4" w:space="0"/>
              <w:right w:val="single" w:color="auto" w:sz="4" w:space="0"/>
            </w:tcBorders>
            <w:shd w:val="clear" w:color="000000" w:fill="F2F2F2"/>
            <w:noWrap/>
            <w:vAlign w:val="center"/>
          </w:tcPr>
          <w:p w14:paraId="0150D649">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100</w:t>
            </w:r>
          </w:p>
        </w:tc>
        <w:tc>
          <w:tcPr>
            <w:tcW w:w="1134" w:type="dxa"/>
            <w:tcBorders>
              <w:top w:val="single" w:color="auto" w:sz="4" w:space="0"/>
              <w:left w:val="nil"/>
              <w:bottom w:val="single" w:color="auto" w:sz="4" w:space="0"/>
              <w:right w:val="single" w:color="auto" w:sz="4" w:space="0"/>
            </w:tcBorders>
            <w:shd w:val="clear" w:color="000000" w:fill="F2F2F2"/>
            <w:noWrap/>
            <w:vAlign w:val="center"/>
          </w:tcPr>
          <w:p w14:paraId="153961EC">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150</w:t>
            </w:r>
          </w:p>
        </w:tc>
        <w:tc>
          <w:tcPr>
            <w:tcW w:w="1134" w:type="dxa"/>
            <w:tcBorders>
              <w:top w:val="single" w:color="auto" w:sz="4" w:space="0"/>
              <w:left w:val="nil"/>
              <w:bottom w:val="single" w:color="auto" w:sz="4" w:space="0"/>
              <w:right w:val="single" w:color="auto" w:sz="4" w:space="0"/>
            </w:tcBorders>
            <w:shd w:val="clear" w:color="000000" w:fill="F2F2F2"/>
            <w:noWrap/>
            <w:vAlign w:val="center"/>
          </w:tcPr>
          <w:p w14:paraId="556E6570">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200</w:t>
            </w:r>
          </w:p>
        </w:tc>
        <w:tc>
          <w:tcPr>
            <w:tcW w:w="1134" w:type="dxa"/>
            <w:tcBorders>
              <w:top w:val="single" w:color="auto" w:sz="4" w:space="0"/>
              <w:left w:val="nil"/>
              <w:bottom w:val="single" w:color="auto" w:sz="4" w:space="0"/>
              <w:right w:val="single" w:color="auto" w:sz="4" w:space="0"/>
            </w:tcBorders>
            <w:shd w:val="clear" w:color="000000" w:fill="F2F2F2"/>
            <w:noWrap/>
            <w:vAlign w:val="center"/>
          </w:tcPr>
          <w:p w14:paraId="073662B4">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250</w:t>
            </w:r>
          </w:p>
        </w:tc>
        <w:tc>
          <w:tcPr>
            <w:tcW w:w="1134" w:type="dxa"/>
            <w:tcBorders>
              <w:top w:val="single" w:color="auto" w:sz="4" w:space="0"/>
              <w:left w:val="nil"/>
              <w:bottom w:val="single" w:color="auto" w:sz="4" w:space="0"/>
              <w:right w:val="single" w:color="auto" w:sz="4" w:space="0"/>
            </w:tcBorders>
            <w:shd w:val="clear" w:color="000000" w:fill="F2F2F2"/>
            <w:noWrap/>
            <w:vAlign w:val="center"/>
          </w:tcPr>
          <w:p w14:paraId="4C75497D">
            <w:pPr>
              <w:widowControl/>
              <w:jc w:val="center"/>
              <w:rPr>
                <w:rFonts w:ascii="等线" w:hAnsi="等线" w:eastAsia="等线" w:cs="宋体"/>
                <w:b/>
                <w:bCs/>
                <w:color w:val="000000"/>
                <w:kern w:val="0"/>
                <w:sz w:val="24"/>
                <w:szCs w:val="24"/>
              </w:rPr>
            </w:pPr>
            <w:r>
              <w:rPr>
                <w:rFonts w:hint="eastAsia" w:ascii="等线" w:hAnsi="等线" w:eastAsia="等线" w:cs="宋体"/>
                <w:b/>
                <w:bCs/>
                <w:color w:val="000000"/>
                <w:kern w:val="0"/>
                <w:sz w:val="24"/>
                <w:szCs w:val="24"/>
              </w:rPr>
              <w:t>300</w:t>
            </w:r>
          </w:p>
        </w:tc>
      </w:tr>
    </w:tbl>
    <w:p w14:paraId="3C7D915A">
      <w:pPr>
        <w:spacing w:line="360" w:lineRule="auto"/>
        <w:jc w:val="center"/>
        <w:rPr>
          <w:rFonts w:ascii="宋体" w:hAnsi="宋体"/>
          <w:sz w:val="32"/>
          <w:szCs w:val="32"/>
        </w:rPr>
      </w:pPr>
    </w:p>
    <w:p w14:paraId="383E0509">
      <w:pPr>
        <w:jc w:val="center"/>
      </w:pPr>
      <w:r>
        <w:drawing>
          <wp:inline distT="0" distB="0" distL="0" distR="0">
            <wp:extent cx="8045450" cy="4758690"/>
            <wp:effectExtent l="0" t="0" r="12700" b="381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53EDDB">
      <w:pPr>
        <w:tabs>
          <w:tab w:val="left" w:pos="6127"/>
        </w:tabs>
        <w:jc w:val="center"/>
        <w:rPr>
          <w:rFonts w:ascii="Calibri" w:hAnsi="Calibri" w:eastAsia="宋体" w:cs="Times New Roman"/>
        </w:rPr>
      </w:pPr>
    </w:p>
    <w:p w14:paraId="34D8BE41">
      <w:pPr>
        <w:pStyle w:val="10"/>
        <w:jc w:val="center"/>
        <w:rPr>
          <w:rFonts w:ascii="黑体" w:hAnsi="黑体"/>
          <w:b/>
          <w:bCs/>
          <w:sz w:val="24"/>
          <w:szCs w:val="24"/>
        </w:rPr>
      </w:pPr>
      <w:bookmarkStart w:id="69" w:name="_Toc79498052"/>
      <w:r>
        <w:rPr>
          <w:rFonts w:hint="eastAsia" w:ascii="黑体" w:hAnsi="黑体"/>
          <w:b/>
          <w:bCs/>
          <w:sz w:val="24"/>
          <w:szCs w:val="24"/>
        </w:rPr>
        <w:t xml:space="preserve">图 </w:t>
      </w:r>
      <w:r>
        <w:rPr>
          <w:rFonts w:ascii="黑体" w:hAnsi="黑体"/>
          <w:b/>
          <w:bCs/>
          <w:sz w:val="24"/>
          <w:szCs w:val="24"/>
        </w:rPr>
        <w:fldChar w:fldCharType="begin"/>
      </w:r>
      <w:r>
        <w:rPr>
          <w:rFonts w:hint="eastAsia" w:ascii="黑体" w:hAnsi="黑体"/>
          <w:b/>
          <w:bCs/>
          <w:sz w:val="24"/>
          <w:szCs w:val="24"/>
        </w:rPr>
        <w:instrText xml:space="preserve">SEQ 图 \* ARABIC</w:instrText>
      </w:r>
      <w:r>
        <w:rPr>
          <w:rFonts w:ascii="黑体" w:hAnsi="黑体"/>
          <w:b/>
          <w:bCs/>
          <w:sz w:val="24"/>
          <w:szCs w:val="24"/>
        </w:rPr>
        <w:fldChar w:fldCharType="separate"/>
      </w:r>
      <w:r>
        <w:rPr>
          <w:rFonts w:ascii="黑体" w:hAnsi="黑体"/>
          <w:b/>
          <w:bCs/>
          <w:sz w:val="24"/>
          <w:szCs w:val="24"/>
        </w:rPr>
        <w:t>6</w:t>
      </w:r>
      <w:r>
        <w:rPr>
          <w:rFonts w:ascii="黑体" w:hAnsi="黑体"/>
          <w:b/>
          <w:bCs/>
          <w:sz w:val="24"/>
          <w:szCs w:val="24"/>
        </w:rPr>
        <w:fldChar w:fldCharType="end"/>
      </w:r>
      <w:r>
        <w:rPr>
          <w:rFonts w:hint="eastAsia" w:ascii="黑体" w:hAnsi="黑体"/>
          <w:b/>
          <w:bCs/>
          <w:sz w:val="24"/>
          <w:szCs w:val="24"/>
        </w:rPr>
        <w:t>凌源市“十四五”货运总量</w:t>
      </w:r>
      <w:r>
        <w:rPr>
          <w:rFonts w:ascii="黑体" w:hAnsi="黑体"/>
          <w:b/>
          <w:bCs/>
          <w:sz w:val="24"/>
          <w:szCs w:val="24"/>
        </w:rPr>
        <w:t>趋势图</w:t>
      </w:r>
      <w:bookmarkEnd w:id="69"/>
    </w:p>
    <w:p w14:paraId="7A079954">
      <w:pPr>
        <w:pStyle w:val="4"/>
        <w:spacing w:line="360" w:lineRule="auto"/>
        <w:jc w:val="center"/>
        <w:sectPr>
          <w:pgSz w:w="16838" w:h="11906" w:orient="landscape"/>
          <w:pgMar w:top="1797" w:right="1440" w:bottom="1797" w:left="1440" w:header="851" w:footer="992" w:gutter="0"/>
          <w:cols w:space="425" w:num="1"/>
          <w:docGrid w:linePitch="312" w:charSpace="0"/>
        </w:sectPr>
      </w:pPr>
      <w:bookmarkStart w:id="70" w:name="_Toc56439009"/>
    </w:p>
    <w:p w14:paraId="109223EE">
      <w:pPr>
        <w:pStyle w:val="6"/>
        <w:spacing w:before="240" w:after="240" w:line="360" w:lineRule="auto"/>
        <w:rPr>
          <w:sz w:val="32"/>
          <w:szCs w:val="32"/>
        </w:rPr>
      </w:pPr>
      <w:r>
        <w:rPr>
          <w:rFonts w:hint="eastAsia"/>
          <w:sz w:val="32"/>
          <w:szCs w:val="32"/>
        </w:rPr>
        <w:t>（二）增量货运量增长预测</w:t>
      </w:r>
    </w:p>
    <w:p w14:paraId="5179110A">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1、朝阳凌源经济开发区主要企业货运量</w:t>
      </w:r>
    </w:p>
    <w:p w14:paraId="2C8F9396">
      <w:pPr>
        <w:spacing w:line="360" w:lineRule="auto"/>
        <w:ind w:firstLine="640" w:firstLineChars="200"/>
        <w:rPr>
          <w:rFonts w:ascii="宋体" w:hAnsi="宋体"/>
          <w:sz w:val="32"/>
          <w:szCs w:val="32"/>
        </w:rPr>
      </w:pPr>
      <w:r>
        <w:rPr>
          <w:rFonts w:hint="eastAsia" w:ascii="宋体" w:hAnsi="宋体"/>
          <w:sz w:val="32"/>
          <w:szCs w:val="32"/>
        </w:rPr>
        <w:t>朝阳凌源经济开发区现有凌钢冶金千亿产业集群、汽车及零部件制造产业集群、新型复合材料产业集群、农产品深加工产业集群四大产业集群，截至2025年，朝阳凌源经济开发区主要企业货运量为</w:t>
      </w:r>
      <w:r>
        <w:rPr>
          <w:rFonts w:ascii="宋体" w:hAnsi="宋体"/>
          <w:sz w:val="32"/>
          <w:szCs w:val="32"/>
        </w:rPr>
        <w:t>4860</w:t>
      </w:r>
      <w:r>
        <w:rPr>
          <w:rFonts w:hint="eastAsia" w:ascii="宋体" w:hAnsi="宋体"/>
          <w:sz w:val="32"/>
          <w:szCs w:val="32"/>
        </w:rPr>
        <w:t>万吨，具体详见表4。</w:t>
      </w:r>
    </w:p>
    <w:p w14:paraId="1B1DAB00">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2、朝阳凌源非金属新材料产业园主要企业货运量</w:t>
      </w:r>
    </w:p>
    <w:p w14:paraId="5C35D9BE">
      <w:pPr>
        <w:spacing w:line="360" w:lineRule="auto"/>
        <w:ind w:firstLine="640" w:firstLineChars="200"/>
        <w:rPr>
          <w:rFonts w:eastAsia="黑体" w:asciiTheme="majorHAnsi" w:hAnsiTheme="majorHAnsi" w:cstheme="majorBidi"/>
          <w:sz w:val="24"/>
          <w:szCs w:val="24"/>
        </w:rPr>
      </w:pPr>
      <w:r>
        <w:rPr>
          <w:rFonts w:hint="eastAsia" w:ascii="宋体" w:hAnsi="宋体"/>
          <w:sz w:val="32"/>
          <w:szCs w:val="32"/>
        </w:rPr>
        <w:t>以朝阳凌源非金属新材料产业园物流园区为中心，在50公里半径内，熔剂石灰石探明储量约30亿吨、珍珠岩探明储量28亿吨、硅石探明储量30亿吨、白云石探明储量15亿吨、硅藻土探明储量2.5亿吨，开发潜力巨大。现有活性氧化钙年产量近800万吨，熔剂石灰石年产量达1000万吨，硅砂年产量115万吨，特种水泥年产量500万吨。截至2025年，朝阳凌源非金属新材料产业园内主要企业货运量为</w:t>
      </w:r>
      <w:r>
        <w:rPr>
          <w:rFonts w:ascii="宋体" w:hAnsi="宋体"/>
          <w:sz w:val="32"/>
          <w:szCs w:val="32"/>
        </w:rPr>
        <w:t>4075</w:t>
      </w:r>
      <w:r>
        <w:rPr>
          <w:rFonts w:hint="eastAsia" w:ascii="宋体" w:hAnsi="宋体"/>
          <w:sz w:val="32"/>
          <w:szCs w:val="32"/>
        </w:rPr>
        <w:t>万吨，具体详见表5。</w:t>
      </w:r>
    </w:p>
    <w:p w14:paraId="18EF3773">
      <w:pPr>
        <w:widowControl/>
        <w:jc w:val="left"/>
        <w:rPr>
          <w:rFonts w:eastAsia="黑体" w:asciiTheme="majorHAnsi" w:hAnsiTheme="majorHAnsi" w:cstheme="majorBidi"/>
          <w:sz w:val="24"/>
          <w:szCs w:val="24"/>
        </w:rPr>
      </w:pPr>
    </w:p>
    <w:p w14:paraId="2C2F000F">
      <w:pPr>
        <w:pStyle w:val="10"/>
        <w:jc w:val="center"/>
        <w:rPr>
          <w:sz w:val="24"/>
          <w:szCs w:val="24"/>
        </w:rPr>
        <w:sectPr>
          <w:pgSz w:w="11906" w:h="16838"/>
          <w:pgMar w:top="1440" w:right="1797" w:bottom="1440" w:left="1797" w:header="851" w:footer="992" w:gutter="0"/>
          <w:cols w:space="425" w:num="1"/>
          <w:docGrid w:linePitch="312" w:charSpace="0"/>
        </w:sectPr>
      </w:pPr>
    </w:p>
    <w:p w14:paraId="22220BA7">
      <w:pPr>
        <w:pStyle w:val="10"/>
        <w:jc w:val="center"/>
        <w:rPr>
          <w:rFonts w:ascii="黑体" w:hAnsi="黑体"/>
          <w:b/>
          <w:bCs/>
          <w:sz w:val="24"/>
          <w:szCs w:val="24"/>
        </w:rPr>
      </w:pPr>
      <w:bookmarkStart w:id="71" w:name="_Toc79498041"/>
      <w:r>
        <w:rPr>
          <w:rFonts w:hint="eastAsia" w:ascii="黑体" w:hAnsi="黑体"/>
          <w:b/>
          <w:bCs/>
          <w:sz w:val="24"/>
          <w:szCs w:val="24"/>
        </w:rPr>
        <w:t xml:space="preserve">表 </w:t>
      </w:r>
      <w:r>
        <w:rPr>
          <w:rFonts w:ascii="黑体" w:hAnsi="黑体"/>
          <w:b/>
          <w:bCs/>
          <w:sz w:val="24"/>
          <w:szCs w:val="24"/>
        </w:rPr>
        <w:fldChar w:fldCharType="begin"/>
      </w:r>
      <w:r>
        <w:rPr>
          <w:rFonts w:hint="eastAsia" w:ascii="黑体" w:hAnsi="黑体"/>
          <w:b/>
          <w:bCs/>
          <w:sz w:val="24"/>
          <w:szCs w:val="24"/>
        </w:rPr>
        <w:instrText xml:space="preserve">SEQ 表 \* ARABIC</w:instrText>
      </w:r>
      <w:r>
        <w:rPr>
          <w:rFonts w:ascii="黑体" w:hAnsi="黑体"/>
          <w:b/>
          <w:bCs/>
          <w:sz w:val="24"/>
          <w:szCs w:val="24"/>
        </w:rPr>
        <w:fldChar w:fldCharType="separate"/>
      </w:r>
      <w:r>
        <w:rPr>
          <w:rFonts w:ascii="黑体" w:hAnsi="黑体"/>
          <w:b/>
          <w:bCs/>
          <w:sz w:val="24"/>
          <w:szCs w:val="24"/>
        </w:rPr>
        <w:t>4</w:t>
      </w:r>
      <w:r>
        <w:rPr>
          <w:rFonts w:ascii="黑体" w:hAnsi="黑体"/>
          <w:b/>
          <w:bCs/>
          <w:sz w:val="24"/>
          <w:szCs w:val="24"/>
        </w:rPr>
        <w:fldChar w:fldCharType="end"/>
      </w:r>
      <w:r>
        <w:rPr>
          <w:rFonts w:hint="eastAsia" w:ascii="黑体" w:hAnsi="黑体"/>
          <w:b/>
          <w:bCs/>
          <w:sz w:val="24"/>
          <w:szCs w:val="24"/>
        </w:rPr>
        <w:t>朝阳凌源经济开发区内主要企业运量表</w:t>
      </w:r>
      <w:bookmarkEnd w:id="71"/>
    </w:p>
    <w:p w14:paraId="0F25D518">
      <w:pPr>
        <w:pStyle w:val="87"/>
        <w:widowControl w:val="0"/>
        <w:spacing w:line="240" w:lineRule="auto"/>
        <w:ind w:firstLine="480"/>
        <w:jc w:val="right"/>
        <w:rPr>
          <w:rFonts w:ascii="黑体" w:hAnsi="黑体" w:eastAsia="黑体" w:cs="仿宋_GB2312"/>
          <w:sz w:val="24"/>
          <w:szCs w:val="24"/>
        </w:rPr>
      </w:pPr>
      <w:r>
        <w:rPr>
          <w:rFonts w:hint="eastAsia" w:ascii="黑体" w:hAnsi="黑体" w:eastAsia="黑体" w:cs="仿宋_GB2312"/>
          <w:sz w:val="24"/>
          <w:szCs w:val="24"/>
        </w:rPr>
        <w:t>单位：万吨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985"/>
        <w:gridCol w:w="1710"/>
        <w:gridCol w:w="855"/>
        <w:gridCol w:w="998"/>
        <w:gridCol w:w="995"/>
        <w:gridCol w:w="998"/>
        <w:gridCol w:w="855"/>
        <w:gridCol w:w="998"/>
        <w:gridCol w:w="1566"/>
        <w:gridCol w:w="2055"/>
      </w:tblGrid>
      <w:tr w14:paraId="1981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9" w:hRule="atLeast"/>
        </w:trPr>
        <w:tc>
          <w:tcPr>
            <w:tcW w:w="1065" w:type="pct"/>
            <w:vMerge w:val="restart"/>
            <w:vAlign w:val="center"/>
          </w:tcPr>
          <w:p w14:paraId="396CC1E0">
            <w:pPr>
              <w:jc w:val="center"/>
              <w:rPr>
                <w:sz w:val="28"/>
                <w:szCs w:val="28"/>
              </w:rPr>
            </w:pPr>
            <w:r>
              <w:rPr>
                <w:sz w:val="28"/>
                <w:szCs w:val="28"/>
              </w:rPr>
              <w:t>企业名称</w:t>
            </w:r>
          </w:p>
        </w:tc>
        <w:tc>
          <w:tcPr>
            <w:tcW w:w="610" w:type="pct"/>
            <w:vMerge w:val="restart"/>
            <w:vAlign w:val="center"/>
          </w:tcPr>
          <w:p w14:paraId="1C568525">
            <w:pPr>
              <w:jc w:val="center"/>
              <w:rPr>
                <w:sz w:val="28"/>
                <w:szCs w:val="28"/>
              </w:rPr>
            </w:pPr>
            <w:r>
              <w:rPr>
                <w:sz w:val="28"/>
                <w:szCs w:val="28"/>
              </w:rPr>
              <w:t>品类</w:t>
            </w:r>
          </w:p>
        </w:tc>
        <w:tc>
          <w:tcPr>
            <w:tcW w:w="1016" w:type="pct"/>
            <w:gridSpan w:val="3"/>
            <w:vAlign w:val="center"/>
          </w:tcPr>
          <w:p w14:paraId="3E3E9CF5">
            <w:pPr>
              <w:jc w:val="center"/>
              <w:rPr>
                <w:sz w:val="28"/>
                <w:szCs w:val="28"/>
              </w:rPr>
            </w:pPr>
            <w:r>
              <w:rPr>
                <w:rFonts w:hint="eastAsia"/>
                <w:sz w:val="28"/>
                <w:szCs w:val="28"/>
              </w:rPr>
              <w:t>2025年</w:t>
            </w:r>
          </w:p>
        </w:tc>
        <w:tc>
          <w:tcPr>
            <w:tcW w:w="1017" w:type="pct"/>
            <w:gridSpan w:val="3"/>
            <w:vAlign w:val="center"/>
          </w:tcPr>
          <w:p w14:paraId="0318258B">
            <w:pPr>
              <w:jc w:val="center"/>
              <w:rPr>
                <w:sz w:val="28"/>
                <w:szCs w:val="28"/>
              </w:rPr>
            </w:pPr>
            <w:r>
              <w:rPr>
                <w:rFonts w:hint="eastAsia"/>
                <w:sz w:val="28"/>
                <w:szCs w:val="28"/>
              </w:rPr>
              <w:t>2</w:t>
            </w:r>
            <w:r>
              <w:rPr>
                <w:sz w:val="28"/>
                <w:szCs w:val="28"/>
              </w:rPr>
              <w:t>035</w:t>
            </w:r>
            <w:r>
              <w:rPr>
                <w:rFonts w:hint="eastAsia"/>
                <w:sz w:val="28"/>
                <w:szCs w:val="28"/>
              </w:rPr>
              <w:t>年</w:t>
            </w:r>
          </w:p>
        </w:tc>
        <w:tc>
          <w:tcPr>
            <w:tcW w:w="559" w:type="pct"/>
            <w:vAlign w:val="center"/>
          </w:tcPr>
          <w:p w14:paraId="5065045C">
            <w:pPr>
              <w:jc w:val="center"/>
              <w:rPr>
                <w:sz w:val="28"/>
                <w:szCs w:val="28"/>
              </w:rPr>
            </w:pPr>
            <w:r>
              <w:rPr>
                <w:sz w:val="28"/>
                <w:szCs w:val="28"/>
              </w:rPr>
              <w:t>来源</w:t>
            </w:r>
          </w:p>
        </w:tc>
        <w:tc>
          <w:tcPr>
            <w:tcW w:w="733" w:type="pct"/>
            <w:vAlign w:val="center"/>
          </w:tcPr>
          <w:p w14:paraId="4E652679">
            <w:pPr>
              <w:jc w:val="center"/>
              <w:rPr>
                <w:sz w:val="28"/>
                <w:szCs w:val="28"/>
              </w:rPr>
            </w:pPr>
            <w:r>
              <w:rPr>
                <w:sz w:val="28"/>
                <w:szCs w:val="28"/>
              </w:rPr>
              <w:t>去向</w:t>
            </w:r>
          </w:p>
        </w:tc>
      </w:tr>
      <w:tr w14:paraId="0EDB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065" w:type="pct"/>
            <w:vMerge w:val="continue"/>
            <w:vAlign w:val="center"/>
          </w:tcPr>
          <w:p w14:paraId="24A5B795">
            <w:pPr>
              <w:jc w:val="center"/>
              <w:rPr>
                <w:sz w:val="28"/>
                <w:szCs w:val="28"/>
              </w:rPr>
            </w:pPr>
          </w:p>
        </w:tc>
        <w:tc>
          <w:tcPr>
            <w:tcW w:w="610" w:type="pct"/>
            <w:vMerge w:val="continue"/>
            <w:vAlign w:val="center"/>
          </w:tcPr>
          <w:p w14:paraId="04809D82">
            <w:pPr>
              <w:jc w:val="center"/>
              <w:rPr>
                <w:sz w:val="28"/>
                <w:szCs w:val="28"/>
              </w:rPr>
            </w:pPr>
          </w:p>
        </w:tc>
        <w:tc>
          <w:tcPr>
            <w:tcW w:w="305" w:type="pct"/>
            <w:vAlign w:val="center"/>
          </w:tcPr>
          <w:p w14:paraId="5527378D">
            <w:pPr>
              <w:jc w:val="center"/>
              <w:rPr>
                <w:sz w:val="28"/>
                <w:szCs w:val="28"/>
              </w:rPr>
            </w:pPr>
            <w:r>
              <w:rPr>
                <w:rFonts w:hint="eastAsia"/>
                <w:sz w:val="28"/>
                <w:szCs w:val="28"/>
              </w:rPr>
              <w:t>到达</w:t>
            </w:r>
          </w:p>
        </w:tc>
        <w:tc>
          <w:tcPr>
            <w:tcW w:w="356" w:type="pct"/>
            <w:vAlign w:val="center"/>
          </w:tcPr>
          <w:p w14:paraId="5C8B0652">
            <w:pPr>
              <w:jc w:val="center"/>
              <w:rPr>
                <w:sz w:val="28"/>
                <w:szCs w:val="28"/>
              </w:rPr>
            </w:pPr>
            <w:r>
              <w:rPr>
                <w:rFonts w:hint="eastAsia"/>
                <w:sz w:val="28"/>
                <w:szCs w:val="28"/>
              </w:rPr>
              <w:t>发送</w:t>
            </w:r>
          </w:p>
        </w:tc>
        <w:tc>
          <w:tcPr>
            <w:tcW w:w="355" w:type="pct"/>
            <w:vAlign w:val="center"/>
          </w:tcPr>
          <w:p w14:paraId="5C7E596B">
            <w:pPr>
              <w:jc w:val="center"/>
              <w:rPr>
                <w:sz w:val="28"/>
                <w:szCs w:val="28"/>
              </w:rPr>
            </w:pPr>
            <w:r>
              <w:rPr>
                <w:rFonts w:hint="eastAsia"/>
                <w:b/>
                <w:bCs/>
                <w:sz w:val="28"/>
                <w:szCs w:val="28"/>
              </w:rPr>
              <w:t>合计</w:t>
            </w:r>
          </w:p>
        </w:tc>
        <w:tc>
          <w:tcPr>
            <w:tcW w:w="356" w:type="pct"/>
            <w:vAlign w:val="center"/>
          </w:tcPr>
          <w:p w14:paraId="763951B5">
            <w:pPr>
              <w:jc w:val="center"/>
              <w:rPr>
                <w:sz w:val="28"/>
                <w:szCs w:val="28"/>
              </w:rPr>
            </w:pPr>
            <w:r>
              <w:rPr>
                <w:rFonts w:hint="eastAsia"/>
                <w:sz w:val="28"/>
                <w:szCs w:val="28"/>
              </w:rPr>
              <w:t>到达</w:t>
            </w:r>
          </w:p>
        </w:tc>
        <w:tc>
          <w:tcPr>
            <w:tcW w:w="305" w:type="pct"/>
            <w:vAlign w:val="center"/>
          </w:tcPr>
          <w:p w14:paraId="100085EB">
            <w:pPr>
              <w:jc w:val="center"/>
              <w:rPr>
                <w:sz w:val="28"/>
                <w:szCs w:val="28"/>
              </w:rPr>
            </w:pPr>
            <w:r>
              <w:rPr>
                <w:rFonts w:hint="eastAsia"/>
                <w:sz w:val="28"/>
                <w:szCs w:val="28"/>
              </w:rPr>
              <w:t>发送</w:t>
            </w:r>
          </w:p>
        </w:tc>
        <w:tc>
          <w:tcPr>
            <w:tcW w:w="356" w:type="pct"/>
            <w:vAlign w:val="center"/>
          </w:tcPr>
          <w:p w14:paraId="7F1E30E7">
            <w:pPr>
              <w:jc w:val="center"/>
              <w:rPr>
                <w:b/>
                <w:bCs/>
                <w:sz w:val="28"/>
                <w:szCs w:val="28"/>
              </w:rPr>
            </w:pPr>
            <w:r>
              <w:rPr>
                <w:rFonts w:hint="eastAsia"/>
                <w:b/>
                <w:bCs/>
                <w:sz w:val="28"/>
                <w:szCs w:val="28"/>
              </w:rPr>
              <w:t>合计</w:t>
            </w:r>
          </w:p>
        </w:tc>
        <w:tc>
          <w:tcPr>
            <w:tcW w:w="559" w:type="pct"/>
            <w:vAlign w:val="center"/>
          </w:tcPr>
          <w:p w14:paraId="44471863">
            <w:pPr>
              <w:jc w:val="center"/>
              <w:rPr>
                <w:sz w:val="28"/>
                <w:szCs w:val="28"/>
              </w:rPr>
            </w:pPr>
            <w:r>
              <w:rPr>
                <w:rFonts w:hint="eastAsia"/>
                <w:sz w:val="28"/>
                <w:szCs w:val="28"/>
              </w:rPr>
              <w:t>到达</w:t>
            </w:r>
          </w:p>
        </w:tc>
        <w:tc>
          <w:tcPr>
            <w:tcW w:w="733" w:type="pct"/>
            <w:vAlign w:val="center"/>
          </w:tcPr>
          <w:p w14:paraId="767F5B37">
            <w:pPr>
              <w:jc w:val="center"/>
              <w:rPr>
                <w:sz w:val="28"/>
                <w:szCs w:val="28"/>
              </w:rPr>
            </w:pPr>
            <w:r>
              <w:rPr>
                <w:rFonts w:hint="eastAsia"/>
                <w:sz w:val="28"/>
                <w:szCs w:val="28"/>
              </w:rPr>
              <w:t>发送</w:t>
            </w:r>
          </w:p>
        </w:tc>
      </w:tr>
      <w:tr w14:paraId="4BEB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65" w:hRule="atLeast"/>
        </w:trPr>
        <w:tc>
          <w:tcPr>
            <w:tcW w:w="1065" w:type="pct"/>
            <w:vAlign w:val="center"/>
          </w:tcPr>
          <w:p w14:paraId="09FCA623">
            <w:pPr>
              <w:jc w:val="center"/>
              <w:rPr>
                <w:sz w:val="28"/>
                <w:szCs w:val="28"/>
              </w:rPr>
            </w:pPr>
            <w:r>
              <w:rPr>
                <w:rFonts w:hint="eastAsia"/>
                <w:sz w:val="28"/>
                <w:szCs w:val="28"/>
              </w:rPr>
              <w:t>凌钢</w:t>
            </w:r>
          </w:p>
        </w:tc>
        <w:tc>
          <w:tcPr>
            <w:tcW w:w="610" w:type="pct"/>
            <w:vAlign w:val="center"/>
          </w:tcPr>
          <w:p w14:paraId="3C7E504D">
            <w:pPr>
              <w:jc w:val="center"/>
              <w:rPr>
                <w:sz w:val="28"/>
                <w:szCs w:val="28"/>
              </w:rPr>
            </w:pPr>
            <w:r>
              <w:rPr>
                <w:rFonts w:hint="eastAsia"/>
                <w:sz w:val="28"/>
                <w:szCs w:val="28"/>
              </w:rPr>
              <w:t>原材料、钢材</w:t>
            </w:r>
          </w:p>
        </w:tc>
        <w:tc>
          <w:tcPr>
            <w:tcW w:w="305" w:type="pct"/>
            <w:vAlign w:val="center"/>
          </w:tcPr>
          <w:p w14:paraId="54DB6DAB">
            <w:pPr>
              <w:jc w:val="center"/>
              <w:rPr>
                <w:sz w:val="28"/>
                <w:szCs w:val="28"/>
              </w:rPr>
            </w:pPr>
            <w:r>
              <w:rPr>
                <w:sz w:val="28"/>
                <w:szCs w:val="28"/>
              </w:rPr>
              <w:t>1900</w:t>
            </w:r>
          </w:p>
        </w:tc>
        <w:tc>
          <w:tcPr>
            <w:tcW w:w="356" w:type="pct"/>
            <w:vAlign w:val="center"/>
          </w:tcPr>
          <w:p w14:paraId="010B0ED8">
            <w:pPr>
              <w:jc w:val="center"/>
              <w:rPr>
                <w:sz w:val="28"/>
                <w:szCs w:val="28"/>
              </w:rPr>
            </w:pPr>
            <w:r>
              <w:rPr>
                <w:sz w:val="28"/>
                <w:szCs w:val="28"/>
              </w:rPr>
              <w:t>1200</w:t>
            </w:r>
          </w:p>
        </w:tc>
        <w:tc>
          <w:tcPr>
            <w:tcW w:w="355" w:type="pct"/>
            <w:vAlign w:val="center"/>
          </w:tcPr>
          <w:p w14:paraId="20452027">
            <w:pPr>
              <w:jc w:val="center"/>
              <w:rPr>
                <w:sz w:val="28"/>
                <w:szCs w:val="28"/>
              </w:rPr>
            </w:pPr>
            <w:r>
              <w:rPr>
                <w:sz w:val="28"/>
                <w:szCs w:val="28"/>
              </w:rPr>
              <w:t>3100</w:t>
            </w:r>
          </w:p>
        </w:tc>
        <w:tc>
          <w:tcPr>
            <w:tcW w:w="356" w:type="pct"/>
            <w:vAlign w:val="center"/>
          </w:tcPr>
          <w:p w14:paraId="16EF4E0A">
            <w:pPr>
              <w:jc w:val="center"/>
              <w:rPr>
                <w:sz w:val="28"/>
                <w:szCs w:val="28"/>
              </w:rPr>
            </w:pPr>
            <w:r>
              <w:rPr>
                <w:sz w:val="28"/>
                <w:szCs w:val="28"/>
              </w:rPr>
              <w:t>3100</w:t>
            </w:r>
          </w:p>
        </w:tc>
        <w:tc>
          <w:tcPr>
            <w:tcW w:w="305" w:type="pct"/>
            <w:vAlign w:val="center"/>
          </w:tcPr>
          <w:p w14:paraId="75919AC0">
            <w:pPr>
              <w:jc w:val="center"/>
              <w:rPr>
                <w:sz w:val="28"/>
                <w:szCs w:val="28"/>
              </w:rPr>
            </w:pPr>
            <w:r>
              <w:rPr>
                <w:sz w:val="28"/>
                <w:szCs w:val="28"/>
              </w:rPr>
              <w:t>2000</w:t>
            </w:r>
          </w:p>
        </w:tc>
        <w:tc>
          <w:tcPr>
            <w:tcW w:w="356" w:type="pct"/>
            <w:vAlign w:val="center"/>
          </w:tcPr>
          <w:p w14:paraId="6DEABA63">
            <w:pPr>
              <w:jc w:val="center"/>
              <w:rPr>
                <w:sz w:val="28"/>
                <w:szCs w:val="28"/>
              </w:rPr>
            </w:pPr>
            <w:r>
              <w:rPr>
                <w:sz w:val="28"/>
                <w:szCs w:val="28"/>
              </w:rPr>
              <w:t>5100</w:t>
            </w:r>
          </w:p>
        </w:tc>
        <w:tc>
          <w:tcPr>
            <w:tcW w:w="559" w:type="pct"/>
            <w:vAlign w:val="center"/>
          </w:tcPr>
          <w:p w14:paraId="60FD4925">
            <w:pPr>
              <w:jc w:val="center"/>
              <w:rPr>
                <w:sz w:val="28"/>
                <w:szCs w:val="28"/>
              </w:rPr>
            </w:pPr>
            <w:r>
              <w:rPr>
                <w:rFonts w:hint="eastAsia"/>
                <w:sz w:val="28"/>
                <w:szCs w:val="28"/>
              </w:rPr>
              <w:t>内蒙、山西、河北</w:t>
            </w:r>
          </w:p>
        </w:tc>
        <w:tc>
          <w:tcPr>
            <w:tcW w:w="733" w:type="pct"/>
            <w:vAlign w:val="center"/>
          </w:tcPr>
          <w:p w14:paraId="6FEC00E8">
            <w:pPr>
              <w:jc w:val="center"/>
              <w:rPr>
                <w:sz w:val="28"/>
                <w:szCs w:val="28"/>
              </w:rPr>
            </w:pPr>
            <w:r>
              <w:rPr>
                <w:rFonts w:hint="eastAsia"/>
                <w:sz w:val="28"/>
                <w:szCs w:val="28"/>
              </w:rPr>
              <w:t>全国</w:t>
            </w:r>
          </w:p>
        </w:tc>
      </w:tr>
      <w:tr w14:paraId="5FB0C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2" w:hRule="atLeast"/>
        </w:trPr>
        <w:tc>
          <w:tcPr>
            <w:tcW w:w="1065" w:type="pct"/>
            <w:vAlign w:val="center"/>
          </w:tcPr>
          <w:p w14:paraId="2CCF9263">
            <w:pPr>
              <w:jc w:val="center"/>
              <w:rPr>
                <w:sz w:val="28"/>
                <w:szCs w:val="28"/>
              </w:rPr>
            </w:pPr>
            <w:r>
              <w:rPr>
                <w:rFonts w:hint="eastAsia"/>
                <w:sz w:val="28"/>
                <w:szCs w:val="28"/>
              </w:rPr>
              <w:t>中玻（朝阳）新材料有限公司</w:t>
            </w:r>
          </w:p>
        </w:tc>
        <w:tc>
          <w:tcPr>
            <w:tcW w:w="610" w:type="pct"/>
            <w:vAlign w:val="center"/>
          </w:tcPr>
          <w:p w14:paraId="322FAC3E">
            <w:pPr>
              <w:jc w:val="center"/>
              <w:rPr>
                <w:sz w:val="28"/>
                <w:szCs w:val="28"/>
              </w:rPr>
            </w:pPr>
            <w:r>
              <w:rPr>
                <w:rFonts w:hint="eastAsia"/>
                <w:sz w:val="28"/>
                <w:szCs w:val="28"/>
              </w:rPr>
              <w:t>玻璃</w:t>
            </w:r>
          </w:p>
        </w:tc>
        <w:tc>
          <w:tcPr>
            <w:tcW w:w="305" w:type="pct"/>
            <w:vAlign w:val="center"/>
          </w:tcPr>
          <w:p w14:paraId="69EF9CEA">
            <w:pPr>
              <w:jc w:val="center"/>
              <w:rPr>
                <w:sz w:val="28"/>
                <w:szCs w:val="28"/>
              </w:rPr>
            </w:pPr>
            <w:r>
              <w:rPr>
                <w:rFonts w:hint="eastAsia"/>
                <w:sz w:val="28"/>
                <w:szCs w:val="28"/>
              </w:rPr>
              <w:t>800</w:t>
            </w:r>
          </w:p>
        </w:tc>
        <w:tc>
          <w:tcPr>
            <w:tcW w:w="356" w:type="pct"/>
            <w:vAlign w:val="center"/>
          </w:tcPr>
          <w:p w14:paraId="2863A768">
            <w:pPr>
              <w:jc w:val="center"/>
              <w:rPr>
                <w:sz w:val="28"/>
                <w:szCs w:val="28"/>
              </w:rPr>
            </w:pPr>
            <w:r>
              <w:rPr>
                <w:rFonts w:hint="eastAsia"/>
                <w:sz w:val="28"/>
                <w:szCs w:val="28"/>
              </w:rPr>
              <w:t>40</w:t>
            </w:r>
          </w:p>
        </w:tc>
        <w:tc>
          <w:tcPr>
            <w:tcW w:w="355" w:type="pct"/>
            <w:vAlign w:val="center"/>
          </w:tcPr>
          <w:p w14:paraId="121A17ED">
            <w:pPr>
              <w:jc w:val="center"/>
              <w:rPr>
                <w:sz w:val="28"/>
                <w:szCs w:val="28"/>
              </w:rPr>
            </w:pPr>
            <w:r>
              <w:rPr>
                <w:rFonts w:hint="eastAsia"/>
                <w:bCs/>
                <w:sz w:val="28"/>
                <w:szCs w:val="28"/>
              </w:rPr>
              <w:t>840</w:t>
            </w:r>
          </w:p>
        </w:tc>
        <w:tc>
          <w:tcPr>
            <w:tcW w:w="356" w:type="pct"/>
            <w:vAlign w:val="center"/>
          </w:tcPr>
          <w:p w14:paraId="0E149C18">
            <w:pPr>
              <w:jc w:val="center"/>
              <w:rPr>
                <w:sz w:val="28"/>
                <w:szCs w:val="28"/>
              </w:rPr>
            </w:pPr>
            <w:r>
              <w:rPr>
                <w:rFonts w:hint="eastAsia"/>
                <w:sz w:val="28"/>
                <w:szCs w:val="28"/>
              </w:rPr>
              <w:t>800</w:t>
            </w:r>
          </w:p>
        </w:tc>
        <w:tc>
          <w:tcPr>
            <w:tcW w:w="305" w:type="pct"/>
            <w:vAlign w:val="center"/>
          </w:tcPr>
          <w:p w14:paraId="47B4F2A6">
            <w:pPr>
              <w:jc w:val="center"/>
              <w:rPr>
                <w:sz w:val="28"/>
                <w:szCs w:val="28"/>
              </w:rPr>
            </w:pPr>
            <w:r>
              <w:rPr>
                <w:rFonts w:hint="eastAsia"/>
                <w:sz w:val="28"/>
                <w:szCs w:val="28"/>
              </w:rPr>
              <w:t>40</w:t>
            </w:r>
          </w:p>
        </w:tc>
        <w:tc>
          <w:tcPr>
            <w:tcW w:w="356" w:type="pct"/>
            <w:vAlign w:val="center"/>
          </w:tcPr>
          <w:p w14:paraId="03CDB169">
            <w:pPr>
              <w:jc w:val="center"/>
              <w:rPr>
                <w:bCs/>
                <w:sz w:val="28"/>
                <w:szCs w:val="28"/>
              </w:rPr>
            </w:pPr>
            <w:r>
              <w:rPr>
                <w:rFonts w:hint="eastAsia"/>
                <w:bCs/>
                <w:sz w:val="28"/>
                <w:szCs w:val="28"/>
              </w:rPr>
              <w:t>840</w:t>
            </w:r>
          </w:p>
        </w:tc>
        <w:tc>
          <w:tcPr>
            <w:tcW w:w="559" w:type="pct"/>
            <w:vAlign w:val="center"/>
          </w:tcPr>
          <w:p w14:paraId="051BBA3A">
            <w:pPr>
              <w:jc w:val="center"/>
              <w:rPr>
                <w:sz w:val="28"/>
                <w:szCs w:val="28"/>
              </w:rPr>
            </w:pPr>
            <w:r>
              <w:rPr>
                <w:rFonts w:hint="eastAsia"/>
                <w:sz w:val="28"/>
                <w:szCs w:val="28"/>
              </w:rPr>
              <w:t>辽宁</w:t>
            </w:r>
          </w:p>
        </w:tc>
        <w:tc>
          <w:tcPr>
            <w:tcW w:w="733" w:type="pct"/>
            <w:vAlign w:val="center"/>
          </w:tcPr>
          <w:p w14:paraId="13C3F593">
            <w:pPr>
              <w:jc w:val="center"/>
              <w:rPr>
                <w:sz w:val="28"/>
                <w:szCs w:val="28"/>
              </w:rPr>
            </w:pPr>
            <w:r>
              <w:rPr>
                <w:rFonts w:hint="eastAsia"/>
                <w:sz w:val="28"/>
                <w:szCs w:val="28"/>
              </w:rPr>
              <w:t>东北、华北地区</w:t>
            </w:r>
          </w:p>
        </w:tc>
      </w:tr>
      <w:tr w14:paraId="548D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2" w:hRule="atLeast"/>
        </w:trPr>
        <w:tc>
          <w:tcPr>
            <w:tcW w:w="1065" w:type="pct"/>
            <w:vAlign w:val="center"/>
          </w:tcPr>
          <w:p w14:paraId="1C971C38">
            <w:pPr>
              <w:jc w:val="center"/>
              <w:rPr>
                <w:sz w:val="28"/>
                <w:szCs w:val="28"/>
              </w:rPr>
            </w:pPr>
            <w:r>
              <w:rPr>
                <w:rFonts w:hint="eastAsia"/>
                <w:sz w:val="28"/>
                <w:szCs w:val="28"/>
              </w:rPr>
              <w:t>炜盛非金属新材料产业园</w:t>
            </w:r>
          </w:p>
        </w:tc>
        <w:tc>
          <w:tcPr>
            <w:tcW w:w="610" w:type="pct"/>
            <w:vAlign w:val="center"/>
          </w:tcPr>
          <w:p w14:paraId="6C2259B2">
            <w:pPr>
              <w:jc w:val="center"/>
              <w:rPr>
                <w:sz w:val="28"/>
                <w:szCs w:val="28"/>
              </w:rPr>
            </w:pPr>
            <w:r>
              <w:rPr>
                <w:rFonts w:hint="eastAsia"/>
                <w:sz w:val="28"/>
                <w:szCs w:val="28"/>
              </w:rPr>
              <w:t>玻纤制品</w:t>
            </w:r>
          </w:p>
        </w:tc>
        <w:tc>
          <w:tcPr>
            <w:tcW w:w="305" w:type="pct"/>
            <w:vAlign w:val="center"/>
          </w:tcPr>
          <w:p w14:paraId="7CD7FB32">
            <w:pPr>
              <w:jc w:val="center"/>
              <w:rPr>
                <w:sz w:val="28"/>
                <w:szCs w:val="28"/>
              </w:rPr>
            </w:pPr>
            <w:r>
              <w:rPr>
                <w:rFonts w:hint="eastAsia"/>
                <w:sz w:val="28"/>
                <w:szCs w:val="28"/>
              </w:rPr>
              <w:t>20</w:t>
            </w:r>
          </w:p>
        </w:tc>
        <w:tc>
          <w:tcPr>
            <w:tcW w:w="356" w:type="pct"/>
            <w:vAlign w:val="center"/>
          </w:tcPr>
          <w:p w14:paraId="04CC9EFC">
            <w:pPr>
              <w:jc w:val="center"/>
              <w:rPr>
                <w:sz w:val="28"/>
                <w:szCs w:val="28"/>
              </w:rPr>
            </w:pPr>
            <w:r>
              <w:rPr>
                <w:rFonts w:hint="eastAsia"/>
                <w:sz w:val="28"/>
                <w:szCs w:val="28"/>
              </w:rPr>
              <w:t>80</w:t>
            </w:r>
          </w:p>
        </w:tc>
        <w:tc>
          <w:tcPr>
            <w:tcW w:w="355" w:type="pct"/>
            <w:vAlign w:val="center"/>
          </w:tcPr>
          <w:p w14:paraId="38FBD9BA">
            <w:pPr>
              <w:jc w:val="center"/>
              <w:rPr>
                <w:sz w:val="28"/>
                <w:szCs w:val="28"/>
              </w:rPr>
            </w:pPr>
            <w:r>
              <w:rPr>
                <w:rFonts w:hint="eastAsia"/>
                <w:bCs/>
                <w:sz w:val="28"/>
                <w:szCs w:val="28"/>
              </w:rPr>
              <w:t>100</w:t>
            </w:r>
          </w:p>
        </w:tc>
        <w:tc>
          <w:tcPr>
            <w:tcW w:w="356" w:type="pct"/>
            <w:vAlign w:val="center"/>
          </w:tcPr>
          <w:p w14:paraId="30DC868B">
            <w:pPr>
              <w:jc w:val="center"/>
              <w:rPr>
                <w:sz w:val="28"/>
                <w:szCs w:val="28"/>
              </w:rPr>
            </w:pPr>
            <w:r>
              <w:rPr>
                <w:rFonts w:hint="eastAsia"/>
                <w:sz w:val="28"/>
                <w:szCs w:val="28"/>
              </w:rPr>
              <w:t>40</w:t>
            </w:r>
          </w:p>
        </w:tc>
        <w:tc>
          <w:tcPr>
            <w:tcW w:w="305" w:type="pct"/>
            <w:vAlign w:val="center"/>
          </w:tcPr>
          <w:p w14:paraId="17225166">
            <w:pPr>
              <w:jc w:val="center"/>
              <w:rPr>
                <w:sz w:val="28"/>
                <w:szCs w:val="28"/>
              </w:rPr>
            </w:pPr>
            <w:r>
              <w:rPr>
                <w:rFonts w:hint="eastAsia"/>
                <w:sz w:val="28"/>
                <w:szCs w:val="28"/>
              </w:rPr>
              <w:t>160</w:t>
            </w:r>
          </w:p>
        </w:tc>
        <w:tc>
          <w:tcPr>
            <w:tcW w:w="356" w:type="pct"/>
            <w:vAlign w:val="center"/>
          </w:tcPr>
          <w:p w14:paraId="1A9973CC">
            <w:pPr>
              <w:jc w:val="center"/>
              <w:rPr>
                <w:bCs/>
                <w:sz w:val="28"/>
                <w:szCs w:val="28"/>
              </w:rPr>
            </w:pPr>
            <w:r>
              <w:rPr>
                <w:rFonts w:hint="eastAsia"/>
                <w:bCs/>
                <w:sz w:val="28"/>
                <w:szCs w:val="28"/>
              </w:rPr>
              <w:t>200</w:t>
            </w:r>
          </w:p>
        </w:tc>
        <w:tc>
          <w:tcPr>
            <w:tcW w:w="559" w:type="pct"/>
            <w:vAlign w:val="center"/>
          </w:tcPr>
          <w:p w14:paraId="0BFC265D">
            <w:pPr>
              <w:jc w:val="center"/>
              <w:rPr>
                <w:sz w:val="28"/>
                <w:szCs w:val="28"/>
              </w:rPr>
            </w:pPr>
            <w:r>
              <w:rPr>
                <w:rFonts w:hint="eastAsia"/>
                <w:sz w:val="28"/>
                <w:szCs w:val="28"/>
              </w:rPr>
              <w:t>辽宁</w:t>
            </w:r>
          </w:p>
        </w:tc>
        <w:tc>
          <w:tcPr>
            <w:tcW w:w="733" w:type="pct"/>
            <w:vAlign w:val="center"/>
          </w:tcPr>
          <w:p w14:paraId="63587BAD">
            <w:pPr>
              <w:jc w:val="center"/>
              <w:rPr>
                <w:sz w:val="28"/>
                <w:szCs w:val="28"/>
              </w:rPr>
            </w:pPr>
            <w:r>
              <w:rPr>
                <w:rFonts w:hint="eastAsia"/>
                <w:sz w:val="28"/>
                <w:szCs w:val="28"/>
              </w:rPr>
              <w:t>东北、华北地区</w:t>
            </w:r>
          </w:p>
        </w:tc>
      </w:tr>
      <w:tr w14:paraId="5756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2" w:hRule="atLeast"/>
        </w:trPr>
        <w:tc>
          <w:tcPr>
            <w:tcW w:w="1065" w:type="pct"/>
            <w:vAlign w:val="center"/>
          </w:tcPr>
          <w:p w14:paraId="521C7048">
            <w:pPr>
              <w:jc w:val="center"/>
              <w:rPr>
                <w:sz w:val="28"/>
                <w:szCs w:val="28"/>
              </w:rPr>
            </w:pPr>
            <w:r>
              <w:rPr>
                <w:rFonts w:hint="eastAsia"/>
                <w:sz w:val="28"/>
                <w:szCs w:val="28"/>
              </w:rPr>
              <w:t>汽车及零部件产业园</w:t>
            </w:r>
          </w:p>
        </w:tc>
        <w:tc>
          <w:tcPr>
            <w:tcW w:w="610" w:type="pct"/>
            <w:vAlign w:val="center"/>
          </w:tcPr>
          <w:p w14:paraId="280C5618">
            <w:pPr>
              <w:jc w:val="center"/>
              <w:rPr>
                <w:sz w:val="28"/>
                <w:szCs w:val="28"/>
              </w:rPr>
            </w:pPr>
            <w:r>
              <w:rPr>
                <w:rFonts w:hint="eastAsia"/>
                <w:sz w:val="28"/>
                <w:szCs w:val="28"/>
              </w:rPr>
              <w:t>汽车零部件</w:t>
            </w:r>
          </w:p>
        </w:tc>
        <w:tc>
          <w:tcPr>
            <w:tcW w:w="305" w:type="pct"/>
            <w:vAlign w:val="center"/>
          </w:tcPr>
          <w:p w14:paraId="7C4FABAF">
            <w:pPr>
              <w:jc w:val="center"/>
              <w:rPr>
                <w:sz w:val="28"/>
                <w:szCs w:val="28"/>
              </w:rPr>
            </w:pPr>
            <w:r>
              <w:rPr>
                <w:rFonts w:hint="eastAsia"/>
                <w:sz w:val="28"/>
                <w:szCs w:val="28"/>
              </w:rPr>
              <w:t>40</w:t>
            </w:r>
          </w:p>
        </w:tc>
        <w:tc>
          <w:tcPr>
            <w:tcW w:w="356" w:type="pct"/>
            <w:vAlign w:val="center"/>
          </w:tcPr>
          <w:p w14:paraId="177A5808">
            <w:pPr>
              <w:jc w:val="center"/>
              <w:rPr>
                <w:sz w:val="28"/>
                <w:szCs w:val="28"/>
              </w:rPr>
            </w:pPr>
            <w:r>
              <w:rPr>
                <w:rFonts w:hint="eastAsia"/>
                <w:sz w:val="28"/>
                <w:szCs w:val="28"/>
              </w:rPr>
              <w:t>650</w:t>
            </w:r>
          </w:p>
        </w:tc>
        <w:tc>
          <w:tcPr>
            <w:tcW w:w="355" w:type="pct"/>
            <w:vAlign w:val="center"/>
          </w:tcPr>
          <w:p w14:paraId="4B8FDD55">
            <w:pPr>
              <w:jc w:val="center"/>
              <w:rPr>
                <w:bCs/>
                <w:sz w:val="28"/>
                <w:szCs w:val="28"/>
              </w:rPr>
            </w:pPr>
            <w:r>
              <w:rPr>
                <w:rFonts w:hint="eastAsia"/>
                <w:bCs/>
                <w:sz w:val="28"/>
                <w:szCs w:val="28"/>
              </w:rPr>
              <w:t>690</w:t>
            </w:r>
          </w:p>
        </w:tc>
        <w:tc>
          <w:tcPr>
            <w:tcW w:w="356" w:type="pct"/>
            <w:vAlign w:val="center"/>
          </w:tcPr>
          <w:p w14:paraId="692AE915">
            <w:pPr>
              <w:jc w:val="center"/>
              <w:rPr>
                <w:sz w:val="28"/>
                <w:szCs w:val="28"/>
              </w:rPr>
            </w:pPr>
            <w:r>
              <w:rPr>
                <w:rFonts w:hint="eastAsia"/>
                <w:sz w:val="28"/>
                <w:szCs w:val="28"/>
              </w:rPr>
              <w:t>40</w:t>
            </w:r>
          </w:p>
        </w:tc>
        <w:tc>
          <w:tcPr>
            <w:tcW w:w="305" w:type="pct"/>
            <w:vAlign w:val="center"/>
          </w:tcPr>
          <w:p w14:paraId="2E3CB75A">
            <w:pPr>
              <w:jc w:val="center"/>
              <w:rPr>
                <w:sz w:val="28"/>
                <w:szCs w:val="28"/>
              </w:rPr>
            </w:pPr>
            <w:r>
              <w:rPr>
                <w:rFonts w:hint="eastAsia"/>
                <w:sz w:val="28"/>
                <w:szCs w:val="28"/>
              </w:rPr>
              <w:t>650</w:t>
            </w:r>
          </w:p>
        </w:tc>
        <w:tc>
          <w:tcPr>
            <w:tcW w:w="356" w:type="pct"/>
            <w:vAlign w:val="center"/>
          </w:tcPr>
          <w:p w14:paraId="6A52C0AC">
            <w:pPr>
              <w:jc w:val="center"/>
              <w:rPr>
                <w:bCs/>
                <w:sz w:val="28"/>
                <w:szCs w:val="28"/>
              </w:rPr>
            </w:pPr>
            <w:r>
              <w:rPr>
                <w:rFonts w:hint="eastAsia"/>
                <w:bCs/>
                <w:sz w:val="28"/>
                <w:szCs w:val="28"/>
              </w:rPr>
              <w:t>690</w:t>
            </w:r>
          </w:p>
        </w:tc>
        <w:tc>
          <w:tcPr>
            <w:tcW w:w="559" w:type="pct"/>
            <w:vAlign w:val="center"/>
          </w:tcPr>
          <w:p w14:paraId="03B6838B">
            <w:pPr>
              <w:jc w:val="center"/>
              <w:rPr>
                <w:sz w:val="28"/>
                <w:szCs w:val="28"/>
              </w:rPr>
            </w:pPr>
            <w:r>
              <w:rPr>
                <w:rFonts w:hint="eastAsia"/>
                <w:sz w:val="28"/>
                <w:szCs w:val="28"/>
              </w:rPr>
              <w:t>辽宁</w:t>
            </w:r>
          </w:p>
        </w:tc>
        <w:tc>
          <w:tcPr>
            <w:tcW w:w="733" w:type="pct"/>
            <w:vAlign w:val="center"/>
          </w:tcPr>
          <w:p w14:paraId="0BE1250B">
            <w:pPr>
              <w:jc w:val="center"/>
              <w:rPr>
                <w:sz w:val="28"/>
                <w:szCs w:val="28"/>
              </w:rPr>
            </w:pPr>
            <w:r>
              <w:rPr>
                <w:rFonts w:hint="eastAsia"/>
                <w:sz w:val="28"/>
                <w:szCs w:val="28"/>
              </w:rPr>
              <w:t>全国</w:t>
            </w:r>
          </w:p>
        </w:tc>
      </w:tr>
      <w:tr w14:paraId="6D62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2" w:hRule="atLeast"/>
        </w:trPr>
        <w:tc>
          <w:tcPr>
            <w:tcW w:w="1065" w:type="pct"/>
            <w:vAlign w:val="center"/>
          </w:tcPr>
          <w:p w14:paraId="3A823486">
            <w:pPr>
              <w:jc w:val="center"/>
              <w:rPr>
                <w:sz w:val="28"/>
                <w:szCs w:val="28"/>
              </w:rPr>
            </w:pPr>
            <w:r>
              <w:rPr>
                <w:rFonts w:hint="eastAsia"/>
                <w:sz w:val="28"/>
                <w:szCs w:val="28"/>
              </w:rPr>
              <w:t>致远物流</w:t>
            </w:r>
          </w:p>
        </w:tc>
        <w:tc>
          <w:tcPr>
            <w:tcW w:w="610" w:type="pct"/>
            <w:vAlign w:val="center"/>
          </w:tcPr>
          <w:p w14:paraId="3025BEE4">
            <w:pPr>
              <w:jc w:val="center"/>
              <w:rPr>
                <w:sz w:val="28"/>
                <w:szCs w:val="28"/>
              </w:rPr>
            </w:pPr>
            <w:r>
              <w:rPr>
                <w:rFonts w:hint="eastAsia"/>
                <w:sz w:val="28"/>
                <w:szCs w:val="28"/>
              </w:rPr>
              <w:t>铁精粉、钛精粉</w:t>
            </w:r>
          </w:p>
        </w:tc>
        <w:tc>
          <w:tcPr>
            <w:tcW w:w="305" w:type="pct"/>
            <w:vAlign w:val="center"/>
          </w:tcPr>
          <w:p w14:paraId="3318EBDF">
            <w:pPr>
              <w:jc w:val="center"/>
              <w:rPr>
                <w:sz w:val="28"/>
                <w:szCs w:val="28"/>
              </w:rPr>
            </w:pPr>
          </w:p>
        </w:tc>
        <w:tc>
          <w:tcPr>
            <w:tcW w:w="356" w:type="pct"/>
            <w:vAlign w:val="center"/>
          </w:tcPr>
          <w:p w14:paraId="5E1DA8F2">
            <w:pPr>
              <w:jc w:val="center"/>
              <w:rPr>
                <w:sz w:val="28"/>
                <w:szCs w:val="28"/>
              </w:rPr>
            </w:pPr>
            <w:r>
              <w:rPr>
                <w:rFonts w:hint="eastAsia"/>
                <w:sz w:val="28"/>
                <w:szCs w:val="28"/>
              </w:rPr>
              <w:t>130</w:t>
            </w:r>
          </w:p>
        </w:tc>
        <w:tc>
          <w:tcPr>
            <w:tcW w:w="355" w:type="pct"/>
            <w:vAlign w:val="center"/>
          </w:tcPr>
          <w:p w14:paraId="32E72B13">
            <w:pPr>
              <w:jc w:val="center"/>
              <w:rPr>
                <w:sz w:val="28"/>
                <w:szCs w:val="28"/>
              </w:rPr>
            </w:pPr>
            <w:r>
              <w:rPr>
                <w:rFonts w:hint="eastAsia"/>
                <w:sz w:val="28"/>
                <w:szCs w:val="28"/>
              </w:rPr>
              <w:t>130</w:t>
            </w:r>
          </w:p>
        </w:tc>
        <w:tc>
          <w:tcPr>
            <w:tcW w:w="356" w:type="pct"/>
            <w:vAlign w:val="center"/>
          </w:tcPr>
          <w:p w14:paraId="696C459A">
            <w:pPr>
              <w:jc w:val="center"/>
              <w:rPr>
                <w:sz w:val="28"/>
                <w:szCs w:val="28"/>
              </w:rPr>
            </w:pPr>
          </w:p>
        </w:tc>
        <w:tc>
          <w:tcPr>
            <w:tcW w:w="305" w:type="pct"/>
            <w:vAlign w:val="center"/>
          </w:tcPr>
          <w:p w14:paraId="79B70CA5">
            <w:pPr>
              <w:jc w:val="center"/>
              <w:rPr>
                <w:sz w:val="28"/>
                <w:szCs w:val="28"/>
              </w:rPr>
            </w:pPr>
            <w:r>
              <w:rPr>
                <w:rFonts w:hint="eastAsia"/>
                <w:sz w:val="28"/>
                <w:szCs w:val="28"/>
              </w:rPr>
              <w:t>130</w:t>
            </w:r>
          </w:p>
        </w:tc>
        <w:tc>
          <w:tcPr>
            <w:tcW w:w="356" w:type="pct"/>
            <w:vAlign w:val="center"/>
          </w:tcPr>
          <w:p w14:paraId="7E6CFEC3">
            <w:pPr>
              <w:jc w:val="center"/>
              <w:rPr>
                <w:sz w:val="28"/>
                <w:szCs w:val="28"/>
              </w:rPr>
            </w:pPr>
            <w:r>
              <w:rPr>
                <w:rFonts w:hint="eastAsia"/>
                <w:sz w:val="28"/>
                <w:szCs w:val="28"/>
              </w:rPr>
              <w:t>130</w:t>
            </w:r>
          </w:p>
        </w:tc>
        <w:tc>
          <w:tcPr>
            <w:tcW w:w="559" w:type="pct"/>
            <w:vAlign w:val="center"/>
          </w:tcPr>
          <w:p w14:paraId="3676838A">
            <w:pPr>
              <w:jc w:val="center"/>
              <w:rPr>
                <w:sz w:val="28"/>
                <w:szCs w:val="28"/>
              </w:rPr>
            </w:pPr>
          </w:p>
        </w:tc>
        <w:tc>
          <w:tcPr>
            <w:tcW w:w="733" w:type="pct"/>
            <w:vAlign w:val="center"/>
          </w:tcPr>
          <w:p w14:paraId="7BA112FB">
            <w:pPr>
              <w:jc w:val="center"/>
              <w:rPr>
                <w:sz w:val="28"/>
                <w:szCs w:val="28"/>
              </w:rPr>
            </w:pPr>
            <w:r>
              <w:rPr>
                <w:rFonts w:hint="eastAsia"/>
                <w:sz w:val="28"/>
                <w:szCs w:val="28"/>
              </w:rPr>
              <w:t>全国</w:t>
            </w:r>
          </w:p>
        </w:tc>
      </w:tr>
      <w:tr w14:paraId="41D7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2" w:hRule="atLeast"/>
        </w:trPr>
        <w:tc>
          <w:tcPr>
            <w:tcW w:w="1675" w:type="pct"/>
            <w:gridSpan w:val="2"/>
            <w:vAlign w:val="center"/>
          </w:tcPr>
          <w:p w14:paraId="67F88505">
            <w:pPr>
              <w:jc w:val="center"/>
              <w:rPr>
                <w:b/>
                <w:bCs/>
                <w:sz w:val="28"/>
                <w:szCs w:val="28"/>
              </w:rPr>
            </w:pPr>
            <w:r>
              <w:rPr>
                <w:rFonts w:hint="eastAsia"/>
                <w:b/>
                <w:bCs/>
                <w:sz w:val="28"/>
                <w:szCs w:val="28"/>
              </w:rPr>
              <w:t>合计</w:t>
            </w:r>
          </w:p>
        </w:tc>
        <w:tc>
          <w:tcPr>
            <w:tcW w:w="1016" w:type="pct"/>
            <w:gridSpan w:val="3"/>
            <w:vAlign w:val="center"/>
          </w:tcPr>
          <w:p w14:paraId="4413FDD6">
            <w:pPr>
              <w:jc w:val="center"/>
              <w:rPr>
                <w:b/>
                <w:bCs/>
                <w:sz w:val="28"/>
                <w:szCs w:val="28"/>
              </w:rPr>
            </w:pPr>
            <w:r>
              <w:rPr>
                <w:b/>
                <w:bCs/>
                <w:sz w:val="28"/>
                <w:szCs w:val="28"/>
              </w:rPr>
              <w:t>4860</w:t>
            </w:r>
          </w:p>
        </w:tc>
        <w:tc>
          <w:tcPr>
            <w:tcW w:w="1017" w:type="pct"/>
            <w:gridSpan w:val="3"/>
            <w:vAlign w:val="center"/>
          </w:tcPr>
          <w:p w14:paraId="4DFDDF98">
            <w:pPr>
              <w:jc w:val="center"/>
              <w:rPr>
                <w:b/>
                <w:bCs/>
                <w:sz w:val="28"/>
                <w:szCs w:val="28"/>
              </w:rPr>
            </w:pPr>
            <w:r>
              <w:rPr>
                <w:b/>
                <w:bCs/>
                <w:sz w:val="28"/>
                <w:szCs w:val="28"/>
              </w:rPr>
              <w:t>6960</w:t>
            </w:r>
          </w:p>
        </w:tc>
        <w:tc>
          <w:tcPr>
            <w:tcW w:w="559" w:type="pct"/>
            <w:vAlign w:val="center"/>
          </w:tcPr>
          <w:p w14:paraId="1F77B6CB">
            <w:pPr>
              <w:jc w:val="center"/>
              <w:rPr>
                <w:sz w:val="28"/>
                <w:szCs w:val="28"/>
              </w:rPr>
            </w:pPr>
          </w:p>
        </w:tc>
        <w:tc>
          <w:tcPr>
            <w:tcW w:w="733" w:type="pct"/>
            <w:vAlign w:val="center"/>
          </w:tcPr>
          <w:p w14:paraId="4EAC44CA">
            <w:pPr>
              <w:jc w:val="center"/>
              <w:rPr>
                <w:sz w:val="28"/>
                <w:szCs w:val="28"/>
              </w:rPr>
            </w:pPr>
          </w:p>
        </w:tc>
      </w:tr>
    </w:tbl>
    <w:p w14:paraId="10927A97">
      <w:pPr>
        <w:pStyle w:val="10"/>
        <w:rPr>
          <w:sz w:val="24"/>
          <w:szCs w:val="24"/>
        </w:rPr>
        <w:sectPr>
          <w:pgSz w:w="16838" w:h="11906" w:orient="landscape"/>
          <w:pgMar w:top="1797" w:right="1440" w:bottom="1797" w:left="1440" w:header="851" w:footer="992" w:gutter="0"/>
          <w:cols w:space="425" w:num="1"/>
          <w:docGrid w:linePitch="312" w:charSpace="0"/>
        </w:sectPr>
      </w:pPr>
    </w:p>
    <w:p w14:paraId="5E759A31">
      <w:pPr>
        <w:pStyle w:val="10"/>
        <w:jc w:val="center"/>
        <w:rPr>
          <w:b/>
          <w:bCs/>
          <w:sz w:val="24"/>
          <w:szCs w:val="24"/>
        </w:rPr>
      </w:pPr>
      <w:bookmarkStart w:id="72" w:name="_Toc79498042"/>
      <w:r>
        <w:rPr>
          <w:rFonts w:hint="eastAsia"/>
          <w:b/>
          <w:bCs/>
          <w:sz w:val="24"/>
          <w:szCs w:val="24"/>
        </w:rPr>
        <w:t>表</w:t>
      </w:r>
      <w:r>
        <w:rPr>
          <w:b/>
          <w:bCs/>
          <w:sz w:val="24"/>
          <w:szCs w:val="24"/>
        </w:rPr>
        <w:fldChar w:fldCharType="begin"/>
      </w:r>
      <w:r>
        <w:rPr>
          <w:rFonts w:hint="eastAsia"/>
          <w:b/>
          <w:bCs/>
          <w:sz w:val="24"/>
          <w:szCs w:val="24"/>
        </w:rPr>
        <w:instrText xml:space="preserve">SEQ 表 \* ARABIC</w:instrText>
      </w:r>
      <w:r>
        <w:rPr>
          <w:b/>
          <w:bCs/>
          <w:sz w:val="24"/>
          <w:szCs w:val="24"/>
        </w:rPr>
        <w:fldChar w:fldCharType="separate"/>
      </w:r>
      <w:r>
        <w:rPr>
          <w:b/>
          <w:bCs/>
          <w:sz w:val="24"/>
          <w:szCs w:val="24"/>
        </w:rPr>
        <w:t>5</w:t>
      </w:r>
      <w:r>
        <w:rPr>
          <w:b/>
          <w:bCs/>
          <w:sz w:val="24"/>
          <w:szCs w:val="24"/>
        </w:rPr>
        <w:fldChar w:fldCharType="end"/>
      </w:r>
      <w:r>
        <w:rPr>
          <w:rFonts w:hint="eastAsia"/>
          <w:b/>
          <w:bCs/>
          <w:sz w:val="24"/>
          <w:szCs w:val="24"/>
        </w:rPr>
        <w:t>朝阳凌源非金属新材料产业园内主要企业货运量</w:t>
      </w:r>
      <w:bookmarkEnd w:id="72"/>
    </w:p>
    <w:p w14:paraId="60A93180">
      <w:pPr>
        <w:pStyle w:val="10"/>
        <w:jc w:val="right"/>
        <w:rPr>
          <w:rFonts w:ascii="仿宋_GB2312" w:hAnsi="仿宋_GB2312" w:eastAsia="仿宋_GB2312" w:cs="仿宋_GB2312"/>
          <w:sz w:val="21"/>
          <w:szCs w:val="21"/>
        </w:rPr>
      </w:pPr>
      <w:r>
        <w:rPr>
          <w:rFonts w:hint="eastAsia"/>
          <w:sz w:val="24"/>
          <w:szCs w:val="24"/>
        </w:rPr>
        <w:t>单位：万吨</w:t>
      </w:r>
    </w:p>
    <w:p w14:paraId="55DCE453">
      <w:pPr>
        <w:pStyle w:val="87"/>
        <w:widowControl w:val="0"/>
        <w:spacing w:line="240" w:lineRule="auto"/>
        <w:ind w:firstLine="0" w:firstLineChars="0"/>
        <w:rPr>
          <w:rFonts w:ascii="仿宋_GB2312" w:hAnsi="仿宋_GB2312" w:eastAsia="仿宋_GB2312" w:cs="仿宋_GB2312"/>
          <w:sz w:val="32"/>
          <w:szCs w:val="32"/>
        </w:rPr>
      </w:pPr>
    </w:p>
    <w:tbl>
      <w:tblPr>
        <w:tblStyle w:val="35"/>
        <w:tblW w:w="49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986"/>
        <w:gridCol w:w="2707"/>
        <w:gridCol w:w="999"/>
        <w:gridCol w:w="854"/>
        <w:gridCol w:w="857"/>
        <w:gridCol w:w="711"/>
        <w:gridCol w:w="854"/>
        <w:gridCol w:w="834"/>
        <w:gridCol w:w="1730"/>
        <w:gridCol w:w="1421"/>
      </w:tblGrid>
      <w:tr w14:paraId="49A2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trPr>
        <w:tc>
          <w:tcPr>
            <w:tcW w:w="1070" w:type="pct"/>
            <w:vMerge w:val="restart"/>
            <w:vAlign w:val="center"/>
          </w:tcPr>
          <w:p w14:paraId="1630226A">
            <w:pPr>
              <w:jc w:val="center"/>
              <w:rPr>
                <w:sz w:val="28"/>
                <w:szCs w:val="28"/>
              </w:rPr>
            </w:pPr>
            <w:r>
              <w:rPr>
                <w:sz w:val="28"/>
                <w:szCs w:val="28"/>
              </w:rPr>
              <w:t>企业名称</w:t>
            </w:r>
          </w:p>
        </w:tc>
        <w:tc>
          <w:tcPr>
            <w:tcW w:w="970" w:type="pct"/>
            <w:vMerge w:val="restart"/>
            <w:vAlign w:val="center"/>
          </w:tcPr>
          <w:p w14:paraId="4FA50350">
            <w:pPr>
              <w:jc w:val="center"/>
              <w:rPr>
                <w:sz w:val="28"/>
                <w:szCs w:val="28"/>
              </w:rPr>
            </w:pPr>
            <w:r>
              <w:rPr>
                <w:sz w:val="28"/>
                <w:szCs w:val="28"/>
              </w:rPr>
              <w:t>品类</w:t>
            </w:r>
          </w:p>
        </w:tc>
        <w:tc>
          <w:tcPr>
            <w:tcW w:w="971" w:type="pct"/>
            <w:gridSpan w:val="3"/>
            <w:vAlign w:val="center"/>
          </w:tcPr>
          <w:p w14:paraId="087D06DB">
            <w:pPr>
              <w:jc w:val="center"/>
              <w:rPr>
                <w:sz w:val="28"/>
                <w:szCs w:val="28"/>
              </w:rPr>
            </w:pPr>
            <w:r>
              <w:rPr>
                <w:rFonts w:hint="eastAsia"/>
                <w:sz w:val="28"/>
                <w:szCs w:val="28"/>
              </w:rPr>
              <w:t>2025年</w:t>
            </w:r>
          </w:p>
        </w:tc>
        <w:tc>
          <w:tcPr>
            <w:tcW w:w="860" w:type="pct"/>
            <w:gridSpan w:val="3"/>
            <w:vAlign w:val="center"/>
          </w:tcPr>
          <w:p w14:paraId="3F7CBD86">
            <w:pPr>
              <w:jc w:val="center"/>
              <w:rPr>
                <w:sz w:val="28"/>
                <w:szCs w:val="28"/>
              </w:rPr>
            </w:pPr>
            <w:r>
              <w:rPr>
                <w:rFonts w:hint="eastAsia"/>
                <w:sz w:val="28"/>
                <w:szCs w:val="28"/>
              </w:rPr>
              <w:t>2</w:t>
            </w:r>
            <w:r>
              <w:rPr>
                <w:sz w:val="28"/>
                <w:szCs w:val="28"/>
              </w:rPr>
              <w:t>035</w:t>
            </w:r>
            <w:r>
              <w:rPr>
                <w:rFonts w:hint="eastAsia"/>
                <w:sz w:val="28"/>
                <w:szCs w:val="28"/>
              </w:rPr>
              <w:t>年</w:t>
            </w:r>
          </w:p>
        </w:tc>
        <w:tc>
          <w:tcPr>
            <w:tcW w:w="620" w:type="pct"/>
            <w:vAlign w:val="center"/>
          </w:tcPr>
          <w:p w14:paraId="2F7F9FD6">
            <w:pPr>
              <w:jc w:val="center"/>
              <w:rPr>
                <w:sz w:val="28"/>
                <w:szCs w:val="28"/>
              </w:rPr>
            </w:pPr>
            <w:r>
              <w:rPr>
                <w:sz w:val="28"/>
                <w:szCs w:val="28"/>
              </w:rPr>
              <w:t>来源</w:t>
            </w:r>
          </w:p>
        </w:tc>
        <w:tc>
          <w:tcPr>
            <w:tcW w:w="509" w:type="pct"/>
            <w:vAlign w:val="center"/>
          </w:tcPr>
          <w:p w14:paraId="4E23ACA2">
            <w:pPr>
              <w:jc w:val="center"/>
              <w:rPr>
                <w:sz w:val="28"/>
                <w:szCs w:val="28"/>
              </w:rPr>
            </w:pPr>
            <w:r>
              <w:rPr>
                <w:sz w:val="28"/>
                <w:szCs w:val="28"/>
              </w:rPr>
              <w:t>去向</w:t>
            </w:r>
          </w:p>
        </w:tc>
      </w:tr>
      <w:tr w14:paraId="0AB9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trPr>
        <w:tc>
          <w:tcPr>
            <w:tcW w:w="1070" w:type="pct"/>
            <w:vMerge w:val="continue"/>
            <w:vAlign w:val="center"/>
          </w:tcPr>
          <w:p w14:paraId="7EC0DFB4">
            <w:pPr>
              <w:jc w:val="center"/>
              <w:rPr>
                <w:sz w:val="28"/>
                <w:szCs w:val="28"/>
              </w:rPr>
            </w:pPr>
          </w:p>
        </w:tc>
        <w:tc>
          <w:tcPr>
            <w:tcW w:w="970" w:type="pct"/>
            <w:vMerge w:val="continue"/>
            <w:vAlign w:val="center"/>
          </w:tcPr>
          <w:p w14:paraId="4852E73D">
            <w:pPr>
              <w:jc w:val="center"/>
              <w:rPr>
                <w:sz w:val="28"/>
                <w:szCs w:val="28"/>
              </w:rPr>
            </w:pPr>
          </w:p>
        </w:tc>
        <w:tc>
          <w:tcPr>
            <w:tcW w:w="358" w:type="pct"/>
            <w:vAlign w:val="center"/>
          </w:tcPr>
          <w:p w14:paraId="2F7DE9E6">
            <w:pPr>
              <w:jc w:val="center"/>
              <w:rPr>
                <w:sz w:val="28"/>
                <w:szCs w:val="28"/>
              </w:rPr>
            </w:pPr>
            <w:r>
              <w:rPr>
                <w:rFonts w:hint="eastAsia"/>
                <w:sz w:val="28"/>
                <w:szCs w:val="28"/>
              </w:rPr>
              <w:t>到达</w:t>
            </w:r>
          </w:p>
        </w:tc>
        <w:tc>
          <w:tcPr>
            <w:tcW w:w="306" w:type="pct"/>
            <w:vAlign w:val="center"/>
          </w:tcPr>
          <w:p w14:paraId="0C82F520">
            <w:pPr>
              <w:jc w:val="center"/>
              <w:rPr>
                <w:sz w:val="28"/>
                <w:szCs w:val="28"/>
              </w:rPr>
            </w:pPr>
            <w:r>
              <w:rPr>
                <w:rFonts w:hint="eastAsia"/>
                <w:sz w:val="28"/>
                <w:szCs w:val="28"/>
              </w:rPr>
              <w:t>发送</w:t>
            </w:r>
          </w:p>
        </w:tc>
        <w:tc>
          <w:tcPr>
            <w:tcW w:w="307" w:type="pct"/>
            <w:vAlign w:val="center"/>
          </w:tcPr>
          <w:p w14:paraId="17027491">
            <w:pPr>
              <w:jc w:val="center"/>
              <w:rPr>
                <w:sz w:val="28"/>
                <w:szCs w:val="28"/>
              </w:rPr>
            </w:pPr>
            <w:r>
              <w:rPr>
                <w:rFonts w:hint="eastAsia"/>
                <w:b/>
                <w:bCs/>
                <w:sz w:val="28"/>
                <w:szCs w:val="28"/>
              </w:rPr>
              <w:t>合计</w:t>
            </w:r>
          </w:p>
        </w:tc>
        <w:tc>
          <w:tcPr>
            <w:tcW w:w="255" w:type="pct"/>
            <w:vAlign w:val="center"/>
          </w:tcPr>
          <w:p w14:paraId="543E8B08">
            <w:pPr>
              <w:jc w:val="center"/>
              <w:rPr>
                <w:sz w:val="28"/>
                <w:szCs w:val="28"/>
              </w:rPr>
            </w:pPr>
            <w:r>
              <w:rPr>
                <w:rFonts w:hint="eastAsia"/>
                <w:sz w:val="28"/>
                <w:szCs w:val="28"/>
              </w:rPr>
              <w:t>到达</w:t>
            </w:r>
          </w:p>
        </w:tc>
        <w:tc>
          <w:tcPr>
            <w:tcW w:w="306" w:type="pct"/>
            <w:vAlign w:val="center"/>
          </w:tcPr>
          <w:p w14:paraId="7E68A01F">
            <w:pPr>
              <w:jc w:val="center"/>
              <w:rPr>
                <w:sz w:val="28"/>
                <w:szCs w:val="28"/>
              </w:rPr>
            </w:pPr>
            <w:r>
              <w:rPr>
                <w:rFonts w:hint="eastAsia"/>
                <w:sz w:val="28"/>
                <w:szCs w:val="28"/>
              </w:rPr>
              <w:t>发送</w:t>
            </w:r>
          </w:p>
        </w:tc>
        <w:tc>
          <w:tcPr>
            <w:tcW w:w="299" w:type="pct"/>
            <w:vAlign w:val="center"/>
          </w:tcPr>
          <w:p w14:paraId="0ED3CCE3">
            <w:pPr>
              <w:jc w:val="center"/>
              <w:rPr>
                <w:b/>
                <w:bCs/>
                <w:sz w:val="28"/>
                <w:szCs w:val="28"/>
              </w:rPr>
            </w:pPr>
            <w:r>
              <w:rPr>
                <w:rFonts w:hint="eastAsia"/>
                <w:b/>
                <w:bCs/>
                <w:sz w:val="28"/>
                <w:szCs w:val="28"/>
              </w:rPr>
              <w:t>合计</w:t>
            </w:r>
          </w:p>
        </w:tc>
        <w:tc>
          <w:tcPr>
            <w:tcW w:w="620" w:type="pct"/>
            <w:vAlign w:val="center"/>
          </w:tcPr>
          <w:p w14:paraId="6E67CB3F">
            <w:pPr>
              <w:jc w:val="center"/>
              <w:rPr>
                <w:sz w:val="28"/>
                <w:szCs w:val="28"/>
              </w:rPr>
            </w:pPr>
            <w:r>
              <w:rPr>
                <w:rFonts w:hint="eastAsia"/>
                <w:sz w:val="28"/>
                <w:szCs w:val="28"/>
              </w:rPr>
              <w:t>到达</w:t>
            </w:r>
          </w:p>
        </w:tc>
        <w:tc>
          <w:tcPr>
            <w:tcW w:w="509" w:type="pct"/>
            <w:vAlign w:val="center"/>
          </w:tcPr>
          <w:p w14:paraId="1EED253A">
            <w:pPr>
              <w:jc w:val="center"/>
              <w:rPr>
                <w:sz w:val="28"/>
                <w:szCs w:val="28"/>
              </w:rPr>
            </w:pPr>
            <w:r>
              <w:rPr>
                <w:rFonts w:hint="eastAsia"/>
                <w:sz w:val="28"/>
                <w:szCs w:val="28"/>
              </w:rPr>
              <w:t>发送</w:t>
            </w:r>
          </w:p>
        </w:tc>
      </w:tr>
      <w:tr w14:paraId="25FB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trPr>
        <w:tc>
          <w:tcPr>
            <w:tcW w:w="1070" w:type="pct"/>
            <w:vAlign w:val="center"/>
          </w:tcPr>
          <w:p w14:paraId="18DD0F88">
            <w:pPr>
              <w:jc w:val="center"/>
              <w:rPr>
                <w:sz w:val="28"/>
                <w:szCs w:val="28"/>
              </w:rPr>
            </w:pPr>
            <w:r>
              <w:rPr>
                <w:sz w:val="28"/>
                <w:szCs w:val="28"/>
              </w:rPr>
              <w:t>中国建材</w:t>
            </w:r>
            <w:r>
              <w:rPr>
                <w:rFonts w:hint="eastAsia"/>
                <w:sz w:val="28"/>
                <w:szCs w:val="28"/>
              </w:rPr>
              <w:t>股份有限公司</w:t>
            </w:r>
          </w:p>
        </w:tc>
        <w:tc>
          <w:tcPr>
            <w:tcW w:w="970" w:type="pct"/>
            <w:vAlign w:val="center"/>
          </w:tcPr>
          <w:p w14:paraId="73A98A6D">
            <w:pPr>
              <w:jc w:val="center"/>
              <w:rPr>
                <w:sz w:val="28"/>
                <w:szCs w:val="28"/>
              </w:rPr>
            </w:pPr>
            <w:r>
              <w:rPr>
                <w:sz w:val="28"/>
                <w:szCs w:val="28"/>
              </w:rPr>
              <w:t>煤炭、活性氢氧化钙、机制砂和骨料</w:t>
            </w:r>
          </w:p>
        </w:tc>
        <w:tc>
          <w:tcPr>
            <w:tcW w:w="358" w:type="pct"/>
            <w:vAlign w:val="center"/>
          </w:tcPr>
          <w:p w14:paraId="4A307660">
            <w:pPr>
              <w:jc w:val="center"/>
              <w:rPr>
                <w:sz w:val="28"/>
                <w:szCs w:val="28"/>
              </w:rPr>
            </w:pPr>
            <w:r>
              <w:rPr>
                <w:rFonts w:hint="eastAsia"/>
                <w:sz w:val="28"/>
                <w:szCs w:val="28"/>
              </w:rPr>
              <w:t>200</w:t>
            </w:r>
          </w:p>
        </w:tc>
        <w:tc>
          <w:tcPr>
            <w:tcW w:w="306" w:type="pct"/>
            <w:vAlign w:val="center"/>
          </w:tcPr>
          <w:p w14:paraId="403A279A">
            <w:pPr>
              <w:jc w:val="center"/>
              <w:rPr>
                <w:sz w:val="28"/>
                <w:szCs w:val="28"/>
              </w:rPr>
            </w:pPr>
            <w:r>
              <w:rPr>
                <w:rFonts w:hint="eastAsia"/>
                <w:sz w:val="28"/>
                <w:szCs w:val="28"/>
              </w:rPr>
              <w:t>800</w:t>
            </w:r>
          </w:p>
        </w:tc>
        <w:tc>
          <w:tcPr>
            <w:tcW w:w="307" w:type="pct"/>
            <w:vAlign w:val="center"/>
          </w:tcPr>
          <w:p w14:paraId="120E19E9">
            <w:pPr>
              <w:jc w:val="center"/>
              <w:rPr>
                <w:bCs/>
                <w:sz w:val="28"/>
                <w:szCs w:val="28"/>
              </w:rPr>
            </w:pPr>
            <w:r>
              <w:rPr>
                <w:rFonts w:hint="eastAsia"/>
                <w:bCs/>
                <w:sz w:val="28"/>
                <w:szCs w:val="28"/>
              </w:rPr>
              <w:t>1000</w:t>
            </w:r>
          </w:p>
        </w:tc>
        <w:tc>
          <w:tcPr>
            <w:tcW w:w="255" w:type="pct"/>
            <w:vAlign w:val="center"/>
          </w:tcPr>
          <w:p w14:paraId="4204C6C0">
            <w:pPr>
              <w:jc w:val="center"/>
              <w:rPr>
                <w:sz w:val="28"/>
                <w:szCs w:val="28"/>
              </w:rPr>
            </w:pPr>
            <w:r>
              <w:rPr>
                <w:rFonts w:hint="eastAsia"/>
                <w:sz w:val="28"/>
                <w:szCs w:val="28"/>
              </w:rPr>
              <w:t>300</w:t>
            </w:r>
          </w:p>
        </w:tc>
        <w:tc>
          <w:tcPr>
            <w:tcW w:w="306" w:type="pct"/>
            <w:vAlign w:val="center"/>
          </w:tcPr>
          <w:p w14:paraId="4C499C0D">
            <w:pPr>
              <w:jc w:val="center"/>
              <w:rPr>
                <w:sz w:val="28"/>
                <w:szCs w:val="28"/>
              </w:rPr>
            </w:pPr>
            <w:r>
              <w:rPr>
                <w:rFonts w:hint="eastAsia"/>
                <w:sz w:val="28"/>
                <w:szCs w:val="28"/>
              </w:rPr>
              <w:t>1200</w:t>
            </w:r>
          </w:p>
        </w:tc>
        <w:tc>
          <w:tcPr>
            <w:tcW w:w="299" w:type="pct"/>
            <w:vAlign w:val="center"/>
          </w:tcPr>
          <w:p w14:paraId="3EF47291">
            <w:pPr>
              <w:jc w:val="center"/>
              <w:rPr>
                <w:bCs/>
                <w:sz w:val="28"/>
                <w:szCs w:val="28"/>
              </w:rPr>
            </w:pPr>
            <w:r>
              <w:rPr>
                <w:rFonts w:hint="eastAsia"/>
                <w:bCs/>
                <w:sz w:val="28"/>
                <w:szCs w:val="28"/>
              </w:rPr>
              <w:t>1500</w:t>
            </w:r>
          </w:p>
        </w:tc>
        <w:tc>
          <w:tcPr>
            <w:tcW w:w="620" w:type="pct"/>
            <w:vAlign w:val="center"/>
          </w:tcPr>
          <w:p w14:paraId="42DC0855">
            <w:pPr>
              <w:jc w:val="center"/>
              <w:rPr>
                <w:sz w:val="28"/>
                <w:szCs w:val="28"/>
              </w:rPr>
            </w:pPr>
            <w:r>
              <w:rPr>
                <w:rFonts w:hint="eastAsia"/>
                <w:sz w:val="28"/>
                <w:szCs w:val="28"/>
              </w:rPr>
              <w:t>内蒙、山西</w:t>
            </w:r>
          </w:p>
        </w:tc>
        <w:tc>
          <w:tcPr>
            <w:tcW w:w="509" w:type="pct"/>
            <w:vAlign w:val="center"/>
          </w:tcPr>
          <w:p w14:paraId="0E386EB0">
            <w:pPr>
              <w:jc w:val="center"/>
              <w:rPr>
                <w:sz w:val="28"/>
                <w:szCs w:val="28"/>
              </w:rPr>
            </w:pPr>
            <w:r>
              <w:rPr>
                <w:rFonts w:hint="eastAsia"/>
                <w:sz w:val="28"/>
                <w:szCs w:val="28"/>
              </w:rPr>
              <w:t>京津冀</w:t>
            </w:r>
          </w:p>
        </w:tc>
      </w:tr>
      <w:tr w14:paraId="1FCE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trPr>
        <w:tc>
          <w:tcPr>
            <w:tcW w:w="1070" w:type="pct"/>
            <w:vAlign w:val="center"/>
          </w:tcPr>
          <w:p w14:paraId="2A295EBE">
            <w:pPr>
              <w:jc w:val="center"/>
              <w:rPr>
                <w:sz w:val="28"/>
                <w:szCs w:val="28"/>
              </w:rPr>
            </w:pPr>
            <w:r>
              <w:rPr>
                <w:rFonts w:hint="eastAsia"/>
                <w:sz w:val="28"/>
                <w:szCs w:val="28"/>
              </w:rPr>
              <w:t>翅冀矿业</w:t>
            </w:r>
          </w:p>
        </w:tc>
        <w:tc>
          <w:tcPr>
            <w:tcW w:w="970" w:type="pct"/>
            <w:vAlign w:val="center"/>
          </w:tcPr>
          <w:p w14:paraId="102469CE">
            <w:pPr>
              <w:jc w:val="center"/>
              <w:rPr>
                <w:sz w:val="28"/>
                <w:szCs w:val="28"/>
              </w:rPr>
            </w:pPr>
            <w:r>
              <w:rPr>
                <w:rFonts w:hint="eastAsia"/>
                <w:sz w:val="28"/>
                <w:szCs w:val="28"/>
              </w:rPr>
              <w:t>煤炭、冶金白灰</w:t>
            </w:r>
          </w:p>
        </w:tc>
        <w:tc>
          <w:tcPr>
            <w:tcW w:w="358" w:type="pct"/>
            <w:vAlign w:val="center"/>
          </w:tcPr>
          <w:p w14:paraId="5FFBC1F3">
            <w:pPr>
              <w:jc w:val="center"/>
              <w:rPr>
                <w:sz w:val="28"/>
                <w:szCs w:val="28"/>
              </w:rPr>
            </w:pPr>
            <w:r>
              <w:rPr>
                <w:rFonts w:hint="eastAsia"/>
                <w:sz w:val="28"/>
                <w:szCs w:val="28"/>
              </w:rPr>
              <w:t>130</w:t>
            </w:r>
          </w:p>
        </w:tc>
        <w:tc>
          <w:tcPr>
            <w:tcW w:w="306" w:type="pct"/>
            <w:vAlign w:val="center"/>
          </w:tcPr>
          <w:p w14:paraId="584C775E">
            <w:pPr>
              <w:jc w:val="center"/>
              <w:rPr>
                <w:sz w:val="28"/>
                <w:szCs w:val="28"/>
              </w:rPr>
            </w:pPr>
            <w:r>
              <w:rPr>
                <w:rFonts w:hint="eastAsia"/>
                <w:sz w:val="28"/>
                <w:szCs w:val="28"/>
              </w:rPr>
              <w:t>500</w:t>
            </w:r>
          </w:p>
        </w:tc>
        <w:tc>
          <w:tcPr>
            <w:tcW w:w="307" w:type="pct"/>
            <w:vAlign w:val="center"/>
          </w:tcPr>
          <w:p w14:paraId="088C472A">
            <w:pPr>
              <w:jc w:val="center"/>
              <w:rPr>
                <w:bCs/>
                <w:sz w:val="28"/>
                <w:szCs w:val="28"/>
              </w:rPr>
            </w:pPr>
            <w:r>
              <w:rPr>
                <w:rFonts w:hint="eastAsia"/>
                <w:bCs/>
                <w:sz w:val="28"/>
                <w:szCs w:val="28"/>
              </w:rPr>
              <w:t>630</w:t>
            </w:r>
          </w:p>
        </w:tc>
        <w:tc>
          <w:tcPr>
            <w:tcW w:w="255" w:type="pct"/>
            <w:vAlign w:val="center"/>
          </w:tcPr>
          <w:p w14:paraId="0892CCF6">
            <w:pPr>
              <w:jc w:val="center"/>
              <w:rPr>
                <w:sz w:val="28"/>
                <w:szCs w:val="28"/>
              </w:rPr>
            </w:pPr>
            <w:r>
              <w:rPr>
                <w:rFonts w:hint="eastAsia"/>
                <w:sz w:val="28"/>
                <w:szCs w:val="28"/>
              </w:rPr>
              <w:t>260</w:t>
            </w:r>
          </w:p>
        </w:tc>
        <w:tc>
          <w:tcPr>
            <w:tcW w:w="306" w:type="pct"/>
            <w:vAlign w:val="center"/>
          </w:tcPr>
          <w:p w14:paraId="02CD9D69">
            <w:pPr>
              <w:jc w:val="center"/>
              <w:rPr>
                <w:sz w:val="28"/>
                <w:szCs w:val="28"/>
              </w:rPr>
            </w:pPr>
            <w:r>
              <w:rPr>
                <w:rFonts w:hint="eastAsia"/>
                <w:sz w:val="28"/>
                <w:szCs w:val="28"/>
              </w:rPr>
              <w:t>1000</w:t>
            </w:r>
          </w:p>
        </w:tc>
        <w:tc>
          <w:tcPr>
            <w:tcW w:w="299" w:type="pct"/>
            <w:vAlign w:val="center"/>
          </w:tcPr>
          <w:p w14:paraId="251C86C9">
            <w:pPr>
              <w:jc w:val="center"/>
              <w:rPr>
                <w:bCs/>
                <w:sz w:val="28"/>
                <w:szCs w:val="28"/>
              </w:rPr>
            </w:pPr>
            <w:r>
              <w:rPr>
                <w:rFonts w:hint="eastAsia"/>
                <w:bCs/>
                <w:sz w:val="28"/>
                <w:szCs w:val="28"/>
              </w:rPr>
              <w:t>1260</w:t>
            </w:r>
          </w:p>
        </w:tc>
        <w:tc>
          <w:tcPr>
            <w:tcW w:w="620" w:type="pct"/>
            <w:vAlign w:val="center"/>
          </w:tcPr>
          <w:p w14:paraId="526B84FE">
            <w:pPr>
              <w:jc w:val="center"/>
              <w:rPr>
                <w:sz w:val="28"/>
                <w:szCs w:val="28"/>
              </w:rPr>
            </w:pPr>
            <w:r>
              <w:rPr>
                <w:rFonts w:hint="eastAsia"/>
                <w:sz w:val="28"/>
                <w:szCs w:val="28"/>
              </w:rPr>
              <w:t>内蒙、山西</w:t>
            </w:r>
          </w:p>
        </w:tc>
        <w:tc>
          <w:tcPr>
            <w:tcW w:w="509" w:type="pct"/>
            <w:vAlign w:val="center"/>
          </w:tcPr>
          <w:p w14:paraId="01D9E90E">
            <w:pPr>
              <w:jc w:val="center"/>
              <w:rPr>
                <w:sz w:val="28"/>
                <w:szCs w:val="28"/>
              </w:rPr>
            </w:pPr>
            <w:r>
              <w:rPr>
                <w:rFonts w:hint="eastAsia"/>
                <w:sz w:val="28"/>
                <w:szCs w:val="28"/>
              </w:rPr>
              <w:t>京津冀</w:t>
            </w:r>
          </w:p>
        </w:tc>
      </w:tr>
      <w:tr w14:paraId="5F0A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trPr>
        <w:tc>
          <w:tcPr>
            <w:tcW w:w="1070" w:type="pct"/>
            <w:vAlign w:val="center"/>
          </w:tcPr>
          <w:p w14:paraId="4FAABEAF">
            <w:pPr>
              <w:jc w:val="center"/>
              <w:rPr>
                <w:sz w:val="28"/>
                <w:szCs w:val="28"/>
              </w:rPr>
            </w:pPr>
            <w:r>
              <w:rPr>
                <w:rFonts w:hint="eastAsia"/>
                <w:sz w:val="28"/>
                <w:szCs w:val="28"/>
              </w:rPr>
              <w:t>国丰矿业</w:t>
            </w:r>
          </w:p>
        </w:tc>
        <w:tc>
          <w:tcPr>
            <w:tcW w:w="970" w:type="pct"/>
            <w:vAlign w:val="center"/>
          </w:tcPr>
          <w:p w14:paraId="64620EC6">
            <w:pPr>
              <w:jc w:val="center"/>
              <w:rPr>
                <w:sz w:val="28"/>
                <w:szCs w:val="28"/>
              </w:rPr>
            </w:pPr>
            <w:r>
              <w:rPr>
                <w:rFonts w:hint="eastAsia"/>
                <w:sz w:val="28"/>
                <w:szCs w:val="28"/>
              </w:rPr>
              <w:t>煤炭、冶金矿石</w:t>
            </w:r>
          </w:p>
        </w:tc>
        <w:tc>
          <w:tcPr>
            <w:tcW w:w="358" w:type="pct"/>
            <w:vAlign w:val="center"/>
          </w:tcPr>
          <w:p w14:paraId="20DD9B8C">
            <w:pPr>
              <w:jc w:val="center"/>
              <w:rPr>
                <w:sz w:val="28"/>
                <w:szCs w:val="28"/>
              </w:rPr>
            </w:pPr>
            <w:r>
              <w:rPr>
                <w:rFonts w:hint="eastAsia"/>
                <w:sz w:val="28"/>
                <w:szCs w:val="28"/>
              </w:rPr>
              <w:t>274</w:t>
            </w:r>
          </w:p>
        </w:tc>
        <w:tc>
          <w:tcPr>
            <w:tcW w:w="306" w:type="pct"/>
            <w:vAlign w:val="center"/>
          </w:tcPr>
          <w:p w14:paraId="70A506A0">
            <w:pPr>
              <w:jc w:val="center"/>
              <w:rPr>
                <w:sz w:val="28"/>
                <w:szCs w:val="28"/>
              </w:rPr>
            </w:pPr>
            <w:r>
              <w:rPr>
                <w:rFonts w:hint="eastAsia"/>
                <w:sz w:val="28"/>
                <w:szCs w:val="28"/>
              </w:rPr>
              <w:t>14</w:t>
            </w:r>
            <w:r>
              <w:rPr>
                <w:sz w:val="28"/>
                <w:szCs w:val="28"/>
              </w:rPr>
              <w:t>8</w:t>
            </w:r>
          </w:p>
        </w:tc>
        <w:tc>
          <w:tcPr>
            <w:tcW w:w="307" w:type="pct"/>
            <w:vAlign w:val="center"/>
          </w:tcPr>
          <w:p w14:paraId="05FC0DE2">
            <w:pPr>
              <w:jc w:val="center"/>
              <w:rPr>
                <w:sz w:val="28"/>
                <w:szCs w:val="28"/>
              </w:rPr>
            </w:pPr>
            <w:r>
              <w:rPr>
                <w:rFonts w:hint="eastAsia"/>
                <w:sz w:val="28"/>
                <w:szCs w:val="28"/>
              </w:rPr>
              <w:t>422</w:t>
            </w:r>
          </w:p>
        </w:tc>
        <w:tc>
          <w:tcPr>
            <w:tcW w:w="255" w:type="pct"/>
            <w:vAlign w:val="center"/>
          </w:tcPr>
          <w:p w14:paraId="31AD3DFE">
            <w:pPr>
              <w:jc w:val="center"/>
              <w:rPr>
                <w:sz w:val="28"/>
                <w:szCs w:val="28"/>
              </w:rPr>
            </w:pPr>
            <w:r>
              <w:rPr>
                <w:rFonts w:hint="eastAsia"/>
                <w:sz w:val="28"/>
                <w:szCs w:val="28"/>
              </w:rPr>
              <w:t>511</w:t>
            </w:r>
          </w:p>
        </w:tc>
        <w:tc>
          <w:tcPr>
            <w:tcW w:w="306" w:type="pct"/>
            <w:vAlign w:val="center"/>
          </w:tcPr>
          <w:p w14:paraId="5E2FF72A">
            <w:pPr>
              <w:jc w:val="center"/>
              <w:rPr>
                <w:sz w:val="28"/>
                <w:szCs w:val="28"/>
              </w:rPr>
            </w:pPr>
            <w:r>
              <w:rPr>
                <w:rFonts w:hint="eastAsia"/>
                <w:sz w:val="28"/>
                <w:szCs w:val="28"/>
              </w:rPr>
              <w:t>445</w:t>
            </w:r>
          </w:p>
        </w:tc>
        <w:tc>
          <w:tcPr>
            <w:tcW w:w="299" w:type="pct"/>
            <w:vAlign w:val="center"/>
          </w:tcPr>
          <w:p w14:paraId="7129E171">
            <w:pPr>
              <w:jc w:val="center"/>
              <w:rPr>
                <w:bCs/>
                <w:sz w:val="28"/>
                <w:szCs w:val="28"/>
              </w:rPr>
            </w:pPr>
            <w:r>
              <w:rPr>
                <w:rFonts w:hint="eastAsia"/>
                <w:bCs/>
                <w:sz w:val="28"/>
                <w:szCs w:val="28"/>
              </w:rPr>
              <w:t>956</w:t>
            </w:r>
          </w:p>
        </w:tc>
        <w:tc>
          <w:tcPr>
            <w:tcW w:w="620" w:type="pct"/>
            <w:vAlign w:val="center"/>
          </w:tcPr>
          <w:p w14:paraId="6EBAAE6C">
            <w:pPr>
              <w:jc w:val="center"/>
              <w:rPr>
                <w:sz w:val="28"/>
                <w:szCs w:val="28"/>
              </w:rPr>
            </w:pPr>
            <w:r>
              <w:rPr>
                <w:rFonts w:hint="eastAsia"/>
                <w:sz w:val="28"/>
                <w:szCs w:val="28"/>
              </w:rPr>
              <w:t>内蒙、山西</w:t>
            </w:r>
          </w:p>
        </w:tc>
        <w:tc>
          <w:tcPr>
            <w:tcW w:w="509" w:type="pct"/>
            <w:vAlign w:val="center"/>
          </w:tcPr>
          <w:p w14:paraId="0AC2678A">
            <w:pPr>
              <w:jc w:val="center"/>
              <w:rPr>
                <w:sz w:val="28"/>
                <w:szCs w:val="28"/>
              </w:rPr>
            </w:pPr>
            <w:r>
              <w:rPr>
                <w:rFonts w:hint="eastAsia"/>
                <w:sz w:val="28"/>
                <w:szCs w:val="28"/>
              </w:rPr>
              <w:t>京津冀</w:t>
            </w:r>
          </w:p>
        </w:tc>
      </w:tr>
      <w:tr w14:paraId="133B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trPr>
        <w:tc>
          <w:tcPr>
            <w:tcW w:w="1070" w:type="pct"/>
            <w:vAlign w:val="center"/>
          </w:tcPr>
          <w:p w14:paraId="3BA0569F">
            <w:pPr>
              <w:jc w:val="center"/>
              <w:rPr>
                <w:sz w:val="28"/>
                <w:szCs w:val="28"/>
              </w:rPr>
            </w:pPr>
            <w:r>
              <w:rPr>
                <w:rFonts w:hint="eastAsia"/>
                <w:sz w:val="28"/>
                <w:szCs w:val="28"/>
              </w:rPr>
              <w:t>丰岩钙镁</w:t>
            </w:r>
          </w:p>
        </w:tc>
        <w:tc>
          <w:tcPr>
            <w:tcW w:w="970" w:type="pct"/>
            <w:vAlign w:val="center"/>
          </w:tcPr>
          <w:p w14:paraId="1127E65C">
            <w:pPr>
              <w:jc w:val="center"/>
              <w:rPr>
                <w:sz w:val="28"/>
                <w:szCs w:val="28"/>
              </w:rPr>
            </w:pPr>
            <w:r>
              <w:rPr>
                <w:rFonts w:hint="eastAsia"/>
                <w:sz w:val="28"/>
                <w:szCs w:val="28"/>
              </w:rPr>
              <w:t>煤炭、冶金白灰</w:t>
            </w:r>
          </w:p>
        </w:tc>
        <w:tc>
          <w:tcPr>
            <w:tcW w:w="358" w:type="pct"/>
            <w:vAlign w:val="center"/>
          </w:tcPr>
          <w:p w14:paraId="42BD0DAC">
            <w:pPr>
              <w:jc w:val="center"/>
              <w:rPr>
                <w:sz w:val="28"/>
                <w:szCs w:val="28"/>
              </w:rPr>
            </w:pPr>
            <w:r>
              <w:rPr>
                <w:rFonts w:hint="eastAsia"/>
                <w:sz w:val="28"/>
                <w:szCs w:val="28"/>
              </w:rPr>
              <w:t>141</w:t>
            </w:r>
          </w:p>
        </w:tc>
        <w:tc>
          <w:tcPr>
            <w:tcW w:w="306" w:type="pct"/>
            <w:vAlign w:val="center"/>
          </w:tcPr>
          <w:p w14:paraId="69C24670">
            <w:pPr>
              <w:jc w:val="center"/>
              <w:rPr>
                <w:sz w:val="28"/>
                <w:szCs w:val="28"/>
              </w:rPr>
            </w:pPr>
            <w:r>
              <w:rPr>
                <w:rFonts w:hint="eastAsia"/>
                <w:sz w:val="28"/>
                <w:szCs w:val="28"/>
              </w:rPr>
              <w:t>76</w:t>
            </w:r>
          </w:p>
        </w:tc>
        <w:tc>
          <w:tcPr>
            <w:tcW w:w="307" w:type="pct"/>
            <w:vAlign w:val="center"/>
          </w:tcPr>
          <w:p w14:paraId="5D15376A">
            <w:pPr>
              <w:jc w:val="center"/>
              <w:rPr>
                <w:bCs/>
                <w:sz w:val="28"/>
                <w:szCs w:val="28"/>
              </w:rPr>
            </w:pPr>
            <w:r>
              <w:rPr>
                <w:rFonts w:hint="eastAsia"/>
                <w:bCs/>
                <w:sz w:val="28"/>
                <w:szCs w:val="28"/>
              </w:rPr>
              <w:t>217</w:t>
            </w:r>
          </w:p>
        </w:tc>
        <w:tc>
          <w:tcPr>
            <w:tcW w:w="255" w:type="pct"/>
            <w:vAlign w:val="center"/>
          </w:tcPr>
          <w:p w14:paraId="11FBB999">
            <w:pPr>
              <w:jc w:val="center"/>
              <w:rPr>
                <w:sz w:val="28"/>
                <w:szCs w:val="28"/>
              </w:rPr>
            </w:pPr>
            <w:r>
              <w:rPr>
                <w:rFonts w:hint="eastAsia"/>
                <w:sz w:val="28"/>
                <w:szCs w:val="28"/>
              </w:rPr>
              <w:t>263</w:t>
            </w:r>
          </w:p>
        </w:tc>
        <w:tc>
          <w:tcPr>
            <w:tcW w:w="306" w:type="pct"/>
            <w:vAlign w:val="center"/>
          </w:tcPr>
          <w:p w14:paraId="010BDF21">
            <w:pPr>
              <w:jc w:val="center"/>
              <w:rPr>
                <w:sz w:val="28"/>
                <w:szCs w:val="28"/>
              </w:rPr>
            </w:pPr>
            <w:r>
              <w:rPr>
                <w:rFonts w:hint="eastAsia"/>
                <w:sz w:val="28"/>
                <w:szCs w:val="28"/>
              </w:rPr>
              <w:t>229</w:t>
            </w:r>
          </w:p>
        </w:tc>
        <w:tc>
          <w:tcPr>
            <w:tcW w:w="299" w:type="pct"/>
            <w:vAlign w:val="center"/>
          </w:tcPr>
          <w:p w14:paraId="3F7B9F79">
            <w:pPr>
              <w:jc w:val="center"/>
              <w:rPr>
                <w:bCs/>
                <w:sz w:val="28"/>
                <w:szCs w:val="28"/>
              </w:rPr>
            </w:pPr>
            <w:r>
              <w:rPr>
                <w:rFonts w:hint="eastAsia"/>
                <w:bCs/>
                <w:sz w:val="28"/>
                <w:szCs w:val="28"/>
              </w:rPr>
              <w:t>492</w:t>
            </w:r>
          </w:p>
        </w:tc>
        <w:tc>
          <w:tcPr>
            <w:tcW w:w="620" w:type="pct"/>
            <w:vAlign w:val="center"/>
          </w:tcPr>
          <w:p w14:paraId="04A1BE6D">
            <w:pPr>
              <w:jc w:val="center"/>
              <w:rPr>
                <w:sz w:val="28"/>
                <w:szCs w:val="28"/>
              </w:rPr>
            </w:pPr>
            <w:r>
              <w:rPr>
                <w:rFonts w:hint="eastAsia"/>
                <w:sz w:val="28"/>
                <w:szCs w:val="28"/>
              </w:rPr>
              <w:t>内蒙、山西</w:t>
            </w:r>
          </w:p>
        </w:tc>
        <w:tc>
          <w:tcPr>
            <w:tcW w:w="509" w:type="pct"/>
            <w:vAlign w:val="center"/>
          </w:tcPr>
          <w:p w14:paraId="4C1315E4">
            <w:pPr>
              <w:jc w:val="center"/>
              <w:rPr>
                <w:sz w:val="28"/>
                <w:szCs w:val="28"/>
              </w:rPr>
            </w:pPr>
            <w:r>
              <w:rPr>
                <w:rFonts w:hint="eastAsia"/>
                <w:sz w:val="28"/>
                <w:szCs w:val="28"/>
              </w:rPr>
              <w:t>京津冀</w:t>
            </w:r>
          </w:p>
        </w:tc>
      </w:tr>
      <w:tr w14:paraId="1FAD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trPr>
        <w:tc>
          <w:tcPr>
            <w:tcW w:w="1070" w:type="pct"/>
            <w:vAlign w:val="center"/>
          </w:tcPr>
          <w:p w14:paraId="74210DD7">
            <w:pPr>
              <w:jc w:val="center"/>
              <w:rPr>
                <w:sz w:val="28"/>
                <w:szCs w:val="28"/>
              </w:rPr>
            </w:pPr>
            <w:r>
              <w:rPr>
                <w:rFonts w:hint="eastAsia"/>
                <w:sz w:val="28"/>
                <w:szCs w:val="28"/>
              </w:rPr>
              <w:t>会利矿业</w:t>
            </w:r>
          </w:p>
        </w:tc>
        <w:tc>
          <w:tcPr>
            <w:tcW w:w="970" w:type="pct"/>
            <w:vAlign w:val="center"/>
          </w:tcPr>
          <w:p w14:paraId="331CE16D">
            <w:pPr>
              <w:jc w:val="center"/>
              <w:rPr>
                <w:sz w:val="28"/>
                <w:szCs w:val="28"/>
              </w:rPr>
            </w:pPr>
            <w:r>
              <w:rPr>
                <w:rFonts w:hint="eastAsia"/>
                <w:sz w:val="28"/>
                <w:szCs w:val="28"/>
              </w:rPr>
              <w:t>煤炭、冶金白灰</w:t>
            </w:r>
          </w:p>
        </w:tc>
        <w:tc>
          <w:tcPr>
            <w:tcW w:w="358" w:type="pct"/>
            <w:vAlign w:val="center"/>
          </w:tcPr>
          <w:p w14:paraId="7600D0DC">
            <w:pPr>
              <w:jc w:val="center"/>
              <w:rPr>
                <w:sz w:val="28"/>
                <w:szCs w:val="28"/>
              </w:rPr>
            </w:pPr>
            <w:r>
              <w:rPr>
                <w:rFonts w:hint="eastAsia"/>
                <w:sz w:val="28"/>
                <w:szCs w:val="28"/>
              </w:rPr>
              <w:t>30</w:t>
            </w:r>
          </w:p>
        </w:tc>
        <w:tc>
          <w:tcPr>
            <w:tcW w:w="306" w:type="pct"/>
            <w:vAlign w:val="center"/>
          </w:tcPr>
          <w:p w14:paraId="185985F4">
            <w:pPr>
              <w:jc w:val="center"/>
              <w:rPr>
                <w:sz w:val="28"/>
                <w:szCs w:val="28"/>
              </w:rPr>
            </w:pPr>
            <w:r>
              <w:rPr>
                <w:rFonts w:hint="eastAsia"/>
                <w:sz w:val="28"/>
                <w:szCs w:val="28"/>
              </w:rPr>
              <w:t>150</w:t>
            </w:r>
          </w:p>
        </w:tc>
        <w:tc>
          <w:tcPr>
            <w:tcW w:w="307" w:type="pct"/>
            <w:vAlign w:val="center"/>
          </w:tcPr>
          <w:p w14:paraId="3D74A933">
            <w:pPr>
              <w:jc w:val="center"/>
              <w:rPr>
                <w:bCs/>
                <w:sz w:val="28"/>
                <w:szCs w:val="28"/>
              </w:rPr>
            </w:pPr>
            <w:r>
              <w:rPr>
                <w:rFonts w:hint="eastAsia"/>
                <w:bCs/>
                <w:sz w:val="28"/>
                <w:szCs w:val="28"/>
              </w:rPr>
              <w:t>180</w:t>
            </w:r>
          </w:p>
        </w:tc>
        <w:tc>
          <w:tcPr>
            <w:tcW w:w="255" w:type="pct"/>
            <w:vAlign w:val="center"/>
          </w:tcPr>
          <w:p w14:paraId="3F8BCEE9">
            <w:pPr>
              <w:jc w:val="center"/>
              <w:rPr>
                <w:sz w:val="28"/>
                <w:szCs w:val="28"/>
              </w:rPr>
            </w:pPr>
            <w:r>
              <w:rPr>
                <w:rFonts w:hint="eastAsia"/>
                <w:sz w:val="28"/>
                <w:szCs w:val="28"/>
              </w:rPr>
              <w:t>50</w:t>
            </w:r>
          </w:p>
        </w:tc>
        <w:tc>
          <w:tcPr>
            <w:tcW w:w="306" w:type="pct"/>
            <w:vAlign w:val="center"/>
          </w:tcPr>
          <w:p w14:paraId="718DA220">
            <w:pPr>
              <w:jc w:val="center"/>
              <w:rPr>
                <w:sz w:val="28"/>
                <w:szCs w:val="28"/>
              </w:rPr>
            </w:pPr>
            <w:r>
              <w:rPr>
                <w:rFonts w:hint="eastAsia"/>
                <w:sz w:val="28"/>
                <w:szCs w:val="28"/>
              </w:rPr>
              <w:t>250</w:t>
            </w:r>
          </w:p>
        </w:tc>
        <w:tc>
          <w:tcPr>
            <w:tcW w:w="299" w:type="pct"/>
            <w:vAlign w:val="center"/>
          </w:tcPr>
          <w:p w14:paraId="61918B87">
            <w:pPr>
              <w:jc w:val="center"/>
              <w:rPr>
                <w:bCs/>
                <w:sz w:val="28"/>
                <w:szCs w:val="28"/>
              </w:rPr>
            </w:pPr>
            <w:r>
              <w:rPr>
                <w:rFonts w:hint="eastAsia"/>
                <w:bCs/>
                <w:sz w:val="28"/>
                <w:szCs w:val="28"/>
              </w:rPr>
              <w:t>300</w:t>
            </w:r>
          </w:p>
        </w:tc>
        <w:tc>
          <w:tcPr>
            <w:tcW w:w="620" w:type="pct"/>
            <w:vAlign w:val="center"/>
          </w:tcPr>
          <w:p w14:paraId="27A29515">
            <w:pPr>
              <w:jc w:val="center"/>
              <w:rPr>
                <w:sz w:val="28"/>
                <w:szCs w:val="28"/>
              </w:rPr>
            </w:pPr>
            <w:r>
              <w:rPr>
                <w:rFonts w:hint="eastAsia"/>
                <w:sz w:val="28"/>
                <w:szCs w:val="28"/>
              </w:rPr>
              <w:t>内蒙、山西</w:t>
            </w:r>
          </w:p>
        </w:tc>
        <w:tc>
          <w:tcPr>
            <w:tcW w:w="509" w:type="pct"/>
            <w:vAlign w:val="center"/>
          </w:tcPr>
          <w:p w14:paraId="233E14B5">
            <w:pPr>
              <w:jc w:val="center"/>
              <w:rPr>
                <w:sz w:val="28"/>
                <w:szCs w:val="28"/>
              </w:rPr>
            </w:pPr>
            <w:r>
              <w:rPr>
                <w:rFonts w:hint="eastAsia"/>
                <w:sz w:val="28"/>
                <w:szCs w:val="28"/>
              </w:rPr>
              <w:t>京津冀</w:t>
            </w:r>
          </w:p>
        </w:tc>
      </w:tr>
      <w:tr w14:paraId="57A0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trPr>
        <w:tc>
          <w:tcPr>
            <w:tcW w:w="1070" w:type="pct"/>
            <w:vAlign w:val="center"/>
          </w:tcPr>
          <w:p w14:paraId="4FEDB242">
            <w:pPr>
              <w:jc w:val="center"/>
              <w:rPr>
                <w:sz w:val="28"/>
                <w:szCs w:val="28"/>
              </w:rPr>
            </w:pPr>
            <w:r>
              <w:rPr>
                <w:rFonts w:hint="eastAsia"/>
                <w:sz w:val="28"/>
                <w:szCs w:val="28"/>
              </w:rPr>
              <w:t>首钢集团</w:t>
            </w:r>
          </w:p>
        </w:tc>
        <w:tc>
          <w:tcPr>
            <w:tcW w:w="970" w:type="pct"/>
            <w:vAlign w:val="center"/>
          </w:tcPr>
          <w:p w14:paraId="6CDC6E1B">
            <w:pPr>
              <w:jc w:val="center"/>
              <w:rPr>
                <w:sz w:val="28"/>
                <w:szCs w:val="28"/>
              </w:rPr>
            </w:pPr>
            <w:r>
              <w:rPr>
                <w:rFonts w:hint="eastAsia"/>
                <w:sz w:val="28"/>
                <w:szCs w:val="28"/>
              </w:rPr>
              <w:t>煤炭、冶金白灰</w:t>
            </w:r>
          </w:p>
        </w:tc>
        <w:tc>
          <w:tcPr>
            <w:tcW w:w="358" w:type="pct"/>
            <w:vAlign w:val="center"/>
          </w:tcPr>
          <w:p w14:paraId="5F7903BC">
            <w:pPr>
              <w:jc w:val="center"/>
              <w:rPr>
                <w:sz w:val="28"/>
                <w:szCs w:val="28"/>
              </w:rPr>
            </w:pPr>
            <w:r>
              <w:rPr>
                <w:rFonts w:hint="eastAsia"/>
                <w:sz w:val="28"/>
                <w:szCs w:val="28"/>
              </w:rPr>
              <w:t>30</w:t>
            </w:r>
          </w:p>
        </w:tc>
        <w:tc>
          <w:tcPr>
            <w:tcW w:w="306" w:type="pct"/>
            <w:vAlign w:val="center"/>
          </w:tcPr>
          <w:p w14:paraId="40911BF0">
            <w:pPr>
              <w:jc w:val="center"/>
              <w:rPr>
                <w:sz w:val="28"/>
                <w:szCs w:val="28"/>
              </w:rPr>
            </w:pPr>
            <w:r>
              <w:rPr>
                <w:rFonts w:hint="eastAsia"/>
                <w:sz w:val="28"/>
                <w:szCs w:val="28"/>
              </w:rPr>
              <w:t>150</w:t>
            </w:r>
          </w:p>
        </w:tc>
        <w:tc>
          <w:tcPr>
            <w:tcW w:w="307" w:type="pct"/>
            <w:vAlign w:val="center"/>
          </w:tcPr>
          <w:p w14:paraId="19E99B75">
            <w:pPr>
              <w:jc w:val="center"/>
              <w:rPr>
                <w:bCs/>
                <w:sz w:val="28"/>
                <w:szCs w:val="28"/>
              </w:rPr>
            </w:pPr>
            <w:r>
              <w:rPr>
                <w:rFonts w:hint="eastAsia"/>
                <w:bCs/>
                <w:sz w:val="28"/>
                <w:szCs w:val="28"/>
              </w:rPr>
              <w:t>180</w:t>
            </w:r>
          </w:p>
        </w:tc>
        <w:tc>
          <w:tcPr>
            <w:tcW w:w="255" w:type="pct"/>
            <w:vAlign w:val="center"/>
          </w:tcPr>
          <w:p w14:paraId="31FDA61B">
            <w:pPr>
              <w:jc w:val="center"/>
              <w:rPr>
                <w:sz w:val="28"/>
                <w:szCs w:val="28"/>
              </w:rPr>
            </w:pPr>
            <w:r>
              <w:rPr>
                <w:rFonts w:hint="eastAsia"/>
                <w:sz w:val="28"/>
                <w:szCs w:val="28"/>
              </w:rPr>
              <w:t>50</w:t>
            </w:r>
          </w:p>
        </w:tc>
        <w:tc>
          <w:tcPr>
            <w:tcW w:w="306" w:type="pct"/>
            <w:vAlign w:val="center"/>
          </w:tcPr>
          <w:p w14:paraId="6ADA220A">
            <w:pPr>
              <w:jc w:val="center"/>
              <w:rPr>
                <w:sz w:val="28"/>
                <w:szCs w:val="28"/>
              </w:rPr>
            </w:pPr>
            <w:r>
              <w:rPr>
                <w:rFonts w:hint="eastAsia"/>
                <w:sz w:val="28"/>
                <w:szCs w:val="28"/>
              </w:rPr>
              <w:t>250</w:t>
            </w:r>
          </w:p>
        </w:tc>
        <w:tc>
          <w:tcPr>
            <w:tcW w:w="299" w:type="pct"/>
            <w:vAlign w:val="center"/>
          </w:tcPr>
          <w:p w14:paraId="4D58B75E">
            <w:pPr>
              <w:jc w:val="center"/>
              <w:rPr>
                <w:bCs/>
                <w:sz w:val="28"/>
                <w:szCs w:val="28"/>
              </w:rPr>
            </w:pPr>
            <w:r>
              <w:rPr>
                <w:rFonts w:hint="eastAsia"/>
                <w:bCs/>
                <w:sz w:val="28"/>
                <w:szCs w:val="28"/>
              </w:rPr>
              <w:t>300</w:t>
            </w:r>
          </w:p>
        </w:tc>
        <w:tc>
          <w:tcPr>
            <w:tcW w:w="620" w:type="pct"/>
            <w:vAlign w:val="center"/>
          </w:tcPr>
          <w:p w14:paraId="5F7F73FA">
            <w:pPr>
              <w:jc w:val="center"/>
              <w:rPr>
                <w:sz w:val="28"/>
                <w:szCs w:val="28"/>
              </w:rPr>
            </w:pPr>
            <w:r>
              <w:rPr>
                <w:rFonts w:hint="eastAsia"/>
                <w:sz w:val="28"/>
                <w:szCs w:val="28"/>
              </w:rPr>
              <w:t>内蒙、山西</w:t>
            </w:r>
          </w:p>
        </w:tc>
        <w:tc>
          <w:tcPr>
            <w:tcW w:w="509" w:type="pct"/>
            <w:vAlign w:val="center"/>
          </w:tcPr>
          <w:p w14:paraId="37912E10">
            <w:pPr>
              <w:jc w:val="center"/>
              <w:rPr>
                <w:sz w:val="28"/>
                <w:szCs w:val="28"/>
              </w:rPr>
            </w:pPr>
            <w:r>
              <w:rPr>
                <w:rFonts w:hint="eastAsia"/>
                <w:sz w:val="28"/>
                <w:szCs w:val="28"/>
              </w:rPr>
              <w:t>京津冀</w:t>
            </w:r>
          </w:p>
        </w:tc>
      </w:tr>
      <w:tr w14:paraId="764A1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trPr>
        <w:tc>
          <w:tcPr>
            <w:tcW w:w="1070" w:type="pct"/>
            <w:vAlign w:val="center"/>
          </w:tcPr>
          <w:p w14:paraId="558C92DF">
            <w:pPr>
              <w:jc w:val="center"/>
              <w:rPr>
                <w:sz w:val="28"/>
                <w:szCs w:val="28"/>
              </w:rPr>
            </w:pPr>
            <w:r>
              <w:rPr>
                <w:rFonts w:hint="eastAsia"/>
                <w:sz w:val="28"/>
                <w:szCs w:val="28"/>
              </w:rPr>
              <w:t>富源矿业</w:t>
            </w:r>
          </w:p>
        </w:tc>
        <w:tc>
          <w:tcPr>
            <w:tcW w:w="970" w:type="pct"/>
            <w:vAlign w:val="center"/>
          </w:tcPr>
          <w:p w14:paraId="0CEB6688">
            <w:pPr>
              <w:jc w:val="center"/>
              <w:rPr>
                <w:sz w:val="28"/>
                <w:szCs w:val="28"/>
              </w:rPr>
            </w:pPr>
            <w:r>
              <w:rPr>
                <w:rFonts w:hint="eastAsia"/>
                <w:sz w:val="28"/>
                <w:szCs w:val="28"/>
              </w:rPr>
              <w:t>水泥、机制砂、冶金白灰、水泥熟料</w:t>
            </w:r>
          </w:p>
        </w:tc>
        <w:tc>
          <w:tcPr>
            <w:tcW w:w="358" w:type="pct"/>
            <w:vAlign w:val="center"/>
          </w:tcPr>
          <w:p w14:paraId="3DC92A00">
            <w:pPr>
              <w:jc w:val="center"/>
              <w:rPr>
                <w:sz w:val="28"/>
                <w:szCs w:val="28"/>
              </w:rPr>
            </w:pPr>
            <w:r>
              <w:rPr>
                <w:rFonts w:hint="eastAsia"/>
                <w:sz w:val="28"/>
                <w:szCs w:val="28"/>
              </w:rPr>
              <w:t>150</w:t>
            </w:r>
          </w:p>
        </w:tc>
        <w:tc>
          <w:tcPr>
            <w:tcW w:w="306" w:type="pct"/>
            <w:vAlign w:val="center"/>
          </w:tcPr>
          <w:p w14:paraId="695D1D7C">
            <w:pPr>
              <w:jc w:val="center"/>
              <w:rPr>
                <w:sz w:val="28"/>
                <w:szCs w:val="28"/>
              </w:rPr>
            </w:pPr>
            <w:r>
              <w:rPr>
                <w:rFonts w:hint="eastAsia"/>
                <w:sz w:val="28"/>
                <w:szCs w:val="28"/>
              </w:rPr>
              <w:t>1296</w:t>
            </w:r>
          </w:p>
        </w:tc>
        <w:tc>
          <w:tcPr>
            <w:tcW w:w="307" w:type="pct"/>
            <w:vAlign w:val="center"/>
          </w:tcPr>
          <w:p w14:paraId="344115EF">
            <w:pPr>
              <w:jc w:val="center"/>
              <w:rPr>
                <w:bCs/>
                <w:sz w:val="28"/>
                <w:szCs w:val="28"/>
              </w:rPr>
            </w:pPr>
            <w:r>
              <w:rPr>
                <w:rFonts w:hint="eastAsia"/>
                <w:bCs/>
                <w:sz w:val="28"/>
                <w:szCs w:val="28"/>
              </w:rPr>
              <w:t>1446</w:t>
            </w:r>
          </w:p>
        </w:tc>
        <w:tc>
          <w:tcPr>
            <w:tcW w:w="255" w:type="pct"/>
            <w:vAlign w:val="center"/>
          </w:tcPr>
          <w:p w14:paraId="3FF33D47">
            <w:pPr>
              <w:jc w:val="center"/>
              <w:rPr>
                <w:sz w:val="28"/>
                <w:szCs w:val="28"/>
              </w:rPr>
            </w:pPr>
            <w:r>
              <w:rPr>
                <w:rFonts w:hint="eastAsia"/>
                <w:sz w:val="28"/>
                <w:szCs w:val="28"/>
              </w:rPr>
              <w:t>200</w:t>
            </w:r>
          </w:p>
        </w:tc>
        <w:tc>
          <w:tcPr>
            <w:tcW w:w="306" w:type="pct"/>
            <w:vAlign w:val="center"/>
          </w:tcPr>
          <w:p w14:paraId="7182A342">
            <w:pPr>
              <w:jc w:val="center"/>
              <w:rPr>
                <w:sz w:val="28"/>
                <w:szCs w:val="28"/>
              </w:rPr>
            </w:pPr>
            <w:r>
              <w:rPr>
                <w:rFonts w:hint="eastAsia"/>
                <w:sz w:val="28"/>
                <w:szCs w:val="28"/>
              </w:rPr>
              <w:t>1446</w:t>
            </w:r>
          </w:p>
        </w:tc>
        <w:tc>
          <w:tcPr>
            <w:tcW w:w="299" w:type="pct"/>
            <w:vAlign w:val="center"/>
          </w:tcPr>
          <w:p w14:paraId="3BBE0C58">
            <w:pPr>
              <w:jc w:val="center"/>
              <w:rPr>
                <w:bCs/>
                <w:sz w:val="28"/>
                <w:szCs w:val="28"/>
              </w:rPr>
            </w:pPr>
            <w:r>
              <w:rPr>
                <w:rFonts w:hint="eastAsia"/>
                <w:bCs/>
                <w:sz w:val="28"/>
                <w:szCs w:val="28"/>
              </w:rPr>
              <w:t>1646</w:t>
            </w:r>
          </w:p>
        </w:tc>
        <w:tc>
          <w:tcPr>
            <w:tcW w:w="620" w:type="pct"/>
            <w:vAlign w:val="center"/>
          </w:tcPr>
          <w:p w14:paraId="04EC5F11">
            <w:pPr>
              <w:jc w:val="center"/>
              <w:rPr>
                <w:sz w:val="28"/>
                <w:szCs w:val="28"/>
              </w:rPr>
            </w:pPr>
            <w:r>
              <w:rPr>
                <w:rFonts w:hint="eastAsia"/>
                <w:sz w:val="28"/>
                <w:szCs w:val="28"/>
              </w:rPr>
              <w:t>山西</w:t>
            </w:r>
          </w:p>
        </w:tc>
        <w:tc>
          <w:tcPr>
            <w:tcW w:w="509" w:type="pct"/>
            <w:vAlign w:val="center"/>
          </w:tcPr>
          <w:p w14:paraId="7B07D382">
            <w:pPr>
              <w:jc w:val="center"/>
              <w:rPr>
                <w:sz w:val="28"/>
                <w:szCs w:val="28"/>
              </w:rPr>
            </w:pPr>
            <w:r>
              <w:rPr>
                <w:rFonts w:hint="eastAsia"/>
                <w:sz w:val="28"/>
                <w:szCs w:val="28"/>
              </w:rPr>
              <w:t>全国</w:t>
            </w:r>
          </w:p>
        </w:tc>
      </w:tr>
      <w:tr w14:paraId="0D7F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trPr>
        <w:tc>
          <w:tcPr>
            <w:tcW w:w="2040" w:type="pct"/>
            <w:gridSpan w:val="2"/>
            <w:vAlign w:val="center"/>
          </w:tcPr>
          <w:p w14:paraId="131DBE79">
            <w:pPr>
              <w:jc w:val="center"/>
              <w:rPr>
                <w:sz w:val="28"/>
                <w:szCs w:val="28"/>
              </w:rPr>
            </w:pPr>
            <w:r>
              <w:rPr>
                <w:rFonts w:hint="eastAsia"/>
                <w:sz w:val="28"/>
                <w:szCs w:val="28"/>
              </w:rPr>
              <w:t>合计</w:t>
            </w:r>
          </w:p>
        </w:tc>
        <w:tc>
          <w:tcPr>
            <w:tcW w:w="971" w:type="pct"/>
            <w:gridSpan w:val="3"/>
            <w:vAlign w:val="center"/>
          </w:tcPr>
          <w:p w14:paraId="7720DE6D">
            <w:pPr>
              <w:jc w:val="center"/>
              <w:rPr>
                <w:bCs/>
                <w:sz w:val="28"/>
                <w:szCs w:val="28"/>
              </w:rPr>
            </w:pPr>
            <w:r>
              <w:rPr>
                <w:rFonts w:hint="eastAsia"/>
                <w:bCs/>
                <w:sz w:val="28"/>
                <w:szCs w:val="28"/>
              </w:rPr>
              <w:t>4</w:t>
            </w:r>
            <w:r>
              <w:rPr>
                <w:bCs/>
                <w:sz w:val="28"/>
                <w:szCs w:val="28"/>
              </w:rPr>
              <w:t>075</w:t>
            </w:r>
          </w:p>
        </w:tc>
        <w:tc>
          <w:tcPr>
            <w:tcW w:w="860" w:type="pct"/>
            <w:gridSpan w:val="3"/>
            <w:vAlign w:val="center"/>
          </w:tcPr>
          <w:p w14:paraId="4301FDD3">
            <w:pPr>
              <w:jc w:val="center"/>
              <w:rPr>
                <w:bCs/>
                <w:sz w:val="28"/>
                <w:szCs w:val="28"/>
              </w:rPr>
            </w:pPr>
            <w:r>
              <w:rPr>
                <w:rFonts w:hint="eastAsia"/>
                <w:bCs/>
                <w:sz w:val="28"/>
                <w:szCs w:val="28"/>
              </w:rPr>
              <w:t>6</w:t>
            </w:r>
            <w:r>
              <w:rPr>
                <w:bCs/>
                <w:sz w:val="28"/>
                <w:szCs w:val="28"/>
              </w:rPr>
              <w:t>454</w:t>
            </w:r>
          </w:p>
        </w:tc>
        <w:tc>
          <w:tcPr>
            <w:tcW w:w="620" w:type="pct"/>
            <w:vAlign w:val="center"/>
          </w:tcPr>
          <w:p w14:paraId="3E7355CE">
            <w:pPr>
              <w:jc w:val="center"/>
              <w:rPr>
                <w:sz w:val="28"/>
                <w:szCs w:val="28"/>
              </w:rPr>
            </w:pPr>
          </w:p>
        </w:tc>
        <w:tc>
          <w:tcPr>
            <w:tcW w:w="509" w:type="pct"/>
            <w:vAlign w:val="center"/>
          </w:tcPr>
          <w:p w14:paraId="69AF849E">
            <w:pPr>
              <w:jc w:val="center"/>
              <w:rPr>
                <w:sz w:val="28"/>
                <w:szCs w:val="28"/>
              </w:rPr>
            </w:pPr>
          </w:p>
        </w:tc>
      </w:tr>
    </w:tbl>
    <w:p w14:paraId="72F1B36D">
      <w:pPr>
        <w:pStyle w:val="87"/>
        <w:widowControl w:val="0"/>
        <w:spacing w:line="240" w:lineRule="auto"/>
        <w:ind w:firstLine="0" w:firstLineChars="0"/>
        <w:rPr>
          <w:rFonts w:ascii="仿宋_GB2312" w:hAnsi="仿宋_GB2312" w:eastAsia="仿宋_GB2312" w:cs="仿宋_GB2312"/>
          <w:sz w:val="32"/>
          <w:szCs w:val="32"/>
        </w:rPr>
        <w:sectPr>
          <w:pgSz w:w="16838" w:h="11906" w:orient="landscape"/>
          <w:pgMar w:top="1797" w:right="1440" w:bottom="1797" w:left="1440" w:header="851" w:footer="992" w:gutter="0"/>
          <w:cols w:space="425" w:num="1"/>
          <w:docGrid w:linePitch="312" w:charSpace="0"/>
        </w:sectPr>
      </w:pPr>
    </w:p>
    <w:p w14:paraId="3D7D5B01">
      <w:pPr>
        <w:spacing w:line="360" w:lineRule="auto"/>
        <w:ind w:firstLine="646" w:firstLineChars="202"/>
        <w:rPr>
          <w:sz w:val="32"/>
          <w:szCs w:val="32"/>
        </w:rPr>
      </w:pPr>
      <w:r>
        <w:rPr>
          <w:rFonts w:hint="eastAsia"/>
          <w:sz w:val="32"/>
          <w:szCs w:val="32"/>
        </w:rPr>
        <w:t>综上所述，截至2025年，凌源市增量货运量约为</w:t>
      </w:r>
      <w:r>
        <w:rPr>
          <w:sz w:val="32"/>
          <w:szCs w:val="32"/>
        </w:rPr>
        <w:t>8935</w:t>
      </w:r>
      <w:r>
        <w:rPr>
          <w:rFonts w:hint="eastAsia"/>
          <w:sz w:val="32"/>
          <w:szCs w:val="32"/>
        </w:rPr>
        <w:t>万吨。</w:t>
      </w:r>
    </w:p>
    <w:p w14:paraId="0D18F954">
      <w:pPr>
        <w:pStyle w:val="6"/>
        <w:spacing w:before="240" w:after="240" w:line="360" w:lineRule="auto"/>
        <w:rPr>
          <w:sz w:val="32"/>
          <w:szCs w:val="32"/>
        </w:rPr>
      </w:pPr>
      <w:r>
        <w:rPr>
          <w:rFonts w:hint="eastAsia"/>
          <w:sz w:val="32"/>
          <w:szCs w:val="32"/>
        </w:rPr>
        <w:t>（三）货运总量预测</w:t>
      </w:r>
    </w:p>
    <w:p w14:paraId="1221B554">
      <w:pPr>
        <w:spacing w:line="360" w:lineRule="auto"/>
        <w:ind w:firstLine="646" w:firstLineChars="202"/>
        <w:rPr>
          <w:rFonts w:ascii="宋体" w:hAnsi="宋体"/>
          <w:sz w:val="32"/>
          <w:szCs w:val="32"/>
        </w:rPr>
      </w:pPr>
      <w:r>
        <w:rPr>
          <w:rFonts w:hint="eastAsia" w:ascii="宋体" w:hAnsi="宋体"/>
          <w:sz w:val="32"/>
          <w:szCs w:val="32"/>
        </w:rPr>
        <w:t>经预测，截至2025年，凌源市货运总量为</w:t>
      </w:r>
      <w:r>
        <w:rPr>
          <w:rFonts w:ascii="宋体" w:hAnsi="宋体"/>
          <w:sz w:val="32"/>
          <w:szCs w:val="32"/>
        </w:rPr>
        <w:t>8935</w:t>
      </w:r>
      <w:r>
        <w:rPr>
          <w:rFonts w:hint="eastAsia" w:ascii="宋体" w:hAnsi="宋体"/>
          <w:sz w:val="32"/>
          <w:szCs w:val="32"/>
        </w:rPr>
        <w:t>万吨。具体如下：</w:t>
      </w:r>
    </w:p>
    <w:p w14:paraId="323618A1">
      <w:pPr>
        <w:spacing w:line="360" w:lineRule="auto"/>
        <w:ind w:firstLine="649" w:firstLineChars="202"/>
      </w:pPr>
      <w:r>
        <w:rPr>
          <w:rFonts w:hint="eastAsia" w:ascii="宋体" w:hAnsi="宋体"/>
          <w:b/>
          <w:bCs/>
          <w:sz w:val="32"/>
          <w:szCs w:val="32"/>
        </w:rPr>
        <w:t>2025年货运总量 =2025年存量货运量预测值+2025年增量货运量预测值，即，2025年货运总量 =1535万吨+</w:t>
      </w:r>
      <w:r>
        <w:rPr>
          <w:rFonts w:ascii="宋体" w:hAnsi="宋体"/>
          <w:b/>
          <w:bCs/>
          <w:sz w:val="32"/>
          <w:szCs w:val="32"/>
        </w:rPr>
        <w:t>8935</w:t>
      </w:r>
      <w:r>
        <w:rPr>
          <w:rFonts w:hint="eastAsia" w:ascii="宋体" w:hAnsi="宋体"/>
          <w:b/>
          <w:bCs/>
          <w:sz w:val="32"/>
          <w:szCs w:val="32"/>
        </w:rPr>
        <w:t>万吨=</w:t>
      </w:r>
      <w:r>
        <w:rPr>
          <w:rFonts w:ascii="宋体" w:hAnsi="宋体"/>
          <w:b/>
          <w:bCs/>
          <w:sz w:val="32"/>
          <w:szCs w:val="32"/>
        </w:rPr>
        <w:t>10470</w:t>
      </w:r>
      <w:r>
        <w:rPr>
          <w:rFonts w:hint="eastAsia" w:ascii="宋体" w:hAnsi="宋体"/>
          <w:b/>
          <w:bCs/>
          <w:sz w:val="32"/>
          <w:szCs w:val="32"/>
        </w:rPr>
        <w:t>万吨。</w:t>
      </w:r>
    </w:p>
    <w:p w14:paraId="605BAC68"/>
    <w:p w14:paraId="37F1FC68">
      <w:pPr>
        <w:pStyle w:val="4"/>
        <w:spacing w:line="360" w:lineRule="auto"/>
        <w:jc w:val="center"/>
      </w:pPr>
      <w:bookmarkStart w:id="73" w:name="_Toc79497944"/>
      <w:r>
        <w:rPr>
          <w:rFonts w:hint="eastAsia"/>
        </w:rPr>
        <w:t>第三节 物流用地规模预测</w:t>
      </w:r>
      <w:bookmarkEnd w:id="70"/>
      <w:bookmarkEnd w:id="73"/>
    </w:p>
    <w:p w14:paraId="596CE777">
      <w:pPr>
        <w:spacing w:line="360" w:lineRule="auto"/>
        <w:ind w:firstLine="646" w:firstLineChars="202"/>
        <w:rPr>
          <w:rFonts w:ascii="宋体" w:hAnsi="宋体"/>
          <w:sz w:val="32"/>
          <w:szCs w:val="32"/>
        </w:rPr>
      </w:pPr>
      <w:r>
        <w:rPr>
          <w:rFonts w:hint="eastAsia" w:ascii="宋体" w:hAnsi="宋体"/>
          <w:sz w:val="32"/>
          <w:szCs w:val="32"/>
        </w:rPr>
        <w:t>结合凌源市主要节点年份的物流总量，运用参数法确定物流用地规模，得出凌源市2025年物流用地总体规模约为577.6万平方米（约8600亩）。其中，制造业物流用地约</w:t>
      </w:r>
      <w:r>
        <w:rPr>
          <w:rFonts w:ascii="宋体" w:hAnsi="宋体"/>
          <w:sz w:val="32"/>
          <w:szCs w:val="32"/>
        </w:rPr>
        <w:t>5100</w:t>
      </w:r>
      <w:r>
        <w:rPr>
          <w:rFonts w:hint="eastAsia" w:ascii="宋体" w:hAnsi="宋体"/>
          <w:sz w:val="32"/>
          <w:szCs w:val="32"/>
        </w:rPr>
        <w:t>亩左右，农产品流通及冷链物流用地约</w:t>
      </w:r>
      <w:r>
        <w:rPr>
          <w:rFonts w:ascii="宋体" w:hAnsi="宋体"/>
          <w:sz w:val="32"/>
          <w:szCs w:val="32"/>
        </w:rPr>
        <w:t>2500</w:t>
      </w:r>
      <w:r>
        <w:rPr>
          <w:rFonts w:hint="eastAsia" w:ascii="宋体" w:hAnsi="宋体"/>
          <w:sz w:val="32"/>
          <w:szCs w:val="32"/>
        </w:rPr>
        <w:t>亩左右，商贸物流用地约</w:t>
      </w:r>
      <w:r>
        <w:rPr>
          <w:rFonts w:ascii="宋体" w:hAnsi="宋体"/>
          <w:sz w:val="32"/>
          <w:szCs w:val="32"/>
        </w:rPr>
        <w:t>1000</w:t>
      </w:r>
      <w:r>
        <w:rPr>
          <w:rFonts w:hint="eastAsia" w:ascii="宋体" w:hAnsi="宋体"/>
          <w:sz w:val="32"/>
          <w:szCs w:val="32"/>
        </w:rPr>
        <w:t>亩左右。考虑到物流基础设施连接的相关公路、铁路以及其他配套服务设施的占地情况，以及物流业未来发展的需要，凌源市“十四五”期间物流用地的占地面积可扩展至660万平方米左右（约10000亩）。</w:t>
      </w:r>
    </w:p>
    <w:p w14:paraId="41F89739">
      <w:pPr>
        <w:widowControl/>
        <w:jc w:val="left"/>
      </w:pPr>
      <w:r>
        <w:br w:type="page"/>
      </w:r>
    </w:p>
    <w:p w14:paraId="78CE3B1F">
      <w:pPr>
        <w:pStyle w:val="3"/>
        <w:numPr>
          <w:ilvl w:val="0"/>
          <w:numId w:val="2"/>
        </w:numPr>
        <w:spacing w:line="360" w:lineRule="auto"/>
        <w:ind w:left="0" w:firstLine="0"/>
        <w:jc w:val="center"/>
        <w:rPr>
          <w:rFonts w:ascii="黑体" w:hAnsi="黑体" w:eastAsia="黑体"/>
        </w:rPr>
      </w:pPr>
      <w:bookmarkStart w:id="74" w:name="_Toc79497945"/>
      <w:r>
        <w:rPr>
          <w:rFonts w:hint="eastAsia" w:ascii="黑体" w:hAnsi="黑体" w:eastAsia="黑体"/>
        </w:rPr>
        <w:t>总体要求</w:t>
      </w:r>
      <w:bookmarkEnd w:id="74"/>
    </w:p>
    <w:p w14:paraId="1ABF172A">
      <w:pPr>
        <w:pStyle w:val="4"/>
        <w:spacing w:line="360" w:lineRule="auto"/>
        <w:jc w:val="center"/>
      </w:pPr>
      <w:bookmarkStart w:id="75" w:name="_Toc79497946"/>
      <w:r>
        <w:rPr>
          <w:rFonts w:hint="eastAsia"/>
        </w:rPr>
        <w:t>第一节 指导思想及发展原则</w:t>
      </w:r>
      <w:bookmarkEnd w:id="75"/>
    </w:p>
    <w:p w14:paraId="2FE86653">
      <w:pPr>
        <w:pStyle w:val="5"/>
        <w:spacing w:line="360" w:lineRule="auto"/>
        <w:rPr>
          <w:rFonts w:asciiTheme="minorEastAsia" w:hAnsiTheme="minorEastAsia"/>
        </w:rPr>
      </w:pPr>
      <w:bookmarkStart w:id="76" w:name="_Toc79497947"/>
      <w:r>
        <w:rPr>
          <w:rFonts w:hint="eastAsia" w:asciiTheme="minorEastAsia" w:hAnsiTheme="minorEastAsia"/>
        </w:rPr>
        <w:t>一、指导思想</w:t>
      </w:r>
      <w:bookmarkEnd w:id="76"/>
    </w:p>
    <w:p w14:paraId="01AA3D3F">
      <w:pPr>
        <w:spacing w:line="360" w:lineRule="auto"/>
        <w:ind w:firstLine="646" w:firstLineChars="202"/>
        <w:rPr>
          <w:rFonts w:ascii="宋体" w:hAnsi="宋体" w:eastAsia="宋体"/>
          <w:sz w:val="32"/>
          <w:szCs w:val="32"/>
        </w:rPr>
      </w:pPr>
      <w:r>
        <w:rPr>
          <w:rFonts w:hint="eastAsia" w:ascii="宋体" w:hAnsi="宋体" w:eastAsia="宋体"/>
          <w:sz w:val="32"/>
          <w:szCs w:val="32"/>
        </w:rPr>
        <w:t>以习近平新时代中国特色社会主义思想为指导，全面贯彻党的十九大和十九届二中、三中、四中、五中全会精神，深入贯彻落实习近平总书记在辽宁考察时和在深入推进东北振兴座谈会上的重要讲话精神，认真落实国家、省、市的决策部署，充分发挥交通区位优势，大力发展现代物流经济，培育壮大现代物流产业，推动构建区域现代产业体系；牢固树立创新、协调、绿色、开放、共享的发展理念，以国务院《关于推动物流高质量发展促进形成强大国内市场的意见》为指引，高质量发展现代物流业；坚持以供给侧结构性改革为主线，以创新发展为引领，以服务凌源及辽冀蒙三省区结合部区域经济为根本立足点，以降本增效为主要目标，按照产业集聚发展的思路，着力优化物流业布局，构建物流产业集聚区，推动一二三产业融合发展；全面系统构建立足凌源、辐射辽冀蒙、连接“一带一路”的现代物流服务体系，为促进区域经济协调发展以及加快实现国内国际双循环相互促进的新发展格局提供强有力的支撑和保障。</w:t>
      </w:r>
    </w:p>
    <w:p w14:paraId="7AFC4B1D">
      <w:pPr>
        <w:pStyle w:val="5"/>
        <w:keepNext w:val="0"/>
        <w:keepLines w:val="0"/>
        <w:spacing w:line="360" w:lineRule="auto"/>
        <w:rPr>
          <w:rFonts w:asciiTheme="minorEastAsia" w:hAnsiTheme="minorEastAsia"/>
        </w:rPr>
      </w:pPr>
      <w:bookmarkStart w:id="77" w:name="_Toc79497948"/>
      <w:r>
        <w:rPr>
          <w:rFonts w:hint="eastAsia" w:asciiTheme="minorEastAsia" w:hAnsiTheme="minorEastAsia"/>
        </w:rPr>
        <w:t>二、发展原则</w:t>
      </w:r>
      <w:bookmarkEnd w:id="77"/>
    </w:p>
    <w:p w14:paraId="3BDA7E57">
      <w:pPr>
        <w:pStyle w:val="6"/>
        <w:rPr>
          <w:rFonts w:ascii="宋体" w:hAnsi="宋体"/>
          <w:sz w:val="32"/>
          <w:szCs w:val="32"/>
        </w:rPr>
      </w:pPr>
      <w:r>
        <w:rPr>
          <w:rFonts w:hint="eastAsia" w:ascii="宋体" w:hAnsi="宋体"/>
          <w:sz w:val="32"/>
          <w:szCs w:val="32"/>
        </w:rPr>
        <w:t>（一）产业融合、集聚发展</w:t>
      </w:r>
    </w:p>
    <w:p w14:paraId="482D96B6">
      <w:pPr>
        <w:spacing w:line="360" w:lineRule="auto"/>
        <w:ind w:firstLine="646" w:firstLineChars="202"/>
        <w:rPr>
          <w:rFonts w:ascii="宋体" w:hAnsi="宋体" w:eastAsia="宋体"/>
          <w:sz w:val="32"/>
          <w:szCs w:val="32"/>
        </w:rPr>
      </w:pPr>
      <w:r>
        <w:rPr>
          <w:rFonts w:hint="eastAsia" w:ascii="宋体" w:hAnsi="宋体" w:eastAsia="宋体"/>
          <w:sz w:val="32"/>
          <w:szCs w:val="32"/>
        </w:rPr>
        <w:t>依托凌源市制造业产业集群、农产品流通和商贸业，大力发展配套的现代物流业，形成上下游产业集群发展的优势；着力提升物流对区域产业、经济的服务能力，大力推动物流业与制造业、商贸业、农业联动发展，融合发展。</w:t>
      </w:r>
    </w:p>
    <w:p w14:paraId="17FBAC6C">
      <w:pPr>
        <w:pStyle w:val="6"/>
        <w:rPr>
          <w:rFonts w:ascii="宋体" w:hAnsi="宋体"/>
          <w:color w:val="FF0000"/>
          <w:sz w:val="32"/>
          <w:szCs w:val="32"/>
        </w:rPr>
      </w:pPr>
      <w:r>
        <w:rPr>
          <w:rFonts w:hint="eastAsia" w:ascii="宋体" w:hAnsi="宋体"/>
          <w:sz w:val="32"/>
          <w:szCs w:val="32"/>
        </w:rPr>
        <w:t>（二）科技引领、智慧发展</w:t>
      </w:r>
    </w:p>
    <w:p w14:paraId="2D1258B8">
      <w:pPr>
        <w:spacing w:line="360" w:lineRule="auto"/>
        <w:ind w:firstLine="646" w:firstLineChars="202"/>
        <w:rPr>
          <w:rFonts w:ascii="宋体" w:hAnsi="宋体" w:eastAsia="宋体"/>
          <w:sz w:val="32"/>
          <w:szCs w:val="32"/>
        </w:rPr>
      </w:pPr>
      <w:r>
        <w:rPr>
          <w:rFonts w:hint="eastAsia" w:ascii="宋体" w:hAnsi="宋体" w:eastAsia="宋体"/>
          <w:sz w:val="32"/>
          <w:szCs w:val="32"/>
        </w:rPr>
        <w:t>推进5G、大数据、智能互联、移动终端、云计算、区块链等新科技、新信息技术在物流业的运用与推广，不断增强区域现代物流业的创新发展能力。探索制度创新，争取物流改革创新政策先行先试，积极延伸新型物流业态，加快传统物流模式创新发展，推动现代物流园区创新建设，鼓励物流企业加强产品创新，加快流程、管理和机制创新，加快智慧物流信息平台建设，提升物流业智慧化水平和效率。</w:t>
      </w:r>
    </w:p>
    <w:p w14:paraId="33E24823">
      <w:pPr>
        <w:pStyle w:val="6"/>
        <w:rPr>
          <w:rFonts w:ascii="宋体" w:hAnsi="宋体"/>
          <w:sz w:val="32"/>
          <w:szCs w:val="32"/>
        </w:rPr>
      </w:pPr>
      <w:r>
        <w:rPr>
          <w:rFonts w:hint="eastAsia" w:ascii="宋体" w:hAnsi="宋体"/>
          <w:sz w:val="32"/>
          <w:szCs w:val="32"/>
        </w:rPr>
        <w:t>（三）立足凌源、辐射周边</w:t>
      </w:r>
    </w:p>
    <w:p w14:paraId="0AF63086">
      <w:pPr>
        <w:spacing w:line="360" w:lineRule="auto"/>
        <w:ind w:firstLine="646" w:firstLineChars="202"/>
        <w:rPr>
          <w:rFonts w:ascii="宋体" w:hAnsi="宋体" w:eastAsia="宋体"/>
          <w:sz w:val="32"/>
          <w:szCs w:val="32"/>
        </w:rPr>
      </w:pPr>
      <w:r>
        <w:rPr>
          <w:rFonts w:hint="eastAsia" w:ascii="宋体" w:hAnsi="宋体" w:eastAsia="宋体"/>
          <w:sz w:val="32"/>
          <w:szCs w:val="32"/>
        </w:rPr>
        <w:t>凌源市位于辽冀蒙三省交界处，</w:t>
      </w:r>
      <w:r>
        <w:rPr>
          <w:rFonts w:ascii="宋体" w:hAnsi="宋体" w:eastAsia="宋体"/>
          <w:sz w:val="32"/>
          <w:szCs w:val="32"/>
        </w:rPr>
        <w:t>是连接京</w:t>
      </w:r>
      <w:r>
        <w:rPr>
          <w:rFonts w:hint="eastAsia" w:ascii="宋体" w:hAnsi="宋体" w:eastAsia="宋体"/>
          <w:sz w:val="32"/>
          <w:szCs w:val="32"/>
        </w:rPr>
        <w:t>津冀城市群与沈阳都市圈</w:t>
      </w:r>
      <w:r>
        <w:rPr>
          <w:rFonts w:ascii="宋体" w:hAnsi="宋体" w:eastAsia="宋体"/>
          <w:sz w:val="32"/>
          <w:szCs w:val="32"/>
        </w:rPr>
        <w:t>、沟通内蒙古腹地与沿海港口的重要交通节点城市</w:t>
      </w:r>
      <w:r>
        <w:rPr>
          <w:rFonts w:hint="eastAsia" w:ascii="宋体" w:hAnsi="宋体" w:eastAsia="宋体"/>
          <w:sz w:val="32"/>
          <w:szCs w:val="32"/>
        </w:rPr>
        <w:t>，交通区位条件十分优越。凌源现代物流业在重点服务于市域经济发展的同时，应积极拓展与辽冀蒙三省（区）相关县市的合作对接，形成对外辐射物流与区域内部物流之间的有机衔接，内外互动、互促发展，为区域经济合作拓展更加广阔的空间。</w:t>
      </w:r>
    </w:p>
    <w:p w14:paraId="21B034F0">
      <w:pPr>
        <w:pStyle w:val="6"/>
        <w:rPr>
          <w:rFonts w:ascii="宋体" w:hAnsi="宋体"/>
          <w:sz w:val="32"/>
          <w:szCs w:val="32"/>
        </w:rPr>
      </w:pPr>
      <w:r>
        <w:rPr>
          <w:rFonts w:hint="eastAsia" w:ascii="宋体" w:hAnsi="宋体"/>
          <w:sz w:val="32"/>
          <w:szCs w:val="32"/>
        </w:rPr>
        <w:t>（四）生态绿色、和谐发展</w:t>
      </w:r>
    </w:p>
    <w:p w14:paraId="7FEB8DC3">
      <w:pPr>
        <w:spacing w:line="360" w:lineRule="auto"/>
        <w:ind w:firstLine="646" w:firstLineChars="202"/>
        <w:rPr>
          <w:rFonts w:ascii="宋体" w:hAnsi="宋体" w:eastAsia="宋体"/>
          <w:sz w:val="32"/>
          <w:szCs w:val="32"/>
        </w:rPr>
      </w:pPr>
      <w:r>
        <w:rPr>
          <w:rFonts w:hint="eastAsia" w:ascii="宋体" w:hAnsi="宋体" w:eastAsia="宋体"/>
          <w:sz w:val="32"/>
          <w:szCs w:val="32"/>
        </w:rPr>
        <w:t>近年来，我国对生态治理和环境保护的要求不断提高，在发展现代物流业的过程中，凌源市应注重调整运输结构，发展绿色交通体系，大幅提升铁路货运比例，着力推动物流企业强化生产经营管理，提高节约能源和保护环境意识，走规范化、规模化、集约化、绿色化、生态化的发展道路。</w:t>
      </w:r>
    </w:p>
    <w:p w14:paraId="0AAA62FC">
      <w:pPr>
        <w:pStyle w:val="6"/>
        <w:rPr>
          <w:rFonts w:ascii="宋体" w:hAnsi="宋体"/>
          <w:sz w:val="32"/>
          <w:szCs w:val="32"/>
        </w:rPr>
      </w:pPr>
      <w:r>
        <w:rPr>
          <w:rFonts w:hint="eastAsia" w:ascii="宋体" w:hAnsi="宋体"/>
          <w:sz w:val="32"/>
          <w:szCs w:val="32"/>
        </w:rPr>
        <w:t>（五）市场主导、政府引导</w:t>
      </w:r>
    </w:p>
    <w:p w14:paraId="45A41BD0">
      <w:pPr>
        <w:spacing w:line="360" w:lineRule="auto"/>
        <w:ind w:firstLine="646" w:firstLineChars="202"/>
        <w:rPr>
          <w:rFonts w:ascii="宋体" w:hAnsi="宋体" w:eastAsia="宋体"/>
          <w:sz w:val="32"/>
          <w:szCs w:val="32"/>
        </w:rPr>
      </w:pPr>
      <w:r>
        <w:rPr>
          <w:rFonts w:hint="eastAsia" w:ascii="宋体" w:hAnsi="宋体" w:eastAsia="宋体"/>
          <w:sz w:val="32"/>
          <w:szCs w:val="32"/>
        </w:rPr>
        <w:t>充分发挥市场机制的作用，坚持企业的市场主体地位，强化投资建设、经营管理和业务运作市场化。积极发挥政府在规划引领、平台建设、布局优化、政策扶持、市场监管和产业培育等方面的管理和服务作用，创新管理模式和管理机制，推动物流业健康、有序、可持续发展。</w:t>
      </w:r>
    </w:p>
    <w:p w14:paraId="43CBD23B">
      <w:pPr>
        <w:pStyle w:val="4"/>
        <w:spacing w:line="360" w:lineRule="auto"/>
        <w:jc w:val="center"/>
      </w:pPr>
      <w:bookmarkStart w:id="78" w:name="_Toc79497949"/>
      <w:r>
        <w:rPr>
          <w:rFonts w:hint="eastAsia"/>
        </w:rPr>
        <w:t>第二节 战略定位</w:t>
      </w:r>
      <w:bookmarkEnd w:id="78"/>
    </w:p>
    <w:p w14:paraId="7D4CE8D6">
      <w:pPr>
        <w:spacing w:line="360" w:lineRule="auto"/>
        <w:ind w:firstLine="640" w:firstLineChars="200"/>
        <w:rPr>
          <w:rFonts w:ascii="宋体" w:hAnsi="宋体" w:eastAsia="宋体"/>
        </w:rPr>
      </w:pPr>
      <w:r>
        <w:rPr>
          <w:rFonts w:hint="eastAsia" w:ascii="宋体" w:hAnsi="宋体" w:eastAsia="宋体"/>
          <w:sz w:val="32"/>
          <w:szCs w:val="32"/>
        </w:rPr>
        <w:t>遵循朝阳市全力建设辽冀蒙区域性物流中心的工作要求，按照凌源市“十四五”发展的总体战略定位，依托经济区位和综合交通优势，创新体制机制、补齐设施短板，深化产业联动、推动特色发展，把凌源市打造成为辽冀蒙重要物流枢纽、辽冀蒙区域性物流中心首席承载地和物流结算中心，并最终发展成为辽冀蒙物流运行的新高地、全国智慧物流、供应链物流示范县市、辽冀蒙对接京津冀、长三角、粤港澳大湾区、连接“一带一路”的重要物流节点。</w:t>
      </w:r>
    </w:p>
    <w:p w14:paraId="0A8D5DEB">
      <w:pPr>
        <w:pStyle w:val="4"/>
        <w:spacing w:line="360" w:lineRule="auto"/>
        <w:jc w:val="center"/>
      </w:pPr>
      <w:bookmarkStart w:id="79" w:name="_Toc79497950"/>
      <w:r>
        <w:rPr>
          <w:rFonts w:hint="eastAsia"/>
        </w:rPr>
        <w:t>第三节 发展目标</w:t>
      </w:r>
      <w:bookmarkEnd w:id="79"/>
    </w:p>
    <w:p w14:paraId="6C58C3BB">
      <w:pPr>
        <w:pStyle w:val="5"/>
        <w:spacing w:line="360" w:lineRule="auto"/>
        <w:rPr>
          <w:rFonts w:asciiTheme="minorEastAsia" w:hAnsiTheme="minorEastAsia"/>
        </w:rPr>
      </w:pPr>
      <w:bookmarkStart w:id="80" w:name="_Toc79497951"/>
      <w:r>
        <w:rPr>
          <w:rFonts w:hint="eastAsia" w:asciiTheme="minorEastAsia" w:hAnsiTheme="minorEastAsia"/>
        </w:rPr>
        <w:t>一、总体目标</w:t>
      </w:r>
      <w:bookmarkEnd w:id="80"/>
    </w:p>
    <w:p w14:paraId="2459C217">
      <w:pPr>
        <w:spacing w:line="360" w:lineRule="auto"/>
        <w:ind w:firstLine="646" w:firstLineChars="202"/>
        <w:rPr>
          <w:rFonts w:ascii="宋体" w:hAnsi="宋体" w:eastAsia="宋体"/>
          <w:sz w:val="32"/>
          <w:szCs w:val="32"/>
        </w:rPr>
      </w:pPr>
      <w:r>
        <w:rPr>
          <w:rFonts w:hint="eastAsia" w:ascii="宋体" w:hAnsi="宋体" w:eastAsia="宋体"/>
          <w:sz w:val="32"/>
          <w:szCs w:val="32"/>
        </w:rPr>
        <w:t>规划引领，创新发展，借力优势产业，整合优势资源，做强</w:t>
      </w:r>
      <w:r>
        <w:rPr>
          <w:rFonts w:ascii="宋体" w:hAnsi="宋体" w:eastAsia="宋体"/>
          <w:sz w:val="32"/>
          <w:szCs w:val="32"/>
        </w:rPr>
        <w:t>优势领域，</w:t>
      </w:r>
      <w:r>
        <w:rPr>
          <w:rFonts w:hint="eastAsia" w:ascii="宋体" w:hAnsi="宋体" w:eastAsia="宋体"/>
          <w:sz w:val="32"/>
          <w:szCs w:val="32"/>
        </w:rPr>
        <w:t>突破发展产业物流，提升发展生活物流，推动现代物流业成为凌源市重要的基础性、先导性、支撑性产业。到“十四五”末，全市现代化物流产业体系全面建成，</w:t>
      </w:r>
      <w:r>
        <w:rPr>
          <w:rFonts w:ascii="宋体" w:hAnsi="宋体" w:eastAsia="宋体"/>
          <w:sz w:val="32"/>
          <w:szCs w:val="32"/>
        </w:rPr>
        <w:t>现代物流</w:t>
      </w:r>
      <w:r>
        <w:rPr>
          <w:rFonts w:hint="eastAsia" w:ascii="宋体" w:hAnsi="宋体" w:eastAsia="宋体"/>
          <w:sz w:val="32"/>
          <w:szCs w:val="32"/>
        </w:rPr>
        <w:t>产</w:t>
      </w:r>
      <w:r>
        <w:rPr>
          <w:rFonts w:ascii="宋体" w:hAnsi="宋体" w:eastAsia="宋体"/>
          <w:sz w:val="32"/>
          <w:szCs w:val="32"/>
        </w:rPr>
        <w:t>业发展水平</w:t>
      </w:r>
      <w:r>
        <w:rPr>
          <w:rFonts w:hint="eastAsia" w:ascii="宋体" w:hAnsi="宋体" w:eastAsia="宋体"/>
          <w:sz w:val="32"/>
          <w:szCs w:val="32"/>
        </w:rPr>
        <w:t>在朝阳全市处于领先地位；</w:t>
      </w:r>
      <w:r>
        <w:rPr>
          <w:rFonts w:ascii="宋体" w:hAnsi="宋体" w:eastAsia="宋体"/>
          <w:sz w:val="32"/>
          <w:szCs w:val="32"/>
        </w:rPr>
        <w:t>辽冀蒙区域性物流中心</w:t>
      </w:r>
      <w:r>
        <w:rPr>
          <w:rFonts w:hint="eastAsia" w:ascii="宋体" w:hAnsi="宋体" w:eastAsia="宋体"/>
          <w:sz w:val="32"/>
          <w:szCs w:val="32"/>
        </w:rPr>
        <w:t>首席承载地和京津冀与沈阳都市圈交汇处物流节点城市的地位初步确立；物流业增加值</w:t>
      </w:r>
      <w:r>
        <w:rPr>
          <w:rFonts w:ascii="宋体" w:hAnsi="宋体" w:eastAsia="宋体"/>
          <w:sz w:val="32"/>
          <w:szCs w:val="32"/>
        </w:rPr>
        <w:t>占GDP比率较 2020年增加2个百分点</w:t>
      </w:r>
      <w:r>
        <w:rPr>
          <w:rFonts w:hint="eastAsia" w:ascii="宋体" w:hAnsi="宋体" w:eastAsia="宋体"/>
          <w:sz w:val="32"/>
          <w:szCs w:val="32"/>
        </w:rPr>
        <w:t>；</w:t>
      </w:r>
      <w:r>
        <w:rPr>
          <w:rFonts w:ascii="宋体" w:hAnsi="宋体" w:eastAsia="宋体"/>
          <w:sz w:val="32"/>
          <w:szCs w:val="32"/>
        </w:rPr>
        <w:t>建成2</w:t>
      </w:r>
      <w:r>
        <w:rPr>
          <w:rFonts w:hint="eastAsia" w:ascii="宋体" w:hAnsi="宋体" w:eastAsia="宋体"/>
          <w:sz w:val="32"/>
          <w:szCs w:val="32"/>
        </w:rPr>
        <w:t>个</w:t>
      </w:r>
      <w:r>
        <w:rPr>
          <w:rFonts w:ascii="宋体" w:hAnsi="宋体" w:eastAsia="宋体"/>
          <w:sz w:val="32"/>
          <w:szCs w:val="32"/>
        </w:rPr>
        <w:t>以上省级物流园区</w:t>
      </w:r>
      <w:r>
        <w:rPr>
          <w:rFonts w:hint="eastAsia" w:ascii="宋体" w:hAnsi="宋体" w:eastAsia="宋体"/>
          <w:sz w:val="32"/>
          <w:szCs w:val="32"/>
        </w:rPr>
        <w:t>；</w:t>
      </w:r>
      <w:r>
        <w:rPr>
          <w:rFonts w:ascii="宋体" w:hAnsi="宋体" w:eastAsia="宋体"/>
          <w:sz w:val="32"/>
          <w:szCs w:val="32"/>
        </w:rPr>
        <w:t>全市</w:t>
      </w:r>
      <w:r>
        <w:rPr>
          <w:rFonts w:hint="eastAsia" w:ascii="宋体" w:hAnsi="宋体" w:eastAsia="宋体"/>
          <w:sz w:val="32"/>
          <w:szCs w:val="32"/>
        </w:rPr>
        <w:t>3</w:t>
      </w:r>
      <w:r>
        <w:rPr>
          <w:rFonts w:ascii="宋体" w:hAnsi="宋体" w:eastAsia="宋体"/>
          <w:sz w:val="32"/>
          <w:szCs w:val="32"/>
        </w:rPr>
        <w:t>A级以上物流企业达到</w:t>
      </w:r>
      <w:r>
        <w:rPr>
          <w:rFonts w:hint="eastAsia" w:ascii="宋体" w:hAnsi="宋体" w:eastAsia="宋体"/>
          <w:sz w:val="32"/>
          <w:szCs w:val="32"/>
        </w:rPr>
        <w:t>5</w:t>
      </w:r>
      <w:r>
        <w:rPr>
          <w:rFonts w:ascii="宋体" w:hAnsi="宋体" w:eastAsia="宋体"/>
          <w:sz w:val="32"/>
          <w:szCs w:val="32"/>
        </w:rPr>
        <w:t>家。</w:t>
      </w:r>
    </w:p>
    <w:p w14:paraId="2277A83A">
      <w:pPr>
        <w:pStyle w:val="5"/>
        <w:spacing w:line="360" w:lineRule="auto"/>
        <w:rPr>
          <w:rFonts w:asciiTheme="minorEastAsia" w:hAnsiTheme="minorEastAsia"/>
        </w:rPr>
      </w:pPr>
      <w:bookmarkStart w:id="81" w:name="_Toc79497952"/>
      <w:r>
        <w:rPr>
          <w:rFonts w:hint="eastAsia" w:asciiTheme="minorEastAsia" w:hAnsiTheme="minorEastAsia"/>
        </w:rPr>
        <w:t>二、阶段目标</w:t>
      </w:r>
      <w:bookmarkEnd w:id="81"/>
    </w:p>
    <w:p w14:paraId="637D7190">
      <w:pPr>
        <w:pStyle w:val="6"/>
        <w:rPr>
          <w:rFonts w:ascii="宋体" w:hAnsi="宋体"/>
          <w:sz w:val="32"/>
          <w:szCs w:val="32"/>
        </w:rPr>
      </w:pPr>
      <w:r>
        <w:rPr>
          <w:rFonts w:hint="eastAsia" w:ascii="宋体" w:hAnsi="宋体"/>
          <w:sz w:val="32"/>
          <w:szCs w:val="32"/>
        </w:rPr>
        <w:t>（一）起步阶段（2021-2022年）</w:t>
      </w:r>
    </w:p>
    <w:p w14:paraId="5E7A9FDD">
      <w:pPr>
        <w:spacing w:line="360" w:lineRule="auto"/>
        <w:ind w:firstLine="646" w:firstLineChars="202"/>
        <w:rPr>
          <w:rFonts w:ascii="宋体" w:hAnsi="宋体" w:eastAsia="宋体"/>
          <w:sz w:val="32"/>
          <w:szCs w:val="32"/>
        </w:rPr>
      </w:pPr>
      <w:r>
        <w:rPr>
          <w:rFonts w:hint="eastAsia" w:ascii="宋体" w:hAnsi="宋体" w:eastAsia="宋体"/>
          <w:sz w:val="32"/>
          <w:szCs w:val="32"/>
        </w:rPr>
        <w:t>建立起现代物流业运行体系的总体框架雏形，产业支撑作用不断显现。完成重点物流园区和部分重要物流节点的核心承载设施建设，以及县乡村三级配送网点的建设；着力培育和引进一批现代物流企业；围绕钢铁冶金业、非金属深加工产业构建供应链物流服务体系；大力推动现代物流业技术设施不断完备、运行效率不断提高。</w:t>
      </w:r>
    </w:p>
    <w:p w14:paraId="2153D979">
      <w:pPr>
        <w:pStyle w:val="6"/>
        <w:rPr>
          <w:rFonts w:ascii="宋体" w:hAnsi="宋体"/>
          <w:sz w:val="32"/>
          <w:szCs w:val="32"/>
        </w:rPr>
      </w:pPr>
      <w:r>
        <w:rPr>
          <w:rFonts w:hint="eastAsia" w:ascii="宋体" w:hAnsi="宋体"/>
          <w:sz w:val="32"/>
          <w:szCs w:val="32"/>
        </w:rPr>
        <w:t>（二）发展阶段（2023-2025年）</w:t>
      </w:r>
    </w:p>
    <w:p w14:paraId="28CAB7EC">
      <w:pPr>
        <w:spacing w:line="360" w:lineRule="auto"/>
        <w:ind w:firstLine="646" w:firstLineChars="202"/>
        <w:rPr>
          <w:rFonts w:ascii="宋体" w:hAnsi="宋体" w:eastAsia="宋体"/>
          <w:sz w:val="32"/>
          <w:szCs w:val="32"/>
        </w:rPr>
      </w:pPr>
      <w:r>
        <w:rPr>
          <w:rFonts w:hint="eastAsia" w:ascii="宋体" w:hAnsi="宋体" w:eastAsia="宋体"/>
          <w:sz w:val="32"/>
          <w:szCs w:val="32"/>
        </w:rPr>
        <w:t>到“十四五”末，形成布局合理、技术先进、安全环保、运作高效、管理创新并具有核心竞争力和引领效应的现代物流运行体系。建设一批规模化、专业化、信息化、现代化的区域物流承载设施、重要物流节点和配送网点，形成集聚发展的物流产业新格局；构建起联通国内国际的物流大通道；培育一批在辽冀蒙乃至全国具有影响力的现代物流企业和供应链物流服务企业；产业规模持续扩大、空间布局明显优化、服务能力显著提升、综合成本明显下降、产业地位不断上升。</w:t>
      </w:r>
    </w:p>
    <w:p w14:paraId="03FE9EB9">
      <w:pPr>
        <w:pStyle w:val="6"/>
        <w:rPr>
          <w:rFonts w:ascii="宋体" w:hAnsi="宋体"/>
          <w:sz w:val="32"/>
          <w:szCs w:val="32"/>
        </w:rPr>
      </w:pPr>
      <w:r>
        <w:rPr>
          <w:rFonts w:hint="eastAsia" w:ascii="宋体" w:hAnsi="宋体"/>
          <w:sz w:val="32"/>
          <w:szCs w:val="32"/>
        </w:rPr>
        <w:t>（三）提升阶段（2026-2030年）</w:t>
      </w:r>
    </w:p>
    <w:p w14:paraId="5A1BC558">
      <w:pPr>
        <w:spacing w:line="360" w:lineRule="auto"/>
        <w:ind w:firstLine="646" w:firstLineChars="202"/>
        <w:rPr>
          <w:rFonts w:ascii="宋体" w:hAnsi="宋体" w:eastAsia="宋体"/>
          <w:sz w:val="32"/>
          <w:szCs w:val="32"/>
        </w:rPr>
      </w:pPr>
      <w:r>
        <w:rPr>
          <w:rFonts w:hint="eastAsia" w:ascii="宋体" w:hAnsi="宋体" w:eastAsia="宋体"/>
          <w:sz w:val="32"/>
          <w:szCs w:val="32"/>
        </w:rPr>
        <w:t>全面完成区域物流体系的建设，现代物流业运行更加高效，把现代物流业打造成为推动凌源市经济高质量发展的基础性、先导性、支撑性产业，更好地服务于辽冀蒙地区经济发展。</w:t>
      </w:r>
    </w:p>
    <w:p w14:paraId="766EAC43">
      <w:pPr>
        <w:widowControl/>
        <w:jc w:val="left"/>
        <w:rPr>
          <w:rFonts w:ascii="黑体" w:hAnsi="黑体" w:eastAsia="黑体"/>
          <w:b/>
          <w:bCs/>
          <w:kern w:val="44"/>
          <w:sz w:val="44"/>
          <w:szCs w:val="44"/>
        </w:rPr>
      </w:pPr>
      <w:bookmarkStart w:id="82" w:name="_Toc46998695"/>
      <w:bookmarkStart w:id="83" w:name="_Toc462928434"/>
      <w:r>
        <w:rPr>
          <w:rFonts w:ascii="黑体" w:hAnsi="黑体" w:eastAsia="黑体"/>
        </w:rPr>
        <w:br w:type="page"/>
      </w:r>
    </w:p>
    <w:p w14:paraId="0ED38ABE">
      <w:pPr>
        <w:pStyle w:val="3"/>
        <w:numPr>
          <w:ilvl w:val="0"/>
          <w:numId w:val="2"/>
        </w:numPr>
        <w:spacing w:line="360" w:lineRule="auto"/>
        <w:ind w:left="0" w:firstLine="0"/>
        <w:jc w:val="center"/>
        <w:rPr>
          <w:rFonts w:ascii="黑体" w:hAnsi="黑体" w:eastAsia="黑体"/>
        </w:rPr>
      </w:pPr>
      <w:bookmarkStart w:id="84" w:name="_Toc79497953"/>
      <w:r>
        <w:rPr>
          <w:rFonts w:hint="eastAsia" w:ascii="黑体" w:hAnsi="黑体" w:eastAsia="黑体"/>
        </w:rPr>
        <w:t>现代物流产业体系建设</w:t>
      </w:r>
      <w:bookmarkEnd w:id="84"/>
    </w:p>
    <w:p w14:paraId="647E4D00">
      <w:pPr>
        <w:pStyle w:val="4"/>
        <w:spacing w:line="360" w:lineRule="auto"/>
        <w:jc w:val="center"/>
      </w:pPr>
      <w:bookmarkStart w:id="85" w:name="_Toc79497954"/>
      <w:bookmarkStart w:id="86" w:name="_Toc437471959"/>
      <w:bookmarkStart w:id="87" w:name="_Toc46506030"/>
      <w:r>
        <w:rPr>
          <w:rFonts w:hint="eastAsia"/>
        </w:rPr>
        <w:t>第一节 现代物流产业体系概述</w:t>
      </w:r>
      <w:bookmarkEnd w:id="85"/>
    </w:p>
    <w:p w14:paraId="5C5CD8C2">
      <w:pPr>
        <w:spacing w:line="360" w:lineRule="auto"/>
        <w:ind w:firstLine="646" w:firstLineChars="202"/>
        <w:rPr>
          <w:rFonts w:ascii="宋体" w:hAnsi="宋体"/>
          <w:sz w:val="32"/>
          <w:szCs w:val="32"/>
        </w:rPr>
      </w:pPr>
      <w:r>
        <w:rPr>
          <w:rFonts w:hint="eastAsia" w:ascii="宋体" w:hAnsi="宋体"/>
          <w:sz w:val="32"/>
          <w:szCs w:val="32"/>
        </w:rPr>
        <w:t>“十四五”时期，凌源市将构建“</w:t>
      </w:r>
      <w:r>
        <w:rPr>
          <w:rFonts w:hint="eastAsia" w:ascii="宋体" w:hAnsi="宋体"/>
          <w:b/>
          <w:sz w:val="32"/>
          <w:szCs w:val="32"/>
        </w:rPr>
        <w:t>一平台</w:t>
      </w:r>
      <w:r>
        <w:rPr>
          <w:rFonts w:hint="eastAsia" w:ascii="宋体" w:hAnsi="宋体"/>
          <w:sz w:val="32"/>
          <w:szCs w:val="32"/>
        </w:rPr>
        <w:t>、</w:t>
      </w:r>
      <w:r>
        <w:rPr>
          <w:rFonts w:hint="eastAsia" w:ascii="宋体" w:hAnsi="宋体"/>
          <w:b/>
          <w:sz w:val="32"/>
          <w:szCs w:val="32"/>
        </w:rPr>
        <w:t>四板块</w:t>
      </w:r>
      <w:r>
        <w:rPr>
          <w:rFonts w:hint="eastAsia" w:ascii="宋体" w:hAnsi="宋体"/>
          <w:sz w:val="32"/>
          <w:szCs w:val="32"/>
        </w:rPr>
        <w:t>”的现代物流产业体系，其中“一平台”为凌源市数字化物流信息平台，“四板块”为制造业物流、农产品流通及冷链物流、商贸物流和应急物流板块，具体如下图所示：</w:t>
      </w:r>
    </w:p>
    <w:p w14:paraId="70F4698F">
      <w:pPr>
        <w:spacing w:line="360" w:lineRule="auto"/>
        <w:jc w:val="center"/>
        <w:rPr>
          <w:rFonts w:ascii="宋体" w:hAnsi="宋体"/>
          <w:sz w:val="32"/>
          <w:szCs w:val="32"/>
        </w:rPr>
      </w:pPr>
      <w:r>
        <w:rPr>
          <w:rFonts w:ascii="宋体" w:hAnsi="宋体"/>
          <w:sz w:val="32"/>
          <w:szCs w:val="32"/>
        </w:rPr>
        <w:drawing>
          <wp:inline distT="0" distB="0" distL="0" distR="0">
            <wp:extent cx="5278120" cy="259969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8120" cy="2599690"/>
                    </a:xfrm>
                    <a:prstGeom prst="rect">
                      <a:avLst/>
                    </a:prstGeom>
                    <a:noFill/>
                    <a:ln>
                      <a:noFill/>
                    </a:ln>
                  </pic:spPr>
                </pic:pic>
              </a:graphicData>
            </a:graphic>
          </wp:inline>
        </w:drawing>
      </w:r>
    </w:p>
    <w:p w14:paraId="6B82800B">
      <w:pPr>
        <w:pStyle w:val="10"/>
        <w:jc w:val="center"/>
        <w:rPr>
          <w:rFonts w:ascii="黑体" w:hAnsi="黑体"/>
          <w:b/>
          <w:bCs/>
          <w:sz w:val="24"/>
          <w:szCs w:val="24"/>
        </w:rPr>
      </w:pPr>
      <w:bookmarkStart w:id="88" w:name="_Hlk61360511"/>
      <w:bookmarkStart w:id="89" w:name="_Toc79498053"/>
      <w:r>
        <w:rPr>
          <w:rFonts w:hint="eastAsia" w:ascii="黑体" w:hAnsi="黑体"/>
          <w:b/>
          <w:bCs/>
          <w:sz w:val="24"/>
          <w:szCs w:val="24"/>
        </w:rPr>
        <w:t xml:space="preserve">图 </w:t>
      </w:r>
      <w:r>
        <w:rPr>
          <w:rFonts w:ascii="黑体" w:hAnsi="黑体"/>
          <w:b/>
          <w:bCs/>
          <w:sz w:val="24"/>
          <w:szCs w:val="24"/>
        </w:rPr>
        <w:fldChar w:fldCharType="begin"/>
      </w:r>
      <w:r>
        <w:rPr>
          <w:rFonts w:hint="eastAsia" w:ascii="黑体" w:hAnsi="黑体"/>
          <w:b/>
          <w:bCs/>
          <w:sz w:val="24"/>
          <w:szCs w:val="24"/>
        </w:rPr>
        <w:instrText xml:space="preserve">SEQ 图 \* ARABIC</w:instrText>
      </w:r>
      <w:r>
        <w:rPr>
          <w:rFonts w:ascii="黑体" w:hAnsi="黑体"/>
          <w:b/>
          <w:bCs/>
          <w:sz w:val="24"/>
          <w:szCs w:val="24"/>
        </w:rPr>
        <w:fldChar w:fldCharType="separate"/>
      </w:r>
      <w:r>
        <w:rPr>
          <w:rFonts w:ascii="黑体" w:hAnsi="黑体"/>
          <w:b/>
          <w:bCs/>
          <w:sz w:val="24"/>
          <w:szCs w:val="24"/>
        </w:rPr>
        <w:t>7</w:t>
      </w:r>
      <w:r>
        <w:rPr>
          <w:rFonts w:ascii="黑体" w:hAnsi="黑体"/>
          <w:b/>
          <w:bCs/>
          <w:sz w:val="24"/>
          <w:szCs w:val="24"/>
        </w:rPr>
        <w:fldChar w:fldCharType="end"/>
      </w:r>
      <w:r>
        <w:rPr>
          <w:rFonts w:hint="eastAsia" w:ascii="黑体" w:hAnsi="黑体"/>
          <w:b/>
          <w:bCs/>
          <w:sz w:val="24"/>
          <w:szCs w:val="24"/>
        </w:rPr>
        <w:t>凌源市现代物流产业体系示意图</w:t>
      </w:r>
      <w:bookmarkEnd w:id="88"/>
      <w:bookmarkEnd w:id="89"/>
    </w:p>
    <w:p w14:paraId="087711D2"/>
    <w:bookmarkEnd w:id="86"/>
    <w:bookmarkEnd w:id="87"/>
    <w:p w14:paraId="5AF36773">
      <w:pPr>
        <w:pStyle w:val="4"/>
        <w:spacing w:line="360" w:lineRule="auto"/>
        <w:jc w:val="center"/>
      </w:pPr>
      <w:bookmarkStart w:id="90" w:name="_Toc79497955"/>
      <w:r>
        <w:t>第</w:t>
      </w:r>
      <w:r>
        <w:rPr>
          <w:rFonts w:hint="eastAsia"/>
        </w:rPr>
        <w:t>二</w:t>
      </w:r>
      <w:r>
        <w:t>节</w:t>
      </w:r>
      <w:r>
        <w:rPr>
          <w:rFonts w:hint="eastAsia"/>
        </w:rPr>
        <w:t xml:space="preserve"> 数字化物流信息平台</w:t>
      </w:r>
      <w:bookmarkEnd w:id="90"/>
    </w:p>
    <w:p w14:paraId="46D48F87">
      <w:pPr>
        <w:pStyle w:val="5"/>
        <w:spacing w:line="360" w:lineRule="auto"/>
        <w:rPr>
          <w:rFonts w:asciiTheme="minorEastAsia" w:hAnsiTheme="minorEastAsia"/>
        </w:rPr>
      </w:pPr>
      <w:bookmarkStart w:id="91" w:name="_Toc79497956"/>
      <w:r>
        <w:rPr>
          <w:rFonts w:hint="eastAsia" w:asciiTheme="minorEastAsia" w:hAnsiTheme="minorEastAsia"/>
        </w:rPr>
        <w:t>一、平台概述</w:t>
      </w:r>
      <w:bookmarkEnd w:id="91"/>
    </w:p>
    <w:p w14:paraId="63930555">
      <w:pPr>
        <w:spacing w:line="360" w:lineRule="auto"/>
        <w:ind w:firstLine="646" w:firstLineChars="202"/>
        <w:rPr>
          <w:rFonts w:ascii="宋体" w:hAnsi="宋体"/>
          <w:sz w:val="32"/>
          <w:szCs w:val="32"/>
        </w:rPr>
      </w:pPr>
      <w:r>
        <w:rPr>
          <w:rFonts w:hint="eastAsia" w:ascii="宋体" w:hAnsi="宋体"/>
          <w:sz w:val="32"/>
          <w:szCs w:val="32"/>
        </w:rPr>
        <w:t>凌源市数字化物流信息平台将围绕制造业物流、农产品流通及冷链物流、商贸物流和应急物流四大板块，</w:t>
      </w:r>
      <w:r>
        <w:rPr>
          <w:rFonts w:ascii="宋体" w:hAnsi="宋体"/>
          <w:sz w:val="32"/>
          <w:szCs w:val="32"/>
        </w:rPr>
        <w:t>通过对物流</w:t>
      </w:r>
      <w:r>
        <w:rPr>
          <w:rFonts w:hint="eastAsia" w:ascii="宋体" w:hAnsi="宋体"/>
          <w:sz w:val="32"/>
          <w:szCs w:val="32"/>
        </w:rPr>
        <w:t>全过程</w:t>
      </w:r>
      <w:r>
        <w:rPr>
          <w:rFonts w:ascii="宋体" w:hAnsi="宋体"/>
          <w:sz w:val="32"/>
          <w:szCs w:val="32"/>
        </w:rPr>
        <w:t>各环节作业数据进行结构化处理，建立</w:t>
      </w:r>
      <w:r>
        <w:rPr>
          <w:rFonts w:hint="eastAsia" w:ascii="宋体" w:hAnsi="宋体"/>
          <w:sz w:val="32"/>
          <w:szCs w:val="32"/>
        </w:rPr>
        <w:t>起</w:t>
      </w:r>
      <w:r>
        <w:rPr>
          <w:rFonts w:ascii="宋体" w:hAnsi="宋体"/>
          <w:sz w:val="32"/>
          <w:szCs w:val="32"/>
        </w:rPr>
        <w:t>物流大数据中心</w:t>
      </w:r>
      <w:r>
        <w:rPr>
          <w:rFonts w:hint="eastAsia" w:ascii="宋体" w:hAnsi="宋体"/>
          <w:sz w:val="32"/>
          <w:szCs w:val="32"/>
        </w:rPr>
        <w:t>，</w:t>
      </w:r>
      <w:r>
        <w:rPr>
          <w:rFonts w:ascii="宋体" w:hAnsi="宋体"/>
          <w:sz w:val="32"/>
          <w:szCs w:val="32"/>
        </w:rPr>
        <w:t>解决物流行业长期存在的数据孤岛问题，实现数据集中化、实时化</w:t>
      </w:r>
      <w:r>
        <w:rPr>
          <w:rFonts w:hint="eastAsia" w:ascii="宋体" w:hAnsi="宋体"/>
          <w:sz w:val="32"/>
          <w:szCs w:val="32"/>
        </w:rPr>
        <w:t>、共享化</w:t>
      </w:r>
      <w:r>
        <w:rPr>
          <w:rFonts w:ascii="宋体" w:hAnsi="宋体"/>
          <w:sz w:val="32"/>
          <w:szCs w:val="32"/>
        </w:rPr>
        <w:t>管理，为全景数据</w:t>
      </w:r>
      <w:r>
        <w:rPr>
          <w:rFonts w:hint="eastAsia" w:ascii="宋体" w:hAnsi="宋体"/>
          <w:sz w:val="32"/>
          <w:szCs w:val="32"/>
        </w:rPr>
        <w:t>运营</w:t>
      </w:r>
      <w:r>
        <w:rPr>
          <w:rFonts w:ascii="宋体" w:hAnsi="宋体"/>
          <w:sz w:val="32"/>
          <w:szCs w:val="32"/>
        </w:rPr>
        <w:t>提供支撑</w:t>
      </w:r>
      <w:r>
        <w:rPr>
          <w:rFonts w:hint="eastAsia" w:ascii="宋体" w:hAnsi="宋体"/>
          <w:sz w:val="32"/>
          <w:szCs w:val="32"/>
        </w:rPr>
        <w:t>。并且，通过车联网、物联网、互联网、移动终端、人工智能、区块链等技术的应用，促进线下物流交易、物流管理与线上互联网系统的一体化融合，实现物流数据的实时采集和互联互通，支持物流供方、需方和政府管理部门的</w:t>
      </w:r>
      <w:r>
        <w:rPr>
          <w:rFonts w:ascii="宋体" w:hAnsi="宋体"/>
          <w:sz w:val="32"/>
          <w:szCs w:val="32"/>
        </w:rPr>
        <w:t>多场景</w:t>
      </w:r>
      <w:r>
        <w:rPr>
          <w:rFonts w:hint="eastAsia" w:ascii="宋体" w:hAnsi="宋体"/>
          <w:sz w:val="32"/>
          <w:szCs w:val="32"/>
        </w:rPr>
        <w:t>应用。</w:t>
      </w:r>
    </w:p>
    <w:p w14:paraId="1A407F2C">
      <w:pPr>
        <w:pStyle w:val="5"/>
        <w:spacing w:line="360" w:lineRule="auto"/>
        <w:rPr>
          <w:rFonts w:asciiTheme="minorEastAsia" w:hAnsiTheme="minorEastAsia"/>
        </w:rPr>
      </w:pPr>
      <w:bookmarkStart w:id="92" w:name="_Toc79497957"/>
      <w:r>
        <w:rPr>
          <w:rFonts w:hint="eastAsia" w:asciiTheme="minorEastAsia" w:hAnsiTheme="minorEastAsia"/>
        </w:rPr>
        <w:t>二、建设方案</w:t>
      </w:r>
      <w:bookmarkEnd w:id="92"/>
    </w:p>
    <w:p w14:paraId="375B870A">
      <w:pPr>
        <w:pStyle w:val="6"/>
        <w:rPr>
          <w:rFonts w:ascii="宋体" w:hAnsi="宋体"/>
          <w:sz w:val="32"/>
          <w:szCs w:val="32"/>
        </w:rPr>
      </w:pPr>
      <w:r>
        <w:rPr>
          <w:rFonts w:hint="eastAsia" w:ascii="宋体" w:hAnsi="宋体"/>
          <w:sz w:val="32"/>
          <w:szCs w:val="32"/>
        </w:rPr>
        <w:t>（一）平台架构</w:t>
      </w:r>
    </w:p>
    <w:p w14:paraId="4D584C1F">
      <w:pPr>
        <w:spacing w:line="360" w:lineRule="auto"/>
        <w:ind w:firstLine="646" w:firstLineChars="202"/>
        <w:rPr>
          <w:rFonts w:ascii="宋体" w:hAnsi="宋体"/>
          <w:sz w:val="32"/>
          <w:szCs w:val="32"/>
        </w:rPr>
      </w:pPr>
      <w:r>
        <w:rPr>
          <w:rFonts w:hint="eastAsia" w:ascii="宋体" w:hAnsi="宋体"/>
          <w:sz w:val="32"/>
          <w:szCs w:val="32"/>
        </w:rPr>
        <w:t>凌源市数字化物流信息平台主要建设“一个数据库、四大平台、两套体系”，具体架构如下图所示。</w:t>
      </w:r>
    </w:p>
    <w:p w14:paraId="4F6D11A9">
      <w:pPr>
        <w:spacing w:line="360" w:lineRule="auto"/>
        <w:rPr>
          <w:rFonts w:ascii="宋体" w:hAnsi="宋体"/>
          <w:sz w:val="32"/>
          <w:szCs w:val="32"/>
        </w:rPr>
      </w:pPr>
      <w:r>
        <w:rPr>
          <w:rFonts w:ascii="宋体" w:hAnsi="宋体"/>
          <w:sz w:val="32"/>
          <w:szCs w:val="32"/>
        </w:rPr>
        <w:drawing>
          <wp:inline distT="0" distB="0" distL="0" distR="0">
            <wp:extent cx="5278120" cy="29559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8120" cy="2955925"/>
                    </a:xfrm>
                    <a:prstGeom prst="rect">
                      <a:avLst/>
                    </a:prstGeom>
                    <a:noFill/>
                    <a:ln>
                      <a:noFill/>
                    </a:ln>
                  </pic:spPr>
                </pic:pic>
              </a:graphicData>
            </a:graphic>
          </wp:inline>
        </w:drawing>
      </w:r>
    </w:p>
    <w:p w14:paraId="264B566A">
      <w:pPr>
        <w:pStyle w:val="10"/>
        <w:jc w:val="center"/>
        <w:rPr>
          <w:rFonts w:ascii="黑体" w:hAnsi="黑体"/>
          <w:b/>
          <w:bCs/>
          <w:sz w:val="24"/>
          <w:szCs w:val="24"/>
        </w:rPr>
      </w:pPr>
      <w:bookmarkStart w:id="93" w:name="_Toc79498054"/>
      <w:r>
        <w:rPr>
          <w:rFonts w:hint="eastAsia" w:ascii="黑体" w:hAnsi="黑体"/>
          <w:b/>
          <w:bCs/>
          <w:sz w:val="24"/>
          <w:szCs w:val="24"/>
        </w:rPr>
        <w:t xml:space="preserve">图 </w:t>
      </w:r>
      <w:r>
        <w:rPr>
          <w:rFonts w:ascii="黑体" w:hAnsi="黑体"/>
          <w:b/>
          <w:bCs/>
          <w:sz w:val="24"/>
          <w:szCs w:val="24"/>
        </w:rPr>
        <w:fldChar w:fldCharType="begin"/>
      </w:r>
      <w:r>
        <w:rPr>
          <w:rFonts w:hint="eastAsia" w:ascii="黑体" w:hAnsi="黑体"/>
          <w:b/>
          <w:bCs/>
          <w:sz w:val="24"/>
          <w:szCs w:val="24"/>
        </w:rPr>
        <w:instrText xml:space="preserve">SEQ 图 \* ARABIC</w:instrText>
      </w:r>
      <w:r>
        <w:rPr>
          <w:rFonts w:ascii="黑体" w:hAnsi="黑体"/>
          <w:b/>
          <w:bCs/>
          <w:sz w:val="24"/>
          <w:szCs w:val="24"/>
        </w:rPr>
        <w:fldChar w:fldCharType="separate"/>
      </w:r>
      <w:r>
        <w:rPr>
          <w:rFonts w:ascii="黑体" w:hAnsi="黑体"/>
          <w:b/>
          <w:bCs/>
          <w:sz w:val="24"/>
          <w:szCs w:val="24"/>
        </w:rPr>
        <w:t>8</w:t>
      </w:r>
      <w:r>
        <w:rPr>
          <w:rFonts w:ascii="黑体" w:hAnsi="黑体"/>
          <w:b/>
          <w:bCs/>
          <w:sz w:val="24"/>
          <w:szCs w:val="24"/>
        </w:rPr>
        <w:fldChar w:fldCharType="end"/>
      </w:r>
      <w:r>
        <w:rPr>
          <w:rFonts w:hint="eastAsia" w:ascii="黑体" w:hAnsi="黑体"/>
          <w:b/>
          <w:bCs/>
          <w:sz w:val="24"/>
          <w:szCs w:val="24"/>
        </w:rPr>
        <w:t>凌源市数字化物流信息平台架构图</w:t>
      </w:r>
      <w:bookmarkEnd w:id="93"/>
    </w:p>
    <w:p w14:paraId="333EE811"/>
    <w:p w14:paraId="0F599990">
      <w:pPr>
        <w:spacing w:line="360" w:lineRule="auto"/>
        <w:ind w:firstLine="646" w:firstLineChars="202"/>
        <w:rPr>
          <w:rFonts w:ascii="宋体" w:hAnsi="宋体"/>
          <w:sz w:val="32"/>
          <w:szCs w:val="32"/>
        </w:rPr>
      </w:pPr>
      <w:r>
        <w:rPr>
          <w:rFonts w:hint="eastAsia" w:ascii="宋体" w:hAnsi="宋体"/>
          <w:sz w:val="32"/>
          <w:szCs w:val="32"/>
        </w:rPr>
        <w:t>其中：</w:t>
      </w:r>
    </w:p>
    <w:p w14:paraId="7B64E46D">
      <w:pPr>
        <w:spacing w:line="360" w:lineRule="auto"/>
        <w:ind w:firstLine="646" w:firstLineChars="202"/>
        <w:rPr>
          <w:rFonts w:ascii="宋体" w:hAnsi="宋体"/>
          <w:sz w:val="32"/>
          <w:szCs w:val="32"/>
        </w:rPr>
      </w:pPr>
      <w:r>
        <w:rPr>
          <w:rFonts w:hint="eastAsia" w:ascii="宋体" w:hAnsi="宋体"/>
          <w:sz w:val="32"/>
          <w:szCs w:val="32"/>
        </w:rPr>
        <w:t>“一个数据库”为数字化信息平台底层数据库，按照“工作过程数字化和工作结果数字化”的要求，实现物流管理过程内容数据库内全留痕，对数据库内容按需依权限共享共用，实现物流管理的使用效益最大化。</w:t>
      </w:r>
    </w:p>
    <w:p w14:paraId="689C35DC">
      <w:pPr>
        <w:spacing w:line="360" w:lineRule="auto"/>
        <w:ind w:firstLine="646" w:firstLineChars="202"/>
        <w:rPr>
          <w:rFonts w:ascii="宋体" w:hAnsi="宋体"/>
          <w:sz w:val="32"/>
          <w:szCs w:val="32"/>
        </w:rPr>
      </w:pPr>
      <w:r>
        <w:rPr>
          <w:rFonts w:hint="eastAsia" w:ascii="宋体" w:hAnsi="宋体"/>
          <w:sz w:val="32"/>
          <w:szCs w:val="32"/>
        </w:rPr>
        <w:t>“四大平台”为满足数字化信息平台前端应用，建设制造业物流服务平台、农产品物流服务平台、商贸物流服务平台和应急物流服务平台，具备凌源市物流综合管理的各项功能。</w:t>
      </w:r>
    </w:p>
    <w:p w14:paraId="4BCB3A53">
      <w:pPr>
        <w:spacing w:line="360" w:lineRule="auto"/>
        <w:ind w:firstLine="646" w:firstLineChars="202"/>
        <w:rPr>
          <w:rFonts w:ascii="宋体" w:hAnsi="宋体"/>
          <w:sz w:val="32"/>
          <w:szCs w:val="32"/>
        </w:rPr>
      </w:pPr>
      <w:r>
        <w:rPr>
          <w:rFonts w:hint="eastAsia" w:ascii="宋体" w:hAnsi="宋体"/>
          <w:sz w:val="32"/>
          <w:szCs w:val="32"/>
        </w:rPr>
        <w:t>“两大体系”为标准规范体系和安全保障体系。标准规范体系为平台建设的前期提供统一数据标准，安全保障体系为平台后期安全运行提供保障支持。</w:t>
      </w:r>
    </w:p>
    <w:p w14:paraId="4E89503A">
      <w:pPr>
        <w:pStyle w:val="6"/>
        <w:rPr>
          <w:rFonts w:ascii="宋体" w:hAnsi="宋体"/>
          <w:sz w:val="32"/>
          <w:szCs w:val="32"/>
        </w:rPr>
      </w:pPr>
      <w:r>
        <w:rPr>
          <w:rFonts w:hint="eastAsia" w:ascii="宋体" w:hAnsi="宋体"/>
          <w:sz w:val="32"/>
          <w:szCs w:val="32"/>
        </w:rPr>
        <w:t>（二）建设步骤</w:t>
      </w:r>
    </w:p>
    <w:p w14:paraId="04D7A541">
      <w:pPr>
        <w:spacing w:line="360" w:lineRule="auto"/>
        <w:ind w:firstLine="646" w:firstLineChars="202"/>
        <w:rPr>
          <w:rFonts w:ascii="宋体" w:hAnsi="宋体"/>
          <w:sz w:val="32"/>
          <w:szCs w:val="32"/>
        </w:rPr>
      </w:pPr>
      <w:r>
        <w:rPr>
          <w:rFonts w:hint="eastAsia" w:ascii="宋体" w:hAnsi="宋体"/>
          <w:sz w:val="32"/>
          <w:szCs w:val="32"/>
        </w:rPr>
        <w:t>平台的实施将分为四个阶段：项目规划阶段、项目准备阶段、项目建设阶段和项目推广完善阶段。</w:t>
      </w:r>
    </w:p>
    <w:p w14:paraId="5FEB5C78">
      <w:pPr>
        <w:spacing w:line="360" w:lineRule="auto"/>
        <w:ind w:firstLine="646" w:firstLineChars="202"/>
        <w:rPr>
          <w:rFonts w:ascii="宋体" w:hAnsi="宋体"/>
          <w:sz w:val="32"/>
          <w:szCs w:val="32"/>
        </w:rPr>
      </w:pPr>
      <w:r>
        <w:rPr>
          <w:rFonts w:hint="eastAsia" w:ascii="宋体" w:hAnsi="宋体"/>
          <w:sz w:val="32"/>
          <w:szCs w:val="32"/>
        </w:rPr>
        <w:t>1、项目规划阶段（20</w:t>
      </w:r>
      <w:r>
        <w:rPr>
          <w:rFonts w:ascii="宋体" w:hAnsi="宋体"/>
          <w:sz w:val="32"/>
          <w:szCs w:val="32"/>
        </w:rPr>
        <w:t>21</w:t>
      </w:r>
      <w:r>
        <w:rPr>
          <w:rFonts w:hint="eastAsia" w:ascii="宋体" w:hAnsi="宋体"/>
          <w:sz w:val="32"/>
          <w:szCs w:val="32"/>
        </w:rPr>
        <w:t>年</w:t>
      </w:r>
      <w:r>
        <w:rPr>
          <w:rFonts w:ascii="宋体" w:hAnsi="宋体"/>
          <w:sz w:val="32"/>
          <w:szCs w:val="32"/>
        </w:rPr>
        <w:t>6</w:t>
      </w:r>
      <w:r>
        <w:rPr>
          <w:rFonts w:hint="eastAsia" w:ascii="宋体" w:hAnsi="宋体"/>
          <w:sz w:val="32"/>
          <w:szCs w:val="32"/>
        </w:rPr>
        <w:t>-12月）。主要工作包括：</w:t>
      </w:r>
    </w:p>
    <w:p w14:paraId="634747BA">
      <w:pPr>
        <w:spacing w:line="360" w:lineRule="auto"/>
        <w:ind w:firstLine="646" w:firstLineChars="202"/>
        <w:rPr>
          <w:rFonts w:ascii="宋体" w:hAnsi="宋体"/>
          <w:sz w:val="32"/>
          <w:szCs w:val="32"/>
        </w:rPr>
      </w:pPr>
      <w:r>
        <w:rPr>
          <w:rFonts w:hint="eastAsia" w:ascii="宋体" w:hAnsi="宋体"/>
          <w:sz w:val="32"/>
          <w:szCs w:val="32"/>
        </w:rPr>
        <w:t>（1）根据凌源市物流业发展规划，制定平台建设的总体战略，确定平台建设的总体目标、原则、组织机制等；</w:t>
      </w:r>
    </w:p>
    <w:p w14:paraId="40978622">
      <w:pPr>
        <w:spacing w:line="360" w:lineRule="auto"/>
        <w:ind w:firstLine="646" w:firstLineChars="202"/>
        <w:rPr>
          <w:rFonts w:ascii="宋体" w:hAnsi="宋体"/>
          <w:sz w:val="32"/>
          <w:szCs w:val="32"/>
        </w:rPr>
      </w:pPr>
      <w:r>
        <w:rPr>
          <w:rFonts w:hint="eastAsia" w:ascii="宋体" w:hAnsi="宋体"/>
          <w:sz w:val="32"/>
          <w:szCs w:val="32"/>
        </w:rPr>
        <w:t>（2）根据目前凌源市现有政府和企业的系统现状制定信息平台的建设规划，如IT基础设施规划、应用系统规划等；</w:t>
      </w:r>
    </w:p>
    <w:p w14:paraId="10019ED8">
      <w:pPr>
        <w:spacing w:line="360" w:lineRule="auto"/>
        <w:ind w:firstLine="646" w:firstLineChars="202"/>
        <w:rPr>
          <w:rFonts w:ascii="宋体" w:hAnsi="宋体"/>
          <w:sz w:val="32"/>
          <w:szCs w:val="32"/>
        </w:rPr>
      </w:pPr>
      <w:r>
        <w:rPr>
          <w:rFonts w:hint="eastAsia" w:ascii="宋体" w:hAnsi="宋体"/>
          <w:sz w:val="32"/>
          <w:szCs w:val="32"/>
        </w:rPr>
        <w:t>（3）根据项目实际情况、结合投资等因素，制定项目上线计划，并明确分步上线方案。</w:t>
      </w:r>
    </w:p>
    <w:p w14:paraId="29378BCD">
      <w:pPr>
        <w:spacing w:line="360" w:lineRule="auto"/>
        <w:ind w:firstLine="646" w:firstLineChars="202"/>
        <w:rPr>
          <w:rFonts w:ascii="宋体" w:hAnsi="宋体"/>
          <w:sz w:val="32"/>
          <w:szCs w:val="32"/>
        </w:rPr>
      </w:pPr>
      <w:r>
        <w:rPr>
          <w:rFonts w:hint="eastAsia" w:ascii="宋体" w:hAnsi="宋体"/>
          <w:sz w:val="32"/>
          <w:szCs w:val="32"/>
        </w:rPr>
        <w:t>2、项目准备阶段（20</w:t>
      </w:r>
      <w:r>
        <w:rPr>
          <w:rFonts w:ascii="宋体" w:hAnsi="宋体"/>
          <w:sz w:val="32"/>
          <w:szCs w:val="32"/>
        </w:rPr>
        <w:t>22</w:t>
      </w:r>
      <w:r>
        <w:rPr>
          <w:rFonts w:hint="eastAsia" w:ascii="宋体" w:hAnsi="宋体"/>
          <w:sz w:val="32"/>
          <w:szCs w:val="32"/>
        </w:rPr>
        <w:t>年1-4月）。主要工作包括：</w:t>
      </w:r>
    </w:p>
    <w:p w14:paraId="52FB0E50">
      <w:pPr>
        <w:spacing w:line="360" w:lineRule="auto"/>
        <w:ind w:firstLine="646" w:firstLineChars="202"/>
        <w:rPr>
          <w:rFonts w:ascii="宋体" w:hAnsi="宋体"/>
          <w:sz w:val="32"/>
          <w:szCs w:val="32"/>
        </w:rPr>
      </w:pPr>
      <w:r>
        <w:rPr>
          <w:rFonts w:hint="eastAsia" w:ascii="宋体" w:hAnsi="宋体"/>
          <w:sz w:val="32"/>
          <w:szCs w:val="32"/>
        </w:rPr>
        <w:t>（1）项目立项工作，包括项目建议书编制、项目可行性分析论证、项目预算等；</w:t>
      </w:r>
    </w:p>
    <w:p w14:paraId="046100E9">
      <w:pPr>
        <w:spacing w:line="360" w:lineRule="auto"/>
        <w:ind w:firstLine="646" w:firstLineChars="202"/>
        <w:rPr>
          <w:rFonts w:ascii="宋体" w:hAnsi="宋体"/>
          <w:sz w:val="32"/>
          <w:szCs w:val="32"/>
        </w:rPr>
      </w:pPr>
      <w:r>
        <w:rPr>
          <w:rFonts w:hint="eastAsia" w:ascii="宋体" w:hAnsi="宋体"/>
          <w:sz w:val="32"/>
          <w:szCs w:val="32"/>
        </w:rPr>
        <w:t>（2）通过招投标选择软件供应商；</w:t>
      </w:r>
    </w:p>
    <w:p w14:paraId="186CA910">
      <w:pPr>
        <w:spacing w:line="360" w:lineRule="auto"/>
        <w:ind w:firstLine="646" w:firstLineChars="202"/>
        <w:rPr>
          <w:rFonts w:ascii="宋体" w:hAnsi="宋体"/>
          <w:sz w:val="32"/>
          <w:szCs w:val="32"/>
        </w:rPr>
      </w:pPr>
      <w:r>
        <w:rPr>
          <w:rFonts w:hint="eastAsia" w:ascii="宋体" w:hAnsi="宋体"/>
          <w:sz w:val="32"/>
          <w:szCs w:val="32"/>
        </w:rPr>
        <w:t>（3）实施合同签约、信息平台软件商项目组进场等。</w:t>
      </w:r>
    </w:p>
    <w:p w14:paraId="1B9E8A0E">
      <w:pPr>
        <w:spacing w:line="360" w:lineRule="auto"/>
        <w:ind w:firstLine="646" w:firstLineChars="202"/>
        <w:rPr>
          <w:rFonts w:ascii="宋体" w:hAnsi="宋体"/>
          <w:sz w:val="32"/>
          <w:szCs w:val="32"/>
        </w:rPr>
      </w:pPr>
      <w:r>
        <w:rPr>
          <w:rFonts w:hint="eastAsia" w:ascii="宋体" w:hAnsi="宋体"/>
          <w:sz w:val="32"/>
          <w:szCs w:val="32"/>
        </w:rPr>
        <w:t>3、项目实施阶段（20</w:t>
      </w:r>
      <w:r>
        <w:rPr>
          <w:rFonts w:ascii="宋体" w:hAnsi="宋体"/>
          <w:sz w:val="32"/>
          <w:szCs w:val="32"/>
        </w:rPr>
        <w:t>22</w:t>
      </w:r>
      <w:r>
        <w:rPr>
          <w:rFonts w:hint="eastAsia" w:ascii="宋体" w:hAnsi="宋体"/>
          <w:sz w:val="32"/>
          <w:szCs w:val="32"/>
        </w:rPr>
        <w:t>年5-12月）。项目实施将经历需求调研、系统设计、开发、设备采购、安装、测试等工作环节。在系统测试完成后，组织系统初验以确定系统具备使用条件。为了保证正式上线的成功，试运行阶段要完成问题整改以完善系统，直至达到系统验收标准。</w:t>
      </w:r>
    </w:p>
    <w:p w14:paraId="2C22FA41">
      <w:pPr>
        <w:spacing w:line="360" w:lineRule="auto"/>
        <w:ind w:firstLine="646" w:firstLineChars="202"/>
        <w:rPr>
          <w:rFonts w:ascii="宋体" w:hAnsi="宋体"/>
          <w:sz w:val="32"/>
          <w:szCs w:val="32"/>
        </w:rPr>
      </w:pPr>
      <w:r>
        <w:rPr>
          <w:rFonts w:hint="eastAsia" w:ascii="宋体" w:hAnsi="宋体"/>
          <w:sz w:val="32"/>
          <w:szCs w:val="32"/>
        </w:rPr>
        <w:t>4、推广完善阶段（20</w:t>
      </w:r>
      <w:r>
        <w:rPr>
          <w:rFonts w:ascii="宋体" w:hAnsi="宋体"/>
          <w:sz w:val="32"/>
          <w:szCs w:val="32"/>
        </w:rPr>
        <w:t>23</w:t>
      </w:r>
      <w:r>
        <w:rPr>
          <w:rFonts w:hint="eastAsia" w:ascii="宋体" w:hAnsi="宋体"/>
          <w:sz w:val="32"/>
          <w:szCs w:val="32"/>
        </w:rPr>
        <w:t>年以后）。先试运行1～3个月，待系统稳定后，再全面推广。在全面推广过程中，应建立明确的运维机制，并在推广中不断完善，不断迭代升级。</w:t>
      </w:r>
    </w:p>
    <w:p w14:paraId="54E747CF">
      <w:pPr>
        <w:pStyle w:val="5"/>
        <w:spacing w:line="360" w:lineRule="auto"/>
        <w:rPr>
          <w:rFonts w:asciiTheme="minorEastAsia" w:hAnsiTheme="minorEastAsia"/>
        </w:rPr>
      </w:pPr>
      <w:bookmarkStart w:id="94" w:name="_Toc79497958"/>
      <w:r>
        <w:rPr>
          <w:rFonts w:hint="eastAsia" w:asciiTheme="minorEastAsia" w:hAnsiTheme="minorEastAsia"/>
        </w:rPr>
        <w:t>三、发展目标</w:t>
      </w:r>
      <w:bookmarkEnd w:id="94"/>
    </w:p>
    <w:p w14:paraId="47BAB2E1">
      <w:pPr>
        <w:spacing w:line="360" w:lineRule="auto"/>
        <w:ind w:firstLine="646" w:firstLineChars="202"/>
        <w:rPr>
          <w:rFonts w:ascii="宋体" w:hAnsi="宋体"/>
          <w:sz w:val="32"/>
          <w:szCs w:val="32"/>
        </w:rPr>
      </w:pPr>
      <w:r>
        <w:rPr>
          <w:rFonts w:hint="eastAsia" w:ascii="宋体" w:hAnsi="宋体"/>
          <w:sz w:val="32"/>
          <w:szCs w:val="32"/>
        </w:rPr>
        <w:t>“十四五”期间，凌源市应全面搭建数字化物流信息平台，促进物流信息与公共服务信息有效对接，适时推动信息平台与省、全国主要物流信息平台对接，并连接政府管理部门、行业协会、电商平台、金融保险机构、企业物流信息系统，逐步实现与交通管理部门和物流行业管理部门以及物流企业、工商企业等信息系统之间的互联互通，形成安全高效、功能完善、覆盖广泛的综合物流信息平台，把凌源市建设成为辽冀蒙智慧物流的先行城市、示范城市和区域物流结算中心。</w:t>
      </w:r>
    </w:p>
    <w:p w14:paraId="606D440B">
      <w:pPr>
        <w:pStyle w:val="4"/>
        <w:spacing w:line="360" w:lineRule="auto"/>
        <w:jc w:val="center"/>
      </w:pPr>
      <w:bookmarkStart w:id="95" w:name="_Toc79497959"/>
      <w:r>
        <w:t>第</w:t>
      </w:r>
      <w:r>
        <w:rPr>
          <w:rFonts w:hint="eastAsia"/>
        </w:rPr>
        <w:t>三</w:t>
      </w:r>
      <w:r>
        <w:t>节</w:t>
      </w:r>
      <w:r>
        <w:rPr>
          <w:rFonts w:hint="eastAsia"/>
        </w:rPr>
        <w:t xml:space="preserve"> 制造业物流板块</w:t>
      </w:r>
      <w:bookmarkEnd w:id="95"/>
    </w:p>
    <w:p w14:paraId="5AD83FD3">
      <w:pPr>
        <w:pStyle w:val="5"/>
        <w:spacing w:line="360" w:lineRule="auto"/>
        <w:rPr>
          <w:rFonts w:asciiTheme="minorEastAsia" w:hAnsiTheme="minorEastAsia"/>
        </w:rPr>
      </w:pPr>
      <w:bookmarkStart w:id="96" w:name="_Toc79497960"/>
      <w:r>
        <w:rPr>
          <w:rFonts w:hint="eastAsia" w:asciiTheme="minorEastAsia" w:hAnsiTheme="minorEastAsia"/>
        </w:rPr>
        <w:t>一、板块概述</w:t>
      </w:r>
      <w:bookmarkEnd w:id="96"/>
    </w:p>
    <w:p w14:paraId="351555B9">
      <w:pPr>
        <w:spacing w:line="360" w:lineRule="auto"/>
        <w:ind w:firstLine="646" w:firstLineChars="202"/>
        <w:rPr>
          <w:rFonts w:ascii="宋体" w:hAnsi="宋体"/>
          <w:sz w:val="32"/>
          <w:szCs w:val="32"/>
        </w:rPr>
      </w:pPr>
      <w:r>
        <w:rPr>
          <w:rFonts w:hint="eastAsia" w:ascii="宋体" w:hAnsi="宋体"/>
          <w:sz w:val="32"/>
          <w:szCs w:val="32"/>
        </w:rPr>
        <w:t>制造业物流主要包括原材料物流、生产物流、成品物流等环节，具体如下图所示。</w:t>
      </w:r>
    </w:p>
    <w:p w14:paraId="0E866C68">
      <w:pPr>
        <w:spacing w:line="360" w:lineRule="auto"/>
        <w:rPr>
          <w:rFonts w:ascii="宋体" w:hAnsi="宋体"/>
          <w:sz w:val="32"/>
          <w:szCs w:val="32"/>
        </w:rPr>
      </w:pPr>
      <w:r>
        <w:rPr>
          <w:rFonts w:ascii="宋体" w:hAnsi="宋体"/>
          <w:sz w:val="32"/>
          <w:szCs w:val="32"/>
        </w:rPr>
        <w:drawing>
          <wp:inline distT="0" distB="0" distL="0" distR="0">
            <wp:extent cx="5245735" cy="18935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89835" cy="1909654"/>
                    </a:xfrm>
                    <a:prstGeom prst="rect">
                      <a:avLst/>
                    </a:prstGeom>
                    <a:noFill/>
                  </pic:spPr>
                </pic:pic>
              </a:graphicData>
            </a:graphic>
          </wp:inline>
        </w:drawing>
      </w:r>
    </w:p>
    <w:p w14:paraId="55F98F39">
      <w:pPr>
        <w:pStyle w:val="10"/>
        <w:snapToGrid w:val="0"/>
        <w:spacing w:line="360" w:lineRule="auto"/>
        <w:jc w:val="center"/>
        <w:rPr>
          <w:rFonts w:ascii="黑体" w:hAnsi="黑体"/>
          <w:b/>
          <w:bCs/>
          <w:sz w:val="24"/>
          <w:szCs w:val="24"/>
        </w:rPr>
      </w:pPr>
      <w:bookmarkStart w:id="97" w:name="_Toc79498055"/>
      <w:r>
        <w:rPr>
          <w:rFonts w:hint="eastAsia" w:ascii="黑体" w:hAnsi="黑体"/>
          <w:b/>
          <w:bCs/>
          <w:sz w:val="24"/>
          <w:szCs w:val="24"/>
        </w:rPr>
        <w:t xml:space="preserve">图 </w:t>
      </w:r>
      <w:r>
        <w:rPr>
          <w:rFonts w:ascii="黑体" w:hAnsi="黑体"/>
          <w:b/>
          <w:bCs/>
          <w:sz w:val="24"/>
          <w:szCs w:val="24"/>
        </w:rPr>
        <w:fldChar w:fldCharType="begin"/>
      </w:r>
      <w:r>
        <w:rPr>
          <w:rFonts w:hint="eastAsia" w:ascii="黑体" w:hAnsi="黑体"/>
          <w:b/>
          <w:bCs/>
          <w:sz w:val="24"/>
          <w:szCs w:val="24"/>
        </w:rPr>
        <w:instrText xml:space="preserve">SEQ 图 \* ARABIC</w:instrText>
      </w:r>
      <w:r>
        <w:rPr>
          <w:rFonts w:ascii="黑体" w:hAnsi="黑体"/>
          <w:b/>
          <w:bCs/>
          <w:sz w:val="24"/>
          <w:szCs w:val="24"/>
        </w:rPr>
        <w:fldChar w:fldCharType="separate"/>
      </w:r>
      <w:r>
        <w:rPr>
          <w:rFonts w:ascii="黑体" w:hAnsi="黑体"/>
          <w:b/>
          <w:bCs/>
          <w:sz w:val="24"/>
          <w:szCs w:val="24"/>
        </w:rPr>
        <w:t>9</w:t>
      </w:r>
      <w:r>
        <w:rPr>
          <w:rFonts w:ascii="黑体" w:hAnsi="黑体"/>
          <w:b/>
          <w:bCs/>
          <w:sz w:val="24"/>
          <w:szCs w:val="24"/>
        </w:rPr>
        <w:fldChar w:fldCharType="end"/>
      </w:r>
      <w:r>
        <w:rPr>
          <w:rFonts w:hint="eastAsia" w:ascii="黑体" w:hAnsi="黑体"/>
          <w:b/>
          <w:bCs/>
          <w:sz w:val="24"/>
          <w:szCs w:val="24"/>
        </w:rPr>
        <w:t>制造业物流体系示意图</w:t>
      </w:r>
      <w:bookmarkEnd w:id="97"/>
    </w:p>
    <w:p w14:paraId="61F85572">
      <w:pPr>
        <w:spacing w:line="360" w:lineRule="auto"/>
        <w:ind w:firstLine="646" w:firstLineChars="202"/>
        <w:rPr>
          <w:rFonts w:ascii="宋体" w:hAnsi="宋体"/>
          <w:sz w:val="32"/>
          <w:szCs w:val="32"/>
        </w:rPr>
      </w:pPr>
      <w:r>
        <w:rPr>
          <w:rFonts w:hint="eastAsia" w:ascii="宋体" w:hAnsi="宋体"/>
          <w:sz w:val="32"/>
          <w:szCs w:val="32"/>
        </w:rPr>
        <w:t>“十四五”期间，凌源市的制造业物流应着重发展钢铁冶金、非金属新材料和汽车及零部件三大物流板块。</w:t>
      </w:r>
    </w:p>
    <w:p w14:paraId="0EF2EB28">
      <w:pPr>
        <w:pStyle w:val="5"/>
        <w:keepNext w:val="0"/>
        <w:keepLines w:val="0"/>
        <w:spacing w:line="360" w:lineRule="auto"/>
        <w:rPr>
          <w:rFonts w:asciiTheme="minorEastAsia" w:hAnsiTheme="minorEastAsia"/>
        </w:rPr>
      </w:pPr>
      <w:bookmarkStart w:id="98" w:name="_Toc79497961"/>
      <w:r>
        <w:rPr>
          <w:rFonts w:hint="eastAsia" w:asciiTheme="minorEastAsia" w:hAnsiTheme="minorEastAsia"/>
        </w:rPr>
        <w:t>二、重点板块建设</w:t>
      </w:r>
      <w:bookmarkEnd w:id="98"/>
    </w:p>
    <w:p w14:paraId="183410DC">
      <w:pPr>
        <w:pStyle w:val="6"/>
        <w:keepNext w:val="0"/>
        <w:keepLines w:val="0"/>
        <w:spacing w:before="240" w:after="240" w:line="360" w:lineRule="auto"/>
        <w:rPr>
          <w:sz w:val="32"/>
          <w:szCs w:val="32"/>
        </w:rPr>
      </w:pPr>
      <w:r>
        <w:rPr>
          <w:rFonts w:hint="eastAsia"/>
          <w:sz w:val="32"/>
          <w:szCs w:val="32"/>
        </w:rPr>
        <w:t>（一）钢铁冶金物流板块</w:t>
      </w:r>
    </w:p>
    <w:p w14:paraId="20778BA9">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1、需求分析</w:t>
      </w:r>
    </w:p>
    <w:p w14:paraId="25358DAA">
      <w:pPr>
        <w:spacing w:line="360" w:lineRule="auto"/>
        <w:ind w:firstLine="646" w:firstLineChars="202"/>
        <w:rPr>
          <w:rFonts w:ascii="宋体" w:hAnsi="宋体"/>
          <w:sz w:val="32"/>
          <w:szCs w:val="32"/>
        </w:rPr>
      </w:pPr>
      <w:r>
        <w:rPr>
          <w:rFonts w:hint="eastAsia" w:ascii="宋体" w:hAnsi="宋体"/>
          <w:sz w:val="32"/>
          <w:szCs w:val="32"/>
        </w:rPr>
        <w:t>凌源钢铁冶金物流板块主要围绕原材料采购物流、钢铁生产物流、钢材产成品销售物流和废钢逆向物流四个环节的需求开展，具体如下图所示。</w:t>
      </w:r>
    </w:p>
    <w:p w14:paraId="1288803D">
      <w:pPr>
        <w:spacing w:line="360" w:lineRule="auto"/>
        <w:jc w:val="center"/>
      </w:pPr>
      <w:r>
        <w:rPr>
          <w:rFonts w:ascii="宋体" w:hAnsi="宋体"/>
          <w:sz w:val="32"/>
          <w:szCs w:val="32"/>
        </w:rPr>
        <w:drawing>
          <wp:inline distT="0" distB="0" distL="0" distR="0">
            <wp:extent cx="4819650" cy="31464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836603" cy="3157617"/>
                    </a:xfrm>
                    <a:prstGeom prst="rect">
                      <a:avLst/>
                    </a:prstGeom>
                    <a:noFill/>
                  </pic:spPr>
                </pic:pic>
              </a:graphicData>
            </a:graphic>
          </wp:inline>
        </w:drawing>
      </w:r>
    </w:p>
    <w:p w14:paraId="19AC5098">
      <w:pPr>
        <w:pStyle w:val="10"/>
        <w:spacing w:line="360" w:lineRule="auto"/>
        <w:jc w:val="center"/>
        <w:rPr>
          <w:rFonts w:ascii="黑体" w:hAnsi="黑体"/>
          <w:b/>
          <w:bCs/>
          <w:sz w:val="24"/>
          <w:szCs w:val="24"/>
        </w:rPr>
      </w:pPr>
      <w:bookmarkStart w:id="99" w:name="_Toc79498056"/>
      <w:r>
        <w:rPr>
          <w:rFonts w:hint="eastAsia" w:ascii="黑体" w:hAnsi="黑体"/>
          <w:b/>
          <w:bCs/>
          <w:sz w:val="24"/>
          <w:szCs w:val="24"/>
        </w:rPr>
        <w:t xml:space="preserve">图 </w:t>
      </w:r>
      <w:r>
        <w:rPr>
          <w:rFonts w:ascii="黑体" w:hAnsi="黑体"/>
          <w:b/>
          <w:bCs/>
          <w:sz w:val="24"/>
          <w:szCs w:val="24"/>
        </w:rPr>
        <w:fldChar w:fldCharType="begin"/>
      </w:r>
      <w:r>
        <w:rPr>
          <w:rFonts w:hint="eastAsia" w:ascii="黑体" w:hAnsi="黑体"/>
          <w:b/>
          <w:bCs/>
          <w:sz w:val="24"/>
          <w:szCs w:val="24"/>
        </w:rPr>
        <w:instrText xml:space="preserve">SEQ 图 \* ARABIC</w:instrText>
      </w:r>
      <w:r>
        <w:rPr>
          <w:rFonts w:ascii="黑体" w:hAnsi="黑体"/>
          <w:b/>
          <w:bCs/>
          <w:sz w:val="24"/>
          <w:szCs w:val="24"/>
        </w:rPr>
        <w:fldChar w:fldCharType="separate"/>
      </w:r>
      <w:r>
        <w:rPr>
          <w:rFonts w:ascii="黑体" w:hAnsi="黑体"/>
          <w:b/>
          <w:bCs/>
          <w:sz w:val="24"/>
          <w:szCs w:val="24"/>
        </w:rPr>
        <w:t>10</w:t>
      </w:r>
      <w:r>
        <w:rPr>
          <w:rFonts w:ascii="黑体" w:hAnsi="黑体"/>
          <w:b/>
          <w:bCs/>
          <w:sz w:val="24"/>
          <w:szCs w:val="24"/>
        </w:rPr>
        <w:fldChar w:fldCharType="end"/>
      </w:r>
      <w:r>
        <w:rPr>
          <w:rFonts w:hint="eastAsia" w:ascii="黑体" w:hAnsi="黑体"/>
          <w:b/>
          <w:bCs/>
          <w:sz w:val="24"/>
          <w:szCs w:val="24"/>
        </w:rPr>
        <w:t>钢铁冶金物流体系需求示意图</w:t>
      </w:r>
      <w:bookmarkEnd w:id="99"/>
    </w:p>
    <w:p w14:paraId="029CA60C">
      <w:pPr>
        <w:spacing w:line="360" w:lineRule="auto"/>
        <w:ind w:firstLine="640" w:firstLineChars="200"/>
        <w:rPr>
          <w:rFonts w:ascii="宋体" w:hAnsi="宋体"/>
          <w:sz w:val="32"/>
          <w:szCs w:val="32"/>
        </w:rPr>
      </w:pPr>
      <w:r>
        <w:rPr>
          <w:rFonts w:hint="eastAsia" w:ascii="宋体" w:hAnsi="宋体"/>
          <w:sz w:val="32"/>
          <w:szCs w:val="32"/>
        </w:rPr>
        <w:t>（1）原材料采购总量大、渠道多。主要为铁矿粉、焦炭、煤炭等，2</w:t>
      </w:r>
      <w:r>
        <w:rPr>
          <w:rFonts w:ascii="宋体" w:hAnsi="宋体"/>
          <w:sz w:val="32"/>
          <w:szCs w:val="32"/>
        </w:rPr>
        <w:t>019</w:t>
      </w:r>
      <w:r>
        <w:rPr>
          <w:rFonts w:hint="eastAsia" w:ascii="宋体" w:hAnsi="宋体"/>
          <w:sz w:val="32"/>
          <w:szCs w:val="32"/>
        </w:rPr>
        <w:t>年采购总量1</w:t>
      </w:r>
      <w:r>
        <w:rPr>
          <w:rFonts w:ascii="宋体" w:hAnsi="宋体"/>
          <w:sz w:val="32"/>
          <w:szCs w:val="32"/>
        </w:rPr>
        <w:t>461</w:t>
      </w:r>
      <w:r>
        <w:rPr>
          <w:rFonts w:hint="eastAsia" w:ascii="宋体" w:hAnsi="宋体"/>
          <w:sz w:val="32"/>
          <w:szCs w:val="32"/>
        </w:rPr>
        <w:t>万吨。其中铁矿粉约</w:t>
      </w:r>
      <w:r>
        <w:rPr>
          <w:rFonts w:ascii="宋体" w:hAnsi="宋体"/>
          <w:sz w:val="32"/>
          <w:szCs w:val="32"/>
        </w:rPr>
        <w:t>780</w:t>
      </w:r>
      <w:r>
        <w:rPr>
          <w:rFonts w:hint="eastAsia" w:ascii="宋体" w:hAnsi="宋体"/>
          <w:sz w:val="32"/>
          <w:szCs w:val="32"/>
        </w:rPr>
        <w:t>万吨，包括地方矿约442万吨，主要来源于当地，可2小时到厂；进口矿约335万吨，主要从锦州、葫芦岛进港；精煤9</w:t>
      </w:r>
      <w:r>
        <w:rPr>
          <w:rFonts w:ascii="宋体" w:hAnsi="宋体"/>
          <w:sz w:val="32"/>
          <w:szCs w:val="32"/>
        </w:rPr>
        <w:t>1</w:t>
      </w:r>
      <w:r>
        <w:rPr>
          <w:rFonts w:hint="eastAsia" w:ascii="宋体" w:hAnsi="宋体"/>
          <w:sz w:val="32"/>
          <w:szCs w:val="32"/>
        </w:rPr>
        <w:t>万吨、燃料煤2</w:t>
      </w:r>
      <w:r>
        <w:rPr>
          <w:rFonts w:ascii="宋体" w:hAnsi="宋体"/>
          <w:sz w:val="32"/>
          <w:szCs w:val="32"/>
        </w:rPr>
        <w:t>2</w:t>
      </w:r>
      <w:r>
        <w:rPr>
          <w:rFonts w:hint="eastAsia" w:ascii="宋体" w:hAnsi="宋体"/>
          <w:sz w:val="32"/>
          <w:szCs w:val="32"/>
        </w:rPr>
        <w:t>万吨、喷吹煤7</w:t>
      </w:r>
      <w:r>
        <w:rPr>
          <w:rFonts w:ascii="宋体" w:hAnsi="宋体"/>
          <w:sz w:val="32"/>
          <w:szCs w:val="32"/>
        </w:rPr>
        <w:t>5</w:t>
      </w:r>
      <w:r>
        <w:rPr>
          <w:rFonts w:hint="eastAsia" w:ascii="宋体" w:hAnsi="宋体"/>
          <w:sz w:val="32"/>
          <w:szCs w:val="32"/>
        </w:rPr>
        <w:t>万吨、焦炭168万吨，一部分来自于山西、河北等地，一部分来自于赤峰，均为供应商公路运输至厂区；其他原材料如白灰47万吨，块灰8万吨，块石74万吨，转炉石灰石13万吨等，以本地公路运输为主。</w:t>
      </w:r>
    </w:p>
    <w:p w14:paraId="4E9AD122">
      <w:pPr>
        <w:spacing w:line="360" w:lineRule="auto"/>
        <w:ind w:firstLine="646" w:firstLineChars="202"/>
        <w:rPr>
          <w:rFonts w:ascii="宋体" w:hAnsi="宋体"/>
          <w:sz w:val="32"/>
          <w:szCs w:val="32"/>
        </w:rPr>
      </w:pPr>
      <w:r>
        <w:rPr>
          <w:rFonts w:hint="eastAsia" w:ascii="宋体" w:hAnsi="宋体"/>
          <w:sz w:val="32"/>
          <w:szCs w:val="32"/>
        </w:rPr>
        <w:t>（2）生产物流专业性强。钢铁生产的厂内物流主要包括厂内生产原料进炉、各工区辅料配送、铁水运输等环节，其中，铁水运输专业性非常强。凌钢厂内物流目前主要由原来从凌钢运输部门剥离出来的两家分公司来操作，其中90%由宏钢物流完成，每年物流费用9000万元，折合18元/吨，成本偏高。</w:t>
      </w:r>
    </w:p>
    <w:p w14:paraId="2455D6BA">
      <w:pPr>
        <w:spacing w:line="360" w:lineRule="auto"/>
        <w:ind w:firstLine="646" w:firstLineChars="202"/>
        <w:rPr>
          <w:rFonts w:ascii="宋体" w:hAnsi="宋体"/>
          <w:sz w:val="32"/>
          <w:szCs w:val="32"/>
        </w:rPr>
      </w:pPr>
      <w:r>
        <w:rPr>
          <w:rFonts w:hint="eastAsia" w:ascii="宋体" w:hAnsi="宋体"/>
          <w:sz w:val="32"/>
          <w:szCs w:val="32"/>
        </w:rPr>
        <w:t>（3）钢材销售价格波动较大，对物流的时限要求较高。凌钢2019年产品销售外运总数为891万吨，包括棒材176万吨、线材289万吨、中宽带124万吨、水渣230万吨、转炉尾渣50万吨等，主要销往东北、河北、山东以及全国各地，其中55%通过凌钢铁路专用线进行铁路运输，属于内部成本不开票结算；45%通过公路运输，由客户指定17家物流公司操作，未在本地开票。由于钢材价格波动比较频繁，为了应对市场价格的不确定性，钢材销售商对货物运输的在途时限要求较高，一般为1天左右送达，以保证及时售出，因而，一定程度上限制了钢材的销售半径。</w:t>
      </w:r>
    </w:p>
    <w:p w14:paraId="0C1B7218">
      <w:pPr>
        <w:spacing w:line="360" w:lineRule="auto"/>
        <w:ind w:firstLine="646" w:firstLineChars="202"/>
      </w:pPr>
      <w:r>
        <w:rPr>
          <w:rFonts w:hint="eastAsia" w:ascii="宋体" w:hAnsi="宋体"/>
          <w:sz w:val="32"/>
          <w:szCs w:val="32"/>
        </w:rPr>
        <w:t>（4）逆向物流越来越重要。由于近年来环保要求的提高，钢铁冶金企业在新增产能方面的</w:t>
      </w:r>
      <w:r>
        <w:rPr>
          <w:rFonts w:ascii="宋体" w:hAnsi="宋体"/>
          <w:sz w:val="32"/>
          <w:szCs w:val="32"/>
        </w:rPr>
        <w:t>环评及土地使用等手续申请</w:t>
      </w:r>
      <w:r>
        <w:rPr>
          <w:rFonts w:hint="eastAsia" w:ascii="宋体" w:hAnsi="宋体"/>
          <w:sz w:val="32"/>
          <w:szCs w:val="32"/>
        </w:rPr>
        <w:t>越来越困难</w:t>
      </w:r>
      <w:r>
        <w:rPr>
          <w:rFonts w:ascii="宋体" w:hAnsi="宋体"/>
          <w:sz w:val="32"/>
          <w:szCs w:val="32"/>
        </w:rPr>
        <w:t>。</w:t>
      </w:r>
      <w:r>
        <w:rPr>
          <w:rFonts w:hint="eastAsia" w:ascii="宋体" w:hAnsi="宋体"/>
          <w:sz w:val="32"/>
          <w:szCs w:val="32"/>
        </w:rPr>
        <w:t>并且，</w:t>
      </w:r>
      <w:r>
        <w:rPr>
          <w:rFonts w:ascii="宋体" w:hAnsi="宋体"/>
          <w:sz w:val="32"/>
          <w:szCs w:val="32"/>
        </w:rPr>
        <w:t>工信部印发的《</w:t>
      </w:r>
      <w:r>
        <w:fldChar w:fldCharType="begin"/>
      </w:r>
      <w:r>
        <w:instrText xml:space="preserve"> HYPERLINK "http://www.chinabgao.com/k/139gangtie.html" </w:instrText>
      </w:r>
      <w:r>
        <w:fldChar w:fldCharType="separate"/>
      </w:r>
      <w:r>
        <w:rPr>
          <w:rFonts w:ascii="宋体" w:hAnsi="宋体"/>
          <w:sz w:val="32"/>
          <w:szCs w:val="32"/>
        </w:rPr>
        <w:t>钢铁</w:t>
      </w:r>
      <w:r>
        <w:rPr>
          <w:rFonts w:ascii="宋体" w:hAnsi="宋体"/>
          <w:sz w:val="32"/>
          <w:szCs w:val="32"/>
        </w:rPr>
        <w:fldChar w:fldCharType="end"/>
      </w:r>
      <w:r>
        <w:rPr>
          <w:rFonts w:ascii="宋体" w:hAnsi="宋体"/>
          <w:sz w:val="32"/>
          <w:szCs w:val="32"/>
        </w:rPr>
        <w:t>行业产能置换实施办法》</w:t>
      </w:r>
      <w:r>
        <w:rPr>
          <w:rFonts w:hint="eastAsia" w:ascii="宋体" w:hAnsi="宋体"/>
          <w:sz w:val="32"/>
          <w:szCs w:val="32"/>
        </w:rPr>
        <w:t>明确</w:t>
      </w:r>
      <w:r>
        <w:rPr>
          <w:rFonts w:ascii="宋体" w:hAnsi="宋体"/>
          <w:sz w:val="32"/>
          <w:szCs w:val="32"/>
        </w:rPr>
        <w:t>规定，自2018年1月1日起，凡是涉及炼铁、炼钢冶炼设备建设，必须实行产能的减量置换</w:t>
      </w:r>
      <w:r>
        <w:rPr>
          <w:rFonts w:hint="eastAsia" w:ascii="宋体" w:hAnsi="宋体"/>
          <w:sz w:val="32"/>
          <w:szCs w:val="32"/>
        </w:rPr>
        <w:t>。因此钢铁企业纷纷采取</w:t>
      </w:r>
      <w:r>
        <w:rPr>
          <w:rFonts w:ascii="宋体" w:hAnsi="宋体"/>
          <w:sz w:val="32"/>
          <w:szCs w:val="32"/>
        </w:rPr>
        <w:t>“多用废钢、少用矿石”的</w:t>
      </w:r>
      <w:r>
        <w:rPr>
          <w:rFonts w:hint="eastAsia" w:ascii="宋体" w:hAnsi="宋体"/>
          <w:sz w:val="32"/>
          <w:szCs w:val="32"/>
        </w:rPr>
        <w:t>办法来达到在现有产能状态下增加产量的目的，以废钢回收为代表的钢铁行业逆向物流的重要性越来越突出。凌钢每年收购废钢约100万吨，需要倒运至厂区来循环利用。目前废钢存储缺少场地，以车代库，成本折合3元/吨，存储成本较高。</w:t>
      </w:r>
    </w:p>
    <w:p w14:paraId="13F4B200">
      <w:pPr>
        <w:pStyle w:val="7"/>
        <w:keepNext w:val="0"/>
        <w:keepLines w:val="0"/>
        <w:spacing w:line="377" w:lineRule="auto"/>
        <w:ind w:firstLine="643" w:firstLineChars="200"/>
        <w:rPr>
          <w:rFonts w:ascii="宋体" w:hAnsi="宋体" w:eastAsia="宋体"/>
          <w:sz w:val="32"/>
          <w:szCs w:val="32"/>
        </w:rPr>
      </w:pPr>
      <w:r>
        <w:rPr>
          <w:rFonts w:ascii="宋体" w:hAnsi="宋体" w:eastAsia="宋体"/>
          <w:sz w:val="32"/>
          <w:szCs w:val="32"/>
        </w:rPr>
        <w:t>2</w:t>
      </w:r>
      <w:r>
        <w:rPr>
          <w:rFonts w:hint="eastAsia" w:ascii="宋体" w:hAnsi="宋体" w:eastAsia="宋体"/>
          <w:sz w:val="32"/>
          <w:szCs w:val="32"/>
        </w:rPr>
        <w:t>、规模预测</w:t>
      </w:r>
    </w:p>
    <w:p w14:paraId="2D5D7514">
      <w:pPr>
        <w:spacing w:line="360" w:lineRule="auto"/>
        <w:ind w:firstLine="640" w:firstLineChars="200"/>
        <w:rPr>
          <w:rFonts w:ascii="宋体" w:hAnsi="宋体"/>
          <w:sz w:val="32"/>
          <w:szCs w:val="32"/>
        </w:rPr>
      </w:pPr>
      <w:r>
        <w:rPr>
          <w:rFonts w:hint="eastAsia" w:ascii="宋体" w:hAnsi="宋体"/>
          <w:sz w:val="32"/>
          <w:szCs w:val="32"/>
        </w:rPr>
        <w:t>到2025年，预测凌源市钢铁制造业货运量为</w:t>
      </w:r>
      <w:r>
        <w:rPr>
          <w:rFonts w:ascii="宋体" w:hAnsi="宋体"/>
          <w:sz w:val="32"/>
          <w:szCs w:val="32"/>
        </w:rPr>
        <w:t>3230</w:t>
      </w:r>
      <w:r>
        <w:rPr>
          <w:rFonts w:hint="eastAsia" w:ascii="宋体" w:hAnsi="宋体"/>
          <w:sz w:val="32"/>
          <w:szCs w:val="32"/>
        </w:rPr>
        <w:t>万吨，需要物流用地规模</w:t>
      </w:r>
      <w:r>
        <w:rPr>
          <w:rFonts w:ascii="宋体" w:hAnsi="宋体"/>
          <w:sz w:val="32"/>
          <w:szCs w:val="32"/>
        </w:rPr>
        <w:t>1600</w:t>
      </w:r>
      <w:r>
        <w:rPr>
          <w:rFonts w:hint="eastAsia" w:ascii="宋体" w:hAnsi="宋体"/>
          <w:sz w:val="32"/>
          <w:szCs w:val="32"/>
        </w:rPr>
        <w:t>亩；到2035年，预测凌源市钢铁制造业货运量为</w:t>
      </w:r>
      <w:r>
        <w:rPr>
          <w:rFonts w:ascii="宋体" w:hAnsi="宋体"/>
          <w:sz w:val="32"/>
          <w:szCs w:val="32"/>
        </w:rPr>
        <w:t>5230</w:t>
      </w:r>
      <w:r>
        <w:rPr>
          <w:rFonts w:hint="eastAsia" w:ascii="宋体" w:hAnsi="宋体"/>
          <w:sz w:val="32"/>
          <w:szCs w:val="32"/>
        </w:rPr>
        <w:t>万吨，需要物流用地规模</w:t>
      </w:r>
      <w:r>
        <w:rPr>
          <w:rFonts w:ascii="宋体" w:hAnsi="宋体"/>
          <w:sz w:val="32"/>
          <w:szCs w:val="32"/>
        </w:rPr>
        <w:t>2500</w:t>
      </w:r>
      <w:r>
        <w:rPr>
          <w:rFonts w:hint="eastAsia" w:ascii="宋体" w:hAnsi="宋体"/>
          <w:sz w:val="32"/>
          <w:szCs w:val="32"/>
        </w:rPr>
        <w:t>亩。具体详见表4。</w:t>
      </w:r>
    </w:p>
    <w:p w14:paraId="75615A40">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3、主要问题</w:t>
      </w:r>
    </w:p>
    <w:p w14:paraId="32D04F39">
      <w:pPr>
        <w:spacing w:line="360" w:lineRule="auto"/>
        <w:ind w:firstLine="646" w:firstLineChars="202"/>
        <w:rPr>
          <w:rFonts w:ascii="宋体" w:hAnsi="宋体"/>
          <w:sz w:val="32"/>
          <w:szCs w:val="32"/>
        </w:rPr>
      </w:pPr>
      <w:r>
        <w:rPr>
          <w:rFonts w:hint="eastAsia" w:ascii="宋体" w:hAnsi="宋体"/>
          <w:sz w:val="32"/>
          <w:szCs w:val="32"/>
        </w:rPr>
        <w:t>（1）物流市场化程度不足，上下游物流管理分散。目前大部分由凌钢下属物流分公司、凌钢自身物流部门和客户指定运输商来服务，包括厂内物流，部分采购和销售物流，本地化、市场化程度不足，上下游物流分散进行，缺乏资源的有效整合，未能形成供应链管理模式，物流资源利用率不高，各环节物流成本较高，也未在本地形成开票收入和留下税源。</w:t>
      </w:r>
    </w:p>
    <w:p w14:paraId="7C7C0EDA">
      <w:pPr>
        <w:spacing w:line="360" w:lineRule="auto"/>
        <w:ind w:firstLine="646" w:firstLineChars="202"/>
        <w:rPr>
          <w:rFonts w:ascii="宋体" w:hAnsi="宋体"/>
          <w:sz w:val="32"/>
          <w:szCs w:val="32"/>
        </w:rPr>
      </w:pPr>
      <w:r>
        <w:rPr>
          <w:rFonts w:hint="eastAsia" w:ascii="宋体" w:hAnsi="宋体"/>
          <w:sz w:val="32"/>
          <w:szCs w:val="32"/>
        </w:rPr>
        <w:t>（2）堆场面积不足。目前凌钢原材料和废钢的堆场空间不足，且厂区内已无拓展空间，经常需要临时存放在外部堆场，待需要的时候再装运进厂，中间增加了一次装卸和短倒，导致物流成本上升。另外，尽管开发区铁路线项目及开发区铁路专用线场站的建成投产将会提高总体货物吞吐能力，能够对凌钢场站能力不足进行部分补充，但就“十四五”期间而言，凌钢仍然面临物流堆场严重不足的窘境。</w:t>
      </w:r>
    </w:p>
    <w:p w14:paraId="3E52B689">
      <w:pPr>
        <w:spacing w:line="360" w:lineRule="auto"/>
        <w:ind w:firstLine="646" w:firstLineChars="202"/>
        <w:rPr>
          <w:rFonts w:ascii="宋体" w:hAnsi="宋体"/>
          <w:sz w:val="32"/>
          <w:szCs w:val="32"/>
        </w:rPr>
      </w:pPr>
      <w:r>
        <w:rPr>
          <w:rFonts w:hint="eastAsia" w:ascii="宋体" w:hAnsi="宋体"/>
          <w:sz w:val="32"/>
          <w:szCs w:val="32"/>
        </w:rPr>
        <w:t>（3）缺乏网上销售平台，销售物流快速响应程度低。</w:t>
      </w:r>
      <w:r>
        <w:rPr>
          <w:rFonts w:ascii="宋体" w:hAnsi="宋体"/>
          <w:sz w:val="32"/>
          <w:szCs w:val="32"/>
        </w:rPr>
        <w:t>近年来，钢铁电商的发展如火如荼</w:t>
      </w:r>
      <w:r>
        <w:rPr>
          <w:rFonts w:hint="eastAsia" w:ascii="宋体" w:hAnsi="宋体"/>
          <w:sz w:val="32"/>
          <w:szCs w:val="32"/>
        </w:rPr>
        <w:t>，</w:t>
      </w:r>
      <w:r>
        <w:rPr>
          <w:rFonts w:ascii="宋体" w:hAnsi="宋体"/>
          <w:sz w:val="32"/>
          <w:szCs w:val="32"/>
        </w:rPr>
        <w:t>借助互联网进行大宗</w:t>
      </w:r>
      <w:r>
        <w:rPr>
          <w:rFonts w:hint="eastAsia" w:ascii="宋体" w:hAnsi="宋体"/>
          <w:sz w:val="32"/>
          <w:szCs w:val="32"/>
        </w:rPr>
        <w:t>钢材</w:t>
      </w:r>
      <w:r>
        <w:rPr>
          <w:rFonts w:ascii="宋体" w:hAnsi="宋体"/>
          <w:sz w:val="32"/>
          <w:szCs w:val="32"/>
        </w:rPr>
        <w:t>的销售和交易已经成为主流</w:t>
      </w:r>
      <w:r>
        <w:rPr>
          <w:rFonts w:hint="eastAsia" w:ascii="宋体" w:hAnsi="宋体"/>
          <w:sz w:val="32"/>
          <w:szCs w:val="32"/>
        </w:rPr>
        <w:t>模式。并且，网上平台依托大数据挖掘功能，与物流供应商形成紧密的战略合作伙伴关系，能够对市场做出快速响应，实施及时配送并提供金融服务功能，可更好地满足市场需要</w:t>
      </w:r>
      <w:r>
        <w:rPr>
          <w:rFonts w:ascii="宋体" w:hAnsi="宋体"/>
          <w:sz w:val="32"/>
          <w:szCs w:val="32"/>
        </w:rPr>
        <w:t>。</w:t>
      </w:r>
      <w:r>
        <w:rPr>
          <w:rFonts w:hint="eastAsia" w:ascii="宋体" w:hAnsi="宋体"/>
          <w:sz w:val="32"/>
          <w:szCs w:val="32"/>
        </w:rPr>
        <w:t>例如找钢网、钢银网、欧冶云商等网站都已经发展得较为成熟，影响面很广。但是，凌钢目前的销售模式主要还是以传统经销商模式为主，缺乏网络销售平台和长期战略合作物流供应商，无法满足未来产能扩张的需要，同时，也不利于带动区域钢贸市场的形成和发展。</w:t>
      </w:r>
    </w:p>
    <w:p w14:paraId="06316AA2">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4、发展路径</w:t>
      </w:r>
    </w:p>
    <w:p w14:paraId="30D4798E">
      <w:pPr>
        <w:spacing w:line="360" w:lineRule="auto"/>
        <w:ind w:firstLine="646" w:firstLineChars="202"/>
        <w:rPr>
          <w:rFonts w:ascii="宋体" w:hAnsi="宋体"/>
          <w:sz w:val="32"/>
          <w:szCs w:val="32"/>
        </w:rPr>
      </w:pPr>
      <w:r>
        <w:rPr>
          <w:rFonts w:hint="eastAsia" w:ascii="宋体" w:hAnsi="宋体"/>
          <w:sz w:val="32"/>
          <w:szCs w:val="32"/>
        </w:rPr>
        <w:t>（1）优先推进凌钢物流供应链体系建设。通过混改成立由凌钢、凌源当地大型物流企业（如朝阳致远金融物流港等）、现有钢铁供应链物流企业（如浙江物产集团）、政府下属企业平台以及第四方物流企业共同出资的凌钢供应链物流服务有限公司，形成从供应物流到销售物流直至逆向物流的全程供应链物流管理模式，提高钢铁物流的效率和效益，并能够实现物流利税留在凌源。</w:t>
      </w:r>
    </w:p>
    <w:p w14:paraId="624818F9">
      <w:pPr>
        <w:spacing w:line="360" w:lineRule="auto"/>
        <w:ind w:firstLine="646" w:firstLineChars="202"/>
        <w:rPr>
          <w:rFonts w:ascii="宋体" w:hAnsi="宋体"/>
          <w:sz w:val="32"/>
          <w:szCs w:val="32"/>
        </w:rPr>
      </w:pPr>
      <w:r>
        <w:rPr>
          <w:rFonts w:hint="eastAsia" w:ascii="宋体" w:hAnsi="宋体"/>
          <w:sz w:val="32"/>
          <w:szCs w:val="32"/>
        </w:rPr>
        <w:t>（2）配套建设钢铁物流园区。通过混改，改变现有物流组织模式，对凌钢现有铁路场站、堆场以及开发区铁路专用线场站、朝阳致远金融物流港的钢铁物流功能板块进行统筹管理，提升现有设施的运行效率。同时，加快基础设施能力建设，尽快补齐能力短板，重点扩展朝阳致远金融物流港的整体规模，在原有</w:t>
      </w:r>
      <w:r>
        <w:rPr>
          <w:rFonts w:ascii="宋体" w:hAnsi="宋体"/>
          <w:sz w:val="32"/>
          <w:szCs w:val="32"/>
        </w:rPr>
        <w:t>728</w:t>
      </w:r>
      <w:r>
        <w:rPr>
          <w:rFonts w:hint="eastAsia" w:ascii="宋体" w:hAnsi="宋体"/>
          <w:sz w:val="32"/>
          <w:szCs w:val="32"/>
        </w:rPr>
        <w:t>亩占地规模基础上再增加约5</w:t>
      </w:r>
      <w:r>
        <w:rPr>
          <w:rFonts w:ascii="宋体" w:hAnsi="宋体"/>
          <w:sz w:val="32"/>
          <w:szCs w:val="32"/>
        </w:rPr>
        <w:t>00</w:t>
      </w:r>
      <w:r>
        <w:rPr>
          <w:rFonts w:hint="eastAsia" w:ascii="宋体" w:hAnsi="宋体"/>
          <w:sz w:val="32"/>
          <w:szCs w:val="32"/>
        </w:rPr>
        <w:t>亩用地，总规模达1228亩，为钢铁冶金产业扩大产能预留空间。</w:t>
      </w:r>
    </w:p>
    <w:p w14:paraId="02F2E0E0">
      <w:pPr>
        <w:spacing w:line="360" w:lineRule="auto"/>
        <w:ind w:firstLine="646" w:firstLineChars="202"/>
        <w:rPr>
          <w:rFonts w:ascii="宋体" w:hAnsi="宋体"/>
          <w:sz w:val="32"/>
          <w:szCs w:val="32"/>
        </w:rPr>
      </w:pPr>
      <w:r>
        <w:rPr>
          <w:rFonts w:hint="eastAsia" w:ascii="宋体" w:hAnsi="宋体"/>
          <w:sz w:val="32"/>
          <w:szCs w:val="32"/>
        </w:rPr>
        <w:t>（3）尽快引入网上交易平台模式。引入大宗商品交易平台（如日照大宗商品交易中心），开展网上钢材调期交易，并以电子仓单为标的，可配套提供物流金融服务，在做到风险把控的同时，为市场提供更好的销售服务和用户体验，推进区域钢贸市场的发展繁荣，并增加地方税源。</w:t>
      </w:r>
    </w:p>
    <w:p w14:paraId="3AA9B1BD">
      <w:pPr>
        <w:spacing w:line="360" w:lineRule="auto"/>
        <w:ind w:firstLine="646" w:firstLineChars="202"/>
        <w:rPr>
          <w:rFonts w:ascii="宋体" w:hAnsi="宋体"/>
          <w:sz w:val="32"/>
          <w:szCs w:val="32"/>
        </w:rPr>
      </w:pPr>
      <w:r>
        <w:rPr>
          <w:rFonts w:hint="eastAsia" w:ascii="宋体" w:hAnsi="宋体"/>
          <w:sz w:val="32"/>
          <w:szCs w:val="32"/>
        </w:rPr>
        <w:t>（4）加快推动区域多式联运中心建设。以朝阳致远金融物流港、开发区铁路专用线场站以及凌钢现有铁路场站为依托，构建凌源北部公铁联运业务联盟，整合三方资源，强化统筹协调、分工协作和内部分配机制，形成多式联运业务链条。其中，由朝阳致远金融物流港承担社会公共物流服务窗口职能，负责统一对外接单，经过与开发区铁路专用线场站和凌钢现有铁路场站的无缝衔接，完成相关业务操作。通过三个园区的联手合作，将其打造成为辽冀蒙三省（区）结合部的首个多式联运平台。并通过与葫芦岛港、锦州港的合作，建设内陆港，延伸海运货代、海运船代、海运集装箱还箱点等业务，为区域客户提供由内陆经港口到目的地的一站式、一票到底、门到门的全程多式联运服务。未来，可因市场需要，在朝阳致远金融物流港内设立“两仓”（进口保税仓和出口监管仓），或申请建设保税物流中心（B型），引入海关服务功能，打造成为辽冀蒙三省（区）结合部衔接国内国际的物流运行新高地。</w:t>
      </w:r>
    </w:p>
    <w:p w14:paraId="1B147AA1">
      <w:pPr>
        <w:spacing w:line="360" w:lineRule="auto"/>
        <w:ind w:firstLine="646" w:firstLineChars="202"/>
        <w:rPr>
          <w:rFonts w:ascii="宋体" w:hAnsi="宋体"/>
          <w:sz w:val="32"/>
          <w:szCs w:val="32"/>
        </w:rPr>
      </w:pPr>
      <w:r>
        <w:rPr>
          <w:rFonts w:hint="eastAsia" w:ascii="宋体" w:hAnsi="宋体"/>
          <w:sz w:val="32"/>
          <w:szCs w:val="32"/>
        </w:rPr>
        <w:t>（5）鼓励开展铁海联运业务。推动凌钢与钢铁供应链企业、港口、船公司合作开行铁海联运班列。可考虑与浙江物产集团、葫芦岛港集团、中外运船代公司等企业合作，开通东北地区连接东南沿海的铁海联运业务。据测算，每吨货物可节约运费</w:t>
      </w:r>
      <w:r>
        <w:rPr>
          <w:rFonts w:ascii="宋体" w:hAnsi="宋体"/>
          <w:sz w:val="32"/>
          <w:szCs w:val="32"/>
        </w:rPr>
        <w:t>20</w:t>
      </w:r>
      <w:r>
        <w:rPr>
          <w:rFonts w:hint="eastAsia" w:ascii="宋体" w:hAnsi="宋体"/>
          <w:sz w:val="32"/>
          <w:szCs w:val="32"/>
        </w:rPr>
        <w:t>～</w:t>
      </w:r>
      <w:r>
        <w:rPr>
          <w:rFonts w:ascii="宋体" w:hAnsi="宋体"/>
          <w:sz w:val="32"/>
          <w:szCs w:val="32"/>
        </w:rPr>
        <w:t>30</w:t>
      </w:r>
      <w:r>
        <w:rPr>
          <w:rFonts w:hint="eastAsia" w:ascii="宋体" w:hAnsi="宋体"/>
          <w:sz w:val="32"/>
          <w:szCs w:val="32"/>
        </w:rPr>
        <w:t>元，降本增效作用十分显著。</w:t>
      </w:r>
    </w:p>
    <w:p w14:paraId="7BB12A3B">
      <w:pPr>
        <w:pStyle w:val="6"/>
        <w:spacing w:before="240" w:after="240" w:line="360" w:lineRule="auto"/>
        <w:rPr>
          <w:sz w:val="32"/>
          <w:szCs w:val="32"/>
        </w:rPr>
      </w:pPr>
      <w:r>
        <w:rPr>
          <w:rFonts w:hint="eastAsia"/>
          <w:sz w:val="32"/>
          <w:szCs w:val="32"/>
        </w:rPr>
        <w:t>（二）非金属新材料物流板块</w:t>
      </w:r>
    </w:p>
    <w:p w14:paraId="56AE1F08">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1、需求分析</w:t>
      </w:r>
    </w:p>
    <w:p w14:paraId="70E94AA6">
      <w:pPr>
        <w:spacing w:line="360" w:lineRule="auto"/>
        <w:ind w:firstLine="646" w:firstLineChars="202"/>
        <w:rPr>
          <w:rFonts w:ascii="宋体" w:hAnsi="宋体"/>
          <w:sz w:val="32"/>
          <w:szCs w:val="32"/>
        </w:rPr>
      </w:pPr>
      <w:r>
        <w:rPr>
          <w:rFonts w:hint="eastAsia" w:ascii="宋体" w:hAnsi="宋体"/>
          <w:sz w:val="32"/>
          <w:szCs w:val="32"/>
        </w:rPr>
        <w:t>凌源非金属新材料物流板块主要包括原材料采购物流、生产物流、矿山开采及矿石加工物流、产成品销售物流、设备备件维修逆向物流等环节，具体如下图所示。</w:t>
      </w:r>
    </w:p>
    <w:p w14:paraId="40E1ACDA">
      <w:pPr>
        <w:spacing w:line="360" w:lineRule="auto"/>
        <w:jc w:val="center"/>
      </w:pPr>
      <w:r>
        <w:drawing>
          <wp:inline distT="0" distB="0" distL="0" distR="0">
            <wp:extent cx="4467225" cy="34105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495969" cy="3433162"/>
                    </a:xfrm>
                    <a:prstGeom prst="rect">
                      <a:avLst/>
                    </a:prstGeom>
                    <a:noFill/>
                  </pic:spPr>
                </pic:pic>
              </a:graphicData>
            </a:graphic>
          </wp:inline>
        </w:drawing>
      </w:r>
    </w:p>
    <w:p w14:paraId="2CB10C6D">
      <w:pPr>
        <w:pStyle w:val="10"/>
        <w:spacing w:line="360" w:lineRule="auto"/>
        <w:jc w:val="center"/>
        <w:rPr>
          <w:rFonts w:ascii="黑体" w:hAnsi="黑体"/>
          <w:b/>
          <w:bCs/>
          <w:sz w:val="24"/>
          <w:szCs w:val="24"/>
        </w:rPr>
      </w:pPr>
      <w:bookmarkStart w:id="100" w:name="_Toc79498057"/>
      <w:r>
        <w:rPr>
          <w:rFonts w:hint="eastAsia" w:ascii="黑体" w:hAnsi="黑体"/>
          <w:b/>
          <w:bCs/>
          <w:sz w:val="24"/>
          <w:szCs w:val="24"/>
        </w:rPr>
        <w:t xml:space="preserve">图 </w:t>
      </w:r>
      <w:r>
        <w:rPr>
          <w:rFonts w:ascii="黑体" w:hAnsi="黑体"/>
          <w:b/>
          <w:bCs/>
          <w:sz w:val="24"/>
          <w:szCs w:val="24"/>
        </w:rPr>
        <w:fldChar w:fldCharType="begin"/>
      </w:r>
      <w:r>
        <w:rPr>
          <w:rFonts w:hint="eastAsia" w:ascii="黑体" w:hAnsi="黑体"/>
          <w:b/>
          <w:bCs/>
          <w:sz w:val="24"/>
          <w:szCs w:val="24"/>
        </w:rPr>
        <w:instrText xml:space="preserve">SEQ 图 \* ARABIC</w:instrText>
      </w:r>
      <w:r>
        <w:rPr>
          <w:rFonts w:ascii="黑体" w:hAnsi="黑体"/>
          <w:b/>
          <w:bCs/>
          <w:sz w:val="24"/>
          <w:szCs w:val="24"/>
        </w:rPr>
        <w:fldChar w:fldCharType="separate"/>
      </w:r>
      <w:r>
        <w:rPr>
          <w:rFonts w:ascii="黑体" w:hAnsi="黑体"/>
          <w:b/>
          <w:bCs/>
          <w:sz w:val="24"/>
          <w:szCs w:val="24"/>
        </w:rPr>
        <w:t>11</w:t>
      </w:r>
      <w:r>
        <w:rPr>
          <w:rFonts w:ascii="黑体" w:hAnsi="黑体"/>
          <w:b/>
          <w:bCs/>
          <w:sz w:val="24"/>
          <w:szCs w:val="24"/>
        </w:rPr>
        <w:fldChar w:fldCharType="end"/>
      </w:r>
      <w:r>
        <w:rPr>
          <w:rFonts w:hint="eastAsia" w:ascii="黑体" w:hAnsi="黑体"/>
          <w:b/>
          <w:bCs/>
          <w:sz w:val="24"/>
          <w:szCs w:val="24"/>
        </w:rPr>
        <w:t>非金属新材料物流体系需求示意图</w:t>
      </w:r>
      <w:bookmarkEnd w:id="100"/>
    </w:p>
    <w:p w14:paraId="1F367449">
      <w:pPr>
        <w:spacing w:line="360" w:lineRule="auto"/>
        <w:ind w:firstLine="646" w:firstLineChars="202"/>
        <w:rPr>
          <w:rFonts w:ascii="宋体" w:hAnsi="宋体"/>
          <w:sz w:val="32"/>
          <w:szCs w:val="32"/>
        </w:rPr>
      </w:pPr>
      <w:r>
        <w:rPr>
          <w:rFonts w:hint="eastAsia" w:ascii="宋体" w:hAnsi="宋体"/>
          <w:sz w:val="32"/>
          <w:szCs w:val="32"/>
        </w:rPr>
        <w:t>（1）原材料物流货量大，主要依赖短途运输。北部复合材料企业采购的原材料包括硅砂、白云石、石灰石等，其中，目前中玻每年采购量约</w:t>
      </w:r>
      <w:r>
        <w:rPr>
          <w:rFonts w:ascii="宋体" w:hAnsi="宋体"/>
          <w:sz w:val="32"/>
          <w:szCs w:val="32"/>
        </w:rPr>
        <w:t>69</w:t>
      </w:r>
      <w:r>
        <w:rPr>
          <w:rFonts w:hint="eastAsia" w:ascii="宋体" w:hAnsi="宋体"/>
          <w:sz w:val="32"/>
          <w:szCs w:val="32"/>
        </w:rPr>
        <w:t>万吨，炜盛每年采购量约1</w:t>
      </w:r>
      <w:r>
        <w:rPr>
          <w:rFonts w:ascii="宋体" w:hAnsi="宋体"/>
          <w:sz w:val="32"/>
          <w:szCs w:val="32"/>
        </w:rPr>
        <w:t>4</w:t>
      </w:r>
      <w:r>
        <w:rPr>
          <w:rFonts w:hint="eastAsia" w:ascii="宋体" w:hAnsi="宋体"/>
          <w:sz w:val="32"/>
          <w:szCs w:val="32"/>
        </w:rPr>
        <w:t>万吨，主要来自辽宁地区，均采用公路短途运输。南部非金属新材料企业的原料主要通过就近矿山开采得来，其中非金属矿物功能材料年开采量目前约为1000万吨，均采用公路短途运输。</w:t>
      </w:r>
    </w:p>
    <w:p w14:paraId="0717E153">
      <w:pPr>
        <w:spacing w:line="360" w:lineRule="auto"/>
        <w:ind w:firstLine="646" w:firstLineChars="202"/>
        <w:rPr>
          <w:rFonts w:ascii="宋体" w:hAnsi="宋体"/>
          <w:sz w:val="32"/>
          <w:szCs w:val="32"/>
        </w:rPr>
      </w:pPr>
      <w:r>
        <w:rPr>
          <w:rFonts w:hint="eastAsia" w:ascii="宋体" w:hAnsi="宋体"/>
          <w:sz w:val="32"/>
          <w:szCs w:val="32"/>
        </w:rPr>
        <w:t>（2）生产物流外包需求较小。北部复合材料企业主要生产玻璃纤维和石墨烯新材料产品，生产物流场内自行完成；南部非金属新材料的生产物流大多以场内皮带管廊的方式输送，基本没有外包需求。</w:t>
      </w:r>
    </w:p>
    <w:p w14:paraId="3A2BE799">
      <w:pPr>
        <w:spacing w:line="360" w:lineRule="auto"/>
        <w:ind w:firstLine="646" w:firstLineChars="202"/>
        <w:rPr>
          <w:rFonts w:ascii="宋体" w:hAnsi="宋体"/>
          <w:sz w:val="32"/>
          <w:szCs w:val="32"/>
        </w:rPr>
      </w:pPr>
      <w:r>
        <w:rPr>
          <w:rFonts w:hint="eastAsia" w:ascii="宋体" w:hAnsi="宋体"/>
          <w:sz w:val="32"/>
          <w:szCs w:val="32"/>
        </w:rPr>
        <w:t>（3）销售物流总量大，物流需求旺盛。预计到2025年，南部非金属矿物功能材料年开采量1</w:t>
      </w:r>
      <w:r>
        <w:rPr>
          <w:rFonts w:ascii="宋体" w:hAnsi="宋体"/>
          <w:sz w:val="32"/>
          <w:szCs w:val="32"/>
        </w:rPr>
        <w:t>423</w:t>
      </w:r>
      <w:r>
        <w:rPr>
          <w:rFonts w:hint="eastAsia" w:ascii="宋体" w:hAnsi="宋体"/>
          <w:sz w:val="32"/>
          <w:szCs w:val="32"/>
        </w:rPr>
        <w:t>万吨、钙基精细新材料年产2</w:t>
      </w:r>
      <w:r>
        <w:rPr>
          <w:rFonts w:ascii="宋体" w:hAnsi="宋体"/>
          <w:sz w:val="32"/>
          <w:szCs w:val="32"/>
        </w:rPr>
        <w:t>243</w:t>
      </w:r>
      <w:r>
        <w:rPr>
          <w:rFonts w:hint="eastAsia" w:ascii="宋体" w:hAnsi="宋体"/>
          <w:sz w:val="32"/>
          <w:szCs w:val="32"/>
        </w:rPr>
        <w:t>万吨、绿建部品材料年产8</w:t>
      </w:r>
      <w:r>
        <w:rPr>
          <w:rFonts w:ascii="宋体" w:hAnsi="宋体"/>
          <w:sz w:val="32"/>
          <w:szCs w:val="32"/>
        </w:rPr>
        <w:t>85</w:t>
      </w:r>
      <w:r>
        <w:rPr>
          <w:rFonts w:hint="eastAsia" w:ascii="宋体" w:hAnsi="宋体"/>
          <w:sz w:val="32"/>
          <w:szCs w:val="32"/>
        </w:rPr>
        <w:t>万吨，主要销往河北、辽宁、天津、内蒙等地区；北部复合材料企业的产品也将达到200万吨以上，主要销往辽宁、河北、内蒙、山东、江西、浙江和江苏等地区。</w:t>
      </w:r>
    </w:p>
    <w:p w14:paraId="4160A622">
      <w:pPr>
        <w:spacing w:line="360" w:lineRule="auto"/>
        <w:ind w:firstLine="646" w:firstLineChars="202"/>
        <w:rPr>
          <w:rFonts w:ascii="宋体" w:hAnsi="宋体"/>
          <w:sz w:val="32"/>
          <w:szCs w:val="32"/>
        </w:rPr>
      </w:pPr>
      <w:r>
        <w:rPr>
          <w:rFonts w:hint="eastAsia" w:ascii="宋体" w:hAnsi="宋体"/>
          <w:sz w:val="32"/>
          <w:szCs w:val="32"/>
        </w:rPr>
        <w:t>（4）逆向物流部分，主要为生产企业设备的备件维修业务，目前设备备件物流服务需求货运量较少。</w:t>
      </w:r>
    </w:p>
    <w:p w14:paraId="33D2401E">
      <w:pPr>
        <w:pStyle w:val="7"/>
        <w:keepNext w:val="0"/>
        <w:keepLines w:val="0"/>
        <w:spacing w:line="377" w:lineRule="auto"/>
        <w:ind w:firstLine="643" w:firstLineChars="200"/>
        <w:rPr>
          <w:rFonts w:ascii="宋体" w:hAnsi="宋体" w:eastAsia="宋体"/>
          <w:sz w:val="32"/>
          <w:szCs w:val="32"/>
        </w:rPr>
      </w:pPr>
      <w:r>
        <w:rPr>
          <w:rFonts w:ascii="宋体" w:hAnsi="宋体" w:eastAsia="宋体"/>
          <w:sz w:val="32"/>
          <w:szCs w:val="32"/>
        </w:rPr>
        <w:t>2</w:t>
      </w:r>
      <w:r>
        <w:rPr>
          <w:rFonts w:hint="eastAsia" w:ascii="宋体" w:hAnsi="宋体" w:eastAsia="宋体"/>
          <w:sz w:val="32"/>
          <w:szCs w:val="32"/>
        </w:rPr>
        <w:t>、规模预测</w:t>
      </w:r>
    </w:p>
    <w:p w14:paraId="23F2899B">
      <w:pPr>
        <w:spacing w:line="360" w:lineRule="auto"/>
        <w:ind w:firstLine="640" w:firstLineChars="200"/>
        <w:rPr>
          <w:rFonts w:ascii="宋体" w:hAnsi="宋体"/>
          <w:sz w:val="32"/>
          <w:szCs w:val="32"/>
        </w:rPr>
      </w:pPr>
      <w:r>
        <w:rPr>
          <w:rFonts w:hint="eastAsia" w:ascii="宋体" w:hAnsi="宋体"/>
          <w:sz w:val="32"/>
          <w:szCs w:val="32"/>
        </w:rPr>
        <w:t>到2025年，预测凌源市非金属新材料制造业货运量为</w:t>
      </w:r>
      <w:r>
        <w:rPr>
          <w:rFonts w:ascii="宋体" w:hAnsi="宋体"/>
          <w:sz w:val="32"/>
          <w:szCs w:val="32"/>
        </w:rPr>
        <w:t>4295</w:t>
      </w:r>
      <w:r>
        <w:rPr>
          <w:rFonts w:hint="eastAsia" w:ascii="宋体" w:hAnsi="宋体"/>
          <w:sz w:val="32"/>
          <w:szCs w:val="32"/>
        </w:rPr>
        <w:t>万吨，需要物流用地规模</w:t>
      </w:r>
      <w:r>
        <w:rPr>
          <w:rFonts w:ascii="宋体" w:hAnsi="宋体"/>
          <w:sz w:val="32"/>
          <w:szCs w:val="32"/>
        </w:rPr>
        <w:t>2400</w:t>
      </w:r>
      <w:r>
        <w:rPr>
          <w:rFonts w:hint="eastAsia" w:ascii="宋体" w:hAnsi="宋体"/>
          <w:sz w:val="32"/>
          <w:szCs w:val="32"/>
        </w:rPr>
        <w:t>亩；到2035年，预测凌源市非金属新材料制造业货运量为</w:t>
      </w:r>
      <w:r>
        <w:rPr>
          <w:rFonts w:ascii="宋体" w:hAnsi="宋体"/>
          <w:sz w:val="32"/>
          <w:szCs w:val="32"/>
        </w:rPr>
        <w:t>6774</w:t>
      </w:r>
      <w:r>
        <w:rPr>
          <w:rFonts w:hint="eastAsia" w:ascii="宋体" w:hAnsi="宋体"/>
          <w:sz w:val="32"/>
          <w:szCs w:val="32"/>
        </w:rPr>
        <w:t>万吨，需要物流用地规模</w:t>
      </w:r>
      <w:r>
        <w:rPr>
          <w:rFonts w:ascii="宋体" w:hAnsi="宋体"/>
          <w:sz w:val="32"/>
          <w:szCs w:val="32"/>
        </w:rPr>
        <w:t>4000</w:t>
      </w:r>
      <w:r>
        <w:rPr>
          <w:rFonts w:hint="eastAsia" w:ascii="宋体" w:hAnsi="宋体"/>
          <w:sz w:val="32"/>
          <w:szCs w:val="32"/>
        </w:rPr>
        <w:t>亩，具体详见表5。</w:t>
      </w:r>
    </w:p>
    <w:p w14:paraId="2A95B675">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3、主要问题</w:t>
      </w:r>
    </w:p>
    <w:p w14:paraId="4C85745B">
      <w:pPr>
        <w:spacing w:line="360" w:lineRule="auto"/>
        <w:ind w:firstLine="646" w:firstLineChars="202"/>
        <w:rPr>
          <w:rFonts w:ascii="宋体" w:hAnsi="宋体"/>
          <w:sz w:val="32"/>
          <w:szCs w:val="32"/>
        </w:rPr>
      </w:pPr>
      <w:r>
        <w:rPr>
          <w:rFonts w:hint="eastAsia" w:ascii="宋体" w:hAnsi="宋体"/>
          <w:sz w:val="32"/>
          <w:szCs w:val="32"/>
        </w:rPr>
        <w:t>（1）区域物流承载设施不足。南部非金属新材料产业物流量巨大，但没有与之相应的物流承载设施，仅有企业内部场地，无法支撑“一核心三特色”的非金属新材料产业布局。</w:t>
      </w:r>
    </w:p>
    <w:p w14:paraId="36CD9655">
      <w:pPr>
        <w:spacing w:line="360" w:lineRule="auto"/>
        <w:ind w:firstLine="646" w:firstLineChars="202"/>
        <w:rPr>
          <w:rFonts w:ascii="宋体" w:hAnsi="宋体"/>
          <w:sz w:val="32"/>
          <w:szCs w:val="32"/>
        </w:rPr>
      </w:pPr>
      <w:r>
        <w:rPr>
          <w:rFonts w:hint="eastAsia" w:ascii="宋体" w:hAnsi="宋体"/>
          <w:sz w:val="32"/>
          <w:szCs w:val="32"/>
        </w:rPr>
        <w:t>（2）铁路货运设施不健全，目前多采用公路运输方式，货量大、运输经济性差。</w:t>
      </w:r>
    </w:p>
    <w:p w14:paraId="080D1B77">
      <w:pPr>
        <w:spacing w:line="360" w:lineRule="auto"/>
        <w:ind w:firstLine="646" w:firstLineChars="202"/>
        <w:rPr>
          <w:rFonts w:ascii="宋体" w:hAnsi="宋体"/>
          <w:sz w:val="32"/>
          <w:szCs w:val="32"/>
        </w:rPr>
      </w:pPr>
      <w:r>
        <w:rPr>
          <w:rFonts w:hint="eastAsia" w:ascii="宋体" w:hAnsi="宋体"/>
          <w:sz w:val="32"/>
          <w:szCs w:val="32"/>
        </w:rPr>
        <w:t>（3）物流市场化不足，政府税收难形成。目前北部和南部新材料企业多采用自有车辆为主、临时外包车辆为辅的方式运输，未在本地形成开票收入，造成政府税收流失。如翅冀矿业目前主要以自有车辆运输为主，使用的运输车辆大约有2000台，其中，凌源本地车辆只有65台左右。</w:t>
      </w:r>
    </w:p>
    <w:p w14:paraId="79E35CE0">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4、发展路径</w:t>
      </w:r>
    </w:p>
    <w:p w14:paraId="226EE381">
      <w:pPr>
        <w:spacing w:line="360" w:lineRule="auto"/>
        <w:ind w:firstLine="646" w:firstLineChars="202"/>
      </w:pPr>
      <w:r>
        <w:rPr>
          <w:rFonts w:hint="eastAsia" w:ascii="宋体" w:hAnsi="宋体"/>
          <w:sz w:val="32"/>
          <w:szCs w:val="32"/>
        </w:rPr>
        <w:t>（1）优先在南部新增布局非金属新材料产业物流承载设施。以中国建材为主体，在朝阳凌源非金属新材料产业园区的核心区三家子乡规划建设占地规模2</w:t>
      </w:r>
      <w:r>
        <w:rPr>
          <w:rFonts w:ascii="宋体" w:hAnsi="宋体"/>
          <w:sz w:val="32"/>
          <w:szCs w:val="32"/>
        </w:rPr>
        <w:t>000</w:t>
      </w:r>
      <w:r>
        <w:rPr>
          <w:rFonts w:hint="eastAsia" w:ascii="宋体" w:hAnsi="宋体"/>
          <w:sz w:val="32"/>
          <w:szCs w:val="32"/>
        </w:rPr>
        <w:t>亩的物流园区，成为非金属新材料产业的核心物流承载设施；在四合当钙基特色加工区、北炉-牛营子珍珠岩特色加工区、三十家子硅石特色加工区分别配套建设物流中心，每个物流中心规划面积1</w:t>
      </w:r>
      <w:r>
        <w:rPr>
          <w:rFonts w:ascii="宋体" w:hAnsi="宋体"/>
          <w:sz w:val="32"/>
          <w:szCs w:val="32"/>
        </w:rPr>
        <w:t>00</w:t>
      </w:r>
      <w:r>
        <w:rPr>
          <w:rFonts w:hint="eastAsia" w:ascii="宋体" w:hAnsi="宋体"/>
          <w:sz w:val="32"/>
          <w:szCs w:val="32"/>
        </w:rPr>
        <w:t>亩，就近为非金属新材料的生产提供物流支撑。</w:t>
      </w:r>
    </w:p>
    <w:p w14:paraId="131A9585">
      <w:pPr>
        <w:spacing w:line="360" w:lineRule="auto"/>
        <w:ind w:firstLine="646" w:firstLineChars="202"/>
        <w:rPr>
          <w:rFonts w:ascii="宋体" w:hAnsi="宋体"/>
          <w:sz w:val="32"/>
          <w:szCs w:val="32"/>
        </w:rPr>
      </w:pPr>
      <w:r>
        <w:rPr>
          <w:rFonts w:hint="eastAsia" w:ascii="宋体" w:hAnsi="宋体"/>
          <w:sz w:val="32"/>
          <w:szCs w:val="32"/>
        </w:rPr>
        <w:t>（2）加快发展公铁联运模式。在朝阳凌源非金属新材料产业园区物流园和四合当富源矿业物流中心引入铁路专用线，建设公铁联运基地；并对原有杨杖子、刀尔登等铁路专用线进行改造升级，建成公铁联运场站，为南部非金属新材料产业提供物流服务。</w:t>
      </w:r>
    </w:p>
    <w:p w14:paraId="7DE6D7FE">
      <w:pPr>
        <w:spacing w:line="360" w:lineRule="auto"/>
        <w:ind w:firstLine="646" w:firstLineChars="202"/>
        <w:rPr>
          <w:rFonts w:ascii="宋体" w:hAnsi="宋体"/>
          <w:sz w:val="32"/>
          <w:szCs w:val="32"/>
        </w:rPr>
      </w:pPr>
      <w:r>
        <w:rPr>
          <w:rFonts w:hint="eastAsia" w:ascii="宋体" w:hAnsi="宋体"/>
          <w:sz w:val="32"/>
          <w:szCs w:val="32"/>
        </w:rPr>
        <w:t>（3）逐渐推进北部复合材料产业物流服务外包。鼓励炜盛、中玻将物流业务外包，依托朝阳致远金融物流港建设智能公路港和无车承运人平台，实现物流创收且利税留在凌源。</w:t>
      </w:r>
    </w:p>
    <w:p w14:paraId="1BF932D2">
      <w:pPr>
        <w:spacing w:line="360" w:lineRule="auto"/>
        <w:ind w:firstLine="646" w:firstLineChars="202"/>
        <w:rPr>
          <w:rFonts w:ascii="宋体" w:hAnsi="宋体"/>
          <w:sz w:val="32"/>
          <w:szCs w:val="32"/>
        </w:rPr>
      </w:pPr>
      <w:r>
        <w:rPr>
          <w:rFonts w:hint="eastAsia" w:ascii="宋体" w:hAnsi="宋体"/>
          <w:sz w:val="32"/>
          <w:szCs w:val="32"/>
        </w:rPr>
        <w:t>（4）引入大宗原材料交易平台。依托朝阳凌源非金属新材料产业园区物流园、朝阳致远金融物流港建设大宗原材料物流基地，参照钢铁网上交易平台模式，通过引入大宗商品交易平台开展上游原材料的集采集供和调期交易，提升区域矿产品的市场影响力，扩大销售辐射范围。</w:t>
      </w:r>
    </w:p>
    <w:p w14:paraId="421F6C65">
      <w:pPr>
        <w:pStyle w:val="6"/>
        <w:spacing w:before="240" w:after="240" w:line="360" w:lineRule="auto"/>
        <w:rPr>
          <w:sz w:val="32"/>
          <w:szCs w:val="32"/>
        </w:rPr>
      </w:pPr>
      <w:r>
        <w:rPr>
          <w:rFonts w:hint="eastAsia"/>
          <w:sz w:val="32"/>
          <w:szCs w:val="32"/>
        </w:rPr>
        <w:t>（三）汽车制造业物流板块</w:t>
      </w:r>
    </w:p>
    <w:p w14:paraId="4A8E2AD1">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1、需求分析</w:t>
      </w:r>
    </w:p>
    <w:p w14:paraId="4B0D82BF">
      <w:pPr>
        <w:spacing w:line="360" w:lineRule="auto"/>
        <w:ind w:firstLine="646" w:firstLineChars="202"/>
        <w:rPr>
          <w:rFonts w:ascii="宋体" w:hAnsi="宋体"/>
          <w:sz w:val="32"/>
          <w:szCs w:val="32"/>
        </w:rPr>
      </w:pPr>
      <w:r>
        <w:rPr>
          <w:rFonts w:hint="eastAsia" w:ascii="宋体" w:hAnsi="宋体"/>
          <w:sz w:val="32"/>
          <w:szCs w:val="32"/>
        </w:rPr>
        <w:t>凌源汽车制造业物流板块主要围绕原材料V</w:t>
      </w:r>
      <w:r>
        <w:rPr>
          <w:rFonts w:ascii="宋体" w:hAnsi="宋体"/>
          <w:sz w:val="32"/>
          <w:szCs w:val="32"/>
        </w:rPr>
        <w:t>MI</w:t>
      </w:r>
      <w:r>
        <w:rPr>
          <w:rFonts w:hint="eastAsia" w:ascii="宋体" w:hAnsi="宋体"/>
          <w:sz w:val="32"/>
          <w:szCs w:val="32"/>
        </w:rPr>
        <w:t>供应、整车和汽配生产物流、整车和汽配销售物流和备件物流四个环节的需求开展，如下图所示。</w:t>
      </w:r>
    </w:p>
    <w:p w14:paraId="605DA5A9">
      <w:pPr>
        <w:spacing w:line="360" w:lineRule="auto"/>
        <w:rPr>
          <w:rFonts w:ascii="宋体" w:hAnsi="宋体"/>
          <w:sz w:val="28"/>
          <w:szCs w:val="28"/>
        </w:rPr>
      </w:pPr>
      <w:r>
        <w:rPr>
          <w:rFonts w:hint="eastAsia" w:ascii="宋体" w:hAnsi="宋体"/>
          <w:sz w:val="28"/>
          <w:szCs w:val="28"/>
        </w:rPr>
        <w:t>（*VMI——供应商库存管理）</w:t>
      </w:r>
    </w:p>
    <w:p w14:paraId="03A94127">
      <w:pPr>
        <w:spacing w:line="360" w:lineRule="auto"/>
        <w:jc w:val="center"/>
      </w:pPr>
      <w:r>
        <w:drawing>
          <wp:inline distT="0" distB="0" distL="0" distR="0">
            <wp:extent cx="4953000" cy="37490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972164" cy="3763723"/>
                    </a:xfrm>
                    <a:prstGeom prst="rect">
                      <a:avLst/>
                    </a:prstGeom>
                    <a:noFill/>
                  </pic:spPr>
                </pic:pic>
              </a:graphicData>
            </a:graphic>
          </wp:inline>
        </w:drawing>
      </w:r>
    </w:p>
    <w:p w14:paraId="0F353935">
      <w:pPr>
        <w:pStyle w:val="10"/>
        <w:spacing w:line="360" w:lineRule="auto"/>
        <w:jc w:val="center"/>
        <w:rPr>
          <w:rFonts w:ascii="黑体" w:hAnsi="黑体"/>
          <w:b/>
          <w:bCs/>
          <w:sz w:val="24"/>
          <w:szCs w:val="24"/>
        </w:rPr>
      </w:pPr>
      <w:bookmarkStart w:id="101" w:name="_Toc79498058"/>
      <w:r>
        <w:rPr>
          <w:rFonts w:hint="eastAsia" w:ascii="黑体" w:hAnsi="黑体"/>
          <w:b/>
          <w:bCs/>
          <w:sz w:val="24"/>
          <w:szCs w:val="24"/>
        </w:rPr>
        <w:t xml:space="preserve">图 </w:t>
      </w:r>
      <w:r>
        <w:rPr>
          <w:rFonts w:ascii="黑体" w:hAnsi="黑体"/>
          <w:b/>
          <w:bCs/>
          <w:sz w:val="24"/>
          <w:szCs w:val="24"/>
        </w:rPr>
        <w:fldChar w:fldCharType="begin"/>
      </w:r>
      <w:r>
        <w:rPr>
          <w:rFonts w:hint="eastAsia" w:ascii="黑体" w:hAnsi="黑体"/>
          <w:b/>
          <w:bCs/>
          <w:sz w:val="24"/>
          <w:szCs w:val="24"/>
        </w:rPr>
        <w:instrText xml:space="preserve">SEQ 图 \* ARABIC</w:instrText>
      </w:r>
      <w:r>
        <w:rPr>
          <w:rFonts w:ascii="黑体" w:hAnsi="黑体"/>
          <w:b/>
          <w:bCs/>
          <w:sz w:val="24"/>
          <w:szCs w:val="24"/>
        </w:rPr>
        <w:fldChar w:fldCharType="separate"/>
      </w:r>
      <w:r>
        <w:rPr>
          <w:rFonts w:ascii="黑体" w:hAnsi="黑体"/>
          <w:b/>
          <w:bCs/>
          <w:sz w:val="24"/>
          <w:szCs w:val="24"/>
        </w:rPr>
        <w:t>12</w:t>
      </w:r>
      <w:r>
        <w:rPr>
          <w:rFonts w:ascii="黑体" w:hAnsi="黑体"/>
          <w:b/>
          <w:bCs/>
          <w:sz w:val="24"/>
          <w:szCs w:val="24"/>
        </w:rPr>
        <w:fldChar w:fldCharType="end"/>
      </w:r>
      <w:r>
        <w:rPr>
          <w:rFonts w:hint="eastAsia" w:ascii="黑体" w:hAnsi="黑体"/>
          <w:b/>
          <w:bCs/>
          <w:sz w:val="24"/>
          <w:szCs w:val="24"/>
        </w:rPr>
        <w:t>汽车制造业物流体系需求示意图</w:t>
      </w:r>
      <w:bookmarkEnd w:id="101"/>
    </w:p>
    <w:p w14:paraId="07E05709">
      <w:pPr>
        <w:spacing w:line="360" w:lineRule="auto"/>
        <w:ind w:firstLine="646" w:firstLineChars="202"/>
        <w:rPr>
          <w:rFonts w:ascii="宋体" w:hAnsi="宋体"/>
          <w:sz w:val="32"/>
          <w:szCs w:val="32"/>
        </w:rPr>
      </w:pPr>
      <w:r>
        <w:rPr>
          <w:rFonts w:hint="eastAsia" w:ascii="宋体" w:hAnsi="宋体"/>
          <w:sz w:val="32"/>
          <w:szCs w:val="32"/>
        </w:rPr>
        <w:t>（1）采购物流、生产物流专业度较高。汽车物流中的采购物流复杂程度较高，专业性较强，通常包括区域循环集货（Milkrun）、干线运输、分拣配送三部分。区域集货是指物流公司按整车生产厂的生产计划，前往周边的总成、零部件生产企业提货的过程；干线运输是指区域无法提供的总成零部件通过长途运输运抵的过程；分拣配送主要是指物流公司把整车生产所需的总成、零部件按照生产需要提前拣选出来并按生产工艺排好上线顺序的过程。整车生产商为了压缩成本，基本上都是实行“零库存”生产，因此，对汽车物流供应商的要求极高，一旦出现零部件断供，将会致使整车生产厂蒙受较大损失。目前，凌源汽车产业的周边配套率不足30%，干线运输货量较大，在途时间较长，影响到达时效的不可预计因素较多，因此，“零库存”生产的难度非常大。其中，中航凌河的部分总成、零部件来自湖北、江西区域，一汽凌源的部分总成、零部件来自湖北、山东和河北等区域，全部采用公路运输方式，运距较长。汽车整车厂的生产物流主要是把提前预选准备好的总成、零部件按顺序送往装配线，其对时间精度、货品精准度的要求非常高，差错率要求控制在万分之几以内，专业性极强。目前，凌源两大整车制造商和汽配制造商尚未进入规模化生产，生产物流主要由企业自有物流部门来承担。</w:t>
      </w:r>
    </w:p>
    <w:p w14:paraId="4477B143">
      <w:pPr>
        <w:spacing w:line="360" w:lineRule="auto"/>
        <w:ind w:firstLine="646" w:firstLineChars="202"/>
        <w:rPr>
          <w:rFonts w:ascii="宋体" w:hAnsi="宋体"/>
          <w:sz w:val="32"/>
          <w:szCs w:val="32"/>
        </w:rPr>
      </w:pPr>
      <w:r>
        <w:rPr>
          <w:rFonts w:hint="eastAsia" w:ascii="宋体" w:hAnsi="宋体"/>
          <w:sz w:val="32"/>
          <w:szCs w:val="32"/>
        </w:rPr>
        <w:t>（3）销售物流部分具有特殊性。航天凌河二期项目建成后，将形成年产1</w:t>
      </w:r>
      <w:r>
        <w:rPr>
          <w:rFonts w:ascii="宋体" w:hAnsi="宋体"/>
          <w:sz w:val="32"/>
          <w:szCs w:val="32"/>
        </w:rPr>
        <w:t>0</w:t>
      </w:r>
      <w:r>
        <w:rPr>
          <w:rFonts w:hint="eastAsia" w:ascii="宋体" w:hAnsi="宋体"/>
          <w:sz w:val="32"/>
          <w:szCs w:val="32"/>
        </w:rPr>
        <w:t>万辆整车及底盘的柔性生产能力，主要销往辽宁、内蒙、云南等地；一汽凌河建成后，将形成年产6万辆整车生产能力，主要以东三省销售为主。由于产品为货运拖车头、卡车等，因此，销售物流主要是由送车驾驶员将整车直接驶往销售地，对在途行驶的操作规范性要求十分严格。</w:t>
      </w:r>
    </w:p>
    <w:p w14:paraId="3ED82BA2">
      <w:pPr>
        <w:spacing w:line="360" w:lineRule="auto"/>
        <w:ind w:firstLine="646" w:firstLineChars="202"/>
        <w:rPr>
          <w:rFonts w:ascii="宋体" w:hAnsi="宋体"/>
          <w:sz w:val="32"/>
          <w:szCs w:val="32"/>
        </w:rPr>
      </w:pPr>
      <w:r>
        <w:rPr>
          <w:rFonts w:hint="eastAsia" w:ascii="宋体" w:hAnsi="宋体"/>
          <w:sz w:val="32"/>
          <w:szCs w:val="32"/>
        </w:rPr>
        <w:t>（4）逆向物流部分，形成以两大主机厂为主的汽配维修逆向物流体系。</w:t>
      </w:r>
    </w:p>
    <w:p w14:paraId="060ECCF5">
      <w:pPr>
        <w:pStyle w:val="7"/>
        <w:keepNext w:val="0"/>
        <w:keepLines w:val="0"/>
        <w:spacing w:line="377" w:lineRule="auto"/>
        <w:ind w:firstLine="643" w:firstLineChars="200"/>
        <w:rPr>
          <w:rFonts w:ascii="宋体" w:hAnsi="宋体" w:eastAsia="宋体"/>
          <w:sz w:val="32"/>
          <w:szCs w:val="32"/>
        </w:rPr>
      </w:pPr>
      <w:r>
        <w:rPr>
          <w:rFonts w:ascii="宋体" w:hAnsi="宋体" w:eastAsia="宋体"/>
          <w:sz w:val="32"/>
          <w:szCs w:val="32"/>
        </w:rPr>
        <w:t>2</w:t>
      </w:r>
      <w:r>
        <w:rPr>
          <w:rFonts w:hint="eastAsia" w:ascii="宋体" w:hAnsi="宋体" w:eastAsia="宋体"/>
          <w:sz w:val="32"/>
          <w:szCs w:val="32"/>
        </w:rPr>
        <w:t>、规模预测</w:t>
      </w:r>
    </w:p>
    <w:p w14:paraId="00D98416">
      <w:pPr>
        <w:spacing w:line="360" w:lineRule="auto"/>
        <w:ind w:firstLine="640" w:firstLineChars="200"/>
      </w:pPr>
      <w:r>
        <w:rPr>
          <w:rFonts w:hint="eastAsia" w:ascii="宋体" w:hAnsi="宋体"/>
          <w:sz w:val="32"/>
          <w:szCs w:val="32"/>
        </w:rPr>
        <w:t>到2025年，预测凌源市汽车制造业货运量为690万吨，需要物流用地规模400亩；到2035年，预测凌源市汽车制造业货运量为960万吨，需要物流用地规模500亩，具体详见表4。</w:t>
      </w:r>
    </w:p>
    <w:p w14:paraId="33ACF27F">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3、主要问题</w:t>
      </w:r>
    </w:p>
    <w:p w14:paraId="0CDFB5F4">
      <w:pPr>
        <w:spacing w:line="360" w:lineRule="auto"/>
        <w:ind w:firstLine="646" w:firstLineChars="202"/>
        <w:rPr>
          <w:rFonts w:ascii="宋体" w:hAnsi="宋体"/>
          <w:sz w:val="32"/>
          <w:szCs w:val="32"/>
        </w:rPr>
      </w:pPr>
      <w:r>
        <w:rPr>
          <w:rFonts w:hint="eastAsia" w:ascii="宋体" w:hAnsi="宋体"/>
          <w:sz w:val="32"/>
          <w:szCs w:val="32"/>
        </w:rPr>
        <w:t>（1）缺乏专业的配套物流设施。目前凌源市缺乏新车停车场、汽配集货供应仓库、汽车及零部件的展览展示场馆以及汽车检测场地，不利于汽车产业的展示销售和质量改进。</w:t>
      </w:r>
    </w:p>
    <w:p w14:paraId="7D53F903">
      <w:pPr>
        <w:spacing w:line="360" w:lineRule="auto"/>
        <w:ind w:firstLine="646" w:firstLineChars="202"/>
        <w:rPr>
          <w:rFonts w:ascii="宋体" w:hAnsi="宋体"/>
          <w:sz w:val="32"/>
          <w:szCs w:val="32"/>
        </w:rPr>
      </w:pPr>
      <w:r>
        <w:rPr>
          <w:rFonts w:hint="eastAsia" w:ascii="宋体" w:hAnsi="宋体"/>
          <w:sz w:val="32"/>
          <w:szCs w:val="32"/>
        </w:rPr>
        <w:t>（2）缺乏汽车供应链物流服务体系。汽车供应链由整车制造商、原材料及零部件供应商、整车与零部件经销商、汽车物流供应商、ERP平台等环节构成。其中，物流服务贯穿于整个汽车供应链的始终。但是，由于缺乏物流基础设施和专业化的汽车物流供应商，难以构建起高效有序的区域汽车供应链物流服务体系，为区域汽车产业的发展提供支撑。</w:t>
      </w:r>
    </w:p>
    <w:p w14:paraId="1984E676">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4、发展路径</w:t>
      </w:r>
    </w:p>
    <w:p w14:paraId="1A89EA34">
      <w:pPr>
        <w:spacing w:line="360" w:lineRule="auto"/>
        <w:ind w:firstLine="646" w:firstLineChars="202"/>
        <w:rPr>
          <w:rFonts w:ascii="宋体" w:hAnsi="宋体"/>
          <w:sz w:val="32"/>
          <w:szCs w:val="32"/>
        </w:rPr>
      </w:pPr>
      <w:r>
        <w:rPr>
          <w:rFonts w:hint="eastAsia" w:ascii="宋体" w:hAnsi="宋体"/>
          <w:sz w:val="32"/>
          <w:szCs w:val="32"/>
        </w:rPr>
        <w:t>（1）优先建设汽车制造业物流承载设施。重点推进凌源市汽车物流产业园，规划整车物流区、备件物流区、展销区、汽后市场区、汽车文化主题展示区等，成为凌源市汽车制造业物流的重要承载设施。</w:t>
      </w:r>
    </w:p>
    <w:p w14:paraId="37EA7C3F">
      <w:pPr>
        <w:spacing w:line="360" w:lineRule="auto"/>
        <w:ind w:firstLine="646" w:firstLineChars="202"/>
        <w:rPr>
          <w:rFonts w:ascii="宋体" w:hAnsi="宋体"/>
          <w:sz w:val="32"/>
          <w:szCs w:val="32"/>
        </w:rPr>
      </w:pPr>
      <w:r>
        <w:rPr>
          <w:rFonts w:hint="eastAsia" w:ascii="宋体" w:hAnsi="宋体"/>
          <w:sz w:val="32"/>
          <w:szCs w:val="32"/>
        </w:rPr>
        <w:t>（2）积极引入汽车供应链物流服务企业。引入国内大型汽车供应链物流服务企业（如安吉物流、长久物流等），打造集前端总成及零部件集货、生产过程JIT物流服务（零库存生产物流服务）、后端集中仓储、运输的标杆式汽车供应链物流服务体系。</w:t>
      </w:r>
    </w:p>
    <w:p w14:paraId="39AD4EEF">
      <w:pPr>
        <w:pStyle w:val="5"/>
        <w:spacing w:line="360" w:lineRule="auto"/>
        <w:rPr>
          <w:rFonts w:asciiTheme="minorEastAsia" w:hAnsiTheme="minorEastAsia"/>
        </w:rPr>
      </w:pPr>
      <w:bookmarkStart w:id="102" w:name="_Toc79497962"/>
      <w:r>
        <w:rPr>
          <w:rFonts w:hint="eastAsia" w:asciiTheme="minorEastAsia" w:hAnsiTheme="minorEastAsia"/>
        </w:rPr>
        <w:t>三、规划项目</w:t>
      </w:r>
      <w:bookmarkEnd w:id="102"/>
    </w:p>
    <w:p w14:paraId="48B9FCB1">
      <w:pPr>
        <w:spacing w:line="360" w:lineRule="auto"/>
        <w:ind w:firstLine="646" w:firstLineChars="202"/>
        <w:rPr>
          <w:rFonts w:ascii="黑体" w:hAnsi="黑体"/>
          <w:b/>
          <w:bCs/>
          <w:sz w:val="24"/>
          <w:szCs w:val="24"/>
        </w:rPr>
      </w:pPr>
      <w:r>
        <w:rPr>
          <w:rFonts w:hint="eastAsia" w:ascii="宋体" w:hAnsi="宋体"/>
          <w:sz w:val="32"/>
          <w:szCs w:val="32"/>
        </w:rPr>
        <w:t>“十四五”期间，凌源市制造业物流板块将依托钢铁、汽车、新材料等产业，规划在凌源经济开发区至致远物流港等区域，以致远物流为核心打造工业物流园；围绕凌源南部非金属产业集群，沿魏塔线布局，在四合当镇、三家子乡、杨杖子镇、刀尔登镇建设工业物流集散点。主要规划新增建设的重点项目有朝阳致远金融物流港（二期）、朝阳凌源非金属新材料产业园区物流园、开发区铁路专用线场站、凌源市汽车物流产业园、富源矿业物流中心、北炉</w:t>
      </w:r>
      <w:r>
        <w:rPr>
          <w:rFonts w:ascii="宋体" w:hAnsi="宋体"/>
          <w:sz w:val="32"/>
          <w:szCs w:val="32"/>
        </w:rPr>
        <w:t>-</w:t>
      </w:r>
      <w:r>
        <w:rPr>
          <w:rFonts w:hint="eastAsia" w:ascii="宋体" w:hAnsi="宋体"/>
          <w:sz w:val="32"/>
          <w:szCs w:val="32"/>
        </w:rPr>
        <w:t>牛营子加工配套物流中心、三十家子加工配套物流中心、杨杖子物流转运中心（改造利用）、刀尔登物流转运中心（改造利用）、浙江物产铁海联运班列等。具体详见附表一。</w:t>
      </w:r>
    </w:p>
    <w:p w14:paraId="221FF249">
      <w:pPr>
        <w:pStyle w:val="5"/>
        <w:spacing w:line="360" w:lineRule="auto"/>
        <w:rPr>
          <w:rFonts w:asciiTheme="minorEastAsia" w:hAnsiTheme="minorEastAsia"/>
        </w:rPr>
      </w:pPr>
      <w:bookmarkStart w:id="103" w:name="_Toc79497963"/>
      <w:r>
        <w:rPr>
          <w:rFonts w:hint="eastAsia" w:asciiTheme="minorEastAsia" w:hAnsiTheme="minorEastAsia"/>
        </w:rPr>
        <w:t>四、发展目标</w:t>
      </w:r>
      <w:bookmarkEnd w:id="103"/>
    </w:p>
    <w:p w14:paraId="3E9EA825">
      <w:pPr>
        <w:spacing w:line="360" w:lineRule="auto"/>
        <w:ind w:firstLine="646" w:firstLineChars="202"/>
        <w:rPr>
          <w:rFonts w:ascii="宋体" w:hAnsi="宋体"/>
          <w:sz w:val="32"/>
          <w:szCs w:val="32"/>
        </w:rPr>
      </w:pPr>
      <w:r>
        <w:rPr>
          <w:rFonts w:hint="eastAsia" w:ascii="宋体" w:hAnsi="宋体"/>
          <w:sz w:val="32"/>
          <w:szCs w:val="32"/>
        </w:rPr>
        <w:t>通过规划实施，制造业物流板块将成为凌源市未来产业发展的重要支撑，推动凌源市成为辽宁省制造业供应链物流发展的样板工程。</w:t>
      </w:r>
    </w:p>
    <w:p w14:paraId="67A5742C">
      <w:pPr>
        <w:pStyle w:val="4"/>
        <w:keepNext w:val="0"/>
        <w:keepLines w:val="0"/>
        <w:spacing w:line="360" w:lineRule="auto"/>
        <w:jc w:val="center"/>
      </w:pPr>
      <w:bookmarkStart w:id="104" w:name="_Toc79497964"/>
      <w:r>
        <w:t>第</w:t>
      </w:r>
      <w:r>
        <w:rPr>
          <w:rFonts w:hint="eastAsia"/>
        </w:rPr>
        <w:t>四</w:t>
      </w:r>
      <w:r>
        <w:t>节</w:t>
      </w:r>
      <w:r>
        <w:rPr>
          <w:rFonts w:hint="eastAsia"/>
        </w:rPr>
        <w:t xml:space="preserve"> 农产品流通及冷链物流板块</w:t>
      </w:r>
      <w:bookmarkEnd w:id="104"/>
    </w:p>
    <w:p w14:paraId="5166A8EE">
      <w:pPr>
        <w:pStyle w:val="5"/>
        <w:keepNext w:val="0"/>
        <w:keepLines w:val="0"/>
        <w:spacing w:line="360" w:lineRule="auto"/>
        <w:rPr>
          <w:rFonts w:asciiTheme="minorEastAsia" w:hAnsiTheme="minorEastAsia"/>
        </w:rPr>
      </w:pPr>
      <w:bookmarkStart w:id="105" w:name="_Toc79497965"/>
      <w:r>
        <w:rPr>
          <w:rFonts w:hint="eastAsia" w:asciiTheme="minorEastAsia" w:hAnsiTheme="minorEastAsia"/>
        </w:rPr>
        <w:t>一、板块概述</w:t>
      </w:r>
      <w:bookmarkEnd w:id="105"/>
    </w:p>
    <w:p w14:paraId="6A6B9058">
      <w:pPr>
        <w:spacing w:line="360" w:lineRule="auto"/>
        <w:ind w:firstLine="646" w:firstLineChars="202"/>
        <w:rPr>
          <w:rFonts w:ascii="宋体" w:hAnsi="宋体"/>
          <w:sz w:val="32"/>
          <w:szCs w:val="32"/>
        </w:rPr>
      </w:pPr>
      <w:r>
        <w:rPr>
          <w:rFonts w:hint="eastAsia" w:ascii="宋体" w:hAnsi="宋体"/>
          <w:sz w:val="32"/>
          <w:szCs w:val="32"/>
        </w:rPr>
        <w:t>农产品物流体系包含了产地存储、批发交易、流通加工、农产品运输、消费地配送等多个环节，具体如下图所示。</w:t>
      </w:r>
    </w:p>
    <w:p w14:paraId="3B8D70A9">
      <w:pPr>
        <w:spacing w:line="360" w:lineRule="auto"/>
        <w:jc w:val="center"/>
        <w:rPr>
          <w:rFonts w:ascii="宋体" w:hAnsi="宋体"/>
          <w:sz w:val="32"/>
          <w:szCs w:val="32"/>
        </w:rPr>
      </w:pPr>
      <w:r>
        <w:drawing>
          <wp:inline distT="0" distB="0" distL="0" distR="0">
            <wp:extent cx="5278120" cy="30524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5278120" cy="3052445"/>
                    </a:xfrm>
                    <a:prstGeom prst="rect">
                      <a:avLst/>
                    </a:prstGeom>
                  </pic:spPr>
                </pic:pic>
              </a:graphicData>
            </a:graphic>
          </wp:inline>
        </w:drawing>
      </w:r>
    </w:p>
    <w:p w14:paraId="3C27E46D">
      <w:pPr>
        <w:pStyle w:val="10"/>
        <w:snapToGrid w:val="0"/>
        <w:spacing w:line="360" w:lineRule="auto"/>
        <w:jc w:val="center"/>
        <w:rPr>
          <w:rFonts w:ascii="黑体" w:hAnsi="黑体"/>
          <w:b/>
          <w:bCs/>
          <w:sz w:val="24"/>
          <w:szCs w:val="24"/>
        </w:rPr>
      </w:pPr>
      <w:bookmarkStart w:id="106" w:name="_Toc79498059"/>
      <w:r>
        <w:rPr>
          <w:rFonts w:hint="eastAsia" w:ascii="黑体" w:hAnsi="黑体"/>
          <w:b/>
          <w:bCs/>
          <w:sz w:val="24"/>
          <w:szCs w:val="24"/>
        </w:rPr>
        <w:t xml:space="preserve">图 </w:t>
      </w:r>
      <w:r>
        <w:rPr>
          <w:rFonts w:ascii="黑体" w:hAnsi="黑体"/>
          <w:b/>
          <w:bCs/>
          <w:sz w:val="24"/>
          <w:szCs w:val="24"/>
        </w:rPr>
        <w:fldChar w:fldCharType="begin"/>
      </w:r>
      <w:r>
        <w:rPr>
          <w:rFonts w:hint="eastAsia" w:ascii="黑体" w:hAnsi="黑体"/>
          <w:b/>
          <w:bCs/>
          <w:sz w:val="24"/>
          <w:szCs w:val="24"/>
        </w:rPr>
        <w:instrText xml:space="preserve">SEQ 图 \* ARABIC</w:instrText>
      </w:r>
      <w:r>
        <w:rPr>
          <w:rFonts w:ascii="黑体" w:hAnsi="黑体"/>
          <w:b/>
          <w:bCs/>
          <w:sz w:val="24"/>
          <w:szCs w:val="24"/>
        </w:rPr>
        <w:fldChar w:fldCharType="separate"/>
      </w:r>
      <w:r>
        <w:rPr>
          <w:rFonts w:ascii="黑体" w:hAnsi="黑体"/>
          <w:b/>
          <w:bCs/>
          <w:sz w:val="24"/>
          <w:szCs w:val="24"/>
        </w:rPr>
        <w:t>13</w:t>
      </w:r>
      <w:r>
        <w:rPr>
          <w:rFonts w:ascii="黑体" w:hAnsi="黑体"/>
          <w:b/>
          <w:bCs/>
          <w:sz w:val="24"/>
          <w:szCs w:val="24"/>
        </w:rPr>
        <w:fldChar w:fldCharType="end"/>
      </w:r>
      <w:r>
        <w:rPr>
          <w:rFonts w:hint="eastAsia" w:ascii="黑体" w:hAnsi="黑体"/>
          <w:b/>
          <w:bCs/>
          <w:sz w:val="24"/>
          <w:szCs w:val="24"/>
        </w:rPr>
        <w:t>农产品流通物流体系示意图</w:t>
      </w:r>
      <w:bookmarkEnd w:id="106"/>
    </w:p>
    <w:p w14:paraId="61730C0D">
      <w:pPr>
        <w:spacing w:line="360" w:lineRule="auto"/>
        <w:ind w:firstLine="640" w:firstLineChars="200"/>
        <w:rPr>
          <w:rFonts w:ascii="宋体" w:hAnsi="宋体"/>
          <w:sz w:val="32"/>
          <w:szCs w:val="32"/>
        </w:rPr>
      </w:pPr>
      <w:r>
        <w:rPr>
          <w:rFonts w:hint="eastAsia" w:ascii="宋体" w:hAnsi="宋体"/>
          <w:sz w:val="32"/>
          <w:szCs w:val="32"/>
        </w:rPr>
        <w:t>结合凌源市设施农业、畜牧业发展态势良好、产量大的特点，“十四五”期间凌源市需着重建设和完善农产品流通市场体系和农产品冷链物流体系两大板块。</w:t>
      </w:r>
    </w:p>
    <w:p w14:paraId="15A2427D">
      <w:pPr>
        <w:pStyle w:val="5"/>
        <w:keepNext w:val="0"/>
        <w:keepLines w:val="0"/>
        <w:spacing w:line="360" w:lineRule="auto"/>
      </w:pPr>
      <w:bookmarkStart w:id="107" w:name="_Toc79497966"/>
      <w:r>
        <w:rPr>
          <w:rFonts w:hint="eastAsia" w:asciiTheme="minorEastAsia" w:hAnsiTheme="minorEastAsia"/>
        </w:rPr>
        <w:t>二、重点板块建设</w:t>
      </w:r>
      <w:bookmarkEnd w:id="107"/>
    </w:p>
    <w:p w14:paraId="0CDD813E">
      <w:pPr>
        <w:pStyle w:val="6"/>
        <w:keepNext w:val="0"/>
        <w:keepLines w:val="0"/>
        <w:spacing w:before="240" w:after="240" w:line="360" w:lineRule="auto"/>
        <w:rPr>
          <w:sz w:val="32"/>
          <w:szCs w:val="32"/>
        </w:rPr>
      </w:pPr>
      <w:r>
        <w:rPr>
          <w:rFonts w:hint="eastAsia"/>
          <w:sz w:val="32"/>
          <w:szCs w:val="32"/>
        </w:rPr>
        <w:t>（一）农产品流通市场板块</w:t>
      </w:r>
    </w:p>
    <w:p w14:paraId="28B3D41C">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1、需求分析</w:t>
      </w:r>
    </w:p>
    <w:p w14:paraId="15DCEC93">
      <w:pPr>
        <w:spacing w:line="360" w:lineRule="auto"/>
        <w:ind w:firstLine="640" w:firstLineChars="200"/>
        <w:rPr>
          <w:rFonts w:ascii="宋体" w:hAnsi="宋体"/>
          <w:sz w:val="32"/>
          <w:szCs w:val="32"/>
        </w:rPr>
      </w:pPr>
      <w:r>
        <w:rPr>
          <w:rFonts w:hint="eastAsia" w:ascii="宋体" w:hAnsi="宋体"/>
          <w:sz w:val="32"/>
          <w:szCs w:val="32"/>
        </w:rPr>
        <w:t>（1）区域农产品产量大，外销压力大。2019年，设施蔬菜（黄瓜、椒类、食用菌等）总产量87.4万吨；各类鲜切花2.31亿枝，种球0.3亿粒；生猪、肉牛、肉羊、家禽年出栏量分别为5</w:t>
      </w:r>
      <w:r>
        <w:rPr>
          <w:rFonts w:ascii="宋体" w:hAnsi="宋体"/>
          <w:sz w:val="32"/>
          <w:szCs w:val="32"/>
        </w:rPr>
        <w:t>6</w:t>
      </w:r>
      <w:r>
        <w:rPr>
          <w:rFonts w:hint="eastAsia" w:ascii="宋体" w:hAnsi="宋体"/>
          <w:sz w:val="32"/>
          <w:szCs w:val="32"/>
        </w:rPr>
        <w:t>万头、1</w:t>
      </w:r>
      <w:r>
        <w:rPr>
          <w:rFonts w:ascii="宋体" w:hAnsi="宋体"/>
          <w:sz w:val="32"/>
          <w:szCs w:val="32"/>
        </w:rPr>
        <w:t>2.8</w:t>
      </w:r>
      <w:r>
        <w:rPr>
          <w:rFonts w:hint="eastAsia" w:ascii="宋体" w:hAnsi="宋体"/>
          <w:sz w:val="32"/>
          <w:szCs w:val="32"/>
        </w:rPr>
        <w:t>万头、5</w:t>
      </w:r>
      <w:r>
        <w:rPr>
          <w:rFonts w:ascii="宋体" w:hAnsi="宋体"/>
          <w:sz w:val="32"/>
          <w:szCs w:val="32"/>
        </w:rPr>
        <w:t>3</w:t>
      </w:r>
      <w:r>
        <w:rPr>
          <w:rFonts w:hint="eastAsia" w:ascii="宋体" w:hAnsi="宋体"/>
          <w:sz w:val="32"/>
          <w:szCs w:val="32"/>
        </w:rPr>
        <w:t>万只和1</w:t>
      </w:r>
      <w:r>
        <w:rPr>
          <w:rFonts w:ascii="宋体" w:hAnsi="宋体"/>
          <w:sz w:val="32"/>
          <w:szCs w:val="32"/>
        </w:rPr>
        <w:t>700</w:t>
      </w:r>
      <w:r>
        <w:rPr>
          <w:rFonts w:hint="eastAsia" w:ascii="宋体" w:hAnsi="宋体"/>
          <w:sz w:val="32"/>
          <w:szCs w:val="32"/>
        </w:rPr>
        <w:t>.6万只，肉类总产量1</w:t>
      </w:r>
      <w:r>
        <w:rPr>
          <w:rFonts w:ascii="宋体" w:hAnsi="宋体"/>
          <w:sz w:val="32"/>
          <w:szCs w:val="32"/>
        </w:rPr>
        <w:t>1.3</w:t>
      </w:r>
      <w:r>
        <w:rPr>
          <w:rFonts w:hint="eastAsia" w:ascii="宋体" w:hAnsi="宋体"/>
          <w:sz w:val="32"/>
          <w:szCs w:val="32"/>
        </w:rPr>
        <w:t>万吨，禽蛋总产量3</w:t>
      </w:r>
      <w:r>
        <w:rPr>
          <w:rFonts w:ascii="宋体" w:hAnsi="宋体"/>
          <w:sz w:val="32"/>
          <w:szCs w:val="32"/>
        </w:rPr>
        <w:t>.3</w:t>
      </w:r>
      <w:r>
        <w:rPr>
          <w:rFonts w:hint="eastAsia" w:ascii="宋体" w:hAnsi="宋体"/>
          <w:sz w:val="32"/>
          <w:szCs w:val="32"/>
        </w:rPr>
        <w:t>万吨。其中，设施农业的反季节黄瓜、椒类等蔬菜上市时间集中，短期内蔬菜销售难的现象较突出、外销压力非常大。</w:t>
      </w:r>
    </w:p>
    <w:p w14:paraId="576C71EF">
      <w:pPr>
        <w:spacing w:line="360" w:lineRule="auto"/>
        <w:ind w:firstLine="640" w:firstLineChars="200"/>
        <w:rPr>
          <w:rFonts w:ascii="宋体" w:hAnsi="宋体"/>
          <w:sz w:val="32"/>
          <w:szCs w:val="32"/>
        </w:rPr>
      </w:pPr>
      <w:r>
        <w:rPr>
          <w:rFonts w:hint="eastAsia" w:ascii="宋体" w:hAnsi="宋体"/>
          <w:sz w:val="32"/>
          <w:szCs w:val="32"/>
        </w:rPr>
        <w:t>（2）对产地农产品批发市场交易模式依赖性强。目前，凌源的农产品主要通过“农户（合作社）-产地批发市场-经纪人-销地批发市场-零售终端”的模式流向消费市场，只有极少部分采用“农户（合作社）-经纪人-销地批发市场-零售终端”的模式，因此，产地农产品批发市场的作用十分重要。</w:t>
      </w:r>
    </w:p>
    <w:p w14:paraId="765BAFF1">
      <w:pPr>
        <w:spacing w:line="360" w:lineRule="auto"/>
        <w:ind w:firstLine="646" w:firstLineChars="202"/>
      </w:pPr>
      <w:r>
        <w:rPr>
          <w:rFonts w:hint="eastAsia" w:ascii="宋体" w:hAnsi="宋体"/>
          <w:sz w:val="32"/>
          <w:szCs w:val="32"/>
        </w:rPr>
        <w:t>（3）区域农产品消费市场需求较大。据不完全统计，凌源及辽冀蒙结合部三省（区）七县（市）的消费人口总计达450万人左右。根据《中国居民膳食指南》，中国居民每天人均膳食需求为</w:t>
      </w:r>
      <w:r>
        <w:rPr>
          <w:rFonts w:ascii="宋体" w:hAnsi="宋体"/>
          <w:sz w:val="32"/>
          <w:szCs w:val="32"/>
        </w:rPr>
        <w:t>1.226</w:t>
      </w:r>
      <w:r>
        <w:rPr>
          <w:rFonts w:hint="eastAsia" w:ascii="宋体" w:hAnsi="宋体" w:eastAsia="宋体"/>
          <w:sz w:val="32"/>
          <w:szCs w:val="32"/>
        </w:rPr>
        <w:t>～</w:t>
      </w:r>
      <w:r>
        <w:rPr>
          <w:rFonts w:ascii="宋体" w:hAnsi="宋体"/>
          <w:sz w:val="32"/>
          <w:szCs w:val="32"/>
        </w:rPr>
        <w:t>1.771</w:t>
      </w:r>
      <w:r>
        <w:rPr>
          <w:rFonts w:hint="eastAsia" w:ascii="宋体" w:hAnsi="宋体"/>
          <w:sz w:val="32"/>
          <w:szCs w:val="32"/>
        </w:rPr>
        <w:t>千克，按区域居民每天人均膳食需求</w:t>
      </w:r>
      <w:r>
        <w:rPr>
          <w:rFonts w:ascii="宋体" w:hAnsi="宋体"/>
          <w:sz w:val="32"/>
          <w:szCs w:val="32"/>
        </w:rPr>
        <w:t>1.</w:t>
      </w:r>
      <w:r>
        <w:rPr>
          <w:rFonts w:hint="eastAsia" w:ascii="宋体" w:hAnsi="宋体"/>
          <w:sz w:val="32"/>
          <w:szCs w:val="32"/>
        </w:rPr>
        <w:t>5千克计算，则区域全年消费约165万吨农产品。目前区域农产品自给率不足50%，约有</w:t>
      </w:r>
      <w:r>
        <w:rPr>
          <w:rFonts w:hint="eastAsia" w:ascii="宋体" w:hAnsi="宋体" w:eastAsia="宋体"/>
          <w:sz w:val="32"/>
          <w:szCs w:val="32"/>
        </w:rPr>
        <w:t>9</w:t>
      </w:r>
      <w:r>
        <w:rPr>
          <w:rFonts w:hint="eastAsia" w:ascii="宋体" w:hAnsi="宋体"/>
          <w:sz w:val="32"/>
          <w:szCs w:val="32"/>
        </w:rPr>
        <w:t>0万吨的农产品需要从其他区域运来，因此，建设外来农产品集散中心符合区域消费市场需求，且发展前景较好。</w:t>
      </w:r>
    </w:p>
    <w:p w14:paraId="3679B3C0">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2、规模预测</w:t>
      </w:r>
    </w:p>
    <w:p w14:paraId="75F1A8AF">
      <w:pPr>
        <w:spacing w:line="360" w:lineRule="auto"/>
        <w:ind w:firstLine="646" w:firstLineChars="202"/>
        <w:rPr>
          <w:rFonts w:ascii="宋体" w:hAnsi="宋体"/>
          <w:sz w:val="32"/>
          <w:szCs w:val="32"/>
        </w:rPr>
      </w:pPr>
      <w:r>
        <w:rPr>
          <w:rFonts w:hint="eastAsia" w:ascii="宋体" w:hAnsi="宋体"/>
          <w:sz w:val="32"/>
          <w:szCs w:val="32"/>
        </w:rPr>
        <w:t>到2025年，凌源市年蔬菜总产量为100万吨，年产鲜切花力争突破3亿枝，种球0.35亿粒，外来农产品约为90万吨。据此测算，到2025年，凌源农产品流通市场的占地规模约为1200亩。</w:t>
      </w:r>
    </w:p>
    <w:p w14:paraId="52E13CE8">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3、主要问题</w:t>
      </w:r>
    </w:p>
    <w:p w14:paraId="25EA6986">
      <w:pPr>
        <w:spacing w:line="360" w:lineRule="auto"/>
        <w:ind w:firstLine="646" w:firstLineChars="202"/>
        <w:rPr>
          <w:rFonts w:ascii="宋体" w:hAnsi="宋体"/>
          <w:sz w:val="32"/>
          <w:szCs w:val="32"/>
        </w:rPr>
      </w:pPr>
      <w:r>
        <w:rPr>
          <w:rFonts w:hint="eastAsia" w:ascii="宋体" w:hAnsi="宋体"/>
          <w:sz w:val="32"/>
          <w:szCs w:val="32"/>
        </w:rPr>
        <w:t>（1）现有九大农产品批发市场规模不足。凌源市现有八里堡蔬菜批发市场、花卉市场、范杖子特种蔬菜批发市场、三家子方馨果菜批发市场、三十家子瑞亨农贸果蔬批发市场、四官营子蔬菜批发市场、四合当蔬菜市场、沟门子蔬菜市场、三十家子大牲畜交易市场等9大传统农产品批发市场，总占地面积达600余亩，到“十四五”末期缺口约600亩。</w:t>
      </w:r>
    </w:p>
    <w:p w14:paraId="2CDEF9F8">
      <w:pPr>
        <w:spacing w:line="360" w:lineRule="auto"/>
        <w:ind w:firstLine="646" w:firstLineChars="202"/>
        <w:rPr>
          <w:rFonts w:ascii="宋体" w:hAnsi="宋体"/>
          <w:sz w:val="32"/>
          <w:szCs w:val="32"/>
        </w:rPr>
      </w:pPr>
      <w:r>
        <w:rPr>
          <w:rFonts w:hint="eastAsia" w:ascii="宋体" w:hAnsi="宋体"/>
          <w:sz w:val="32"/>
          <w:szCs w:val="32"/>
        </w:rPr>
        <w:t>（2）现有批发市场功能不全，交易模式单一。现有市场只提供交易场所，收取交易佣金，在农产品互联网信息服务、市场交易信息收集整理、农产品定价传导机制、商品的检验、仓储、包装、配送、运输、电子结算等环节的服务能力非常薄弱，无法满足农产品流通的需要。</w:t>
      </w:r>
    </w:p>
    <w:p w14:paraId="01287318">
      <w:pPr>
        <w:spacing w:line="360" w:lineRule="auto"/>
        <w:ind w:firstLine="646" w:firstLineChars="202"/>
        <w:rPr>
          <w:rFonts w:ascii="宋体" w:hAnsi="宋体"/>
          <w:sz w:val="32"/>
          <w:szCs w:val="32"/>
        </w:rPr>
      </w:pPr>
      <w:r>
        <w:rPr>
          <w:rFonts w:hint="eastAsia" w:ascii="宋体" w:hAnsi="宋体"/>
          <w:sz w:val="32"/>
          <w:szCs w:val="32"/>
        </w:rPr>
        <w:t>（3）现有批发市场发展不均衡，市场集中度较低。目前，交易规模较大的农产品批发市场主要集中在市域的北部，市域的南部和中部缺乏较大规模的农产品批发市场，一定程度上削弱了南部和中部各乡镇农产品的流通能力。同时，由于市场分布较为分散，也给农产品采购商带来了较大的集货困难。调研信息显示，农产品采购商为了装满一车黄瓜（约30吨），往往要前往2</w:t>
      </w:r>
      <w:r>
        <w:rPr>
          <w:rFonts w:hint="eastAsia" w:ascii="宋体" w:hAnsi="宋体" w:eastAsia="宋体"/>
          <w:sz w:val="32"/>
          <w:szCs w:val="32"/>
        </w:rPr>
        <w:t>～</w:t>
      </w:r>
      <w:r>
        <w:rPr>
          <w:rFonts w:hint="eastAsia" w:ascii="宋体" w:hAnsi="宋体"/>
          <w:sz w:val="32"/>
          <w:szCs w:val="32"/>
        </w:rPr>
        <w:t>3个甚至更多的农产品批发市场装货，造成了农产品流通效率的下降、物流成本的上升。</w:t>
      </w:r>
    </w:p>
    <w:p w14:paraId="07D40496">
      <w:pPr>
        <w:spacing w:line="360" w:lineRule="auto"/>
        <w:ind w:firstLine="646" w:firstLineChars="202"/>
        <w:rPr>
          <w:rFonts w:ascii="宋体" w:hAnsi="宋体"/>
          <w:sz w:val="32"/>
          <w:szCs w:val="32"/>
        </w:rPr>
      </w:pPr>
      <w:r>
        <w:rPr>
          <w:rFonts w:hint="eastAsia" w:ascii="宋体" w:hAnsi="宋体"/>
          <w:sz w:val="32"/>
          <w:szCs w:val="32"/>
        </w:rPr>
        <w:t>（4）价格形成机制扭曲。凌源目前的农产品交易模式多以市场经纪人交易模式为主，多数情况下，农产品生产者为了急于出售产品，往往先将农产品交给经纪人，由经纪人运往销地市场出售后再与生产者“协商”价格，形成了特殊的“价格倒推”模式，这种模式确保了经纪人的利益，但在很大程度上无法保障甚至损害了生产者的利益。</w:t>
      </w:r>
    </w:p>
    <w:p w14:paraId="6BC0B00E">
      <w:pPr>
        <w:spacing w:line="360" w:lineRule="auto"/>
        <w:ind w:firstLine="646" w:firstLineChars="202"/>
      </w:pPr>
      <w:r>
        <w:rPr>
          <w:rFonts w:hint="eastAsia" w:ascii="宋体" w:hAnsi="宋体"/>
          <w:sz w:val="32"/>
          <w:szCs w:val="32"/>
        </w:rPr>
        <w:t>（5）缺乏区域大型农产品批发中心，区域农产品消费流通成本较高。凌源及周边县（市）目前没有大型、具有输出、输入双向流通功能的现代化大型农产品交易市场，区域农产品消费的市场采购渠道分散、流通环节多、效率较低、成本较高，农产品安全溯源机制不健全。</w:t>
      </w:r>
    </w:p>
    <w:p w14:paraId="5A2EEBF4">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4、发展路径</w:t>
      </w:r>
    </w:p>
    <w:p w14:paraId="551ED039">
      <w:pPr>
        <w:spacing w:line="360" w:lineRule="auto"/>
        <w:ind w:firstLine="646" w:firstLineChars="202"/>
        <w:rPr>
          <w:rFonts w:ascii="宋体" w:hAnsi="宋体"/>
          <w:sz w:val="32"/>
          <w:szCs w:val="32"/>
        </w:rPr>
      </w:pPr>
      <w:r>
        <w:rPr>
          <w:rFonts w:hint="eastAsia" w:ascii="宋体" w:hAnsi="宋体"/>
          <w:sz w:val="32"/>
          <w:szCs w:val="32"/>
        </w:rPr>
        <w:t>（1）补齐设施短板，优化市场体系。目前，凌源市正在规划建设凌源市农产品加工园区，具体包括小城子镇、北炉乡、宋杖子镇三个分园，其中小城子分园规划面积22平方公里，核心区5.2平方公里，以花卉产业为主；北炉分园规划面积10平方公里，核心区5平方公里，起步区1平方公里，以农产品加工为主；宋杖子分园主要包括宋杖子村、范杖子村，以蔬菜加工为主。因此，要依托凌源市农产品加工园区，利用北炉的区位交通优势，加快推进凌源市农产品商贸物流园建设，建成立足凌源、联结华北、华中等地，辐射辽冀蒙周边县市的大型农产品交易批发市场，支撑区域农产品“走出去”，带动跨区域农产品“引进来”，提升区域消费水平。同时也要一并推进凌源农业科工贸数字物流产业园（即南京红太阳集团农产品交易市场项目）、凌源市城市绿色农产品配送中心和青怡坊新型花卉交易中心、凌源市农产品加工园区小城子分园配套物流园等项目建设，形成以凌源市农产品商贸物流园为龙头，以凌源农业科工贸数字物流产业园、凌源市城市绿色农产品配送中心、青怡坊新型花卉交易中心、凌源市农产品加工园区小城子分园配套物流园等四个园区为骨干，以升级后的九大农贸市场为支撑，设施先进、功能完善、交易规范的现代农产品流通体系。</w:t>
      </w:r>
    </w:p>
    <w:p w14:paraId="1A26F9B8">
      <w:pPr>
        <w:spacing w:line="360" w:lineRule="auto"/>
        <w:ind w:firstLine="646" w:firstLineChars="202"/>
        <w:rPr>
          <w:rFonts w:ascii="宋体" w:hAnsi="宋体"/>
          <w:sz w:val="32"/>
          <w:szCs w:val="32"/>
        </w:rPr>
      </w:pPr>
      <w:r>
        <w:rPr>
          <w:rFonts w:hint="eastAsia" w:ascii="宋体" w:hAnsi="宋体"/>
          <w:sz w:val="32"/>
          <w:szCs w:val="32"/>
        </w:rPr>
        <w:t>（2）加大龙头企业招引力度，形成带动效应。瞄准国内农产品交易批发市场龙头企业，如北京新发地集团、山东寿光蔬菜批发市场有限公司、</w:t>
      </w:r>
      <w:r>
        <w:rPr>
          <w:rFonts w:ascii="宋体" w:hAnsi="宋体"/>
          <w:sz w:val="32"/>
          <w:szCs w:val="32"/>
        </w:rPr>
        <w:t>河南万邦国际农产品物流股份有限公司</w:t>
      </w:r>
      <w:r>
        <w:rPr>
          <w:rFonts w:hint="eastAsia" w:ascii="宋体" w:hAnsi="宋体"/>
          <w:sz w:val="32"/>
          <w:szCs w:val="32"/>
        </w:rPr>
        <w:t>、深圳市农产品股份有限公司（深圳海吉星国际农产品物流园）等大型农产品批发市场投资建设和运营管理企业，以区域农产品批发市场建设提升为契机，加大招商引资优惠政策力度，吸引其前来凌源投资合作或设立分支机构，大幅提升大型农产品批发市场的建设水平和后期运营管理水平，完善区域农产品流通链条，提高流通效率。</w:t>
      </w:r>
    </w:p>
    <w:p w14:paraId="6446C79B">
      <w:pPr>
        <w:spacing w:line="360" w:lineRule="auto"/>
        <w:ind w:firstLine="646" w:firstLineChars="202"/>
        <w:rPr>
          <w:rFonts w:ascii="宋体" w:hAnsi="宋体"/>
          <w:sz w:val="32"/>
          <w:szCs w:val="32"/>
        </w:rPr>
      </w:pPr>
      <w:r>
        <w:rPr>
          <w:rFonts w:hint="eastAsia" w:ascii="宋体" w:hAnsi="宋体"/>
          <w:sz w:val="32"/>
          <w:szCs w:val="32"/>
        </w:rPr>
        <w:t>（3）加快推进现有市场的结构调整，转型升级。对标重庆香满园农产品批发市场，提升服务能级。一是</w:t>
      </w:r>
      <w:r>
        <w:rPr>
          <w:rFonts w:ascii="宋体" w:hAnsi="宋体"/>
          <w:sz w:val="32"/>
          <w:szCs w:val="32"/>
        </w:rPr>
        <w:t>改造和优化现有农产品批发市场硬件设施</w:t>
      </w:r>
      <w:r>
        <w:rPr>
          <w:rFonts w:hint="eastAsia" w:ascii="宋体" w:hAnsi="宋体"/>
          <w:sz w:val="32"/>
          <w:szCs w:val="32"/>
        </w:rPr>
        <w:t>，鼓励增加预选分级、加工配送、冷藏冷冻、包装仓储、检验检测等设施，提升市场服务功能；二是结合国家“互联网+农业”相关政策，以政策扶持资金和配套补贴等方式，引导现有传统农产品批发市场大力发展电子商务，扩大网上交易规模，并提供电子结算、信息统计分析等服务；三是吸引大型农产品商贸流通企业以及涉农物流企业参与传统农产品批发市场的改造升级和仓储物流体系的建设经营，如中国供销合作集团、北京顺鑫农业集团、南京雨润集团、邮政物流、夏晖物流等；四是</w:t>
      </w:r>
      <w:r>
        <w:rPr>
          <w:rFonts w:ascii="宋体" w:hAnsi="宋体"/>
          <w:sz w:val="32"/>
          <w:szCs w:val="32"/>
        </w:rPr>
        <w:t>支持</w:t>
      </w:r>
      <w:r>
        <w:rPr>
          <w:rFonts w:hint="eastAsia" w:ascii="宋体" w:hAnsi="宋体"/>
          <w:sz w:val="32"/>
          <w:szCs w:val="32"/>
        </w:rPr>
        <w:t>传统</w:t>
      </w:r>
      <w:r>
        <w:rPr>
          <w:rFonts w:ascii="宋体" w:hAnsi="宋体"/>
          <w:sz w:val="32"/>
          <w:szCs w:val="32"/>
        </w:rPr>
        <w:t>农产品批发市场发展直供直销</w:t>
      </w:r>
      <w:r>
        <w:rPr>
          <w:rFonts w:hint="eastAsia" w:ascii="宋体" w:hAnsi="宋体"/>
          <w:sz w:val="32"/>
          <w:szCs w:val="32"/>
        </w:rPr>
        <w:t>业务，上游与</w:t>
      </w:r>
      <w:r>
        <w:rPr>
          <w:rFonts w:ascii="宋体" w:hAnsi="宋体"/>
          <w:sz w:val="32"/>
          <w:szCs w:val="32"/>
        </w:rPr>
        <w:t>农产品生产企业和合作社建立利益联结机制，</w:t>
      </w:r>
      <w:r>
        <w:rPr>
          <w:rFonts w:hint="eastAsia" w:ascii="宋体" w:hAnsi="宋体"/>
          <w:sz w:val="32"/>
          <w:szCs w:val="32"/>
        </w:rPr>
        <w:t>下游与区域连锁超市形成战略合作供应机制，</w:t>
      </w:r>
      <w:r>
        <w:rPr>
          <w:rFonts w:ascii="宋体" w:hAnsi="宋体"/>
          <w:sz w:val="32"/>
          <w:szCs w:val="32"/>
        </w:rPr>
        <w:t>积极开展委托生产、订单农业</w:t>
      </w:r>
      <w:r>
        <w:rPr>
          <w:rFonts w:hint="eastAsia" w:ascii="宋体" w:hAnsi="宋体"/>
          <w:sz w:val="32"/>
          <w:szCs w:val="32"/>
        </w:rPr>
        <w:t>等业务组织形式</w:t>
      </w:r>
      <w:r>
        <w:rPr>
          <w:rFonts w:ascii="宋体" w:hAnsi="宋体"/>
          <w:sz w:val="32"/>
          <w:szCs w:val="32"/>
        </w:rPr>
        <w:t>，</w:t>
      </w:r>
      <w:r>
        <w:rPr>
          <w:rFonts w:hint="eastAsia" w:ascii="宋体" w:hAnsi="宋体"/>
          <w:sz w:val="32"/>
          <w:szCs w:val="32"/>
        </w:rPr>
        <w:t>成为产销之间的重要纽带；五是鼓励市场朝着多重业态融合的方向发展，集购物、餐饮、娱乐、农旅、邻里中心等于一体，打造农贸主题商业街区。通过升级改造，将原有的九大市场打造成为区域农产品流通服务的新样板。</w:t>
      </w:r>
    </w:p>
    <w:p w14:paraId="0A647541">
      <w:pPr>
        <w:spacing w:line="360" w:lineRule="auto"/>
        <w:ind w:firstLine="646" w:firstLineChars="202"/>
        <w:rPr>
          <w:rFonts w:ascii="宋体" w:hAnsi="宋体"/>
          <w:sz w:val="32"/>
          <w:szCs w:val="32"/>
        </w:rPr>
      </w:pPr>
      <w:r>
        <w:rPr>
          <w:rFonts w:hint="eastAsia" w:ascii="宋体" w:hAnsi="宋体"/>
          <w:sz w:val="32"/>
          <w:szCs w:val="32"/>
        </w:rPr>
        <w:t>（4）处理好新建市场与现有市场之间的竞合关系。一是按照新建市场做大做强、传统市场做精做优的思路，鼓励新建市场向“产地市场+销地市场”的双重功能拓展，鼓励传统市场向</w:t>
      </w:r>
      <w:r>
        <w:rPr>
          <w:rFonts w:ascii="宋体" w:hAnsi="宋体"/>
          <w:sz w:val="32"/>
          <w:szCs w:val="32"/>
        </w:rPr>
        <w:t>产地集配中心</w:t>
      </w:r>
      <w:r>
        <w:rPr>
          <w:rFonts w:hint="eastAsia" w:ascii="宋体" w:hAnsi="宋体"/>
          <w:sz w:val="32"/>
          <w:szCs w:val="32"/>
        </w:rPr>
        <w:t>转型，增加产地预选分级、分拣包装、净菜加工和冷链仓储等设施，就近为农户提供服务，实现二者的差异化发展；二是鼓励新旧市场之间实行兼并收购，建立股权合作关系，形成联合经营模式；三是鼓励新旧市场之间组建</w:t>
      </w:r>
      <w:r>
        <w:rPr>
          <w:rFonts w:ascii="宋体" w:hAnsi="宋体" w:eastAsia="宋体" w:cs="宋体"/>
          <w:color w:val="252525"/>
          <w:kern w:val="0"/>
          <w:sz w:val="32"/>
          <w:szCs w:val="32"/>
          <w:shd w:val="clear" w:color="auto" w:fill="FFFFFF"/>
        </w:rPr>
        <w:t>战略联盟</w:t>
      </w:r>
      <w:r>
        <w:rPr>
          <w:rFonts w:hint="eastAsia" w:ascii="宋体" w:hAnsi="宋体" w:eastAsia="宋体" w:cs="宋体"/>
          <w:color w:val="252525"/>
          <w:kern w:val="0"/>
          <w:sz w:val="32"/>
          <w:szCs w:val="32"/>
          <w:shd w:val="clear" w:color="auto" w:fill="FFFFFF"/>
        </w:rPr>
        <w:t>，建立合作机制，</w:t>
      </w:r>
      <w:r>
        <w:rPr>
          <w:rFonts w:hint="eastAsia" w:ascii="宋体" w:hAnsi="宋体" w:eastAsia="宋体"/>
          <w:color w:val="000000"/>
          <w:kern w:val="0"/>
          <w:sz w:val="32"/>
          <w:szCs w:val="32"/>
        </w:rPr>
        <w:t>明确分工职责，</w:t>
      </w:r>
      <w:r>
        <w:rPr>
          <w:rFonts w:hint="eastAsia" w:ascii="宋体" w:hAnsi="宋体"/>
          <w:sz w:val="32"/>
          <w:szCs w:val="32"/>
        </w:rPr>
        <w:t>以资金、技术、品牌为纽带，结合工序衔接、产销对接等手段，加强紧密合作。</w:t>
      </w:r>
      <w:r>
        <w:rPr>
          <w:rFonts w:ascii="宋体" w:hAnsi="宋体"/>
          <w:sz w:val="32"/>
          <w:szCs w:val="32"/>
        </w:rPr>
        <w:t>打造优势互补、业务协同、利益一致的</w:t>
      </w:r>
      <w:r>
        <w:rPr>
          <w:rFonts w:hint="eastAsia" w:ascii="宋体" w:hAnsi="宋体"/>
          <w:sz w:val="32"/>
          <w:szCs w:val="32"/>
        </w:rPr>
        <w:t>联合运营</w:t>
      </w:r>
      <w:r>
        <w:rPr>
          <w:rFonts w:ascii="宋体" w:hAnsi="宋体"/>
          <w:sz w:val="32"/>
          <w:szCs w:val="32"/>
        </w:rPr>
        <w:t>体</w:t>
      </w:r>
      <w:r>
        <w:rPr>
          <w:rFonts w:hint="eastAsia" w:ascii="宋体" w:hAnsi="宋体"/>
          <w:sz w:val="32"/>
          <w:szCs w:val="32"/>
        </w:rPr>
        <w:t>。</w:t>
      </w:r>
    </w:p>
    <w:p w14:paraId="4AF30053">
      <w:pPr>
        <w:pStyle w:val="6"/>
        <w:spacing w:before="240" w:after="240" w:line="360" w:lineRule="auto"/>
        <w:rPr>
          <w:sz w:val="32"/>
          <w:szCs w:val="32"/>
        </w:rPr>
      </w:pPr>
      <w:r>
        <w:rPr>
          <w:rFonts w:hint="eastAsia"/>
          <w:sz w:val="32"/>
          <w:szCs w:val="32"/>
        </w:rPr>
        <w:t>（二）农产品冷链物流板块</w:t>
      </w:r>
    </w:p>
    <w:p w14:paraId="67605574">
      <w:pPr>
        <w:spacing w:line="360" w:lineRule="auto"/>
        <w:ind w:firstLine="646" w:firstLineChars="202"/>
        <w:rPr>
          <w:rFonts w:ascii="宋体" w:hAnsi="宋体"/>
          <w:sz w:val="32"/>
          <w:szCs w:val="32"/>
        </w:rPr>
      </w:pPr>
      <w:r>
        <w:rPr>
          <w:rFonts w:hint="eastAsia" w:ascii="宋体" w:hAnsi="宋体"/>
          <w:sz w:val="32"/>
          <w:szCs w:val="32"/>
        </w:rPr>
        <w:t>农产品冷链物流包含田间地头预冷、产地批发市场冷链仓储、加工商处的冷链加工、销地批发市场冷链仓储以及冷链销售等环节，具体如下图所示。</w:t>
      </w:r>
    </w:p>
    <w:p w14:paraId="75BB3328">
      <w:pPr>
        <w:spacing w:line="360" w:lineRule="auto"/>
        <w:jc w:val="center"/>
        <w:rPr>
          <w:rFonts w:ascii="宋体" w:hAnsi="宋体"/>
          <w:sz w:val="32"/>
          <w:szCs w:val="32"/>
        </w:rPr>
      </w:pPr>
      <w:r>
        <w:drawing>
          <wp:inline distT="0" distB="0" distL="0" distR="0">
            <wp:extent cx="4850130" cy="2330450"/>
            <wp:effectExtent l="0" t="0" r="762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8"/>
                    <a:stretch>
                      <a:fillRect/>
                    </a:stretch>
                  </pic:blipFill>
                  <pic:spPr>
                    <a:xfrm>
                      <a:off x="0" y="0"/>
                      <a:ext cx="4879052" cy="2344434"/>
                    </a:xfrm>
                    <a:prstGeom prst="rect">
                      <a:avLst/>
                    </a:prstGeom>
                  </pic:spPr>
                </pic:pic>
              </a:graphicData>
            </a:graphic>
          </wp:inline>
        </w:drawing>
      </w:r>
    </w:p>
    <w:p w14:paraId="29A67494">
      <w:pPr>
        <w:pStyle w:val="10"/>
        <w:snapToGrid w:val="0"/>
        <w:spacing w:line="360" w:lineRule="auto"/>
        <w:jc w:val="center"/>
        <w:rPr>
          <w:rFonts w:ascii="黑体" w:hAnsi="黑体"/>
          <w:b/>
          <w:bCs/>
          <w:sz w:val="24"/>
          <w:szCs w:val="24"/>
        </w:rPr>
      </w:pPr>
      <w:bookmarkStart w:id="108" w:name="_Toc79498060"/>
      <w:r>
        <w:rPr>
          <w:rFonts w:hint="eastAsia" w:ascii="黑体" w:hAnsi="黑体"/>
          <w:b/>
          <w:bCs/>
          <w:sz w:val="24"/>
          <w:szCs w:val="24"/>
        </w:rPr>
        <w:t xml:space="preserve">图 </w:t>
      </w:r>
      <w:r>
        <w:rPr>
          <w:rFonts w:ascii="黑体" w:hAnsi="黑体"/>
          <w:b/>
          <w:bCs/>
          <w:sz w:val="24"/>
          <w:szCs w:val="24"/>
        </w:rPr>
        <w:fldChar w:fldCharType="begin"/>
      </w:r>
      <w:r>
        <w:rPr>
          <w:rFonts w:hint="eastAsia" w:ascii="黑体" w:hAnsi="黑体"/>
          <w:b/>
          <w:bCs/>
          <w:sz w:val="24"/>
          <w:szCs w:val="24"/>
        </w:rPr>
        <w:instrText xml:space="preserve">SEQ 图 \* ARABIC</w:instrText>
      </w:r>
      <w:r>
        <w:rPr>
          <w:rFonts w:ascii="黑体" w:hAnsi="黑体"/>
          <w:b/>
          <w:bCs/>
          <w:sz w:val="24"/>
          <w:szCs w:val="24"/>
        </w:rPr>
        <w:fldChar w:fldCharType="separate"/>
      </w:r>
      <w:r>
        <w:rPr>
          <w:rFonts w:ascii="黑体" w:hAnsi="黑体"/>
          <w:b/>
          <w:bCs/>
          <w:sz w:val="24"/>
          <w:szCs w:val="24"/>
        </w:rPr>
        <w:t>14</w:t>
      </w:r>
      <w:r>
        <w:rPr>
          <w:rFonts w:ascii="黑体" w:hAnsi="黑体"/>
          <w:b/>
          <w:bCs/>
          <w:sz w:val="24"/>
          <w:szCs w:val="24"/>
        </w:rPr>
        <w:fldChar w:fldCharType="end"/>
      </w:r>
      <w:r>
        <w:rPr>
          <w:rFonts w:hint="eastAsia" w:ascii="黑体" w:hAnsi="黑体"/>
          <w:b/>
          <w:bCs/>
          <w:sz w:val="24"/>
          <w:szCs w:val="24"/>
        </w:rPr>
        <w:t>农产品冷链物流体系示意图</w:t>
      </w:r>
      <w:bookmarkEnd w:id="108"/>
    </w:p>
    <w:p w14:paraId="71D30CBB">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1、需求分析</w:t>
      </w:r>
    </w:p>
    <w:p w14:paraId="489C6043">
      <w:pPr>
        <w:spacing w:line="360" w:lineRule="auto"/>
        <w:ind w:firstLine="646" w:firstLineChars="202"/>
        <w:rPr>
          <w:rFonts w:ascii="宋体" w:hAnsi="宋体"/>
          <w:sz w:val="32"/>
          <w:szCs w:val="32"/>
        </w:rPr>
      </w:pPr>
      <w:r>
        <w:rPr>
          <w:rFonts w:hint="eastAsia" w:ascii="宋体" w:hAnsi="宋体"/>
          <w:sz w:val="32"/>
          <w:szCs w:val="32"/>
        </w:rPr>
        <w:t>（1）农产品冷链物流需求较大。凌源农产品资源丰富、种类较多，高峰期日销售蔬菜300万公斤、鲜切花60余万枝、生猪和肉牛交易5000头。其中，蔬菜、鲜切花等产品具有易损耗、易腐烂、保质期短、季节性突出等特点，采后产地快速预冷能延长果蔬冷藏保鲜时间。目前，我国</w:t>
      </w:r>
      <w:r>
        <w:rPr>
          <w:rFonts w:ascii="宋体" w:hAnsi="宋体"/>
          <w:sz w:val="32"/>
          <w:szCs w:val="32"/>
        </w:rPr>
        <w:t>果蔬流通腐损率为25%～30%，发达国家产地预冷保鲜率超过90%，流通腐损率在5%左右。</w:t>
      </w:r>
      <w:r>
        <w:rPr>
          <w:rFonts w:hint="eastAsia" w:ascii="宋体" w:hAnsi="宋体"/>
          <w:sz w:val="32"/>
          <w:szCs w:val="32"/>
        </w:rPr>
        <w:t>由此可见，</w:t>
      </w:r>
      <w:r>
        <w:rPr>
          <w:rFonts w:ascii="宋体" w:hAnsi="宋体"/>
          <w:sz w:val="32"/>
          <w:szCs w:val="32"/>
        </w:rPr>
        <w:t>农产品产地预冷</w:t>
      </w:r>
      <w:r>
        <w:rPr>
          <w:rFonts w:hint="eastAsia" w:ascii="宋体" w:hAnsi="宋体"/>
          <w:sz w:val="32"/>
          <w:szCs w:val="32"/>
        </w:rPr>
        <w:t>能够</w:t>
      </w:r>
      <w:r>
        <w:rPr>
          <w:rFonts w:ascii="宋体" w:hAnsi="宋体"/>
          <w:sz w:val="32"/>
          <w:szCs w:val="32"/>
        </w:rPr>
        <w:t>从源头加快解决农产品出村进城“最初一公里”问题。</w:t>
      </w:r>
      <w:r>
        <w:rPr>
          <w:rFonts w:hint="eastAsia" w:ascii="宋体" w:hAnsi="宋体"/>
          <w:sz w:val="32"/>
          <w:szCs w:val="32"/>
        </w:rPr>
        <w:t>建设区域冷库可以为农户生产的产品提供较长时间的保鲜冷藏服务，避免农产品收获季节价低卖难问题，实现错峰销售，进而获取最佳效益。畜牧业产品在屠宰、分切加工以及储存过程中更离不开冷链加工、冷库存放、冷链运输。数据显示，2015年我国农产品中的</w:t>
      </w:r>
      <w:r>
        <w:rPr>
          <w:rFonts w:ascii="宋体" w:hAnsi="宋体"/>
          <w:sz w:val="32"/>
          <w:szCs w:val="32"/>
        </w:rPr>
        <w:t>果蔬、肉业的冷链流通率分别达到22%、34%</w:t>
      </w:r>
      <w:r>
        <w:rPr>
          <w:rFonts w:hint="eastAsia" w:ascii="宋体" w:hAnsi="宋体"/>
          <w:sz w:val="32"/>
          <w:szCs w:val="32"/>
        </w:rPr>
        <w:t>，照此计算，现阶段凌源的农产品冷库容量需求约为4.92万吨，其中，果蔬冷库容量约为4万吨，肉类冷库容量约为0.92万吨。</w:t>
      </w:r>
    </w:p>
    <w:p w14:paraId="3225CDC5">
      <w:pPr>
        <w:spacing w:line="360" w:lineRule="auto"/>
        <w:ind w:firstLine="646" w:firstLineChars="202"/>
        <w:rPr>
          <w:rFonts w:ascii="宋体" w:hAnsi="宋体"/>
          <w:sz w:val="32"/>
          <w:szCs w:val="32"/>
        </w:rPr>
      </w:pPr>
      <w:r>
        <w:rPr>
          <w:rFonts w:hint="eastAsia" w:ascii="宋体" w:hAnsi="宋体"/>
          <w:sz w:val="32"/>
          <w:szCs w:val="32"/>
        </w:rPr>
        <w:t>（2）国家产业政策和产业链发展客观要求加强冷链物流建设。从产业政策及行业区域发展规划角度看，发展农产品冷链物流符合国家调整产业结构，转变经济增长方式，加强农产品冷链建设，提高农产品附加值，加快产业化发展进程的产业政策，是依托区域优势资源发展县域经济的正确选择。从完善农业产业链角度看，实施预冷、冷库等项目是农业生产的必要延伸，也是农产品加工业的重要内容，更是农产品进入消费渠道的必要环节，对完善农业产业链，提高农业产业化经营水平和效益具有重要作用。</w:t>
      </w:r>
    </w:p>
    <w:p w14:paraId="6F53D9D4">
      <w:pPr>
        <w:spacing w:line="360" w:lineRule="auto"/>
        <w:ind w:firstLine="646" w:firstLineChars="202"/>
        <w:rPr>
          <w:rFonts w:ascii="宋体" w:hAnsi="宋体"/>
          <w:sz w:val="32"/>
          <w:szCs w:val="32"/>
        </w:rPr>
      </w:pPr>
      <w:r>
        <w:rPr>
          <w:rFonts w:hint="eastAsia" w:ascii="宋体" w:hAnsi="宋体"/>
          <w:sz w:val="32"/>
          <w:szCs w:val="32"/>
        </w:rPr>
        <w:t>（3）居民消费对冷链物流的需求潜力巨大。</w:t>
      </w:r>
      <w:r>
        <w:rPr>
          <w:rFonts w:ascii="宋体" w:hAnsi="宋体"/>
          <w:sz w:val="32"/>
          <w:szCs w:val="32"/>
        </w:rPr>
        <w:t>根据国际冷藏仓库协会（IARW）的数据，2018年，</w:t>
      </w:r>
      <w:r>
        <w:rPr>
          <w:rFonts w:hint="eastAsia" w:ascii="宋体" w:hAnsi="宋体"/>
          <w:sz w:val="32"/>
          <w:szCs w:val="32"/>
        </w:rPr>
        <w:t>我</w:t>
      </w:r>
      <w:r>
        <w:rPr>
          <w:rFonts w:ascii="宋体" w:hAnsi="宋体"/>
          <w:sz w:val="32"/>
          <w:szCs w:val="32"/>
        </w:rPr>
        <w:t>国人均冷藏仓储容量仅0.132立方米，日本为0.315立方米，美国为0.49立方米，加拿大为0.316立方米。</w:t>
      </w:r>
      <w:r>
        <w:rPr>
          <w:rFonts w:hint="eastAsia" w:ascii="宋体" w:hAnsi="宋体"/>
          <w:sz w:val="32"/>
          <w:szCs w:val="32"/>
        </w:rPr>
        <w:t>照此计算，目前，凌源市居民消费的冷库容量需求约为7200吨。伴随消费水平的不断提高，国人的食品安全意识也逐步提高，罗兰贝格数据显示，超过80%的消费者愿意为新鲜安全的食品支付更高的溢价，将会推动居民消费冷链物流设施需求的进一步上升。据中冷联盟发布的数据显示，</w:t>
      </w:r>
      <w:r>
        <w:rPr>
          <w:rFonts w:ascii="宋体" w:hAnsi="宋体"/>
          <w:sz w:val="32"/>
          <w:szCs w:val="32"/>
        </w:rPr>
        <w:t>2012年</w:t>
      </w:r>
      <w:r>
        <w:rPr>
          <w:rFonts w:hint="eastAsia" w:ascii="宋体" w:hAnsi="宋体"/>
          <w:sz w:val="32"/>
          <w:szCs w:val="32"/>
        </w:rPr>
        <w:t>至</w:t>
      </w:r>
      <w:r>
        <w:rPr>
          <w:rFonts w:ascii="宋体" w:hAnsi="宋体"/>
          <w:sz w:val="32"/>
          <w:szCs w:val="32"/>
        </w:rPr>
        <w:t>2019年，我国冷库每年以15</w:t>
      </w:r>
      <w:r>
        <w:rPr>
          <w:rFonts w:hint="eastAsia" w:ascii="宋体" w:hAnsi="宋体" w:eastAsia="宋体"/>
          <w:sz w:val="32"/>
          <w:szCs w:val="32"/>
        </w:rPr>
        <w:t>～</w:t>
      </w:r>
      <w:r>
        <w:rPr>
          <w:rFonts w:ascii="宋体" w:hAnsi="宋体"/>
          <w:sz w:val="32"/>
          <w:szCs w:val="32"/>
        </w:rPr>
        <w:t>20%的速度增长</w:t>
      </w:r>
      <w:r>
        <w:rPr>
          <w:rFonts w:hint="eastAsia" w:ascii="宋体" w:hAnsi="宋体"/>
          <w:sz w:val="32"/>
          <w:szCs w:val="32"/>
        </w:rPr>
        <w:t>，预计到2025年，我</w:t>
      </w:r>
      <w:r>
        <w:rPr>
          <w:rFonts w:ascii="宋体" w:hAnsi="宋体"/>
          <w:sz w:val="32"/>
          <w:szCs w:val="32"/>
        </w:rPr>
        <w:t>国人均冷藏仓储容量</w:t>
      </w:r>
      <w:r>
        <w:rPr>
          <w:rFonts w:hint="eastAsia" w:ascii="宋体" w:hAnsi="宋体"/>
          <w:sz w:val="32"/>
          <w:szCs w:val="32"/>
        </w:rPr>
        <w:t>将是2018年的两倍，约为</w:t>
      </w:r>
      <w:r>
        <w:rPr>
          <w:rFonts w:ascii="宋体" w:hAnsi="宋体"/>
          <w:sz w:val="32"/>
          <w:szCs w:val="32"/>
        </w:rPr>
        <w:t>0.</w:t>
      </w:r>
      <w:r>
        <w:rPr>
          <w:rFonts w:hint="eastAsia" w:ascii="宋体" w:hAnsi="宋体"/>
          <w:sz w:val="32"/>
          <w:szCs w:val="32"/>
        </w:rPr>
        <w:t>265</w:t>
      </w:r>
      <w:r>
        <w:rPr>
          <w:rFonts w:ascii="宋体" w:hAnsi="宋体"/>
          <w:sz w:val="32"/>
          <w:szCs w:val="32"/>
        </w:rPr>
        <w:t>立方米</w:t>
      </w:r>
      <w:r>
        <w:rPr>
          <w:rFonts w:hint="eastAsia" w:ascii="宋体" w:hAnsi="宋体"/>
          <w:sz w:val="32"/>
          <w:szCs w:val="32"/>
        </w:rPr>
        <w:t>。</w:t>
      </w:r>
    </w:p>
    <w:p w14:paraId="7ED87CFE">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2、规模预测</w:t>
      </w:r>
    </w:p>
    <w:p w14:paraId="52401A87">
      <w:pPr>
        <w:spacing w:line="360" w:lineRule="auto"/>
        <w:ind w:firstLine="646" w:firstLineChars="202"/>
        <w:rPr>
          <w:rFonts w:ascii="宋体" w:hAnsi="宋体"/>
          <w:sz w:val="32"/>
          <w:szCs w:val="32"/>
        </w:rPr>
      </w:pPr>
      <w:r>
        <w:rPr>
          <w:rFonts w:hint="eastAsia" w:ascii="宋体" w:hAnsi="宋体"/>
          <w:sz w:val="32"/>
          <w:szCs w:val="32"/>
        </w:rPr>
        <w:t>到2025年，凌源市蔬菜产量将达到100万吨，肉类产量达到14万吨。据此测算，到2025年，凌源农产品冷链物流的库容量约为7.04万吨，其中，果蔬等设施农业产品的库容约为4.59万吨，肉类冷库容量约为1万吨，居民消费品冷链库容量约为1.45万吨，用地规模约为200亩。配套的田间地头预冷设施容量约需3000</w:t>
      </w:r>
      <w:r>
        <w:rPr>
          <w:rFonts w:hint="eastAsia" w:ascii="宋体" w:hAnsi="宋体" w:eastAsia="宋体"/>
          <w:sz w:val="32"/>
          <w:szCs w:val="32"/>
        </w:rPr>
        <w:t>～</w:t>
      </w:r>
      <w:r>
        <w:rPr>
          <w:rFonts w:hint="eastAsia" w:ascii="宋体" w:hAnsi="宋体"/>
          <w:sz w:val="32"/>
          <w:szCs w:val="32"/>
        </w:rPr>
        <w:t>4000吨。</w:t>
      </w:r>
    </w:p>
    <w:p w14:paraId="0046896F">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3、主要问题</w:t>
      </w:r>
    </w:p>
    <w:p w14:paraId="2D131961">
      <w:pPr>
        <w:spacing w:line="360" w:lineRule="auto"/>
        <w:ind w:firstLine="646" w:firstLineChars="202"/>
        <w:rPr>
          <w:rFonts w:ascii="宋体" w:hAnsi="宋体"/>
          <w:sz w:val="32"/>
          <w:szCs w:val="32"/>
        </w:rPr>
      </w:pPr>
      <w:r>
        <w:rPr>
          <w:rFonts w:hint="eastAsia" w:ascii="宋体" w:hAnsi="宋体"/>
          <w:sz w:val="32"/>
          <w:szCs w:val="32"/>
        </w:rPr>
        <w:t>（1）现有冷链物流设施不足与季节性过剩并存。凌源现有用于存放果蔬的冷库总计约4000多吨，建设主体以合作社和个人为主，多采用组装式冷藏库，单体规模较小，布局相对分散，容量严重不足。现有屠宰加工企业主要是</w:t>
      </w:r>
      <w:r>
        <w:rPr>
          <w:rFonts w:ascii="宋体" w:hAnsi="宋体"/>
          <w:sz w:val="32"/>
          <w:szCs w:val="32"/>
        </w:rPr>
        <w:t>凌源市宏瑞肉联食品有限公司</w:t>
      </w:r>
      <w:r>
        <w:rPr>
          <w:rFonts w:hint="eastAsia" w:ascii="宋体" w:hAnsi="宋体"/>
          <w:sz w:val="32"/>
          <w:szCs w:val="32"/>
        </w:rPr>
        <w:t>，已</w:t>
      </w:r>
      <w:r>
        <w:rPr>
          <w:rFonts w:ascii="宋体" w:hAnsi="宋体"/>
          <w:sz w:val="32"/>
          <w:szCs w:val="32"/>
        </w:rPr>
        <w:t>建</w:t>
      </w:r>
      <w:r>
        <w:rPr>
          <w:rFonts w:hint="eastAsia" w:ascii="宋体" w:hAnsi="宋体"/>
          <w:sz w:val="32"/>
          <w:szCs w:val="32"/>
        </w:rPr>
        <w:t>成</w:t>
      </w:r>
      <w:r>
        <w:rPr>
          <w:rFonts w:ascii="宋体" w:hAnsi="宋体"/>
          <w:sz w:val="32"/>
          <w:szCs w:val="32"/>
        </w:rPr>
        <w:t>3000吨储存库一座、2200头库容排酸库一座</w:t>
      </w:r>
      <w:r>
        <w:rPr>
          <w:rFonts w:hint="eastAsia" w:ascii="宋体" w:hAnsi="宋体"/>
          <w:sz w:val="32"/>
          <w:szCs w:val="32"/>
        </w:rPr>
        <w:t>。随着屠宰加工总量以及冷链运输规模的进一步增加，冷库库容缺口将进一步显现。该公司计划近期新建冷库约7000吨。凌源目前针对居民消费的冷库非常少，调研显示，八里堡市场附近的安杖子村有一个人自建冷库，占地约800平方米，容量约为1200吨左右，目前主要为市区的饭店提供冻品存放。除此之外，在建的主要有三沅农业数字化智能低温仓储及物流中心，容量约为2万吨。以上数据可以看出，凌源现有的冷链物流设施严重不足。但是，由于凌源设施农业产品产出季节性较强，因此，也存在旺季库容不足，淡季库容过剩的现象。</w:t>
      </w:r>
    </w:p>
    <w:p w14:paraId="50C15E9A">
      <w:pPr>
        <w:spacing w:line="360" w:lineRule="auto"/>
        <w:ind w:firstLine="646" w:firstLineChars="202"/>
        <w:rPr>
          <w:rFonts w:ascii="宋体" w:hAnsi="宋体"/>
          <w:sz w:val="32"/>
          <w:szCs w:val="32"/>
        </w:rPr>
      </w:pPr>
      <w:r>
        <w:rPr>
          <w:rFonts w:hint="eastAsia" w:ascii="宋体" w:hAnsi="宋体"/>
          <w:sz w:val="32"/>
          <w:szCs w:val="32"/>
        </w:rPr>
        <w:t>（2）田间地头的预冷设施严重不足，预冷设施率非常低。</w:t>
      </w:r>
    </w:p>
    <w:p w14:paraId="2557234C">
      <w:pPr>
        <w:spacing w:line="360" w:lineRule="auto"/>
        <w:ind w:firstLine="646" w:firstLineChars="202"/>
      </w:pPr>
      <w:r>
        <w:rPr>
          <w:rFonts w:hint="eastAsia" w:ascii="宋体" w:hAnsi="宋体"/>
          <w:sz w:val="32"/>
          <w:szCs w:val="32"/>
        </w:rPr>
        <w:t>（3）第三方农产品冷链运输服务发展滞后。目前，除了</w:t>
      </w:r>
      <w:r>
        <w:rPr>
          <w:rFonts w:ascii="宋体" w:hAnsi="宋体"/>
          <w:sz w:val="32"/>
          <w:szCs w:val="32"/>
        </w:rPr>
        <w:t>凌源市宏瑞肉联食品有限公司</w:t>
      </w:r>
      <w:r>
        <w:rPr>
          <w:rFonts w:hint="eastAsia" w:ascii="宋体" w:hAnsi="宋体"/>
          <w:sz w:val="32"/>
          <w:szCs w:val="32"/>
        </w:rPr>
        <w:t>拥有82台冷链运输车辆外（主要是企业自用），凌源市缺乏具有专业能力的社会化第三方冷链物流企业，冷链物流网络和信息系统不健全。目前，在进入蔬菜采收旺季时，凌源市场内运输车辆多采用葫芦岛地区的常温车辆，大约有200台左右，这些车辆在途期间温控措施较差，缺乏信息沟通平台，在途质量、准确性和及时性难以把控，一定程度上造成了区域农产品的成本和产品损耗比较高。</w:t>
      </w:r>
    </w:p>
    <w:p w14:paraId="1AF1DCEC">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4、发展路径</w:t>
      </w:r>
    </w:p>
    <w:p w14:paraId="4BB51A0F">
      <w:pPr>
        <w:spacing w:line="360" w:lineRule="auto"/>
        <w:ind w:firstLine="646" w:firstLineChars="202"/>
        <w:rPr>
          <w:rFonts w:ascii="宋体" w:hAnsi="宋体"/>
          <w:sz w:val="32"/>
          <w:szCs w:val="32"/>
        </w:rPr>
      </w:pPr>
      <w:r>
        <w:rPr>
          <w:rFonts w:hint="eastAsia" w:ascii="宋体" w:hAnsi="宋体"/>
          <w:sz w:val="32"/>
          <w:szCs w:val="32"/>
        </w:rPr>
        <w:t>（1）加快补齐冷库容量短板。一是加快推动宏瑞肉联冷链物流中心、三沅农业数字化智能低温仓储及物流中心等冷库专项基础设施的建设；二是结合新增农产品批发市场项目的建设和原有市场的改造升级，鼓励配套建设冷库；三是在主城区周边选址建设凌源市居民消费品冷链物流基地，建议在八里堡建设一个容量约为2万吨的冷库（一期1万吨，二期一万吨），力争到“十四五”期末补齐冷库设施不足的短板。</w:t>
      </w:r>
    </w:p>
    <w:p w14:paraId="7DB5807F">
      <w:pPr>
        <w:spacing w:line="360" w:lineRule="auto"/>
        <w:ind w:firstLine="646" w:firstLineChars="202"/>
        <w:rPr>
          <w:rFonts w:ascii="宋体" w:hAnsi="宋体"/>
          <w:sz w:val="32"/>
          <w:szCs w:val="32"/>
        </w:rPr>
      </w:pPr>
      <w:r>
        <w:rPr>
          <w:rFonts w:hint="eastAsia" w:ascii="宋体" w:hAnsi="宋体"/>
          <w:sz w:val="32"/>
          <w:szCs w:val="32"/>
        </w:rPr>
        <w:t>（2）加快田间地头预冷设施建设。按照每个预冷设施30吨的容量规模，建设约100个预冷设施。可考虑推广</w:t>
      </w:r>
      <w:r>
        <w:rPr>
          <w:rFonts w:ascii="宋体" w:hAnsi="宋体"/>
          <w:sz w:val="32"/>
          <w:szCs w:val="32"/>
        </w:rPr>
        <w:t>移动式、模块化组合冷箱技术</w:t>
      </w:r>
      <w:r>
        <w:rPr>
          <w:rFonts w:hint="eastAsia" w:ascii="宋体" w:hAnsi="宋体"/>
          <w:sz w:val="32"/>
          <w:szCs w:val="32"/>
        </w:rPr>
        <w:t>，如中集冷链的移动冷库，设施先进，能耗低，且造价低于一般预冷设施。也可以采用一重集团的</w:t>
      </w:r>
      <w:r>
        <w:rPr>
          <w:rFonts w:hint="eastAsia" w:asciiTheme="minorEastAsia" w:hAnsiTheme="minorEastAsia"/>
          <w:spacing w:val="-6"/>
          <w:sz w:val="32"/>
          <w:szCs w:val="32"/>
          <w:lang w:val="zh-CN"/>
        </w:rPr>
        <w:t>天然气自发电制冷集装箱冰柜半挂车，既可以作为预冷设施，又可以作为运输工具，直接挂上拖头运往销地，减少二次装运的损耗。</w:t>
      </w:r>
    </w:p>
    <w:p w14:paraId="370F7A2E">
      <w:pPr>
        <w:spacing w:line="360" w:lineRule="auto"/>
        <w:ind w:firstLine="646" w:firstLineChars="202"/>
        <w:rPr>
          <w:rFonts w:ascii="宋体" w:hAnsi="宋体"/>
          <w:sz w:val="32"/>
          <w:szCs w:val="32"/>
        </w:rPr>
      </w:pPr>
      <w:r>
        <w:rPr>
          <w:rFonts w:hint="eastAsia" w:ascii="宋体" w:hAnsi="宋体"/>
          <w:sz w:val="32"/>
          <w:szCs w:val="32"/>
        </w:rPr>
        <w:t>（3）依托新建农产品批发市场，鼓励农产品贸易企业实行农产品的双向流通，既把凌源的特色农产品卖出去，又把其他区域的农产品买进来，满足区域消费的需求，并充分利用冷库的容量。前期可考虑以政策扶持、资金补贴的模式推动业务启动，直至进入双向对流平衡状态。从凌源农产品的流向来看，蔬菜主要流向为东三省、京津冀、山东、广东、甘肃等地，少部分流向长三角，极少部分流向俄罗斯、蒙古国等地；鲜切花应充分借助凌源百合节所产生的重大影响，加快扩大国内品牌知名度，提升花卉品质与供应链保障能力。应积极把握与京东集团合作契机，利用京东集团强大的智慧农业、新基建打造、产业带帮扶、供应链赋能、金融支持等能力，构建凌源高品质花卉供应链体系，其中主要以北京为中转地，通过公空联运方式，将凌源花卉发往全国各大中型城市。未来，应继续联合京东集团对凌源现有农产品市场进行数字化改造，提升农产品批发市场现代化运营管理水平，在夯实自身基础的同时，重点考虑与京津冀、山东、广东、甘肃等地的大型农产品批发市场建立战略合作机制，将上述区域的农产品运至凌源，再销往周边，辐射辽冀蒙三省（区）七县（市）。</w:t>
      </w:r>
    </w:p>
    <w:p w14:paraId="67CEFBDE">
      <w:pPr>
        <w:spacing w:line="360" w:lineRule="auto"/>
        <w:ind w:firstLine="646" w:firstLineChars="202"/>
        <w:rPr>
          <w:rFonts w:ascii="宋体" w:hAnsi="宋体"/>
          <w:sz w:val="32"/>
          <w:szCs w:val="32"/>
        </w:rPr>
      </w:pPr>
      <w:r>
        <w:rPr>
          <w:rFonts w:hint="eastAsia" w:ascii="宋体" w:hAnsi="宋体"/>
          <w:sz w:val="32"/>
          <w:szCs w:val="32"/>
        </w:rPr>
        <w:t>（4）大力发展冷链运输市场。强化冷链车辆购买的金融支持政策，鼓励企业、个人贷款购买冷链运输车辆，发展冷链运输业务，并对落户本地的企业和车辆，按照相关政策通过无车承运人平台给予税收优惠。</w:t>
      </w:r>
    </w:p>
    <w:p w14:paraId="0AA16698">
      <w:pPr>
        <w:spacing w:line="360" w:lineRule="auto"/>
        <w:ind w:firstLine="646" w:firstLineChars="202"/>
        <w:rPr>
          <w:rFonts w:ascii="宋体" w:hAnsi="宋体"/>
          <w:sz w:val="32"/>
          <w:szCs w:val="32"/>
        </w:rPr>
      </w:pPr>
      <w:r>
        <w:rPr>
          <w:rFonts w:hint="eastAsia" w:ascii="宋体" w:hAnsi="宋体"/>
          <w:sz w:val="32"/>
          <w:szCs w:val="32"/>
        </w:rPr>
        <w:t>（5）鼓励开展冷链物流配送。鼓励连锁超市、餐饮业、社区菜店等企业</w:t>
      </w:r>
      <w:r>
        <w:rPr>
          <w:rFonts w:ascii="宋体" w:hAnsi="宋体"/>
          <w:sz w:val="32"/>
          <w:szCs w:val="32"/>
        </w:rPr>
        <w:t>采用</w:t>
      </w:r>
      <w:r>
        <w:rPr>
          <w:rFonts w:hint="eastAsia" w:ascii="宋体" w:hAnsi="宋体"/>
          <w:sz w:val="32"/>
          <w:szCs w:val="32"/>
        </w:rPr>
        <w:t>冷链</w:t>
      </w:r>
      <w:r>
        <w:rPr>
          <w:rFonts w:ascii="宋体" w:hAnsi="宋体"/>
          <w:sz w:val="32"/>
          <w:szCs w:val="32"/>
        </w:rPr>
        <w:t>共同配送</w:t>
      </w:r>
      <w:r>
        <w:rPr>
          <w:rFonts w:hint="eastAsia" w:ascii="宋体" w:hAnsi="宋体"/>
          <w:sz w:val="32"/>
          <w:szCs w:val="32"/>
        </w:rPr>
        <w:t>模式，</w:t>
      </w:r>
      <w:r>
        <w:rPr>
          <w:rFonts w:ascii="宋体" w:hAnsi="宋体"/>
          <w:sz w:val="32"/>
          <w:szCs w:val="32"/>
        </w:rPr>
        <w:t>提高</w:t>
      </w:r>
      <w:r>
        <w:rPr>
          <w:rFonts w:hint="eastAsia" w:ascii="宋体" w:hAnsi="宋体"/>
          <w:sz w:val="32"/>
          <w:szCs w:val="32"/>
        </w:rPr>
        <w:t>配送</w:t>
      </w:r>
      <w:r>
        <w:rPr>
          <w:rFonts w:ascii="宋体" w:hAnsi="宋体"/>
          <w:sz w:val="32"/>
          <w:szCs w:val="32"/>
        </w:rPr>
        <w:t>效率</w:t>
      </w:r>
      <w:r>
        <w:rPr>
          <w:rFonts w:hint="eastAsia" w:ascii="宋体" w:hAnsi="宋体"/>
          <w:sz w:val="32"/>
          <w:szCs w:val="32"/>
        </w:rPr>
        <w:t>，</w:t>
      </w:r>
      <w:r>
        <w:rPr>
          <w:rFonts w:ascii="宋体" w:hAnsi="宋体"/>
          <w:sz w:val="32"/>
          <w:szCs w:val="32"/>
        </w:rPr>
        <w:t>降低</w:t>
      </w:r>
      <w:r>
        <w:rPr>
          <w:rFonts w:hint="eastAsia" w:ascii="宋体" w:hAnsi="宋体"/>
          <w:sz w:val="32"/>
          <w:szCs w:val="32"/>
        </w:rPr>
        <w:t>配送成本，减少</w:t>
      </w:r>
      <w:r>
        <w:rPr>
          <w:rFonts w:ascii="宋体" w:hAnsi="宋体"/>
          <w:sz w:val="32"/>
          <w:szCs w:val="32"/>
        </w:rPr>
        <w:t>环境污染</w:t>
      </w:r>
      <w:r>
        <w:rPr>
          <w:rFonts w:hint="eastAsia" w:ascii="宋体" w:hAnsi="宋体"/>
          <w:sz w:val="32"/>
          <w:szCs w:val="32"/>
        </w:rPr>
        <w:t>。</w:t>
      </w:r>
    </w:p>
    <w:p w14:paraId="6CE97AC1">
      <w:pPr>
        <w:spacing w:line="360" w:lineRule="auto"/>
        <w:ind w:firstLine="646" w:firstLineChars="202"/>
      </w:pPr>
      <w:r>
        <w:rPr>
          <w:rFonts w:hint="eastAsia" w:ascii="宋体" w:hAnsi="宋体"/>
          <w:sz w:val="32"/>
          <w:szCs w:val="32"/>
        </w:rPr>
        <w:t>（6）构建凌源市冷链物流信息公共服务平台。通过与蜘蛛冷链、e冷链、冷链马甲等国内大型冷链物流信息平台开展合作，推动建设具有行业影响力的区域冷链信息公共平台，大力发展“互联网+冷链物流”，优化资源配置，强化信息整合。</w:t>
      </w:r>
    </w:p>
    <w:p w14:paraId="54173E64">
      <w:pPr>
        <w:pStyle w:val="5"/>
        <w:spacing w:line="360" w:lineRule="auto"/>
        <w:rPr>
          <w:rFonts w:asciiTheme="minorEastAsia" w:hAnsiTheme="minorEastAsia"/>
        </w:rPr>
      </w:pPr>
      <w:bookmarkStart w:id="109" w:name="_Toc79497967"/>
      <w:r>
        <w:rPr>
          <w:rFonts w:hint="eastAsia" w:asciiTheme="minorEastAsia" w:hAnsiTheme="minorEastAsia"/>
        </w:rPr>
        <w:t>三、规划项目</w:t>
      </w:r>
      <w:bookmarkEnd w:id="109"/>
    </w:p>
    <w:p w14:paraId="1AC15AF9">
      <w:pPr>
        <w:spacing w:line="360" w:lineRule="auto"/>
        <w:ind w:firstLine="646" w:firstLineChars="202"/>
      </w:pPr>
      <w:r>
        <w:rPr>
          <w:rFonts w:hint="eastAsia" w:ascii="宋体" w:hAnsi="宋体"/>
          <w:sz w:val="32"/>
          <w:szCs w:val="32"/>
        </w:rPr>
        <w:t>“十四五”期间，凌源市农产品流通及冷链物流板块将依托蔬菜、花卉等产业，规划在八里堡、宋杖子、北炉等重点区域，打造农产品物流园；围绕花卉市场、各乡镇蔬菜水果批发市场建立农产品物流集散点。主要规划新增建设的重点项目有凌源市农产品商贸物流园、凌源农业科工贸数字物流产业园、凌源市城市绿色农产品配送中心、青怡坊新型花卉交易中心、宏瑞肉联冷链物流中心、凌源市城市绿色农产品配送中心、三沅农业数字化智能低温仓储及物流中心、八里堡冷链物流中心，以及建设</w:t>
      </w:r>
      <w:r>
        <w:rPr>
          <w:rFonts w:ascii="宋体" w:hAnsi="宋体"/>
          <w:sz w:val="32"/>
          <w:szCs w:val="32"/>
        </w:rPr>
        <w:t>100</w:t>
      </w:r>
      <w:r>
        <w:rPr>
          <w:rFonts w:hint="eastAsia" w:ascii="宋体" w:hAnsi="宋体"/>
          <w:sz w:val="32"/>
          <w:szCs w:val="32"/>
        </w:rPr>
        <w:t>个左右乡镇产地田间地头预冷仓储保鲜点，同时，要完成现有九大农贸市场的提档升级。可将拟新建的凌源市居民消费品冷链物流基地并入凌源农业科工贸数字物流产业园项目。具体详见附表一。</w:t>
      </w:r>
    </w:p>
    <w:p w14:paraId="06CBB15E">
      <w:pPr>
        <w:pStyle w:val="5"/>
        <w:spacing w:line="360" w:lineRule="auto"/>
        <w:rPr>
          <w:rFonts w:asciiTheme="minorEastAsia" w:hAnsiTheme="minorEastAsia"/>
        </w:rPr>
      </w:pPr>
      <w:bookmarkStart w:id="110" w:name="_Toc79497968"/>
      <w:r>
        <w:rPr>
          <w:rFonts w:hint="eastAsia" w:asciiTheme="minorEastAsia" w:hAnsiTheme="minorEastAsia"/>
        </w:rPr>
        <w:t>四、发展目标</w:t>
      </w:r>
      <w:bookmarkEnd w:id="110"/>
    </w:p>
    <w:p w14:paraId="4F600B62">
      <w:pPr>
        <w:spacing w:line="360" w:lineRule="auto"/>
        <w:ind w:firstLine="646" w:firstLineChars="202"/>
        <w:rPr>
          <w:rFonts w:ascii="宋体" w:hAnsi="宋体"/>
          <w:sz w:val="32"/>
          <w:szCs w:val="32"/>
        </w:rPr>
      </w:pPr>
      <w:r>
        <w:rPr>
          <w:rFonts w:hint="eastAsia" w:ascii="宋体" w:hAnsi="宋体"/>
          <w:sz w:val="32"/>
          <w:szCs w:val="32"/>
        </w:rPr>
        <w:t>“十四五”期间，凌源需着重构建和完善“产地预冷+产地批发市场冷链仓储+屠宰冷链加工/冷藏+冷链运输”的农产品冷链物流服务体系，构建具有“产地批发市场+销地批发市场”双重功能的农产品流通市场体系，把凌源市打造成为覆盖辽冀蒙三省（区）七县（市）、具有全国影响力的区域农产品流通中心。</w:t>
      </w:r>
    </w:p>
    <w:p w14:paraId="32A19D32">
      <w:pPr>
        <w:pStyle w:val="4"/>
        <w:keepNext w:val="0"/>
        <w:keepLines w:val="0"/>
        <w:spacing w:line="360" w:lineRule="auto"/>
        <w:jc w:val="center"/>
      </w:pPr>
      <w:bookmarkStart w:id="111" w:name="_Toc79497969"/>
      <w:r>
        <w:t>第</w:t>
      </w:r>
      <w:r>
        <w:rPr>
          <w:rFonts w:hint="eastAsia"/>
        </w:rPr>
        <w:t>五</w:t>
      </w:r>
      <w:r>
        <w:t>节</w:t>
      </w:r>
      <w:r>
        <w:rPr>
          <w:rFonts w:hint="eastAsia"/>
        </w:rPr>
        <w:t xml:space="preserve"> 商贸物流板块</w:t>
      </w:r>
      <w:bookmarkEnd w:id="111"/>
    </w:p>
    <w:p w14:paraId="7D1864E5">
      <w:pPr>
        <w:pStyle w:val="5"/>
        <w:keepNext w:val="0"/>
        <w:keepLines w:val="0"/>
        <w:spacing w:line="360" w:lineRule="auto"/>
        <w:rPr>
          <w:rFonts w:asciiTheme="minorEastAsia" w:hAnsiTheme="minorEastAsia"/>
        </w:rPr>
      </w:pPr>
      <w:bookmarkStart w:id="112" w:name="_Toc79497970"/>
      <w:r>
        <w:rPr>
          <w:rFonts w:hint="eastAsia" w:asciiTheme="minorEastAsia" w:hAnsiTheme="minorEastAsia"/>
        </w:rPr>
        <w:t>一、板块概述</w:t>
      </w:r>
      <w:bookmarkEnd w:id="112"/>
    </w:p>
    <w:p w14:paraId="2BE3AE50">
      <w:pPr>
        <w:spacing w:line="360" w:lineRule="auto"/>
        <w:ind w:firstLine="646" w:firstLineChars="202"/>
        <w:rPr>
          <w:rFonts w:ascii="宋体" w:hAnsi="宋体"/>
          <w:sz w:val="32"/>
          <w:szCs w:val="32"/>
        </w:rPr>
      </w:pPr>
      <w:r>
        <w:rPr>
          <w:rFonts w:hint="eastAsia" w:ascii="宋体" w:hAnsi="宋体"/>
          <w:sz w:val="32"/>
          <w:szCs w:val="32"/>
        </w:rPr>
        <w:t>传统商贸物流包含干线运输、区域仓储、分拣、门店配送等环节。电商物流包含向电商平台指定云仓集货运输、云仓储、干线运输、区域配送、快递中心分拣、终端派送等环节。具体如下图所示。</w:t>
      </w:r>
    </w:p>
    <w:p w14:paraId="58A2F61F">
      <w:pPr>
        <w:spacing w:line="360" w:lineRule="auto"/>
        <w:jc w:val="center"/>
        <w:rPr>
          <w:rFonts w:ascii="宋体" w:hAnsi="宋体"/>
          <w:sz w:val="32"/>
          <w:szCs w:val="32"/>
        </w:rPr>
      </w:pPr>
      <w:r>
        <w:rPr>
          <w:rFonts w:ascii="宋体" w:hAnsi="宋体"/>
          <w:sz w:val="32"/>
          <w:szCs w:val="32"/>
        </w:rPr>
        <w:drawing>
          <wp:inline distT="0" distB="0" distL="0" distR="0">
            <wp:extent cx="5278120" cy="4538345"/>
            <wp:effectExtent l="0" t="0" r="0" b="0"/>
            <wp:docPr id="13" name="图片 13" descr="C:\Users\WIN\AppData\Local\Temp\WeChat Files\346d0f4f9aa0ab133d41a8ba1a4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N\AppData\Local\Temp\WeChat Files\346d0f4f9aa0ab133d41a8ba1a4782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78120" cy="4538612"/>
                    </a:xfrm>
                    <a:prstGeom prst="rect">
                      <a:avLst/>
                    </a:prstGeom>
                    <a:noFill/>
                    <a:ln>
                      <a:noFill/>
                    </a:ln>
                  </pic:spPr>
                </pic:pic>
              </a:graphicData>
            </a:graphic>
          </wp:inline>
        </w:drawing>
      </w:r>
    </w:p>
    <w:p w14:paraId="7EC8F2E7">
      <w:pPr>
        <w:pStyle w:val="10"/>
        <w:snapToGrid w:val="0"/>
        <w:spacing w:line="360" w:lineRule="auto"/>
        <w:jc w:val="center"/>
        <w:rPr>
          <w:rFonts w:ascii="黑体" w:hAnsi="黑体"/>
          <w:b/>
          <w:bCs/>
          <w:sz w:val="24"/>
          <w:szCs w:val="24"/>
        </w:rPr>
      </w:pPr>
      <w:bookmarkStart w:id="113" w:name="_Toc79498061"/>
      <w:r>
        <w:rPr>
          <w:rFonts w:hint="eastAsia" w:ascii="黑体" w:hAnsi="黑体"/>
          <w:b/>
          <w:bCs/>
          <w:sz w:val="24"/>
          <w:szCs w:val="24"/>
        </w:rPr>
        <w:t xml:space="preserve">图 </w:t>
      </w:r>
      <w:r>
        <w:rPr>
          <w:rFonts w:ascii="黑体" w:hAnsi="黑体"/>
          <w:b/>
          <w:bCs/>
          <w:sz w:val="24"/>
          <w:szCs w:val="24"/>
        </w:rPr>
        <w:fldChar w:fldCharType="begin"/>
      </w:r>
      <w:r>
        <w:rPr>
          <w:rFonts w:hint="eastAsia" w:ascii="黑体" w:hAnsi="黑体"/>
          <w:b/>
          <w:bCs/>
          <w:sz w:val="24"/>
          <w:szCs w:val="24"/>
        </w:rPr>
        <w:instrText xml:space="preserve">SEQ 图 \* ARABIC</w:instrText>
      </w:r>
      <w:r>
        <w:rPr>
          <w:rFonts w:ascii="黑体" w:hAnsi="黑体"/>
          <w:b/>
          <w:bCs/>
          <w:sz w:val="24"/>
          <w:szCs w:val="24"/>
        </w:rPr>
        <w:fldChar w:fldCharType="separate"/>
      </w:r>
      <w:r>
        <w:rPr>
          <w:rFonts w:ascii="黑体" w:hAnsi="黑体"/>
          <w:b/>
          <w:bCs/>
          <w:sz w:val="24"/>
          <w:szCs w:val="24"/>
        </w:rPr>
        <w:t>15</w:t>
      </w:r>
      <w:r>
        <w:rPr>
          <w:rFonts w:ascii="黑体" w:hAnsi="黑体"/>
          <w:b/>
          <w:bCs/>
          <w:sz w:val="24"/>
          <w:szCs w:val="24"/>
        </w:rPr>
        <w:fldChar w:fldCharType="end"/>
      </w:r>
      <w:r>
        <w:rPr>
          <w:rFonts w:hint="eastAsia" w:ascii="黑体" w:hAnsi="黑体"/>
          <w:b/>
          <w:bCs/>
          <w:sz w:val="24"/>
          <w:szCs w:val="24"/>
        </w:rPr>
        <w:t>商贸物流体系示意图</w:t>
      </w:r>
      <w:bookmarkEnd w:id="113"/>
    </w:p>
    <w:p w14:paraId="7E1B7A7B">
      <w:pPr>
        <w:spacing w:line="360" w:lineRule="auto"/>
        <w:ind w:firstLine="646" w:firstLineChars="202"/>
        <w:rPr>
          <w:rFonts w:ascii="宋体" w:hAnsi="宋体"/>
          <w:sz w:val="32"/>
          <w:szCs w:val="32"/>
        </w:rPr>
      </w:pPr>
      <w:r>
        <w:rPr>
          <w:rFonts w:hint="eastAsia" w:ascii="宋体" w:hAnsi="宋体"/>
          <w:sz w:val="32"/>
          <w:szCs w:val="32"/>
        </w:rPr>
        <w:t>由于传统商贸物流与电商快递物流具有较多相似之处，因此，加快建设完善电商快递物流既能支撑区域电商业务的快速发展，同时也能满足传统商贸物流的需求。“十四五”期间，凌源应统筹建设“传统商贸物流+电商快递物流”一体化的商贸物流板块。</w:t>
      </w:r>
    </w:p>
    <w:p w14:paraId="7F36B68B">
      <w:pPr>
        <w:pStyle w:val="5"/>
        <w:spacing w:line="360" w:lineRule="auto"/>
        <w:rPr>
          <w:rFonts w:asciiTheme="minorEastAsia" w:hAnsiTheme="minorEastAsia"/>
        </w:rPr>
      </w:pPr>
      <w:bookmarkStart w:id="114" w:name="_Toc79497971"/>
      <w:r>
        <w:rPr>
          <w:rFonts w:hint="eastAsia" w:asciiTheme="minorEastAsia" w:hAnsiTheme="minorEastAsia"/>
        </w:rPr>
        <w:t>二、重点板块建设</w:t>
      </w:r>
      <w:bookmarkEnd w:id="114"/>
    </w:p>
    <w:p w14:paraId="7105E80E">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1、需求分析</w:t>
      </w:r>
    </w:p>
    <w:p w14:paraId="0AA46124">
      <w:pPr>
        <w:spacing w:line="360" w:lineRule="auto"/>
        <w:ind w:firstLine="646" w:firstLineChars="202"/>
        <w:rPr>
          <w:rFonts w:ascii="宋体" w:hAnsi="宋体" w:cs="宋体"/>
          <w:kern w:val="0"/>
          <w:sz w:val="32"/>
          <w:szCs w:val="32"/>
        </w:rPr>
      </w:pPr>
      <w:r>
        <w:rPr>
          <w:rFonts w:hint="eastAsia" w:ascii="宋体" w:hAnsi="宋体" w:cs="宋体"/>
          <w:kern w:val="0"/>
          <w:sz w:val="32"/>
          <w:szCs w:val="32"/>
        </w:rPr>
        <w:t>（1）消费升级带来商贸物流总体货量上升。</w:t>
      </w:r>
      <w:r>
        <w:rPr>
          <w:rFonts w:hint="eastAsia" w:ascii="宋体" w:hAnsi="宋体"/>
          <w:sz w:val="32"/>
          <w:szCs w:val="32"/>
        </w:rPr>
        <w:t>“十三五”时期，凌源市传统商贸业保持了稳定增长势头，</w:t>
      </w:r>
      <w:r>
        <w:rPr>
          <w:rFonts w:hint="eastAsia" w:ascii="宋体" w:hAnsi="宋体" w:cs="宋体"/>
          <w:kern w:val="0"/>
          <w:sz w:val="32"/>
          <w:szCs w:val="32"/>
        </w:rPr>
        <w:t>2</w:t>
      </w:r>
      <w:r>
        <w:rPr>
          <w:rFonts w:ascii="宋体" w:hAnsi="宋体" w:cs="宋体"/>
          <w:kern w:val="0"/>
          <w:sz w:val="32"/>
          <w:szCs w:val="32"/>
        </w:rPr>
        <w:t>019</w:t>
      </w:r>
      <w:r>
        <w:rPr>
          <w:rFonts w:hint="eastAsia" w:ascii="宋体" w:hAnsi="宋体" w:cs="宋体"/>
          <w:kern w:val="0"/>
          <w:sz w:val="32"/>
          <w:szCs w:val="32"/>
        </w:rPr>
        <w:t>年凌源全年社会消费品零售总额实现94.2亿元，同比增长9.8%。“十三五”期间，凌源</w:t>
      </w:r>
      <w:r>
        <w:rPr>
          <w:rFonts w:hint="eastAsia" w:ascii="宋体" w:hAnsi="宋体"/>
          <w:sz w:val="32"/>
          <w:szCs w:val="32"/>
        </w:rPr>
        <w:t>永利广场、恒发购物、成悦国际酒店、丽景时代商厦等一批商业综合体项目相继建设运营，带动凌源商贸业不断壮大。同期，凌源电子商务发展水平不断提升，电子商务产业规模逐步扩大。凌源2016年电子商务交易额为1.34亿元，到2020年电子商务交易额总数为5.1亿元，增速较快。</w:t>
      </w:r>
    </w:p>
    <w:p w14:paraId="5F2F65E3">
      <w:pPr>
        <w:widowControl/>
        <w:shd w:val="clear" w:color="auto" w:fill="FFFFFF"/>
        <w:spacing w:line="360" w:lineRule="auto"/>
        <w:ind w:firstLine="640" w:firstLineChars="200"/>
        <w:rPr>
          <w:rFonts w:ascii="宋体" w:hAnsi="宋体"/>
          <w:sz w:val="32"/>
          <w:szCs w:val="32"/>
        </w:rPr>
      </w:pPr>
      <w:r>
        <w:rPr>
          <w:rFonts w:hint="eastAsia" w:ascii="宋体" w:hAnsi="宋体"/>
          <w:sz w:val="32"/>
          <w:szCs w:val="32"/>
        </w:rPr>
        <w:t>（2）集团化、规模化发展对统仓统配提出了新需求。“十三五”时期，凌源商业大厦、龙回首、喜加喜饮品等10余家商场、住宿餐饮企业，通过合资合作向集团化、规模化转型发展，各集团都将统一仓储、统一配送作为了降本增效的有效途径之一，给予高度重视。</w:t>
      </w:r>
    </w:p>
    <w:p w14:paraId="38649E11">
      <w:pPr>
        <w:widowControl/>
        <w:shd w:val="clear" w:color="auto" w:fill="FFFFFF"/>
        <w:spacing w:line="360" w:lineRule="auto"/>
        <w:ind w:firstLine="640" w:firstLineChars="200"/>
        <w:rPr>
          <w:rFonts w:ascii="宋体" w:hAnsi="宋体"/>
          <w:sz w:val="32"/>
          <w:szCs w:val="32"/>
        </w:rPr>
      </w:pPr>
      <w:r>
        <w:rPr>
          <w:rFonts w:hint="eastAsia" w:ascii="宋体" w:hAnsi="宋体"/>
          <w:sz w:val="32"/>
          <w:szCs w:val="32"/>
        </w:rPr>
        <w:t>（3）传统批发市场平稳发展，对区域仓储、配送提出了更高要求。“十三五”时期，凌源市原有的食品批发街和食品商贸批发市场的经营发展态势平稳，为周边区域商品流通提供了更多价廉物美的商品，带动了区域配送的需求进一步扩大。</w:t>
      </w:r>
    </w:p>
    <w:p w14:paraId="0710BB89">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2、规模预测</w:t>
      </w:r>
    </w:p>
    <w:p w14:paraId="27F72394">
      <w:pPr>
        <w:spacing w:line="360" w:lineRule="auto"/>
        <w:ind w:firstLine="420"/>
        <w:rPr>
          <w:rFonts w:ascii="宋体" w:hAnsi="宋体"/>
          <w:sz w:val="32"/>
          <w:szCs w:val="32"/>
        </w:rPr>
      </w:pPr>
      <w:r>
        <w:rPr>
          <w:rFonts w:hint="eastAsia" w:ascii="宋体" w:hAnsi="宋体"/>
          <w:sz w:val="32"/>
          <w:szCs w:val="32"/>
        </w:rPr>
        <w:t>经预测，到2</w:t>
      </w:r>
      <w:r>
        <w:rPr>
          <w:rFonts w:ascii="宋体" w:hAnsi="宋体"/>
          <w:sz w:val="32"/>
          <w:szCs w:val="32"/>
        </w:rPr>
        <w:t>025</w:t>
      </w:r>
      <w:r>
        <w:rPr>
          <w:rFonts w:hint="eastAsia" w:ascii="宋体" w:hAnsi="宋体"/>
          <w:sz w:val="32"/>
          <w:szCs w:val="32"/>
        </w:rPr>
        <w:t>年，商贸物流量为5</w:t>
      </w:r>
      <w:r>
        <w:rPr>
          <w:rFonts w:ascii="宋体" w:hAnsi="宋体"/>
          <w:sz w:val="32"/>
          <w:szCs w:val="32"/>
        </w:rPr>
        <w:t>61</w:t>
      </w:r>
      <w:r>
        <w:rPr>
          <w:rFonts w:hint="eastAsia" w:ascii="宋体" w:hAnsi="宋体"/>
          <w:sz w:val="32"/>
          <w:szCs w:val="32"/>
        </w:rPr>
        <w:t>.</w:t>
      </w:r>
      <w:r>
        <w:rPr>
          <w:rFonts w:ascii="宋体" w:hAnsi="宋体"/>
          <w:sz w:val="32"/>
          <w:szCs w:val="32"/>
        </w:rPr>
        <w:t>8</w:t>
      </w:r>
      <w:r>
        <w:rPr>
          <w:rFonts w:hint="eastAsia" w:ascii="宋体" w:hAnsi="宋体"/>
          <w:sz w:val="32"/>
          <w:szCs w:val="32"/>
        </w:rPr>
        <w:t>万吨，快递量为</w:t>
      </w:r>
      <w:r>
        <w:rPr>
          <w:rFonts w:ascii="宋体" w:hAnsi="宋体"/>
          <w:sz w:val="32"/>
          <w:szCs w:val="32"/>
        </w:rPr>
        <w:t>661</w:t>
      </w:r>
      <w:r>
        <w:rPr>
          <w:rFonts w:hint="eastAsia" w:ascii="宋体" w:hAnsi="宋体"/>
          <w:sz w:val="32"/>
          <w:szCs w:val="32"/>
        </w:rPr>
        <w:t>.</w:t>
      </w:r>
      <w:r>
        <w:rPr>
          <w:rFonts w:ascii="宋体" w:hAnsi="宋体"/>
          <w:sz w:val="32"/>
          <w:szCs w:val="32"/>
        </w:rPr>
        <w:t>8</w:t>
      </w:r>
      <w:r>
        <w:rPr>
          <w:rFonts w:hint="eastAsia" w:ascii="宋体" w:hAnsi="宋体"/>
          <w:sz w:val="32"/>
          <w:szCs w:val="32"/>
        </w:rPr>
        <w:t>万件，预计需要物流配送用地28</w:t>
      </w:r>
      <w:r>
        <w:rPr>
          <w:rFonts w:ascii="宋体" w:hAnsi="宋体"/>
          <w:sz w:val="32"/>
          <w:szCs w:val="32"/>
        </w:rPr>
        <w:t>0</w:t>
      </w:r>
      <w:r>
        <w:rPr>
          <w:rFonts w:hint="eastAsia" w:ascii="宋体" w:hAnsi="宋体"/>
          <w:sz w:val="32"/>
          <w:szCs w:val="32"/>
        </w:rPr>
        <w:t>亩左右。</w:t>
      </w:r>
    </w:p>
    <w:p w14:paraId="4F1CB011">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3、主要问题</w:t>
      </w:r>
    </w:p>
    <w:p w14:paraId="1A9B6B12">
      <w:pPr>
        <w:spacing w:line="360" w:lineRule="auto"/>
        <w:ind w:firstLine="420"/>
        <w:rPr>
          <w:rFonts w:ascii="宋体" w:hAnsi="宋体"/>
          <w:sz w:val="32"/>
          <w:szCs w:val="32"/>
        </w:rPr>
      </w:pPr>
      <w:r>
        <w:rPr>
          <w:rFonts w:hint="eastAsia" w:ascii="宋体" w:hAnsi="宋体"/>
          <w:sz w:val="32"/>
          <w:szCs w:val="32"/>
        </w:rPr>
        <w:t>（1）缺乏区域专业仓储中心。目前凌源缺少一个可集中服务于传统商贸业的现代化仓储中心，无法提供专业仓储作业与流通加工（分拣、分拨、包装等）公共服务。现有的库房设施相对简陋，安全隐患比较突出。一部分商贸企业租用普通住宅或是地下室作为库房。商户寻找优质仓储资源的意愿暂时难以得到满足。</w:t>
      </w:r>
    </w:p>
    <w:p w14:paraId="576764C9">
      <w:pPr>
        <w:spacing w:line="360" w:lineRule="auto"/>
        <w:ind w:firstLine="420"/>
        <w:rPr>
          <w:rFonts w:ascii="宋体" w:hAnsi="宋体"/>
          <w:sz w:val="32"/>
          <w:szCs w:val="32"/>
        </w:rPr>
      </w:pPr>
      <w:r>
        <w:rPr>
          <w:rFonts w:hint="eastAsia" w:ascii="宋体" w:hAnsi="宋体"/>
          <w:sz w:val="32"/>
          <w:szCs w:val="32"/>
        </w:rPr>
        <w:t>（2）缺乏专业的第三方配送企业。各商贸企业大多系自主养车，自营配送业务，因库存分散，配送相对独立，故单车装载率低，单车配送成本高。另有一部分商贸企业多采取临时租车的模式开展配送业务，由于车源不固定，司机通常不熟悉业务流程，对终端客户体验造成一定影响。</w:t>
      </w:r>
    </w:p>
    <w:p w14:paraId="3492454B">
      <w:pPr>
        <w:spacing w:line="360" w:lineRule="auto"/>
        <w:ind w:firstLine="420"/>
        <w:rPr>
          <w:rFonts w:ascii="宋体" w:hAnsi="宋体"/>
          <w:sz w:val="32"/>
          <w:szCs w:val="32"/>
        </w:rPr>
      </w:pPr>
      <w:r>
        <w:rPr>
          <w:rFonts w:hint="eastAsia" w:ascii="宋体" w:hAnsi="宋体"/>
          <w:sz w:val="32"/>
          <w:szCs w:val="32"/>
        </w:rPr>
        <w:t>（3）本地电商企业缺乏电商云仓。本地电商企业大多以自有场所开展货物存储发送业务，缺乏专业电商云仓可提供仓储、打包以及产品代发业务。</w:t>
      </w:r>
    </w:p>
    <w:p w14:paraId="6A7912A7">
      <w:pPr>
        <w:spacing w:line="360" w:lineRule="auto"/>
        <w:ind w:firstLine="420"/>
        <w:rPr>
          <w:rFonts w:ascii="宋体" w:hAnsi="宋体"/>
          <w:sz w:val="32"/>
          <w:szCs w:val="32"/>
        </w:rPr>
      </w:pPr>
      <w:r>
        <w:rPr>
          <w:rFonts w:hint="eastAsia" w:ascii="宋体" w:hAnsi="宋体"/>
          <w:sz w:val="32"/>
          <w:szCs w:val="32"/>
        </w:rPr>
        <w:t>（4）缺乏快递中转中心。目前凌源现有各快递公司基本都是租赁场地进行作业，缺乏标准化分拣场所与分拣设备，不能提供更高效率的快递服务。</w:t>
      </w:r>
    </w:p>
    <w:p w14:paraId="41CD8AA7">
      <w:pPr>
        <w:pStyle w:val="7"/>
        <w:keepNext w:val="0"/>
        <w:keepLines w:val="0"/>
        <w:spacing w:line="377" w:lineRule="auto"/>
        <w:ind w:firstLine="643" w:firstLineChars="200"/>
        <w:rPr>
          <w:rFonts w:ascii="宋体" w:hAnsi="宋体" w:eastAsia="宋体"/>
          <w:sz w:val="32"/>
          <w:szCs w:val="32"/>
        </w:rPr>
      </w:pPr>
      <w:r>
        <w:rPr>
          <w:rFonts w:hint="eastAsia" w:ascii="宋体" w:hAnsi="宋体" w:eastAsia="宋体"/>
          <w:sz w:val="32"/>
          <w:szCs w:val="32"/>
        </w:rPr>
        <w:t>4、发展路径</w:t>
      </w:r>
    </w:p>
    <w:p w14:paraId="054CF76C">
      <w:pPr>
        <w:spacing w:line="360" w:lineRule="auto"/>
        <w:ind w:firstLine="420"/>
        <w:rPr>
          <w:rFonts w:ascii="宋体" w:hAnsi="宋体"/>
          <w:sz w:val="32"/>
          <w:szCs w:val="32"/>
        </w:rPr>
      </w:pPr>
      <w:r>
        <w:rPr>
          <w:rFonts w:hint="eastAsia" w:ascii="宋体" w:hAnsi="宋体"/>
          <w:sz w:val="32"/>
          <w:szCs w:val="32"/>
        </w:rPr>
        <w:t>（1）加快建设区域仓储中心，提供标准化仓储服务。拟在长深高速凌源出口处至，高速连接线以南、牛河梁大街以东规划建设辽冀蒙商贸物流园，考虑到未来发展的需要，占地规模可扩至</w:t>
      </w:r>
      <w:r>
        <w:rPr>
          <w:rFonts w:ascii="宋体" w:hAnsi="宋体"/>
          <w:sz w:val="32"/>
          <w:szCs w:val="32"/>
        </w:rPr>
        <w:t>815</w:t>
      </w:r>
      <w:r>
        <w:rPr>
          <w:rFonts w:hint="eastAsia" w:ascii="宋体" w:hAnsi="宋体"/>
          <w:sz w:val="32"/>
          <w:szCs w:val="32"/>
        </w:rPr>
        <w:t>亩。规划建设规模适度、设备先进、功能完备、运作方式领先的现代化仓储中心基地，包括建设品牌和电商（含跨境电商）公共服务中心、凌源产教融合人才培训基地、凌源返乡青年创业孵化基地、供应链金融服务中心，为凌源各商贸企业、电商企业等提供区域公路干线、标准化仓储、配送、快递分拣、中转等服务。</w:t>
      </w:r>
    </w:p>
    <w:p w14:paraId="74BC9A09">
      <w:pPr>
        <w:spacing w:line="360" w:lineRule="auto"/>
        <w:ind w:firstLine="420"/>
        <w:rPr>
          <w:rFonts w:ascii="宋体" w:hAnsi="宋体"/>
          <w:sz w:val="32"/>
          <w:szCs w:val="32"/>
        </w:rPr>
      </w:pPr>
      <w:r>
        <w:rPr>
          <w:rFonts w:hint="eastAsia" w:ascii="宋体" w:hAnsi="宋体"/>
          <w:sz w:val="32"/>
          <w:szCs w:val="32"/>
        </w:rPr>
        <w:t>（2）加快推动共同配送业务发展。支持商贸企业联合组建第三方配送企业，以辽冀蒙商贸物流园为依托开展统仓统配服务，为凌源大中小超市门店、便利店，以及各大厂商、供应商、经销商量身定制配送解决方案，进一步提高商贸企业的配送精细化水平，降低配送成本。</w:t>
      </w:r>
    </w:p>
    <w:p w14:paraId="026E4721">
      <w:pPr>
        <w:spacing w:line="360" w:lineRule="auto"/>
        <w:ind w:firstLine="420"/>
        <w:rPr>
          <w:rFonts w:ascii="宋体" w:hAnsi="宋体"/>
          <w:sz w:val="32"/>
          <w:szCs w:val="32"/>
        </w:rPr>
      </w:pPr>
      <w:r>
        <w:rPr>
          <w:rFonts w:hint="eastAsia" w:ascii="宋体" w:hAnsi="宋体"/>
          <w:sz w:val="32"/>
          <w:szCs w:val="32"/>
        </w:rPr>
        <w:t>（3）加快建设完善城乡配送网络。继续完善以园区、乡镇配送节点、村级公共服务点为支撑的三级物流配送网络，可利用现有的乡镇小超市、便利店规划布局8～10个乡镇综合物流服务站，在一些人口规模较大的村，利用乡村便利店布局村级快递网点，并与乡镇综合物流服务站和主城区的电商快递物流中心实现物流信息的无缝衔接。</w:t>
      </w:r>
    </w:p>
    <w:p w14:paraId="5BAB7A34">
      <w:pPr>
        <w:pStyle w:val="5"/>
        <w:spacing w:line="360" w:lineRule="auto"/>
        <w:rPr>
          <w:rFonts w:asciiTheme="minorEastAsia" w:hAnsiTheme="minorEastAsia"/>
        </w:rPr>
      </w:pPr>
      <w:bookmarkStart w:id="115" w:name="_Toc79497972"/>
      <w:r>
        <w:rPr>
          <w:rFonts w:hint="eastAsia" w:asciiTheme="minorEastAsia" w:hAnsiTheme="minorEastAsia"/>
        </w:rPr>
        <w:t>三、规划项目</w:t>
      </w:r>
      <w:bookmarkEnd w:id="115"/>
    </w:p>
    <w:p w14:paraId="5C7C0617">
      <w:pPr>
        <w:spacing w:line="360" w:lineRule="auto"/>
        <w:ind w:firstLine="646" w:firstLineChars="202"/>
        <w:rPr>
          <w:rFonts w:ascii="宋体" w:hAnsi="宋体"/>
          <w:sz w:val="32"/>
          <w:szCs w:val="32"/>
        </w:rPr>
      </w:pPr>
      <w:r>
        <w:rPr>
          <w:rFonts w:hint="eastAsia" w:ascii="宋体" w:hAnsi="宋体"/>
          <w:sz w:val="32"/>
          <w:szCs w:val="32"/>
        </w:rPr>
        <w:t>“十四五”期间，凌源市商贸物流板块将依托凌源市区位交通优势，利用现有小食品市场、吉递物流园和凌北钢材市场等基础，规划在高连线以东至二手车交易市场区域，打造商贸物流园。主要规划新增建设的重点项目有辽冀蒙商贸物流园、乡镇综合物流服务站、村级综合物流服务点。具体详见附表一。</w:t>
      </w:r>
    </w:p>
    <w:p w14:paraId="1D029219">
      <w:pPr>
        <w:pStyle w:val="5"/>
        <w:spacing w:line="360" w:lineRule="auto"/>
        <w:rPr>
          <w:rFonts w:asciiTheme="minorEastAsia" w:hAnsiTheme="minorEastAsia"/>
        </w:rPr>
      </w:pPr>
      <w:bookmarkStart w:id="116" w:name="_Toc79497973"/>
      <w:r>
        <w:rPr>
          <w:rFonts w:hint="eastAsia" w:asciiTheme="minorEastAsia" w:hAnsiTheme="minorEastAsia"/>
        </w:rPr>
        <w:t>四、发展目标</w:t>
      </w:r>
      <w:bookmarkEnd w:id="116"/>
    </w:p>
    <w:p w14:paraId="06AB9896">
      <w:pPr>
        <w:spacing w:line="360" w:lineRule="auto"/>
        <w:ind w:firstLine="646" w:firstLineChars="202"/>
        <w:rPr>
          <w:rFonts w:ascii="宋体" w:hAnsi="宋体"/>
          <w:sz w:val="32"/>
          <w:szCs w:val="32"/>
        </w:rPr>
      </w:pPr>
      <w:r>
        <w:rPr>
          <w:rFonts w:hint="eastAsia" w:ascii="宋体" w:hAnsi="宋体"/>
          <w:sz w:val="32"/>
          <w:szCs w:val="32"/>
        </w:rPr>
        <w:t>以辽冀蒙商贸物流园为龙头</w:t>
      </w:r>
      <w:r>
        <w:rPr>
          <w:rFonts w:ascii="宋体" w:hAnsi="宋体"/>
          <w:sz w:val="32"/>
          <w:szCs w:val="32"/>
        </w:rPr>
        <w:t>，</w:t>
      </w:r>
      <w:r>
        <w:rPr>
          <w:rFonts w:hint="eastAsia" w:ascii="宋体" w:hAnsi="宋体"/>
          <w:sz w:val="32"/>
          <w:szCs w:val="32"/>
        </w:rPr>
        <w:t>以乡镇综合物流服务站和建制村综合物流服务点为骨干，推动传统生活性服务业全面提档升级，新兴生活性服务业不断壮大发展，打造国家级现代电商物流综合示范市。</w:t>
      </w:r>
    </w:p>
    <w:p w14:paraId="00095B42">
      <w:pPr>
        <w:pStyle w:val="4"/>
        <w:spacing w:line="360" w:lineRule="auto"/>
        <w:jc w:val="center"/>
      </w:pPr>
      <w:bookmarkStart w:id="117" w:name="_Toc79497974"/>
      <w:r>
        <w:t>第</w:t>
      </w:r>
      <w:r>
        <w:rPr>
          <w:rFonts w:hint="eastAsia"/>
        </w:rPr>
        <w:t>六</w:t>
      </w:r>
      <w:r>
        <w:t>节</w:t>
      </w:r>
      <w:r>
        <w:rPr>
          <w:rFonts w:hint="eastAsia"/>
        </w:rPr>
        <w:t xml:space="preserve"> 应急物流板块</w:t>
      </w:r>
      <w:bookmarkEnd w:id="117"/>
    </w:p>
    <w:p w14:paraId="01FE9F43">
      <w:pPr>
        <w:pStyle w:val="5"/>
        <w:spacing w:line="360" w:lineRule="auto"/>
        <w:rPr>
          <w:rFonts w:asciiTheme="minorEastAsia" w:hAnsiTheme="minorEastAsia"/>
        </w:rPr>
      </w:pPr>
      <w:bookmarkStart w:id="118" w:name="_Toc79497975"/>
      <w:r>
        <w:rPr>
          <w:rFonts w:hint="eastAsia" w:asciiTheme="minorEastAsia" w:hAnsiTheme="minorEastAsia"/>
        </w:rPr>
        <w:t>一、板块概述</w:t>
      </w:r>
      <w:bookmarkEnd w:id="118"/>
    </w:p>
    <w:p w14:paraId="20308E3B">
      <w:pPr>
        <w:spacing w:line="360" w:lineRule="auto"/>
        <w:ind w:firstLine="646" w:firstLineChars="202"/>
        <w:rPr>
          <w:rFonts w:ascii="宋体" w:hAnsi="宋体"/>
          <w:sz w:val="32"/>
          <w:szCs w:val="32"/>
        </w:rPr>
      </w:pPr>
      <w:r>
        <w:rPr>
          <w:rFonts w:hint="eastAsia" w:ascii="宋体" w:hAnsi="宋体"/>
          <w:sz w:val="32"/>
          <w:szCs w:val="32"/>
        </w:rPr>
        <w:t>以建设平安凌源为目标，以提升应急处理能力为核心，以强化应急物资储备为重点，坚持“预防为主、有备无患”的工作思路，加快建立健全应急物流体系，重点围绕应急储备、应急配送和应急系统三个板块，着力提升凌源市应急物资管理工作能力和水平，为全市经济社会建设和各项事业发展提供强有力的支持与保障。</w:t>
      </w:r>
    </w:p>
    <w:p w14:paraId="01CD3A1C">
      <w:pPr>
        <w:pStyle w:val="5"/>
        <w:keepNext w:val="0"/>
        <w:keepLines w:val="0"/>
        <w:spacing w:line="360" w:lineRule="auto"/>
        <w:rPr>
          <w:rFonts w:asciiTheme="minorEastAsia" w:hAnsiTheme="minorEastAsia"/>
        </w:rPr>
      </w:pPr>
      <w:bookmarkStart w:id="119" w:name="_Toc79497976"/>
      <w:r>
        <w:rPr>
          <w:rFonts w:hint="eastAsia" w:asciiTheme="minorEastAsia" w:hAnsiTheme="minorEastAsia"/>
        </w:rPr>
        <w:t>二、重点板块建设</w:t>
      </w:r>
      <w:bookmarkEnd w:id="119"/>
    </w:p>
    <w:p w14:paraId="393AE8D0">
      <w:pPr>
        <w:pStyle w:val="6"/>
        <w:keepNext w:val="0"/>
        <w:keepLines w:val="0"/>
        <w:spacing w:before="240" w:after="240" w:line="360" w:lineRule="auto"/>
        <w:rPr>
          <w:sz w:val="32"/>
          <w:szCs w:val="32"/>
        </w:rPr>
      </w:pPr>
      <w:bookmarkStart w:id="120" w:name="_Toc57622926"/>
      <w:r>
        <w:rPr>
          <w:rFonts w:hint="eastAsia"/>
          <w:sz w:val="32"/>
          <w:szCs w:val="32"/>
        </w:rPr>
        <w:t>（一）</w:t>
      </w:r>
      <w:r>
        <w:rPr>
          <w:sz w:val="32"/>
          <w:szCs w:val="32"/>
        </w:rPr>
        <w:t>应急</w:t>
      </w:r>
      <w:r>
        <w:rPr>
          <w:rFonts w:hint="eastAsia"/>
          <w:sz w:val="32"/>
          <w:szCs w:val="32"/>
        </w:rPr>
        <w:t>储备</w:t>
      </w:r>
      <w:bookmarkEnd w:id="120"/>
      <w:r>
        <w:rPr>
          <w:rFonts w:hint="eastAsia"/>
          <w:sz w:val="32"/>
          <w:szCs w:val="32"/>
        </w:rPr>
        <w:t>板块</w:t>
      </w:r>
    </w:p>
    <w:p w14:paraId="24024696">
      <w:pPr>
        <w:spacing w:line="360" w:lineRule="auto"/>
        <w:ind w:firstLine="646" w:firstLineChars="202"/>
        <w:rPr>
          <w:rFonts w:ascii="宋体" w:hAnsi="宋体"/>
          <w:sz w:val="32"/>
          <w:szCs w:val="32"/>
        </w:rPr>
      </w:pPr>
      <w:r>
        <w:rPr>
          <w:rFonts w:hint="eastAsia" w:ascii="宋体" w:hAnsi="宋体"/>
          <w:sz w:val="32"/>
          <w:szCs w:val="32"/>
        </w:rPr>
        <w:t>以物流基础设施为依托，</w:t>
      </w:r>
      <w:r>
        <w:rPr>
          <w:rFonts w:ascii="宋体" w:hAnsi="宋体"/>
          <w:sz w:val="32"/>
          <w:szCs w:val="32"/>
        </w:rPr>
        <w:t>在</w:t>
      </w:r>
      <w:r>
        <w:rPr>
          <w:rFonts w:hint="eastAsia" w:ascii="宋体" w:hAnsi="宋体"/>
          <w:sz w:val="32"/>
          <w:szCs w:val="32"/>
        </w:rPr>
        <w:t>凌源市扩建应急储备仓库，提升应急物资储备能力</w:t>
      </w:r>
      <w:r>
        <w:rPr>
          <w:rFonts w:ascii="宋体" w:hAnsi="宋体"/>
          <w:sz w:val="32"/>
          <w:szCs w:val="32"/>
        </w:rPr>
        <w:t>。</w:t>
      </w:r>
      <w:r>
        <w:rPr>
          <w:rFonts w:hint="eastAsia" w:ascii="宋体" w:hAnsi="宋体"/>
          <w:sz w:val="32"/>
          <w:szCs w:val="32"/>
        </w:rPr>
        <w:t>凌源市可以依托凌源市应急物流中心和建制村节点内的仓储物流设施，</w:t>
      </w:r>
      <w:r>
        <w:rPr>
          <w:rFonts w:ascii="宋体" w:hAnsi="宋体"/>
          <w:sz w:val="32"/>
          <w:szCs w:val="32"/>
        </w:rPr>
        <w:t>建设专业应急</w:t>
      </w:r>
      <w:r>
        <w:rPr>
          <w:rFonts w:hint="eastAsia" w:ascii="宋体" w:hAnsi="宋体"/>
          <w:sz w:val="32"/>
          <w:szCs w:val="32"/>
        </w:rPr>
        <w:t>物资储备中心，储备的物资主要包括医药医疗设备、农副产品和衣被、帐篷等，从而</w:t>
      </w:r>
      <w:r>
        <w:rPr>
          <w:rFonts w:ascii="宋体" w:hAnsi="宋体"/>
          <w:sz w:val="32"/>
          <w:szCs w:val="32"/>
        </w:rPr>
        <w:t>保障应对区域内突发事件，并</w:t>
      </w:r>
      <w:r>
        <w:rPr>
          <w:rFonts w:hint="eastAsia" w:ascii="宋体" w:hAnsi="宋体"/>
          <w:sz w:val="32"/>
          <w:szCs w:val="32"/>
        </w:rPr>
        <w:t>可</w:t>
      </w:r>
      <w:r>
        <w:rPr>
          <w:rFonts w:ascii="宋体" w:hAnsi="宋体"/>
          <w:sz w:val="32"/>
          <w:szCs w:val="32"/>
        </w:rPr>
        <w:t>对相邻区域</w:t>
      </w:r>
      <w:r>
        <w:rPr>
          <w:rFonts w:hint="eastAsia" w:ascii="宋体" w:hAnsi="宋体"/>
          <w:sz w:val="32"/>
          <w:szCs w:val="32"/>
        </w:rPr>
        <w:t>作</w:t>
      </w:r>
      <w:r>
        <w:rPr>
          <w:rFonts w:ascii="宋体" w:hAnsi="宋体"/>
          <w:sz w:val="32"/>
          <w:szCs w:val="32"/>
        </w:rPr>
        <w:t>好后备和支援</w:t>
      </w:r>
      <w:r>
        <w:rPr>
          <w:rFonts w:hint="eastAsia" w:ascii="宋体" w:hAnsi="宋体"/>
          <w:sz w:val="32"/>
          <w:szCs w:val="32"/>
        </w:rPr>
        <w:t>。</w:t>
      </w:r>
    </w:p>
    <w:p w14:paraId="065ABCDE">
      <w:pPr>
        <w:pStyle w:val="6"/>
        <w:spacing w:before="240" w:after="240" w:line="360" w:lineRule="auto"/>
        <w:rPr>
          <w:sz w:val="32"/>
          <w:szCs w:val="32"/>
        </w:rPr>
      </w:pPr>
      <w:bookmarkStart w:id="121" w:name="_Toc57622927"/>
      <w:r>
        <w:rPr>
          <w:rFonts w:hint="eastAsia"/>
          <w:sz w:val="32"/>
          <w:szCs w:val="32"/>
        </w:rPr>
        <w:t>（二）</w:t>
      </w:r>
      <w:r>
        <w:rPr>
          <w:sz w:val="32"/>
          <w:szCs w:val="32"/>
        </w:rPr>
        <w:t>应急配送</w:t>
      </w:r>
      <w:bookmarkEnd w:id="121"/>
      <w:r>
        <w:rPr>
          <w:rFonts w:hint="eastAsia"/>
          <w:sz w:val="32"/>
          <w:szCs w:val="32"/>
        </w:rPr>
        <w:t>板块</w:t>
      </w:r>
    </w:p>
    <w:p w14:paraId="620C31FD">
      <w:pPr>
        <w:spacing w:line="360" w:lineRule="auto"/>
        <w:ind w:firstLine="646" w:firstLineChars="202"/>
        <w:rPr>
          <w:rFonts w:ascii="宋体" w:hAnsi="宋体"/>
          <w:sz w:val="32"/>
          <w:szCs w:val="32"/>
        </w:rPr>
      </w:pPr>
      <w:r>
        <w:rPr>
          <w:rFonts w:ascii="宋体" w:hAnsi="宋体"/>
          <w:sz w:val="32"/>
          <w:szCs w:val="32"/>
        </w:rPr>
        <w:t>学习借鉴</w:t>
      </w:r>
      <w:r>
        <w:rPr>
          <w:rFonts w:hint="eastAsia" w:ascii="宋体" w:hAnsi="宋体"/>
          <w:sz w:val="32"/>
          <w:szCs w:val="32"/>
        </w:rPr>
        <w:t>国际国内先进</w:t>
      </w:r>
      <w:r>
        <w:rPr>
          <w:rFonts w:ascii="宋体" w:hAnsi="宋体"/>
          <w:sz w:val="32"/>
          <w:szCs w:val="32"/>
        </w:rPr>
        <w:t>经验，鼓励应急物流社会化和产业化</w:t>
      </w:r>
      <w:r>
        <w:rPr>
          <w:rFonts w:hint="eastAsia" w:ascii="宋体" w:hAnsi="宋体"/>
          <w:sz w:val="32"/>
          <w:szCs w:val="32"/>
        </w:rPr>
        <w:t>，充分</w:t>
      </w:r>
      <w:r>
        <w:rPr>
          <w:rFonts w:ascii="宋体" w:hAnsi="宋体"/>
          <w:sz w:val="32"/>
          <w:szCs w:val="32"/>
        </w:rPr>
        <w:t>利用社会资源，以市场化方式与具备条件的大型专业物流企业签订协议，</w:t>
      </w:r>
      <w:r>
        <w:rPr>
          <w:rFonts w:hint="eastAsia" w:ascii="宋体" w:hAnsi="宋体"/>
          <w:sz w:val="32"/>
          <w:szCs w:val="32"/>
        </w:rPr>
        <w:t>建立健全</w:t>
      </w:r>
      <w:r>
        <w:rPr>
          <w:rFonts w:ascii="宋体" w:hAnsi="宋体"/>
          <w:sz w:val="32"/>
          <w:szCs w:val="32"/>
        </w:rPr>
        <w:t>应急物流</w:t>
      </w:r>
      <w:r>
        <w:rPr>
          <w:rFonts w:hint="eastAsia" w:ascii="宋体" w:hAnsi="宋体"/>
          <w:sz w:val="32"/>
          <w:szCs w:val="32"/>
        </w:rPr>
        <w:t>系统</w:t>
      </w:r>
      <w:r>
        <w:rPr>
          <w:rFonts w:ascii="宋体" w:hAnsi="宋体"/>
          <w:sz w:val="32"/>
          <w:szCs w:val="32"/>
        </w:rPr>
        <w:t>。</w:t>
      </w:r>
    </w:p>
    <w:p w14:paraId="08E6B099">
      <w:pPr>
        <w:pStyle w:val="6"/>
        <w:spacing w:before="240" w:after="240" w:line="360" w:lineRule="auto"/>
        <w:rPr>
          <w:sz w:val="32"/>
          <w:szCs w:val="32"/>
        </w:rPr>
      </w:pPr>
      <w:bookmarkStart w:id="122" w:name="_Toc57622929"/>
      <w:r>
        <w:rPr>
          <w:rFonts w:hint="eastAsia"/>
          <w:sz w:val="32"/>
          <w:szCs w:val="32"/>
        </w:rPr>
        <w:t>（三）</w:t>
      </w:r>
      <w:bookmarkEnd w:id="122"/>
      <w:r>
        <w:rPr>
          <w:sz w:val="32"/>
          <w:szCs w:val="32"/>
        </w:rPr>
        <w:t>应急信息平台板块</w:t>
      </w:r>
    </w:p>
    <w:p w14:paraId="15119076">
      <w:pPr>
        <w:spacing w:line="360" w:lineRule="auto"/>
        <w:ind w:firstLine="646" w:firstLineChars="202"/>
        <w:rPr>
          <w:rFonts w:ascii="宋体" w:hAnsi="宋体"/>
          <w:sz w:val="32"/>
          <w:szCs w:val="32"/>
        </w:rPr>
      </w:pPr>
      <w:r>
        <w:rPr>
          <w:rFonts w:hint="eastAsia" w:ascii="宋体" w:hAnsi="宋体"/>
          <w:sz w:val="32"/>
          <w:szCs w:val="32"/>
        </w:rPr>
        <w:t>加快构建</w:t>
      </w:r>
      <w:r>
        <w:rPr>
          <w:rFonts w:ascii="宋体" w:hAnsi="宋体"/>
          <w:sz w:val="32"/>
          <w:szCs w:val="32"/>
        </w:rPr>
        <w:t>应急物流信息平台</w:t>
      </w:r>
      <w:r>
        <w:rPr>
          <w:rFonts w:hint="eastAsia" w:ascii="宋体" w:hAnsi="宋体"/>
          <w:sz w:val="32"/>
          <w:szCs w:val="32"/>
        </w:rPr>
        <w:t>，</w:t>
      </w:r>
      <w:r>
        <w:rPr>
          <w:rFonts w:ascii="宋体" w:hAnsi="宋体"/>
          <w:sz w:val="32"/>
          <w:szCs w:val="32"/>
        </w:rPr>
        <w:t>为应急物资</w:t>
      </w:r>
      <w:r>
        <w:rPr>
          <w:rFonts w:hint="eastAsia" w:ascii="宋体" w:hAnsi="宋体"/>
          <w:sz w:val="32"/>
          <w:szCs w:val="32"/>
        </w:rPr>
        <w:t>调度、供应提供信息管理手段，优化应急物流的组织实施。一</w:t>
      </w:r>
      <w:r>
        <w:rPr>
          <w:rFonts w:ascii="宋体" w:hAnsi="宋体"/>
          <w:sz w:val="32"/>
          <w:szCs w:val="32"/>
        </w:rPr>
        <w:t>要</w:t>
      </w:r>
      <w:r>
        <w:rPr>
          <w:rFonts w:hint="eastAsia" w:ascii="宋体" w:hAnsi="宋体"/>
          <w:sz w:val="32"/>
          <w:szCs w:val="32"/>
        </w:rPr>
        <w:t>运用</w:t>
      </w:r>
      <w:r>
        <w:rPr>
          <w:rFonts w:ascii="宋体" w:hAnsi="宋体"/>
          <w:sz w:val="32"/>
          <w:szCs w:val="32"/>
        </w:rPr>
        <w:t>先进、稳定</w:t>
      </w:r>
      <w:r>
        <w:rPr>
          <w:rFonts w:hint="eastAsia" w:ascii="宋体" w:hAnsi="宋体"/>
          <w:sz w:val="32"/>
          <w:szCs w:val="32"/>
        </w:rPr>
        <w:t>的</w:t>
      </w:r>
      <w:r>
        <w:rPr>
          <w:rFonts w:ascii="宋体" w:hAnsi="宋体"/>
          <w:sz w:val="32"/>
          <w:szCs w:val="32"/>
        </w:rPr>
        <w:t>急物流信息传递方式。由于应急物资的刚性需求，必须确保应急物流信息传递手段比常态下的信息传递方式更为先进、稳定和更具抗干扰能力</w:t>
      </w:r>
      <w:r>
        <w:rPr>
          <w:rFonts w:hint="eastAsia" w:ascii="宋体" w:hAnsi="宋体"/>
          <w:sz w:val="32"/>
          <w:szCs w:val="32"/>
        </w:rPr>
        <w:t>；二要形成市场化建设机制。以政策、资金扶持等方式，鼓励物流企业和社会化物流信息服务平台在物流信息系统开发建设过程中与应急物流信息平台系统进行对接，从而形成社会化、一体化、相互支撑的应急物流信息系统。</w:t>
      </w:r>
    </w:p>
    <w:p w14:paraId="5DDFBF27">
      <w:pPr>
        <w:pStyle w:val="5"/>
        <w:spacing w:line="360" w:lineRule="auto"/>
        <w:rPr>
          <w:rFonts w:asciiTheme="minorEastAsia" w:hAnsiTheme="minorEastAsia"/>
        </w:rPr>
      </w:pPr>
      <w:bookmarkStart w:id="123" w:name="_Toc79497977"/>
      <w:r>
        <w:rPr>
          <w:rFonts w:hint="eastAsia" w:asciiTheme="minorEastAsia" w:hAnsiTheme="minorEastAsia"/>
        </w:rPr>
        <w:t>三、规划项目表</w:t>
      </w:r>
      <w:bookmarkEnd w:id="123"/>
    </w:p>
    <w:p w14:paraId="6BB53586">
      <w:pPr>
        <w:spacing w:line="360" w:lineRule="auto"/>
        <w:ind w:firstLine="646" w:firstLineChars="202"/>
        <w:rPr>
          <w:rFonts w:ascii="宋体" w:hAnsi="宋体"/>
          <w:sz w:val="32"/>
          <w:szCs w:val="32"/>
        </w:rPr>
      </w:pPr>
      <w:r>
        <w:rPr>
          <w:rFonts w:hint="eastAsia" w:ascii="宋体" w:hAnsi="宋体"/>
          <w:sz w:val="32"/>
          <w:szCs w:val="32"/>
        </w:rPr>
        <w:t>“十四五”期间，凌源市应急物流板块规划新增建设凌源市应急物流中心项目。具体详见附表一。</w:t>
      </w:r>
    </w:p>
    <w:p w14:paraId="21D34746">
      <w:pPr>
        <w:pStyle w:val="5"/>
        <w:spacing w:line="360" w:lineRule="auto"/>
        <w:rPr>
          <w:rFonts w:asciiTheme="minorEastAsia" w:hAnsiTheme="minorEastAsia"/>
        </w:rPr>
      </w:pPr>
      <w:bookmarkStart w:id="124" w:name="_Toc79497978"/>
      <w:r>
        <w:rPr>
          <w:rFonts w:hint="eastAsia" w:asciiTheme="minorEastAsia" w:hAnsiTheme="minorEastAsia"/>
        </w:rPr>
        <w:t>四、发展目标</w:t>
      </w:r>
      <w:bookmarkEnd w:id="124"/>
    </w:p>
    <w:p w14:paraId="416209FE">
      <w:pPr>
        <w:spacing w:line="360" w:lineRule="auto"/>
        <w:ind w:firstLine="646" w:firstLineChars="202"/>
        <w:rPr>
          <w:rFonts w:ascii="宋体" w:hAnsi="宋体"/>
          <w:sz w:val="32"/>
          <w:szCs w:val="32"/>
        </w:rPr>
      </w:pPr>
      <w:r>
        <w:rPr>
          <w:rFonts w:hint="eastAsia" w:ascii="宋体" w:hAnsi="宋体"/>
          <w:sz w:val="32"/>
          <w:szCs w:val="32"/>
        </w:rPr>
        <w:t>以凌源市应急物流中心为核心、凌源市应急调度中心为支撑、全市100个左右应急物流服务点为节点，构建和完善凌源市应急物流体系。</w:t>
      </w:r>
    </w:p>
    <w:p w14:paraId="69262CA3">
      <w:pPr>
        <w:spacing w:line="360" w:lineRule="auto"/>
        <w:ind w:firstLine="646" w:firstLineChars="202"/>
        <w:rPr>
          <w:rFonts w:ascii="宋体" w:hAnsi="宋体"/>
          <w:sz w:val="32"/>
          <w:szCs w:val="32"/>
        </w:rPr>
        <w:sectPr>
          <w:headerReference r:id="rId18" w:type="default"/>
          <w:footerReference r:id="rId19" w:type="default"/>
          <w:pgSz w:w="11906" w:h="16838"/>
          <w:pgMar w:top="1440" w:right="1797" w:bottom="1440" w:left="1797" w:header="851" w:footer="992" w:gutter="0"/>
          <w:cols w:space="425" w:num="1"/>
          <w:docGrid w:linePitch="312" w:charSpace="0"/>
        </w:sectPr>
      </w:pPr>
    </w:p>
    <w:p w14:paraId="788B6179">
      <w:pPr>
        <w:pStyle w:val="3"/>
        <w:numPr>
          <w:ilvl w:val="0"/>
          <w:numId w:val="2"/>
        </w:numPr>
        <w:spacing w:line="360" w:lineRule="auto"/>
        <w:ind w:left="0" w:firstLine="0"/>
        <w:jc w:val="center"/>
        <w:rPr>
          <w:rFonts w:ascii="黑体" w:hAnsi="黑体" w:eastAsia="黑体"/>
        </w:rPr>
      </w:pPr>
      <w:bookmarkStart w:id="125" w:name="_Toc79497979"/>
      <w:r>
        <w:rPr>
          <w:rFonts w:hint="eastAsia" w:ascii="黑体" w:hAnsi="黑体" w:eastAsia="黑体"/>
        </w:rPr>
        <w:t>空间布局</w:t>
      </w:r>
      <w:bookmarkEnd w:id="125"/>
    </w:p>
    <w:p w14:paraId="16274D41">
      <w:pPr>
        <w:pStyle w:val="4"/>
        <w:spacing w:line="360" w:lineRule="auto"/>
        <w:jc w:val="center"/>
      </w:pPr>
      <w:bookmarkStart w:id="126" w:name="_Toc79497980"/>
      <w:bookmarkStart w:id="127" w:name="_Toc59431349"/>
      <w:bookmarkStart w:id="128" w:name="_Toc59380180"/>
      <w:r>
        <w:rPr>
          <w:rFonts w:hint="eastAsia"/>
        </w:rPr>
        <w:t>第一节 物流节点布局</w:t>
      </w:r>
      <w:bookmarkEnd w:id="126"/>
      <w:bookmarkEnd w:id="127"/>
    </w:p>
    <w:p w14:paraId="7CCB7879">
      <w:pPr>
        <w:pStyle w:val="5"/>
      </w:pPr>
      <w:bookmarkStart w:id="129" w:name="_Toc79497981"/>
      <w:bookmarkStart w:id="130" w:name="_Toc59431350"/>
      <w:r>
        <w:rPr>
          <w:rFonts w:hint="eastAsia"/>
        </w:rPr>
        <w:t>一、物流节点布局概述</w:t>
      </w:r>
      <w:bookmarkEnd w:id="129"/>
      <w:bookmarkEnd w:id="130"/>
    </w:p>
    <w:p w14:paraId="24D9AD33">
      <w:pPr>
        <w:spacing w:line="360" w:lineRule="auto"/>
        <w:ind w:firstLine="646" w:firstLineChars="202"/>
      </w:pPr>
      <w:r>
        <w:rPr>
          <w:rFonts w:hint="eastAsia" w:ascii="宋体" w:hAnsi="宋体"/>
          <w:sz w:val="32"/>
          <w:szCs w:val="32"/>
        </w:rPr>
        <w:t>物流节点主要包括物流园区、物流中心（含配送中心、场站、仓库等）。“十四五”期间，凌源市将在坚持“三个一致”原则（即与凌源市城市总体规划和土地利用总体规划相一致、与凌源市产业发展规划相一致、与凌源市综合交通规划相一致）的前提下布局建设物流基础设施，形成“</w:t>
      </w:r>
      <w:r>
        <w:rPr>
          <w:rFonts w:hint="eastAsia" w:ascii="宋体" w:hAnsi="宋体"/>
          <w:b/>
          <w:bCs/>
          <w:sz w:val="32"/>
          <w:szCs w:val="32"/>
        </w:rPr>
        <w:t>三核引领</w:t>
      </w:r>
      <w:r>
        <w:rPr>
          <w:rFonts w:hint="eastAsia" w:ascii="宋体" w:hAnsi="宋体"/>
          <w:sz w:val="32"/>
          <w:szCs w:val="32"/>
        </w:rPr>
        <w:t>、</w:t>
      </w:r>
      <w:r>
        <w:rPr>
          <w:rFonts w:hint="eastAsia" w:ascii="宋体" w:hAnsi="宋体"/>
          <w:b/>
          <w:bCs/>
          <w:sz w:val="32"/>
          <w:szCs w:val="32"/>
        </w:rPr>
        <w:t>两带发展</w:t>
      </w:r>
      <w:r>
        <w:rPr>
          <w:rFonts w:hint="eastAsia" w:ascii="宋体" w:hAnsi="宋体"/>
          <w:sz w:val="32"/>
          <w:szCs w:val="32"/>
        </w:rPr>
        <w:t>、</w:t>
      </w:r>
      <w:r>
        <w:rPr>
          <w:rFonts w:hint="eastAsia" w:ascii="宋体" w:hAnsi="宋体"/>
          <w:b/>
          <w:bCs/>
          <w:sz w:val="32"/>
          <w:szCs w:val="32"/>
        </w:rPr>
        <w:t>多点支撑</w:t>
      </w:r>
      <w:r>
        <w:rPr>
          <w:rFonts w:hint="eastAsia" w:ascii="宋体" w:hAnsi="宋体"/>
          <w:sz w:val="32"/>
          <w:szCs w:val="32"/>
        </w:rPr>
        <w:t>、</w:t>
      </w:r>
      <w:r>
        <w:rPr>
          <w:rFonts w:hint="eastAsia" w:ascii="宋体" w:hAnsi="宋体"/>
          <w:b/>
          <w:bCs/>
          <w:sz w:val="32"/>
          <w:szCs w:val="32"/>
        </w:rPr>
        <w:t>全域辐射</w:t>
      </w:r>
      <w:r>
        <w:rPr>
          <w:rFonts w:hint="eastAsia" w:ascii="宋体" w:hAnsi="宋体"/>
          <w:sz w:val="32"/>
          <w:szCs w:val="32"/>
        </w:rPr>
        <w:t>”的物流节点空间结构。具体如图1</w:t>
      </w:r>
      <w:r>
        <w:rPr>
          <w:rFonts w:ascii="宋体" w:hAnsi="宋体"/>
          <w:sz w:val="32"/>
          <w:szCs w:val="32"/>
        </w:rPr>
        <w:t>6</w:t>
      </w:r>
      <w:r>
        <w:rPr>
          <w:rFonts w:hint="eastAsia" w:ascii="宋体" w:hAnsi="宋体"/>
          <w:sz w:val="32"/>
          <w:szCs w:val="32"/>
        </w:rPr>
        <w:t>所示。</w:t>
      </w:r>
    </w:p>
    <w:p w14:paraId="4DD63F17">
      <w:pPr>
        <w:pStyle w:val="5"/>
        <w:spacing w:line="360" w:lineRule="auto"/>
        <w:rPr>
          <w:rFonts w:asciiTheme="minorEastAsia" w:hAnsiTheme="minorEastAsia"/>
        </w:rPr>
      </w:pPr>
      <w:bookmarkStart w:id="131" w:name="_Toc59431351"/>
      <w:bookmarkStart w:id="132" w:name="_Toc79497982"/>
      <w:r>
        <w:rPr>
          <w:rFonts w:hint="eastAsia" w:asciiTheme="minorEastAsia" w:hAnsiTheme="minorEastAsia"/>
        </w:rPr>
        <w:t>二、物流节点布局说明</w:t>
      </w:r>
      <w:bookmarkEnd w:id="131"/>
      <w:bookmarkEnd w:id="132"/>
    </w:p>
    <w:p w14:paraId="2F3F2CB9">
      <w:pPr>
        <w:pStyle w:val="6"/>
        <w:rPr>
          <w:rFonts w:ascii="宋体" w:hAnsi="宋体"/>
          <w:sz w:val="32"/>
          <w:szCs w:val="32"/>
        </w:rPr>
      </w:pPr>
      <w:r>
        <w:rPr>
          <w:rFonts w:hint="eastAsia" w:ascii="宋体" w:hAnsi="宋体"/>
          <w:sz w:val="32"/>
          <w:szCs w:val="32"/>
        </w:rPr>
        <w:t>（一）三核引领</w:t>
      </w:r>
    </w:p>
    <w:p w14:paraId="25A3871B">
      <w:pPr>
        <w:spacing w:line="360" w:lineRule="auto"/>
        <w:ind w:firstLine="646" w:firstLineChars="202"/>
        <w:rPr>
          <w:rFonts w:ascii="宋体" w:hAnsi="宋体"/>
          <w:sz w:val="32"/>
          <w:szCs w:val="32"/>
        </w:rPr>
      </w:pPr>
      <w:r>
        <w:rPr>
          <w:rFonts w:hint="eastAsia" w:ascii="宋体" w:hAnsi="宋体"/>
          <w:sz w:val="32"/>
          <w:szCs w:val="32"/>
        </w:rPr>
        <w:t>“三核”，即位于凌源市北部的朝阳致远金融物流港、位于凌源市中部的凌源市农产品商贸物流园和位于凌源市南部的朝阳凌源非金属新材料产业园区物流园，是凌源市现代物流发展的核心承载设施。</w:t>
      </w:r>
    </w:p>
    <w:p w14:paraId="0D82DEBE">
      <w:pPr>
        <w:spacing w:before="240" w:after="240" w:line="360" w:lineRule="auto"/>
        <w:ind w:firstLine="562"/>
        <w:rPr>
          <w:rFonts w:ascii="宋体" w:hAnsi="宋体"/>
          <w:sz w:val="32"/>
          <w:szCs w:val="32"/>
        </w:rPr>
      </w:pPr>
      <w:r>
        <w:rPr>
          <w:rFonts w:hint="eastAsia" w:ascii="宋体" w:hAnsi="宋体" w:eastAsia="宋体"/>
          <w:b/>
          <w:bCs/>
          <w:sz w:val="32"/>
          <w:szCs w:val="32"/>
        </w:rPr>
        <w:t>——</w:t>
      </w:r>
      <w:r>
        <w:rPr>
          <w:rFonts w:hint="eastAsia" w:ascii="宋体" w:hAnsi="宋体"/>
          <w:b/>
          <w:bCs/>
          <w:sz w:val="32"/>
          <w:szCs w:val="32"/>
        </w:rPr>
        <w:t>朝阳致远金融物流港</w:t>
      </w:r>
      <w:r>
        <w:rPr>
          <w:rFonts w:hint="eastAsia" w:ascii="宋体" w:hAnsi="宋体" w:eastAsia="宋体"/>
          <w:b/>
          <w:bCs/>
          <w:sz w:val="32"/>
          <w:szCs w:val="32"/>
        </w:rPr>
        <w:t>。</w:t>
      </w:r>
      <w:r>
        <w:rPr>
          <w:rFonts w:hint="eastAsia" w:ascii="宋体" w:hAnsi="宋体" w:eastAsia="宋体"/>
          <w:sz w:val="32"/>
          <w:szCs w:val="32"/>
        </w:rPr>
        <w:t>服务功能最全面，综合服务能力最强，是凌源北部工业物流服务的大型主导平台，主要承担枢纽场站、制造业物流集成服务、供应链物流服务、多式联运服务、干线物流组织、智能仓储配送、国际物流服务等功能，未来将建设内陆港、保税物流等设施，成为辽冀蒙区域物流中心服务功能的主要承担者。</w:t>
      </w:r>
    </w:p>
    <w:p w14:paraId="70A7E0E2">
      <w:pPr>
        <w:pStyle w:val="10"/>
        <w:jc w:val="center"/>
        <w:rPr>
          <w:rFonts w:ascii="黑体" w:hAnsi="黑体"/>
          <w:b/>
          <w:bCs/>
          <w:sz w:val="24"/>
          <w:szCs w:val="24"/>
        </w:rPr>
      </w:pPr>
      <w:bookmarkStart w:id="133" w:name="_Toc59394432"/>
      <w:r>
        <w:rPr>
          <w:rFonts w:ascii="黑体" w:hAnsi="黑体"/>
          <w:b/>
          <w:bCs/>
          <w:sz w:val="24"/>
          <w:szCs w:val="24"/>
        </w:rPr>
        <w:drawing>
          <wp:inline distT="0" distB="0" distL="0" distR="0">
            <wp:extent cx="5278120" cy="4027170"/>
            <wp:effectExtent l="0" t="0" r="0" b="0"/>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8120" cy="4027170"/>
                    </a:xfrm>
                    <a:prstGeom prst="rect">
                      <a:avLst/>
                    </a:prstGeom>
                  </pic:spPr>
                </pic:pic>
              </a:graphicData>
            </a:graphic>
          </wp:inline>
        </w:drawing>
      </w:r>
    </w:p>
    <w:p w14:paraId="736B3157">
      <w:pPr>
        <w:pStyle w:val="10"/>
        <w:jc w:val="center"/>
        <w:rPr>
          <w:rFonts w:ascii="黑体" w:hAnsi="黑体"/>
          <w:b/>
          <w:bCs/>
          <w:sz w:val="24"/>
          <w:szCs w:val="24"/>
        </w:rPr>
      </w:pPr>
      <w:bookmarkStart w:id="134" w:name="_Toc79498062"/>
      <w:r>
        <w:rPr>
          <w:rFonts w:hint="eastAsia" w:ascii="黑体" w:hAnsi="黑体"/>
          <w:b/>
          <w:bCs/>
          <w:sz w:val="24"/>
          <w:szCs w:val="24"/>
        </w:rPr>
        <w:t xml:space="preserve">图 </w:t>
      </w:r>
      <w:r>
        <w:rPr>
          <w:rFonts w:ascii="黑体" w:hAnsi="黑体"/>
          <w:b/>
          <w:bCs/>
          <w:sz w:val="24"/>
          <w:szCs w:val="24"/>
        </w:rPr>
        <w:fldChar w:fldCharType="begin"/>
      </w:r>
      <w:r>
        <w:rPr>
          <w:rFonts w:hint="eastAsia" w:ascii="黑体" w:hAnsi="黑体"/>
          <w:b/>
          <w:bCs/>
          <w:sz w:val="24"/>
          <w:szCs w:val="24"/>
        </w:rPr>
        <w:instrText xml:space="preserve">SEQ 图 \* ARABIC</w:instrText>
      </w:r>
      <w:r>
        <w:rPr>
          <w:rFonts w:ascii="黑体" w:hAnsi="黑体"/>
          <w:b/>
          <w:bCs/>
          <w:sz w:val="24"/>
          <w:szCs w:val="24"/>
        </w:rPr>
        <w:fldChar w:fldCharType="separate"/>
      </w:r>
      <w:r>
        <w:rPr>
          <w:rFonts w:ascii="黑体" w:hAnsi="黑体"/>
          <w:b/>
          <w:bCs/>
          <w:sz w:val="24"/>
          <w:szCs w:val="24"/>
        </w:rPr>
        <w:t>16</w:t>
      </w:r>
      <w:r>
        <w:rPr>
          <w:rFonts w:ascii="黑体" w:hAnsi="黑体"/>
          <w:b/>
          <w:bCs/>
          <w:sz w:val="24"/>
          <w:szCs w:val="24"/>
        </w:rPr>
        <w:fldChar w:fldCharType="end"/>
      </w:r>
      <w:r>
        <w:rPr>
          <w:rFonts w:hint="eastAsia" w:ascii="黑体" w:hAnsi="黑体"/>
          <w:b/>
          <w:bCs/>
          <w:sz w:val="24"/>
          <w:szCs w:val="24"/>
        </w:rPr>
        <w:t>凌源市物流节点布局示意图</w:t>
      </w:r>
      <w:bookmarkEnd w:id="133"/>
      <w:bookmarkEnd w:id="134"/>
    </w:p>
    <w:p w14:paraId="7250BE87">
      <w:pPr>
        <w:spacing w:before="240" w:after="240" w:line="360" w:lineRule="auto"/>
        <w:ind w:firstLine="562"/>
        <w:rPr>
          <w:rFonts w:ascii="宋体" w:hAnsi="宋体" w:eastAsia="宋体"/>
          <w:bCs/>
          <w:sz w:val="32"/>
          <w:szCs w:val="32"/>
        </w:rPr>
      </w:pPr>
      <w:r>
        <w:rPr>
          <w:rFonts w:hint="eastAsia" w:ascii="宋体" w:hAnsi="宋体" w:eastAsia="宋体"/>
          <w:b/>
          <w:bCs/>
          <w:sz w:val="32"/>
          <w:szCs w:val="32"/>
        </w:rPr>
        <w:t>——</w:t>
      </w:r>
      <w:r>
        <w:rPr>
          <w:rFonts w:hint="eastAsia" w:ascii="宋体" w:hAnsi="宋体"/>
          <w:b/>
          <w:bCs/>
          <w:sz w:val="32"/>
          <w:szCs w:val="32"/>
        </w:rPr>
        <w:t>朝阳凌源非金属新材料产业园区物流园。</w:t>
      </w:r>
      <w:r>
        <w:rPr>
          <w:rFonts w:hint="eastAsia" w:ascii="宋体" w:hAnsi="宋体" w:eastAsia="宋体"/>
          <w:bCs/>
          <w:sz w:val="32"/>
          <w:szCs w:val="32"/>
        </w:rPr>
        <w:t>作为凌源市南部物流服务的重要承载平台，主要承担枢纽场站、非金属新材料</w:t>
      </w:r>
      <w:r>
        <w:rPr>
          <w:rFonts w:hint="eastAsia" w:ascii="宋体" w:hAnsi="宋体" w:eastAsia="宋体"/>
          <w:sz w:val="32"/>
          <w:szCs w:val="32"/>
        </w:rPr>
        <w:t>制造业物流集成服务、供应链物流服务、多式联运服务、智能仓储配送等功能</w:t>
      </w:r>
      <w:r>
        <w:rPr>
          <w:rFonts w:hint="eastAsia" w:ascii="宋体" w:hAnsi="宋体" w:eastAsia="宋体"/>
          <w:bCs/>
          <w:sz w:val="32"/>
          <w:szCs w:val="32"/>
        </w:rPr>
        <w:t>。</w:t>
      </w:r>
    </w:p>
    <w:p w14:paraId="1EAA3EDA">
      <w:pPr>
        <w:spacing w:before="240" w:after="240" w:line="360" w:lineRule="auto"/>
        <w:ind w:firstLine="602"/>
      </w:pPr>
      <w:r>
        <w:rPr>
          <w:rFonts w:hint="eastAsia" w:ascii="宋体" w:hAnsi="宋体" w:eastAsia="宋体"/>
          <w:sz w:val="32"/>
          <w:szCs w:val="32"/>
        </w:rPr>
        <w:t>——</w:t>
      </w:r>
      <w:r>
        <w:rPr>
          <w:rFonts w:hint="eastAsia" w:ascii="宋体" w:hAnsi="宋体"/>
          <w:b/>
          <w:bCs/>
          <w:sz w:val="32"/>
          <w:szCs w:val="32"/>
        </w:rPr>
        <w:t>凌源市农产品商贸物流园</w:t>
      </w:r>
      <w:r>
        <w:rPr>
          <w:rFonts w:hint="eastAsia" w:ascii="宋体" w:hAnsi="宋体" w:eastAsia="宋体"/>
          <w:b/>
          <w:bCs/>
          <w:sz w:val="32"/>
          <w:szCs w:val="32"/>
        </w:rPr>
        <w:t>。</w:t>
      </w:r>
      <w:r>
        <w:rPr>
          <w:rFonts w:hint="eastAsia" w:ascii="宋体" w:hAnsi="宋体" w:eastAsia="宋体"/>
          <w:sz w:val="32"/>
          <w:szCs w:val="32"/>
        </w:rPr>
        <w:t>作为凌源农产品流通、加工以及交易物流的承载平台，主要承担农产品市场交易、商贸物流集散中转、流通加工、冷链物流、智能仓储配送、干线物流组织及综合配套服务等功能。</w:t>
      </w:r>
    </w:p>
    <w:p w14:paraId="0439E3C7">
      <w:pPr>
        <w:pStyle w:val="6"/>
        <w:rPr>
          <w:rFonts w:ascii="宋体" w:hAnsi="宋体"/>
          <w:sz w:val="32"/>
          <w:szCs w:val="32"/>
        </w:rPr>
      </w:pPr>
      <w:r>
        <w:rPr>
          <w:rFonts w:hint="eastAsia" w:ascii="宋体" w:hAnsi="宋体"/>
          <w:sz w:val="32"/>
          <w:szCs w:val="32"/>
        </w:rPr>
        <w:t>（二）两带发展</w:t>
      </w:r>
    </w:p>
    <w:p w14:paraId="3BE3EDB5">
      <w:pPr>
        <w:spacing w:line="360" w:lineRule="auto"/>
        <w:ind w:firstLine="646" w:firstLineChars="202"/>
        <w:rPr>
          <w:rFonts w:ascii="宋体" w:hAnsi="宋体"/>
          <w:sz w:val="32"/>
          <w:szCs w:val="32"/>
        </w:rPr>
      </w:pPr>
      <w:r>
        <w:rPr>
          <w:rFonts w:hint="eastAsia" w:ascii="宋体" w:hAnsi="宋体"/>
          <w:sz w:val="32"/>
          <w:szCs w:val="32"/>
        </w:rPr>
        <w:t>“两带”，即北部物流产业带和南部物流产业带，呈南北平行分布状态，是凌源市现代物流业主要发展带，其中：</w:t>
      </w:r>
    </w:p>
    <w:p w14:paraId="32231D3C">
      <w:pPr>
        <w:spacing w:line="360" w:lineRule="auto"/>
        <w:ind w:firstLine="646" w:firstLineChars="202"/>
        <w:rPr>
          <w:rFonts w:ascii="宋体" w:hAnsi="宋体"/>
          <w:sz w:val="32"/>
          <w:szCs w:val="32"/>
        </w:rPr>
      </w:pPr>
      <w:r>
        <w:rPr>
          <w:rFonts w:hint="eastAsia" w:ascii="宋体" w:hAnsi="宋体"/>
          <w:sz w:val="32"/>
          <w:szCs w:val="32"/>
        </w:rPr>
        <w:t>“北部物流产业带”以朝阳致远金融物流港为核心，由凌源农业科工贸数字物流产业园和辽冀蒙商贸物流园、凌源市汽车物流产业园、凌源市绿色农产品配送中心、三十家子加工配套物流中心等物流基础设施共同构成，服务于凌源市的制造业（以朝阳凌源经济开发区为主）以及商贸流通、农产品交易、流通加工等产业，带动现代物流业在凌源北部集聚发展。</w:t>
      </w:r>
    </w:p>
    <w:p w14:paraId="08255088">
      <w:pPr>
        <w:spacing w:line="360" w:lineRule="auto"/>
        <w:ind w:firstLine="646" w:firstLineChars="202"/>
        <w:rPr>
          <w:rFonts w:ascii="宋体" w:hAnsi="宋体"/>
          <w:sz w:val="32"/>
          <w:szCs w:val="32"/>
        </w:rPr>
      </w:pPr>
      <w:r>
        <w:rPr>
          <w:rFonts w:hint="eastAsia" w:ascii="宋体" w:hAnsi="宋体"/>
          <w:sz w:val="32"/>
          <w:szCs w:val="32"/>
        </w:rPr>
        <w:t>“南部物流产业带”，以朝阳凌源非金属新材料产业园区物流园为核心，由富源矿业物流中心、杨杖子物流转运中心等物流基础设施共同构成，服务于朝阳凌源非金属新材料产业园的非金属新材料产业以及凌源市南部各乡镇的生产、生活，带动现代物流业在凌源南部集聚发展。</w:t>
      </w:r>
    </w:p>
    <w:p w14:paraId="1A8F1AB2">
      <w:pPr>
        <w:pStyle w:val="6"/>
        <w:rPr>
          <w:rFonts w:ascii="宋体" w:hAnsi="宋体"/>
          <w:sz w:val="32"/>
          <w:szCs w:val="32"/>
        </w:rPr>
      </w:pPr>
      <w:r>
        <w:rPr>
          <w:rFonts w:hint="eastAsia" w:ascii="宋体" w:hAnsi="宋体"/>
          <w:sz w:val="32"/>
          <w:szCs w:val="32"/>
        </w:rPr>
        <w:t>（三）多点支撑</w:t>
      </w:r>
    </w:p>
    <w:p w14:paraId="7EFFD55C">
      <w:pPr>
        <w:spacing w:line="360" w:lineRule="auto"/>
        <w:ind w:firstLine="646" w:firstLineChars="202"/>
      </w:pPr>
      <w:r>
        <w:rPr>
          <w:rFonts w:hint="eastAsia" w:ascii="宋体" w:hAnsi="宋体"/>
          <w:sz w:val="32"/>
          <w:szCs w:val="32"/>
        </w:rPr>
        <w:t>“多点”主要包括：凌源市农产品加工园区小城子分园配套物流园、凌源农业科工贸数字物流产业园、开发区铁路专用线场站、凌源市城市绿色农产品配送中心、青怡坊新型花卉交易中心、凌源市汽车物流产业园、辽冀蒙商贸物流园、凌源市应急物流中心、八里堡冷链物流中心、宏瑞肉联冷链物流中心、三沅农业数字化智能低温仓储及物流中心、富源矿业物流中心、北炉-牛营子加工配套物流中心、三十家子加工配套物流中心、杨杖子物流转运中心、刀尔登物流转运中心等，与“三核”共同组成凌源市现代物流业发展的基础设施支撑体系。</w:t>
      </w:r>
    </w:p>
    <w:p w14:paraId="37A91B31">
      <w:pPr>
        <w:pStyle w:val="6"/>
        <w:rPr>
          <w:rFonts w:ascii="宋体" w:hAnsi="宋体"/>
          <w:sz w:val="32"/>
          <w:szCs w:val="32"/>
        </w:rPr>
      </w:pPr>
      <w:r>
        <w:rPr>
          <w:rFonts w:hint="eastAsia" w:ascii="宋体" w:hAnsi="宋体"/>
          <w:sz w:val="32"/>
          <w:szCs w:val="32"/>
        </w:rPr>
        <w:t>（四）全域辐射</w:t>
      </w:r>
    </w:p>
    <w:p w14:paraId="6D84E883">
      <w:pPr>
        <w:spacing w:line="360" w:lineRule="auto"/>
        <w:ind w:firstLine="646" w:firstLineChars="202"/>
        <w:rPr>
          <w:rFonts w:ascii="宋体" w:hAnsi="宋体"/>
          <w:sz w:val="32"/>
          <w:szCs w:val="32"/>
        </w:rPr>
      </w:pPr>
      <w:r>
        <w:rPr>
          <w:rFonts w:hint="eastAsia" w:ascii="宋体" w:hAnsi="宋体"/>
          <w:sz w:val="32"/>
          <w:szCs w:val="32"/>
        </w:rPr>
        <w:t>依托“三核、两带、多点”的物流产业节点空间布局实现对凌源市物流服务的全域覆盖。</w:t>
      </w:r>
    </w:p>
    <w:p w14:paraId="1ED8CEE5">
      <w:pPr>
        <w:pStyle w:val="5"/>
        <w:spacing w:line="360" w:lineRule="auto"/>
        <w:rPr>
          <w:rFonts w:asciiTheme="minorEastAsia" w:hAnsiTheme="minorEastAsia"/>
        </w:rPr>
      </w:pPr>
      <w:bookmarkStart w:id="135" w:name="_Toc79497983"/>
      <w:r>
        <w:rPr>
          <w:rFonts w:hint="eastAsia" w:asciiTheme="minorEastAsia" w:hAnsiTheme="minorEastAsia"/>
        </w:rPr>
        <w:t>三、物流节点建设</w:t>
      </w:r>
      <w:bookmarkEnd w:id="135"/>
    </w:p>
    <w:p w14:paraId="7E85F0D8">
      <w:pPr>
        <w:spacing w:line="360" w:lineRule="auto"/>
        <w:ind w:firstLine="646" w:firstLineChars="202"/>
        <w:rPr>
          <w:rFonts w:ascii="宋体" w:hAnsi="宋体"/>
          <w:sz w:val="32"/>
          <w:szCs w:val="32"/>
        </w:rPr>
      </w:pPr>
      <w:r>
        <w:rPr>
          <w:rFonts w:hint="eastAsia" w:ascii="宋体" w:hAnsi="宋体"/>
          <w:sz w:val="32"/>
          <w:szCs w:val="32"/>
        </w:rPr>
        <w:t>各物流节点主要建设内容与规模、起止年限、投资总额等情况详见附表一。</w:t>
      </w:r>
    </w:p>
    <w:bookmarkEnd w:id="128"/>
    <w:p w14:paraId="73757D82">
      <w:pPr>
        <w:pStyle w:val="4"/>
        <w:spacing w:line="360" w:lineRule="auto"/>
        <w:jc w:val="center"/>
      </w:pPr>
      <w:bookmarkStart w:id="136" w:name="_Toc79497984"/>
      <w:bookmarkStart w:id="137" w:name="_Toc59380183"/>
      <w:r>
        <w:rPr>
          <w:rFonts w:hint="eastAsia"/>
        </w:rPr>
        <w:t>第二节 物流通道建设</w:t>
      </w:r>
      <w:bookmarkEnd w:id="136"/>
      <w:bookmarkEnd w:id="137"/>
    </w:p>
    <w:p w14:paraId="7D5CEBEB">
      <w:pPr>
        <w:pStyle w:val="5"/>
      </w:pPr>
      <w:bookmarkStart w:id="138" w:name="_Toc79497985"/>
      <w:r>
        <w:rPr>
          <w:rFonts w:hint="eastAsia"/>
        </w:rPr>
        <w:t>一、跨区域物流通道</w:t>
      </w:r>
      <w:bookmarkEnd w:id="138"/>
    </w:p>
    <w:p w14:paraId="70D394C6">
      <w:pPr>
        <w:pStyle w:val="6"/>
        <w:rPr>
          <w:rFonts w:ascii="宋体" w:hAnsi="宋体"/>
          <w:sz w:val="32"/>
          <w:szCs w:val="32"/>
        </w:rPr>
      </w:pPr>
      <w:r>
        <w:rPr>
          <w:rFonts w:hint="eastAsia" w:ascii="宋体" w:hAnsi="宋体"/>
          <w:sz w:val="32"/>
          <w:szCs w:val="32"/>
        </w:rPr>
        <w:t>（一）跨区域公路物流通道</w:t>
      </w:r>
    </w:p>
    <w:p w14:paraId="7FFF5A40">
      <w:pPr>
        <w:spacing w:line="360" w:lineRule="auto"/>
        <w:ind w:firstLine="646" w:firstLineChars="202"/>
        <w:rPr>
          <w:rFonts w:ascii="宋体" w:hAnsi="宋体"/>
          <w:sz w:val="32"/>
          <w:szCs w:val="32"/>
        </w:rPr>
      </w:pPr>
      <w:r>
        <w:rPr>
          <w:rFonts w:hint="eastAsia" w:ascii="宋体" w:hAnsi="宋体"/>
          <w:sz w:val="32"/>
          <w:szCs w:val="32"/>
        </w:rPr>
        <w:t>1、加快推进凌源（蒙辽界）至绥中高速公路工程。建成后将是凌源北与赤峰相连，东南与绥中县连接的重要快速物流通道。</w:t>
      </w:r>
    </w:p>
    <w:p w14:paraId="02363FDE">
      <w:pPr>
        <w:spacing w:line="360" w:lineRule="auto"/>
        <w:ind w:firstLine="646" w:firstLineChars="202"/>
        <w:rPr>
          <w:rFonts w:ascii="宋体" w:hAnsi="宋体"/>
          <w:sz w:val="32"/>
          <w:szCs w:val="32"/>
        </w:rPr>
      </w:pPr>
      <w:r>
        <w:rPr>
          <w:rFonts w:hint="eastAsia" w:ascii="宋体" w:hAnsi="宋体"/>
          <w:sz w:val="32"/>
          <w:szCs w:val="32"/>
        </w:rPr>
        <w:t>2、加快推进迁安至凌源高速公路工程。建成后将是凌源南向与河北省东北部的重要快速物流通道。</w:t>
      </w:r>
    </w:p>
    <w:p w14:paraId="763CC970">
      <w:pPr>
        <w:pStyle w:val="6"/>
        <w:rPr>
          <w:rFonts w:ascii="宋体" w:hAnsi="宋体"/>
          <w:sz w:val="32"/>
          <w:szCs w:val="32"/>
        </w:rPr>
      </w:pPr>
      <w:r>
        <w:rPr>
          <w:rFonts w:hint="eastAsia" w:ascii="宋体" w:hAnsi="宋体"/>
          <w:sz w:val="32"/>
          <w:szCs w:val="32"/>
        </w:rPr>
        <w:t>（二）跨区域铁路物流通道</w:t>
      </w:r>
    </w:p>
    <w:p w14:paraId="1508CAD3">
      <w:pPr>
        <w:spacing w:before="240" w:after="240" w:line="360" w:lineRule="auto"/>
        <w:ind w:firstLine="562"/>
        <w:rPr>
          <w:rFonts w:ascii="宋体" w:hAnsi="宋体" w:eastAsia="宋体"/>
          <w:sz w:val="32"/>
          <w:szCs w:val="32"/>
        </w:rPr>
      </w:pPr>
      <w:r>
        <w:rPr>
          <w:rFonts w:hint="eastAsia" w:ascii="宋体" w:hAnsi="宋体" w:eastAsia="宋体"/>
          <w:sz w:val="32"/>
          <w:szCs w:val="32"/>
        </w:rPr>
        <w:t>加快推进锦承铁路、魏塔铁路的电气化改造进程，提升跨区域铁路运输能力。</w:t>
      </w:r>
    </w:p>
    <w:p w14:paraId="0D59B1E2">
      <w:pPr>
        <w:pStyle w:val="6"/>
        <w:rPr>
          <w:rFonts w:ascii="宋体" w:hAnsi="宋体"/>
          <w:sz w:val="32"/>
          <w:szCs w:val="32"/>
        </w:rPr>
      </w:pPr>
      <w:r>
        <w:rPr>
          <w:rFonts w:hint="eastAsia" w:ascii="宋体" w:hAnsi="宋体"/>
          <w:sz w:val="32"/>
          <w:szCs w:val="32"/>
        </w:rPr>
        <w:t>（三）跨区域陆海联运物流通道</w:t>
      </w:r>
    </w:p>
    <w:p w14:paraId="4509EB8A">
      <w:pPr>
        <w:spacing w:line="360" w:lineRule="auto"/>
        <w:ind w:firstLine="646" w:firstLineChars="202"/>
        <w:rPr>
          <w:rFonts w:ascii="宋体" w:hAnsi="宋体"/>
          <w:sz w:val="32"/>
          <w:szCs w:val="32"/>
        </w:rPr>
      </w:pPr>
      <w:r>
        <w:rPr>
          <w:rFonts w:hint="eastAsia" w:ascii="宋体" w:hAnsi="宋体"/>
          <w:sz w:val="32"/>
          <w:szCs w:val="32"/>
        </w:rPr>
        <w:t>支持物流企业加快开通连接葫芦岛港、锦州港的铁海联运通道。</w:t>
      </w:r>
    </w:p>
    <w:p w14:paraId="289DEF11">
      <w:pPr>
        <w:pStyle w:val="5"/>
        <w:keepNext w:val="0"/>
        <w:keepLines w:val="0"/>
        <w:spacing w:line="415" w:lineRule="auto"/>
      </w:pPr>
      <w:bookmarkStart w:id="139" w:name="_Toc79497986"/>
      <w:r>
        <w:rPr>
          <w:rFonts w:hint="eastAsia"/>
        </w:rPr>
        <w:t>二、市域物流通道</w:t>
      </w:r>
      <w:bookmarkEnd w:id="139"/>
    </w:p>
    <w:p w14:paraId="4DE92229">
      <w:pPr>
        <w:pStyle w:val="6"/>
        <w:keepNext w:val="0"/>
        <w:keepLines w:val="0"/>
        <w:rPr>
          <w:rFonts w:ascii="宋体" w:hAnsi="宋体"/>
          <w:sz w:val="32"/>
          <w:szCs w:val="32"/>
        </w:rPr>
      </w:pPr>
      <w:r>
        <w:rPr>
          <w:rFonts w:hint="eastAsia" w:ascii="宋体" w:hAnsi="宋体"/>
          <w:sz w:val="32"/>
          <w:szCs w:val="32"/>
        </w:rPr>
        <w:t>（一）公路物流通道</w:t>
      </w:r>
    </w:p>
    <w:p w14:paraId="03D06793">
      <w:pPr>
        <w:spacing w:line="360" w:lineRule="auto"/>
        <w:ind w:firstLine="646" w:firstLineChars="202"/>
        <w:rPr>
          <w:rFonts w:ascii="宋体" w:hAnsi="宋体"/>
          <w:sz w:val="32"/>
          <w:szCs w:val="32"/>
        </w:rPr>
      </w:pPr>
      <w:r>
        <w:rPr>
          <w:rFonts w:hint="eastAsia" w:ascii="宋体" w:hAnsi="宋体"/>
          <w:sz w:val="32"/>
          <w:szCs w:val="32"/>
        </w:rPr>
        <w:t>为提高农产品向凌源市农产品商贸物流园的物流集聚能力，以及非金属矿及其产品向朝阳凌源非金属新材料产业园区物流园的物流集聚能力，需尽快建设完善以下工程：</w:t>
      </w:r>
    </w:p>
    <w:p w14:paraId="6D221C5C">
      <w:pPr>
        <w:spacing w:line="360" w:lineRule="auto"/>
        <w:ind w:firstLine="646" w:firstLineChars="202"/>
        <w:rPr>
          <w:rFonts w:ascii="宋体" w:hAnsi="宋体"/>
          <w:sz w:val="32"/>
          <w:szCs w:val="32"/>
        </w:rPr>
      </w:pPr>
      <w:r>
        <w:rPr>
          <w:rFonts w:hint="eastAsia" w:ascii="宋体" w:hAnsi="宋体"/>
          <w:sz w:val="32"/>
          <w:szCs w:val="32"/>
        </w:rPr>
        <w:t>1、加快推进南五线、三沟线道路加宽改造工程，以及老绥线道路新建工程，加强东西向的横向通行能力。</w:t>
      </w:r>
    </w:p>
    <w:p w14:paraId="50A6EAD5">
      <w:pPr>
        <w:spacing w:line="360" w:lineRule="auto"/>
        <w:ind w:firstLine="646" w:firstLineChars="202"/>
        <w:rPr>
          <w:rFonts w:ascii="宋体" w:hAnsi="宋体"/>
          <w:sz w:val="32"/>
          <w:szCs w:val="32"/>
        </w:rPr>
      </w:pPr>
      <w:r>
        <w:rPr>
          <w:rFonts w:hint="eastAsia" w:ascii="宋体" w:hAnsi="宋体"/>
          <w:sz w:val="32"/>
          <w:szCs w:val="32"/>
        </w:rPr>
        <w:t>2、加快打通宋杖子镇到北炉乡的道路，以对接南五线，形成宋杖子镇到四合当镇的横向主通道。</w:t>
      </w:r>
    </w:p>
    <w:p w14:paraId="2E8BDF7F">
      <w:pPr>
        <w:spacing w:line="360" w:lineRule="auto"/>
        <w:ind w:firstLine="646" w:firstLineChars="202"/>
        <w:rPr>
          <w:rFonts w:ascii="宋体" w:hAnsi="宋体"/>
          <w:sz w:val="32"/>
          <w:szCs w:val="32"/>
        </w:rPr>
      </w:pPr>
      <w:r>
        <w:rPr>
          <w:rFonts w:hint="eastAsia" w:ascii="宋体" w:hAnsi="宋体"/>
          <w:sz w:val="32"/>
          <w:szCs w:val="32"/>
        </w:rPr>
        <w:t>3、加快打通四合当镇到大河北镇的横向通道，增强市域南部横向通行能力。</w:t>
      </w:r>
    </w:p>
    <w:p w14:paraId="4709D71D">
      <w:pPr>
        <w:pStyle w:val="6"/>
        <w:rPr>
          <w:rFonts w:ascii="宋体" w:hAnsi="宋体"/>
          <w:sz w:val="32"/>
          <w:szCs w:val="32"/>
        </w:rPr>
      </w:pPr>
      <w:r>
        <w:rPr>
          <w:rFonts w:hint="eastAsia" w:ascii="宋体" w:hAnsi="宋体"/>
          <w:sz w:val="32"/>
          <w:szCs w:val="32"/>
        </w:rPr>
        <w:t>（二）铁路物流通道</w:t>
      </w:r>
    </w:p>
    <w:p w14:paraId="5F8E546A">
      <w:pPr>
        <w:spacing w:line="360" w:lineRule="auto"/>
        <w:ind w:firstLine="646" w:firstLineChars="202"/>
        <w:rPr>
          <w:rFonts w:ascii="宋体" w:hAnsi="宋体"/>
          <w:sz w:val="32"/>
          <w:szCs w:val="32"/>
        </w:rPr>
      </w:pPr>
      <w:r>
        <w:rPr>
          <w:rFonts w:hint="eastAsia" w:ascii="宋体" w:hAnsi="宋体"/>
          <w:sz w:val="32"/>
          <w:szCs w:val="32"/>
        </w:rPr>
        <w:t>适时推进朝阳致远金融物流港铁路专用线项目建设。该专线从凌源东站西侧牵出，进入朝阳致远金融物流港公铁联运功能区，预计长度5千米。该项目将弥补开发区铁路专用线场站的运力不足。</w:t>
      </w:r>
    </w:p>
    <w:p w14:paraId="72496163">
      <w:pPr>
        <w:widowControl/>
        <w:jc w:val="left"/>
        <w:rPr>
          <w:rFonts w:ascii="黑体" w:hAnsi="黑体" w:eastAsia="黑体"/>
          <w:b/>
          <w:bCs/>
          <w:kern w:val="44"/>
          <w:sz w:val="44"/>
          <w:szCs w:val="44"/>
        </w:rPr>
      </w:pPr>
      <w:bookmarkStart w:id="140" w:name="_Toc46506040"/>
      <w:bookmarkStart w:id="141" w:name="_Toc57622901"/>
      <w:bookmarkStart w:id="142" w:name="_Toc46506031"/>
      <w:r>
        <w:rPr>
          <w:rFonts w:ascii="黑体" w:hAnsi="黑体" w:eastAsia="黑体"/>
        </w:rPr>
        <w:br w:type="page"/>
      </w:r>
    </w:p>
    <w:p w14:paraId="042A0EFA">
      <w:pPr>
        <w:pStyle w:val="3"/>
        <w:numPr>
          <w:ilvl w:val="0"/>
          <w:numId w:val="2"/>
        </w:numPr>
        <w:spacing w:line="360" w:lineRule="auto"/>
        <w:ind w:left="0" w:firstLine="0"/>
        <w:jc w:val="center"/>
        <w:rPr>
          <w:rFonts w:ascii="黑体" w:hAnsi="黑体" w:eastAsia="黑体"/>
        </w:rPr>
      </w:pPr>
      <w:bookmarkStart w:id="143" w:name="_Toc79497987"/>
      <w:r>
        <w:rPr>
          <w:rFonts w:hint="eastAsia" w:ascii="黑体" w:hAnsi="黑体" w:eastAsia="黑体"/>
        </w:rPr>
        <w:t>主要任务</w:t>
      </w:r>
      <w:bookmarkEnd w:id="143"/>
    </w:p>
    <w:p w14:paraId="5C8D319C">
      <w:pPr>
        <w:pStyle w:val="4"/>
        <w:spacing w:line="360" w:lineRule="auto"/>
        <w:jc w:val="center"/>
      </w:pPr>
      <w:bookmarkStart w:id="144" w:name="_Toc79497988"/>
      <w:r>
        <w:rPr>
          <w:rFonts w:hint="eastAsia"/>
        </w:rPr>
        <w:t>第一节 加快提升物流集约化水平</w:t>
      </w:r>
      <w:bookmarkEnd w:id="144"/>
    </w:p>
    <w:p w14:paraId="2FB50EA1">
      <w:pPr>
        <w:pStyle w:val="5"/>
        <w:spacing w:line="360" w:lineRule="auto"/>
        <w:rPr>
          <w:rFonts w:asciiTheme="minorEastAsia" w:hAnsiTheme="minorEastAsia"/>
        </w:rPr>
      </w:pPr>
      <w:bookmarkStart w:id="145" w:name="_Toc79497989"/>
      <w:r>
        <w:rPr>
          <w:rFonts w:hint="eastAsia" w:asciiTheme="minorEastAsia" w:hAnsiTheme="minorEastAsia"/>
        </w:rPr>
        <w:t>一、加快完善物流节点体系</w:t>
      </w:r>
      <w:bookmarkEnd w:id="145"/>
    </w:p>
    <w:p w14:paraId="4FFF11FA">
      <w:pPr>
        <w:pStyle w:val="6"/>
        <w:rPr>
          <w:rFonts w:ascii="宋体" w:hAnsi="宋体"/>
          <w:sz w:val="32"/>
          <w:szCs w:val="32"/>
        </w:rPr>
      </w:pPr>
      <w:r>
        <w:rPr>
          <w:rFonts w:hint="eastAsia" w:ascii="宋体" w:hAnsi="宋体"/>
          <w:sz w:val="32"/>
          <w:szCs w:val="32"/>
        </w:rPr>
        <w:t>（一）工作任务</w:t>
      </w:r>
    </w:p>
    <w:p w14:paraId="07617559">
      <w:pPr>
        <w:spacing w:line="360" w:lineRule="auto"/>
        <w:ind w:firstLine="646" w:firstLineChars="202"/>
        <w:rPr>
          <w:rFonts w:ascii="宋体" w:hAnsi="宋体"/>
          <w:sz w:val="32"/>
          <w:szCs w:val="32"/>
        </w:rPr>
      </w:pPr>
      <w:r>
        <w:rPr>
          <w:rFonts w:hint="eastAsia" w:ascii="宋体" w:hAnsi="宋体"/>
          <w:sz w:val="32"/>
          <w:szCs w:val="32"/>
        </w:rPr>
        <w:t>物流节点主要是指物流园区、物流（配送）中心和配送网点。物流节点是现代物流体系的重要组成部分和重要支撑。“十四五”期间，凌源市需加快推动形成“三核、两带、多点”的物流产业节点空间布局，最终形成具有综合物流服务功能，能够为制造业、农业、商贸流通业提供上下游全链条供应链物流服务，兼具干线运输、区域中转、城市配送和物流信息服务、物流金融服务等功能，覆盖全市、辐射周边的现代物流节点体系。通过物流节点体系的建立和完善，推动凌源市成为辽冀蒙三省（区）结合部的物流集散中心。</w:t>
      </w:r>
    </w:p>
    <w:p w14:paraId="40DF7C6C">
      <w:pPr>
        <w:pStyle w:val="6"/>
        <w:rPr>
          <w:rFonts w:ascii="宋体" w:hAnsi="宋体"/>
          <w:sz w:val="32"/>
          <w:szCs w:val="32"/>
        </w:rPr>
      </w:pPr>
      <w:r>
        <w:rPr>
          <w:rFonts w:hint="eastAsia" w:ascii="宋体" w:hAnsi="宋体"/>
          <w:sz w:val="32"/>
          <w:szCs w:val="32"/>
        </w:rPr>
        <w:t>（二）工作安排</w:t>
      </w:r>
    </w:p>
    <w:p w14:paraId="58B511B3">
      <w:pPr>
        <w:spacing w:line="360" w:lineRule="auto"/>
        <w:ind w:firstLine="646" w:firstLineChars="202"/>
        <w:rPr>
          <w:rFonts w:ascii="宋体" w:hAnsi="宋体"/>
          <w:sz w:val="32"/>
          <w:szCs w:val="32"/>
        </w:rPr>
      </w:pPr>
      <w:r>
        <w:rPr>
          <w:rFonts w:hint="eastAsia" w:ascii="宋体" w:hAnsi="宋体"/>
          <w:sz w:val="32"/>
          <w:szCs w:val="32"/>
        </w:rPr>
        <w:t>利用三年左右的时间，推进完成朝阳致远金融物流港、凌源市农产品商贸物流园和朝阳凌源非金属新材料产业园区物流园、开发区铁路专用线场站</w:t>
      </w:r>
      <w:r>
        <w:rPr>
          <w:rFonts w:hint="eastAsia"/>
          <w:sz w:val="32"/>
          <w:szCs w:val="32"/>
        </w:rPr>
        <w:t>、凌源市汽车物流产业园、凌源农业科工贸数字物流产业园、辽冀蒙商贸物流园和</w:t>
      </w:r>
      <w:r>
        <w:rPr>
          <w:rFonts w:hint="eastAsia" w:ascii="宋体" w:hAnsi="宋体"/>
          <w:sz w:val="32"/>
          <w:szCs w:val="32"/>
        </w:rPr>
        <w:t>城乡配送网络</w:t>
      </w:r>
      <w:r>
        <w:rPr>
          <w:rFonts w:hint="eastAsia"/>
          <w:sz w:val="32"/>
          <w:szCs w:val="32"/>
        </w:rPr>
        <w:t>等重点项目</w:t>
      </w:r>
      <w:r>
        <w:rPr>
          <w:rFonts w:hint="eastAsia" w:ascii="宋体" w:hAnsi="宋体"/>
          <w:sz w:val="32"/>
          <w:szCs w:val="32"/>
        </w:rPr>
        <w:t>的建设，搭建起物流节点体系的支柱性框架结构。五年内完成其它各节点的建设工作。</w:t>
      </w:r>
    </w:p>
    <w:p w14:paraId="3574F165">
      <w:pPr>
        <w:pStyle w:val="5"/>
        <w:spacing w:line="360" w:lineRule="auto"/>
        <w:rPr>
          <w:rFonts w:asciiTheme="minorEastAsia" w:hAnsiTheme="minorEastAsia"/>
        </w:rPr>
      </w:pPr>
      <w:bookmarkStart w:id="146" w:name="_Toc79497990"/>
      <w:r>
        <w:rPr>
          <w:rFonts w:hint="eastAsia" w:asciiTheme="minorEastAsia" w:hAnsiTheme="minorEastAsia"/>
        </w:rPr>
        <w:t>二、加快推动物流业集聚发展</w:t>
      </w:r>
      <w:bookmarkEnd w:id="146"/>
    </w:p>
    <w:p w14:paraId="625D82B6">
      <w:pPr>
        <w:pStyle w:val="6"/>
        <w:rPr>
          <w:rFonts w:ascii="宋体" w:hAnsi="宋体"/>
          <w:sz w:val="32"/>
          <w:szCs w:val="32"/>
        </w:rPr>
      </w:pPr>
      <w:r>
        <w:rPr>
          <w:rFonts w:hint="eastAsia" w:ascii="宋体" w:hAnsi="宋体"/>
          <w:sz w:val="32"/>
          <w:szCs w:val="32"/>
        </w:rPr>
        <w:t>（一）工作任务</w:t>
      </w:r>
    </w:p>
    <w:p w14:paraId="386C63D9">
      <w:pPr>
        <w:spacing w:line="360" w:lineRule="auto"/>
        <w:ind w:firstLine="646" w:firstLineChars="202"/>
        <w:rPr>
          <w:rFonts w:ascii="宋体" w:hAnsi="宋体"/>
          <w:sz w:val="32"/>
          <w:szCs w:val="32"/>
        </w:rPr>
      </w:pPr>
      <w:r>
        <w:rPr>
          <w:rFonts w:hint="eastAsia" w:ascii="宋体" w:hAnsi="宋体"/>
          <w:sz w:val="32"/>
          <w:szCs w:val="32"/>
        </w:rPr>
        <w:t>集聚效应促使物流业实现规模发展，有效地形成运输业、仓储业、装卸服务业等产业链条的联动优势和传递效能，通过辐射作用带动一个区域的物流产业实现整体协调发展。物流园区建设是产生物流业集聚效应的主要载体，也是现代物流业发展的主要方向。通过物流园区建设发挥物流业的集聚效应，实现产业规模的升级在我国方兴未艾。凌源市应</w:t>
      </w:r>
      <w:r>
        <w:rPr>
          <w:rFonts w:ascii="宋体" w:hAnsi="宋体"/>
          <w:sz w:val="32"/>
          <w:szCs w:val="32"/>
        </w:rPr>
        <w:t>以</w:t>
      </w:r>
      <w:r>
        <w:rPr>
          <w:rFonts w:hint="eastAsia" w:ascii="宋体" w:hAnsi="宋体"/>
          <w:sz w:val="32"/>
          <w:szCs w:val="32"/>
        </w:rPr>
        <w:t>朝阳致远金融物流港、凌源市农产品商贸物流园和朝阳凌源非金属新材料产业园区物流园三大物流核心承载设施</w:t>
      </w:r>
      <w:r>
        <w:rPr>
          <w:rFonts w:ascii="宋体" w:hAnsi="宋体"/>
          <w:sz w:val="32"/>
          <w:szCs w:val="32"/>
        </w:rPr>
        <w:t>为依托，</w:t>
      </w:r>
      <w:r>
        <w:rPr>
          <w:rFonts w:hint="eastAsia" w:ascii="宋体" w:hAnsi="宋体"/>
          <w:sz w:val="32"/>
          <w:szCs w:val="32"/>
        </w:rPr>
        <w:t>有序推动供应链物流、工业物流、农产品物流、商贸物流、多式联运、冷链物流、电商快递、城乡共配等物流市场主体，以及</w:t>
      </w:r>
      <w:r>
        <w:rPr>
          <w:rFonts w:ascii="宋体" w:hAnsi="宋体"/>
          <w:sz w:val="32"/>
          <w:szCs w:val="32"/>
        </w:rPr>
        <w:t>相关制造</w:t>
      </w:r>
      <w:r>
        <w:rPr>
          <w:rFonts w:hint="eastAsia" w:ascii="宋体" w:hAnsi="宋体"/>
          <w:sz w:val="32"/>
          <w:szCs w:val="32"/>
        </w:rPr>
        <w:t>业企业</w:t>
      </w:r>
      <w:r>
        <w:rPr>
          <w:rFonts w:ascii="宋体" w:hAnsi="宋体"/>
          <w:sz w:val="32"/>
          <w:szCs w:val="32"/>
        </w:rPr>
        <w:t>、流通企业在空间上</w:t>
      </w:r>
      <w:r>
        <w:rPr>
          <w:rFonts w:hint="eastAsia" w:ascii="宋体" w:hAnsi="宋体"/>
          <w:sz w:val="32"/>
          <w:szCs w:val="32"/>
        </w:rPr>
        <w:t>形成集聚，构建北部、中部、南部三大</w:t>
      </w:r>
      <w:r>
        <w:rPr>
          <w:rFonts w:ascii="宋体" w:hAnsi="宋体"/>
          <w:sz w:val="32"/>
          <w:szCs w:val="32"/>
        </w:rPr>
        <w:t>物流</w:t>
      </w:r>
      <w:r>
        <w:rPr>
          <w:rFonts w:hint="eastAsia" w:ascii="宋体" w:hAnsi="宋体"/>
          <w:sz w:val="32"/>
          <w:szCs w:val="32"/>
        </w:rPr>
        <w:t>产业集聚区，提高社会物流运行整体效率。</w:t>
      </w:r>
    </w:p>
    <w:p w14:paraId="313F4C9B">
      <w:pPr>
        <w:pStyle w:val="6"/>
        <w:rPr>
          <w:rFonts w:ascii="宋体" w:hAnsi="宋体"/>
          <w:sz w:val="32"/>
          <w:szCs w:val="32"/>
        </w:rPr>
      </w:pPr>
      <w:r>
        <w:rPr>
          <w:rFonts w:hint="eastAsia" w:ascii="宋体" w:hAnsi="宋体"/>
          <w:sz w:val="32"/>
          <w:szCs w:val="32"/>
        </w:rPr>
        <w:t>（二）工作安排</w:t>
      </w:r>
    </w:p>
    <w:p w14:paraId="646AA8CE">
      <w:pPr>
        <w:spacing w:line="360" w:lineRule="auto"/>
        <w:ind w:firstLine="646" w:firstLineChars="202"/>
        <w:rPr>
          <w:rFonts w:ascii="宋体" w:hAnsi="宋体"/>
          <w:sz w:val="32"/>
          <w:szCs w:val="32"/>
        </w:rPr>
      </w:pPr>
      <w:r>
        <w:rPr>
          <w:rFonts w:hint="eastAsia" w:ascii="宋体" w:hAnsi="宋体"/>
          <w:sz w:val="32"/>
          <w:szCs w:val="32"/>
        </w:rPr>
        <w:t>物流产业集聚区整体招商工作应在五年左右完成，其中，朝阳致远金融物流港一期招商要在2</w:t>
      </w:r>
      <w:r>
        <w:rPr>
          <w:rFonts w:ascii="宋体" w:hAnsi="宋体"/>
          <w:sz w:val="32"/>
          <w:szCs w:val="32"/>
        </w:rPr>
        <w:t>021</w:t>
      </w:r>
      <w:r>
        <w:rPr>
          <w:rFonts w:hint="eastAsia" w:ascii="宋体" w:hAnsi="宋体"/>
          <w:sz w:val="32"/>
          <w:szCs w:val="32"/>
        </w:rPr>
        <w:t>年</w:t>
      </w:r>
      <w:r>
        <w:rPr>
          <w:rFonts w:ascii="宋体" w:hAnsi="宋体"/>
          <w:sz w:val="32"/>
          <w:szCs w:val="32"/>
        </w:rPr>
        <w:t>12</w:t>
      </w:r>
      <w:r>
        <w:rPr>
          <w:rFonts w:hint="eastAsia" w:ascii="宋体" w:hAnsi="宋体"/>
          <w:sz w:val="32"/>
          <w:szCs w:val="32"/>
        </w:rPr>
        <w:t>月底以前完成，二期可根据工程建设进度在五年内完成；凌源市农产品商贸物流园、朝阳凌源非金属新材料产业园区物流园一期招商工作应在2</w:t>
      </w:r>
      <w:r>
        <w:rPr>
          <w:rFonts w:ascii="宋体" w:hAnsi="宋体"/>
          <w:sz w:val="32"/>
          <w:szCs w:val="32"/>
        </w:rPr>
        <w:t>022</w:t>
      </w:r>
      <w:r>
        <w:rPr>
          <w:rFonts w:hint="eastAsia" w:ascii="宋体" w:hAnsi="宋体"/>
          <w:sz w:val="32"/>
          <w:szCs w:val="32"/>
        </w:rPr>
        <w:t>年</w:t>
      </w:r>
      <w:r>
        <w:rPr>
          <w:rFonts w:ascii="宋体" w:hAnsi="宋体"/>
          <w:sz w:val="32"/>
          <w:szCs w:val="32"/>
        </w:rPr>
        <w:t>12</w:t>
      </w:r>
      <w:r>
        <w:rPr>
          <w:rFonts w:hint="eastAsia" w:ascii="宋体" w:hAnsi="宋体"/>
          <w:sz w:val="32"/>
          <w:szCs w:val="32"/>
        </w:rPr>
        <w:t>月底前完成，二期、三期可根据土地供应及工程建设等情况进行，最终确保在五年内完成招商。具体工作推进方面，首先，要树立全市一盘棋的物流招商理念。可按照“三个物流产业集聚区、一名市级领导挂帅、一个招商目标计划、一个工作专班、一笔招商经费、一抓到底”的方式，整合凌源全市招商力量和工作经费，建立责任明确、务实高效的物流产业招商机制。其次，要聚焦招商区域与聚焦龙头企业，要围绕京津冀城市群、沈阳都市圈等进行定向招商，同时，更要聚焦物流行业百强企业或区域物流百强企业进行招商，提高招商质量。最后，要加大招商服务力度。工作专班要明确专人协调项目落地、开工建设、工商注册等全程服务机制。要建立集约、高效、合理的用地机制，积极整合土地资源，为物流产业项目落地提供土地保障。</w:t>
      </w:r>
    </w:p>
    <w:p w14:paraId="6ADAC026">
      <w:pPr>
        <w:pStyle w:val="5"/>
        <w:keepNext w:val="0"/>
        <w:keepLines w:val="0"/>
        <w:spacing w:line="360" w:lineRule="auto"/>
        <w:rPr>
          <w:rFonts w:asciiTheme="minorEastAsia" w:hAnsiTheme="minorEastAsia"/>
        </w:rPr>
      </w:pPr>
      <w:bookmarkStart w:id="147" w:name="_Toc79497991"/>
      <w:r>
        <w:rPr>
          <w:rFonts w:hint="eastAsia" w:asciiTheme="minorEastAsia" w:hAnsiTheme="minorEastAsia"/>
        </w:rPr>
        <w:t>三、加快推动物流新基建</w:t>
      </w:r>
      <w:bookmarkEnd w:id="147"/>
    </w:p>
    <w:p w14:paraId="650A5F6C">
      <w:pPr>
        <w:pStyle w:val="6"/>
        <w:rPr>
          <w:rFonts w:ascii="宋体" w:hAnsi="宋体"/>
          <w:sz w:val="32"/>
          <w:szCs w:val="32"/>
        </w:rPr>
      </w:pPr>
      <w:r>
        <w:rPr>
          <w:rFonts w:hint="eastAsia" w:ascii="宋体" w:hAnsi="宋体"/>
          <w:sz w:val="32"/>
          <w:szCs w:val="32"/>
        </w:rPr>
        <w:t>（一）工作任务</w:t>
      </w:r>
    </w:p>
    <w:p w14:paraId="59FBA88B">
      <w:pPr>
        <w:spacing w:line="360" w:lineRule="auto"/>
        <w:ind w:firstLine="646" w:firstLineChars="202"/>
        <w:rPr>
          <w:rFonts w:ascii="宋体" w:hAnsi="宋体"/>
          <w:sz w:val="32"/>
          <w:szCs w:val="32"/>
        </w:rPr>
      </w:pPr>
      <w:r>
        <w:rPr>
          <w:rFonts w:ascii="宋体" w:hAnsi="宋体"/>
          <w:sz w:val="32"/>
          <w:szCs w:val="32"/>
        </w:rPr>
        <w:t>“新基建”</w:t>
      </w:r>
      <w:r>
        <w:rPr>
          <w:rFonts w:hint="eastAsia" w:ascii="宋体" w:hAnsi="宋体"/>
          <w:sz w:val="32"/>
          <w:szCs w:val="32"/>
        </w:rPr>
        <w:t>将有力地推动</w:t>
      </w:r>
      <w:r>
        <w:rPr>
          <w:rFonts w:ascii="宋体" w:hAnsi="宋体"/>
          <w:sz w:val="32"/>
          <w:szCs w:val="32"/>
        </w:rPr>
        <w:t>我国物流业</w:t>
      </w:r>
      <w:r>
        <w:rPr>
          <w:rFonts w:hint="eastAsia" w:ascii="宋体" w:hAnsi="宋体"/>
          <w:sz w:val="32"/>
          <w:szCs w:val="32"/>
        </w:rPr>
        <w:t>的</w:t>
      </w:r>
      <w:r>
        <w:rPr>
          <w:rFonts w:ascii="宋体" w:hAnsi="宋体"/>
          <w:sz w:val="32"/>
          <w:szCs w:val="32"/>
        </w:rPr>
        <w:t>数字化、信息化和智能化水</w:t>
      </w:r>
      <w:r>
        <w:rPr>
          <w:rFonts w:hint="eastAsia" w:ascii="宋体" w:hAnsi="宋体"/>
          <w:sz w:val="32"/>
          <w:szCs w:val="32"/>
        </w:rPr>
        <w:t>准，进一步提升物流业集约化运作水平。“十四五”期间，凌源市应大力推动</w:t>
      </w:r>
      <w:r>
        <w:rPr>
          <w:rFonts w:ascii="宋体" w:hAnsi="宋体"/>
          <w:sz w:val="32"/>
          <w:szCs w:val="32"/>
        </w:rPr>
        <w:t>物流企业积极参与“新基建”实践，利用好“新基建”带来的技术红利，推动</w:t>
      </w:r>
      <w:r>
        <w:rPr>
          <w:rFonts w:hint="eastAsia" w:ascii="宋体" w:hAnsi="宋体"/>
          <w:sz w:val="32"/>
          <w:szCs w:val="32"/>
        </w:rPr>
        <w:t>物流</w:t>
      </w:r>
      <w:r>
        <w:rPr>
          <w:rFonts w:ascii="宋体" w:hAnsi="宋体"/>
          <w:sz w:val="32"/>
          <w:szCs w:val="32"/>
        </w:rPr>
        <w:t>业进入新一轮快速升级发展阶段</w:t>
      </w:r>
      <w:r>
        <w:rPr>
          <w:rFonts w:hint="eastAsia" w:ascii="宋体" w:hAnsi="宋体"/>
          <w:sz w:val="32"/>
          <w:szCs w:val="32"/>
        </w:rPr>
        <w:t>。主要举措包括：鼓励快递企业建设</w:t>
      </w:r>
      <w:r>
        <w:rPr>
          <w:rFonts w:ascii="宋体" w:hAnsi="宋体"/>
          <w:sz w:val="32"/>
          <w:szCs w:val="32"/>
        </w:rPr>
        <w:t>智能配送站</w:t>
      </w:r>
      <w:r>
        <w:rPr>
          <w:rFonts w:hint="eastAsia" w:ascii="宋体" w:hAnsi="宋体"/>
          <w:sz w:val="32"/>
          <w:szCs w:val="32"/>
        </w:rPr>
        <w:t>、智能配送机器人等新产品开展业务，提高寄递效率，增加服务便利度；鼓励朝阳致远金融物流港、凌源市农产品商贸物流园和朝阳凌源非金属新材料产业园区物流园等物流园区</w:t>
      </w:r>
      <w:r>
        <w:rPr>
          <w:rFonts w:ascii="宋体" w:hAnsi="宋体"/>
          <w:sz w:val="32"/>
          <w:szCs w:val="32"/>
        </w:rPr>
        <w:t>建设5G智能物流示范园区，依托5G网络通信技术，通过AIoT（人工智能物联网）、自动驾驶、</w:t>
      </w:r>
      <w:r>
        <w:rPr>
          <w:rFonts w:hint="eastAsia" w:ascii="宋体" w:hAnsi="宋体"/>
          <w:sz w:val="32"/>
          <w:szCs w:val="32"/>
        </w:rPr>
        <w:t>仓储</w:t>
      </w:r>
      <w:r>
        <w:rPr>
          <w:rFonts w:ascii="宋体" w:hAnsi="宋体"/>
          <w:sz w:val="32"/>
          <w:szCs w:val="32"/>
        </w:rPr>
        <w:t>机器人等智能物流技术，打造高智能、自决策、一体化的智能物流示范园区</w:t>
      </w:r>
      <w:r>
        <w:rPr>
          <w:rFonts w:hint="eastAsia" w:ascii="宋体" w:hAnsi="宋体"/>
          <w:sz w:val="32"/>
          <w:szCs w:val="32"/>
        </w:rPr>
        <w:t>；鼓励物流企业</w:t>
      </w:r>
      <w:r>
        <w:rPr>
          <w:rFonts w:ascii="宋体" w:hAnsi="宋体"/>
          <w:sz w:val="32"/>
          <w:szCs w:val="32"/>
        </w:rPr>
        <w:t>从单点、局部的信息技术应用向数字化、网络化和智能化转变，</w:t>
      </w:r>
      <w:r>
        <w:rPr>
          <w:rFonts w:hint="eastAsia" w:ascii="宋体" w:hAnsi="宋体"/>
          <w:sz w:val="32"/>
          <w:szCs w:val="32"/>
        </w:rPr>
        <w:t>运用</w:t>
      </w:r>
      <w:r>
        <w:rPr>
          <w:rFonts w:ascii="宋体" w:hAnsi="宋体"/>
          <w:sz w:val="32"/>
          <w:szCs w:val="32"/>
        </w:rPr>
        <w:t>智能调度、视频监控、</w:t>
      </w:r>
      <w:r>
        <w:rPr>
          <w:rFonts w:hint="eastAsia" w:ascii="宋体" w:hAnsi="宋体"/>
          <w:sz w:val="32"/>
          <w:szCs w:val="32"/>
        </w:rPr>
        <w:t>智能</w:t>
      </w:r>
      <w:r>
        <w:rPr>
          <w:rFonts w:ascii="宋体" w:hAnsi="宋体"/>
          <w:sz w:val="32"/>
          <w:szCs w:val="32"/>
        </w:rPr>
        <w:t>配送等</w:t>
      </w:r>
      <w:r>
        <w:rPr>
          <w:rFonts w:hint="eastAsia" w:ascii="宋体" w:hAnsi="宋体"/>
          <w:sz w:val="32"/>
          <w:szCs w:val="32"/>
        </w:rPr>
        <w:t>手段</w:t>
      </w:r>
      <w:r>
        <w:rPr>
          <w:rFonts w:ascii="宋体" w:hAnsi="宋体"/>
          <w:sz w:val="32"/>
          <w:szCs w:val="32"/>
        </w:rPr>
        <w:t>提升物流效率</w:t>
      </w:r>
      <w:r>
        <w:rPr>
          <w:rFonts w:hint="eastAsia" w:ascii="宋体" w:hAnsi="宋体"/>
          <w:sz w:val="32"/>
          <w:szCs w:val="32"/>
        </w:rPr>
        <w:t>。通过物流新基建的相关举措，提高物流业的</w:t>
      </w:r>
      <w:r>
        <w:rPr>
          <w:rFonts w:ascii="宋体" w:hAnsi="宋体"/>
          <w:sz w:val="32"/>
          <w:szCs w:val="32"/>
        </w:rPr>
        <w:t>“数字+”“智能+”</w:t>
      </w:r>
      <w:r>
        <w:rPr>
          <w:rFonts w:hint="eastAsia" w:ascii="宋体" w:hAnsi="宋体"/>
          <w:sz w:val="32"/>
          <w:szCs w:val="32"/>
        </w:rPr>
        <w:t>运用水平，推动</w:t>
      </w:r>
      <w:r>
        <w:rPr>
          <w:rFonts w:ascii="宋体" w:hAnsi="宋体"/>
          <w:sz w:val="32"/>
          <w:szCs w:val="32"/>
        </w:rPr>
        <w:t>物流行业</w:t>
      </w:r>
      <w:r>
        <w:rPr>
          <w:rFonts w:hint="eastAsia" w:ascii="宋体" w:hAnsi="宋体"/>
          <w:sz w:val="32"/>
          <w:szCs w:val="32"/>
        </w:rPr>
        <w:t>的</w:t>
      </w:r>
      <w:r>
        <w:rPr>
          <w:rFonts w:ascii="宋体" w:hAnsi="宋体"/>
          <w:sz w:val="32"/>
          <w:szCs w:val="32"/>
        </w:rPr>
        <w:t>智能化升级和供应链整合</w:t>
      </w:r>
      <w:r>
        <w:rPr>
          <w:rFonts w:hint="eastAsia" w:ascii="宋体" w:hAnsi="宋体"/>
          <w:sz w:val="32"/>
          <w:szCs w:val="32"/>
        </w:rPr>
        <w:t>。</w:t>
      </w:r>
    </w:p>
    <w:p w14:paraId="267DD56F">
      <w:pPr>
        <w:pStyle w:val="6"/>
        <w:rPr>
          <w:rFonts w:ascii="宋体" w:hAnsi="宋体"/>
          <w:sz w:val="32"/>
          <w:szCs w:val="32"/>
        </w:rPr>
      </w:pPr>
      <w:r>
        <w:rPr>
          <w:rFonts w:hint="eastAsia" w:ascii="宋体" w:hAnsi="宋体"/>
          <w:sz w:val="32"/>
          <w:szCs w:val="32"/>
        </w:rPr>
        <w:t>（二）工作安排</w:t>
      </w:r>
    </w:p>
    <w:p w14:paraId="4471BD3E">
      <w:pPr>
        <w:pStyle w:val="2"/>
        <w:spacing w:line="360" w:lineRule="auto"/>
        <w:ind w:firstLine="640"/>
        <w:rPr>
          <w:rFonts w:ascii="宋体" w:hAnsi="宋体" w:eastAsiaTheme="minorEastAsia" w:cstheme="minorBidi"/>
          <w:sz w:val="32"/>
          <w:szCs w:val="32"/>
        </w:rPr>
      </w:pPr>
      <w:r>
        <w:rPr>
          <w:rFonts w:hint="eastAsia" w:ascii="宋体" w:hAnsi="宋体" w:eastAsiaTheme="minorEastAsia" w:cstheme="minorBidi"/>
          <w:sz w:val="32"/>
          <w:szCs w:val="32"/>
        </w:rPr>
        <w:t>用一年左右的时间，即到2</w:t>
      </w:r>
      <w:r>
        <w:rPr>
          <w:rFonts w:ascii="宋体" w:hAnsi="宋体" w:eastAsiaTheme="minorEastAsia" w:cstheme="minorBidi"/>
          <w:sz w:val="32"/>
          <w:szCs w:val="32"/>
        </w:rPr>
        <w:t>022</w:t>
      </w:r>
      <w:r>
        <w:rPr>
          <w:rFonts w:hint="eastAsia" w:ascii="宋体" w:hAnsi="宋体" w:eastAsiaTheme="minorEastAsia" w:cstheme="minorBidi"/>
          <w:sz w:val="32"/>
          <w:szCs w:val="32"/>
        </w:rPr>
        <w:t>年6月左右，率先推动顺丰、圆通等快递企业建设智能配送站、应用智能分拣设备等，从凌源快递领域的“新基建”开始起步。然后，利用五年左右的时间，即到2</w:t>
      </w:r>
      <w:r>
        <w:rPr>
          <w:rFonts w:ascii="宋体" w:hAnsi="宋体" w:eastAsiaTheme="minorEastAsia" w:cstheme="minorBidi"/>
          <w:sz w:val="32"/>
          <w:szCs w:val="32"/>
        </w:rPr>
        <w:t>025</w:t>
      </w:r>
      <w:r>
        <w:rPr>
          <w:rFonts w:hint="eastAsia" w:ascii="宋体" w:hAnsi="宋体" w:eastAsiaTheme="minorEastAsia" w:cstheme="minorBidi"/>
          <w:sz w:val="32"/>
          <w:szCs w:val="32"/>
        </w:rPr>
        <w:t>年，将朝阳致远金融物流港、凌源市</w:t>
      </w:r>
      <w:r>
        <w:rPr>
          <w:rFonts w:hint="eastAsia" w:ascii="宋体" w:hAnsi="宋体"/>
          <w:sz w:val="32"/>
          <w:szCs w:val="32"/>
        </w:rPr>
        <w:t>农产品商贸物流园</w:t>
      </w:r>
      <w:r>
        <w:rPr>
          <w:rFonts w:hint="eastAsia" w:ascii="宋体" w:hAnsi="宋体" w:eastAsiaTheme="minorEastAsia" w:cstheme="minorBidi"/>
          <w:sz w:val="32"/>
          <w:szCs w:val="32"/>
        </w:rPr>
        <w:t>和朝阳凌源非金属新材料产业园区物流园初步建成智能物流示范园区，基本构建起凌源物流领域“新基建”的主体框架。最后，在十年内推动凌源快递物流领域的“新基建”进入建设热潮。</w:t>
      </w:r>
    </w:p>
    <w:p w14:paraId="5A75DD05">
      <w:pPr>
        <w:pStyle w:val="4"/>
        <w:spacing w:line="360" w:lineRule="auto"/>
        <w:jc w:val="center"/>
      </w:pPr>
      <w:bookmarkStart w:id="148" w:name="_Toc79497992"/>
      <w:r>
        <w:rPr>
          <w:rFonts w:hint="eastAsia"/>
        </w:rPr>
        <w:t>第二节 加快培育物流市场主体</w:t>
      </w:r>
      <w:bookmarkEnd w:id="148"/>
    </w:p>
    <w:p w14:paraId="76ACFF6D">
      <w:pPr>
        <w:spacing w:line="360" w:lineRule="auto"/>
        <w:ind w:firstLine="646" w:firstLineChars="202"/>
        <w:rPr>
          <w:rFonts w:ascii="宋体" w:hAnsi="宋体"/>
          <w:sz w:val="32"/>
          <w:szCs w:val="32"/>
        </w:rPr>
      </w:pPr>
      <w:r>
        <w:rPr>
          <w:rFonts w:hint="eastAsia" w:ascii="宋体" w:hAnsi="宋体"/>
          <w:sz w:val="32"/>
          <w:szCs w:val="32"/>
        </w:rPr>
        <w:t>通过引进、培育、整合和推动企业物流转型升级等手段，建设一批专业化、现代化、具有行业竞争优势的龙头物流企业集群，提高物流服务水平，提升区域竞争力和影响力。</w:t>
      </w:r>
    </w:p>
    <w:p w14:paraId="65CFE70A">
      <w:pPr>
        <w:pStyle w:val="5"/>
        <w:spacing w:line="360" w:lineRule="auto"/>
        <w:rPr>
          <w:rFonts w:asciiTheme="minorEastAsia" w:hAnsiTheme="minorEastAsia"/>
        </w:rPr>
      </w:pPr>
      <w:bookmarkStart w:id="149" w:name="_Toc79497993"/>
      <w:r>
        <w:rPr>
          <w:rFonts w:hint="eastAsia" w:asciiTheme="minorEastAsia" w:hAnsiTheme="minorEastAsia"/>
        </w:rPr>
        <w:t>一、加快培育本土第三方物流企业</w:t>
      </w:r>
      <w:bookmarkEnd w:id="149"/>
    </w:p>
    <w:p w14:paraId="73DF60F1">
      <w:pPr>
        <w:pStyle w:val="6"/>
        <w:rPr>
          <w:rFonts w:ascii="宋体" w:hAnsi="宋体"/>
          <w:sz w:val="32"/>
          <w:szCs w:val="32"/>
        </w:rPr>
      </w:pPr>
      <w:r>
        <w:rPr>
          <w:rFonts w:hint="eastAsia" w:ascii="宋体" w:hAnsi="宋体"/>
          <w:sz w:val="32"/>
          <w:szCs w:val="32"/>
        </w:rPr>
        <w:t>（一）工作任务</w:t>
      </w:r>
    </w:p>
    <w:p w14:paraId="5B96F67C">
      <w:pPr>
        <w:spacing w:line="360" w:lineRule="auto"/>
        <w:ind w:firstLine="646" w:firstLineChars="202"/>
        <w:rPr>
          <w:rFonts w:ascii="宋体" w:hAnsi="宋体"/>
          <w:sz w:val="32"/>
          <w:szCs w:val="32"/>
        </w:rPr>
      </w:pPr>
      <w:r>
        <w:rPr>
          <w:rFonts w:hint="eastAsia" w:ascii="宋体" w:hAnsi="宋体"/>
          <w:sz w:val="32"/>
          <w:szCs w:val="32"/>
        </w:rPr>
        <w:t>坚持培育龙头企业与扶持中小企业并重，形成大中小企业协调发展格局；引导骨干企业做大规模、做强主业、做响品牌；支持优势企业以市场为导向、资本为纽带、品牌为龙头，积极拓展经营领域和业务规模。着重培育朝阳致远金融物流港、朝阳凌源非金属新材料产业园区物流园等本土第三方物流企业，推动其进一步扩展业务网络，提升管理能力，并协助其申报4A级物流企业。</w:t>
      </w:r>
    </w:p>
    <w:p w14:paraId="497AD37B">
      <w:pPr>
        <w:pStyle w:val="6"/>
        <w:rPr>
          <w:rFonts w:ascii="宋体" w:hAnsi="宋体"/>
          <w:sz w:val="32"/>
          <w:szCs w:val="32"/>
        </w:rPr>
      </w:pPr>
      <w:r>
        <w:rPr>
          <w:rFonts w:hint="eastAsia" w:ascii="宋体" w:hAnsi="宋体"/>
          <w:sz w:val="32"/>
          <w:szCs w:val="32"/>
        </w:rPr>
        <w:t>（二）工作安排</w:t>
      </w:r>
    </w:p>
    <w:p w14:paraId="080FE6C2">
      <w:pPr>
        <w:pStyle w:val="2"/>
        <w:spacing w:line="360" w:lineRule="auto"/>
        <w:ind w:firstLine="640"/>
        <w:rPr>
          <w:rFonts w:ascii="宋体" w:hAnsi="宋体" w:eastAsiaTheme="minorEastAsia" w:cstheme="minorBidi"/>
          <w:sz w:val="32"/>
          <w:szCs w:val="32"/>
        </w:rPr>
      </w:pPr>
      <w:r>
        <w:rPr>
          <w:rFonts w:hint="eastAsia" w:ascii="宋体" w:hAnsi="宋体" w:eastAsiaTheme="minorEastAsia" w:cstheme="minorBidi"/>
          <w:sz w:val="32"/>
          <w:szCs w:val="32"/>
        </w:rPr>
        <w:t>利用三年左右时间，着力扶持朝阳致远金融物流港推进基础设施建设，加强招商进度与运营管理，并成功申报国家4A物流企业，打造成辽冀蒙区域标杆物流企业品牌。然后，在五年内将凌源市</w:t>
      </w:r>
      <w:r>
        <w:rPr>
          <w:rFonts w:hint="eastAsia" w:ascii="宋体" w:hAnsi="宋体"/>
          <w:sz w:val="32"/>
          <w:szCs w:val="32"/>
        </w:rPr>
        <w:t>农产品商贸物流园</w:t>
      </w:r>
      <w:r>
        <w:rPr>
          <w:rFonts w:hint="eastAsia" w:ascii="宋体" w:hAnsi="宋体" w:eastAsiaTheme="minorEastAsia" w:cstheme="minorBidi"/>
          <w:sz w:val="32"/>
          <w:szCs w:val="32"/>
        </w:rPr>
        <w:t>和朝阳凌源非金属新材料产业园区物流园相继申报为省级重点物流项目。此后，借助前述三大物流园区项目的引领带动，形成凌源物流业龙头引领，大小物流企业和谐共生的生态发展格局。</w:t>
      </w:r>
    </w:p>
    <w:p w14:paraId="6514687B">
      <w:pPr>
        <w:pStyle w:val="2"/>
      </w:pPr>
    </w:p>
    <w:p w14:paraId="5AF925E0">
      <w:pPr>
        <w:pStyle w:val="5"/>
        <w:keepNext w:val="0"/>
        <w:keepLines w:val="0"/>
        <w:spacing w:line="360" w:lineRule="auto"/>
        <w:rPr>
          <w:rFonts w:asciiTheme="minorEastAsia" w:hAnsiTheme="minorEastAsia"/>
        </w:rPr>
      </w:pPr>
      <w:bookmarkStart w:id="150" w:name="_Toc79497994"/>
      <w:r>
        <w:rPr>
          <w:rFonts w:hint="eastAsia" w:asciiTheme="minorEastAsia" w:hAnsiTheme="minorEastAsia"/>
        </w:rPr>
        <w:t>二、注重引入国内知名第三方物流企业</w:t>
      </w:r>
      <w:bookmarkEnd w:id="150"/>
    </w:p>
    <w:p w14:paraId="232EF17F">
      <w:pPr>
        <w:pStyle w:val="6"/>
        <w:rPr>
          <w:rFonts w:ascii="宋体" w:hAnsi="宋体"/>
          <w:sz w:val="32"/>
          <w:szCs w:val="32"/>
        </w:rPr>
      </w:pPr>
      <w:r>
        <w:rPr>
          <w:rFonts w:hint="eastAsia" w:ascii="宋体" w:hAnsi="宋体"/>
          <w:sz w:val="32"/>
          <w:szCs w:val="32"/>
        </w:rPr>
        <w:t>（一）工作任务</w:t>
      </w:r>
    </w:p>
    <w:p w14:paraId="5AF356EC">
      <w:pPr>
        <w:spacing w:line="360" w:lineRule="auto"/>
        <w:ind w:firstLine="646" w:firstLineChars="202"/>
        <w:rPr>
          <w:rFonts w:ascii="宋体" w:hAnsi="宋体"/>
          <w:sz w:val="32"/>
          <w:szCs w:val="32"/>
        </w:rPr>
      </w:pPr>
      <w:r>
        <w:rPr>
          <w:rFonts w:hint="eastAsia" w:ascii="宋体" w:hAnsi="宋体"/>
          <w:sz w:val="32"/>
          <w:szCs w:val="32"/>
        </w:rPr>
        <w:t>提高物流业招商的针对性，重点引进与多式联运、物流金融服务、冷链物流和物流信息化、智慧物流相关的行业龙头企业，通过引进外资、股份合作、调整重组等方式</w:t>
      </w:r>
      <w:r>
        <w:rPr>
          <w:rFonts w:ascii="宋体" w:hAnsi="宋体"/>
          <w:sz w:val="32"/>
          <w:szCs w:val="32"/>
        </w:rPr>
        <w:t>，</w:t>
      </w:r>
      <w:r>
        <w:rPr>
          <w:rFonts w:hint="eastAsia" w:ascii="宋体" w:hAnsi="宋体"/>
          <w:sz w:val="32"/>
          <w:szCs w:val="32"/>
        </w:rPr>
        <w:t>吸引国内知名第三方物流企业落户凌源。着重引进中铁物流集团有限公司、中国外运股份有限公司、浙江物产集团、菜鸟网络、京东物流等国内知名物流企业在凌源设立合资合作公司或分支机构。具体招商引资企业详见附件二。</w:t>
      </w:r>
    </w:p>
    <w:p w14:paraId="445A8801">
      <w:pPr>
        <w:pStyle w:val="6"/>
        <w:rPr>
          <w:rFonts w:ascii="宋体" w:hAnsi="宋体"/>
          <w:sz w:val="32"/>
          <w:szCs w:val="32"/>
        </w:rPr>
      </w:pPr>
      <w:r>
        <w:rPr>
          <w:rFonts w:hint="eastAsia" w:ascii="宋体" w:hAnsi="宋体"/>
          <w:sz w:val="32"/>
          <w:szCs w:val="32"/>
        </w:rPr>
        <w:t>（二）工作安排</w:t>
      </w:r>
    </w:p>
    <w:p w14:paraId="60207A42">
      <w:pPr>
        <w:pStyle w:val="2"/>
        <w:spacing w:line="360" w:lineRule="auto"/>
        <w:ind w:firstLine="640"/>
        <w:rPr>
          <w:rFonts w:ascii="宋体" w:hAnsi="宋体" w:eastAsiaTheme="minorEastAsia" w:cstheme="minorBidi"/>
          <w:sz w:val="32"/>
          <w:szCs w:val="32"/>
        </w:rPr>
      </w:pPr>
      <w:r>
        <w:rPr>
          <w:rFonts w:hint="eastAsia" w:ascii="宋体" w:hAnsi="宋体" w:eastAsiaTheme="minorEastAsia" w:cstheme="minorBidi"/>
          <w:sz w:val="32"/>
          <w:szCs w:val="32"/>
        </w:rPr>
        <w:t>用一年左右的时间，以朝阳致远金融物流港为重点，重点强化与浙江物产集团等供应链金融类企业的合作，加大供应链金融等业务的开展。然后在两年内，重点引进冷链物流企业与多式联运类综合物流企业，如上海郑明现代物流有限公司、中铁物流集团、中国外运股份有限公司等，主要聚焦于凌源市农产品商贸物流园与朝阳凌源非金属新材料产业园区物流园的开发建设。此后，在五年内结合电商产业园的建设，陆续引进菜鸟物流、京东物流等企业。最终，通过以上企业的引进，形成在凌源各重点物流领域均有国内知名企业牵引的良好发展态势。</w:t>
      </w:r>
    </w:p>
    <w:p w14:paraId="58FF2565">
      <w:pPr>
        <w:pStyle w:val="5"/>
        <w:spacing w:line="360" w:lineRule="auto"/>
        <w:rPr>
          <w:rFonts w:asciiTheme="minorEastAsia" w:hAnsiTheme="minorEastAsia"/>
        </w:rPr>
      </w:pPr>
      <w:bookmarkStart w:id="151" w:name="_Toc79497995"/>
      <w:r>
        <w:rPr>
          <w:rFonts w:hint="eastAsia" w:asciiTheme="minorEastAsia" w:hAnsiTheme="minorEastAsia"/>
        </w:rPr>
        <w:t>三、积极支持A级物流企业申报工作</w:t>
      </w:r>
      <w:bookmarkEnd w:id="151"/>
    </w:p>
    <w:p w14:paraId="4F4A715A">
      <w:pPr>
        <w:pStyle w:val="6"/>
        <w:rPr>
          <w:rFonts w:ascii="宋体" w:hAnsi="宋体"/>
          <w:sz w:val="32"/>
          <w:szCs w:val="32"/>
        </w:rPr>
      </w:pPr>
      <w:r>
        <w:rPr>
          <w:rFonts w:hint="eastAsia" w:ascii="宋体" w:hAnsi="宋体"/>
          <w:sz w:val="32"/>
          <w:szCs w:val="32"/>
        </w:rPr>
        <w:t>（一）工作任务</w:t>
      </w:r>
    </w:p>
    <w:p w14:paraId="75EB657B">
      <w:pPr>
        <w:spacing w:line="360" w:lineRule="auto"/>
        <w:ind w:firstLine="646" w:firstLineChars="202"/>
        <w:rPr>
          <w:rFonts w:ascii="宋体" w:hAnsi="宋体"/>
          <w:sz w:val="32"/>
          <w:szCs w:val="32"/>
        </w:rPr>
      </w:pPr>
      <w:r>
        <w:rPr>
          <w:rFonts w:ascii="宋体" w:hAnsi="宋体"/>
          <w:sz w:val="32"/>
          <w:szCs w:val="32"/>
        </w:rPr>
        <w:t>把A级物流企业申报作为推动物流业发展和</w:t>
      </w:r>
      <w:r>
        <w:rPr>
          <w:rFonts w:hint="eastAsia" w:ascii="宋体" w:hAnsi="宋体"/>
          <w:sz w:val="32"/>
          <w:szCs w:val="32"/>
        </w:rPr>
        <w:t>物流</w:t>
      </w:r>
      <w:r>
        <w:rPr>
          <w:rFonts w:ascii="宋体" w:hAnsi="宋体"/>
          <w:sz w:val="32"/>
          <w:szCs w:val="32"/>
        </w:rPr>
        <w:t>企业提档升级的</w:t>
      </w:r>
      <w:r>
        <w:rPr>
          <w:rFonts w:hint="eastAsia" w:ascii="宋体" w:hAnsi="宋体"/>
          <w:sz w:val="32"/>
          <w:szCs w:val="32"/>
        </w:rPr>
        <w:t>重要</w:t>
      </w:r>
      <w:r>
        <w:rPr>
          <w:rFonts w:ascii="宋体" w:hAnsi="宋体"/>
          <w:sz w:val="32"/>
          <w:szCs w:val="32"/>
        </w:rPr>
        <w:t>抓手，</w:t>
      </w:r>
      <w:r>
        <w:rPr>
          <w:rFonts w:hint="eastAsia" w:ascii="宋体" w:hAnsi="宋体"/>
          <w:sz w:val="32"/>
          <w:szCs w:val="32"/>
        </w:rPr>
        <w:t>从而促进区域物流市场主体做强做优。出台对3A级以上物流企业的扶持奖励政策，主要包括设立物流业专项引导资金，重点向3A级以上物流企业倾斜；对3A级以上物流企业在用地、用水、用电、项目投资、税收改革等方面给予优惠；对首次被国家评定为3A、4A、5A的物流企业，给予一定的奖励等。</w:t>
      </w:r>
    </w:p>
    <w:p w14:paraId="62A10D14">
      <w:pPr>
        <w:pStyle w:val="6"/>
        <w:rPr>
          <w:rFonts w:ascii="宋体" w:hAnsi="宋体"/>
          <w:sz w:val="32"/>
          <w:szCs w:val="32"/>
        </w:rPr>
      </w:pPr>
      <w:r>
        <w:rPr>
          <w:rFonts w:hint="eastAsia" w:ascii="宋体" w:hAnsi="宋体"/>
          <w:sz w:val="32"/>
          <w:szCs w:val="32"/>
        </w:rPr>
        <w:t>（二）工作安排</w:t>
      </w:r>
    </w:p>
    <w:p w14:paraId="577F9999">
      <w:pPr>
        <w:pStyle w:val="2"/>
        <w:spacing w:line="360" w:lineRule="auto"/>
        <w:ind w:firstLine="640"/>
        <w:rPr>
          <w:rFonts w:ascii="黑体" w:hAnsi="黑体" w:eastAsia="黑体" w:cstheme="majorBidi"/>
          <w:b/>
          <w:bCs/>
          <w:sz w:val="24"/>
          <w:szCs w:val="24"/>
        </w:rPr>
      </w:pPr>
      <w:r>
        <w:rPr>
          <w:rFonts w:hint="eastAsia" w:ascii="宋体" w:hAnsi="宋体"/>
          <w:sz w:val="32"/>
          <w:szCs w:val="32"/>
        </w:rPr>
        <w:t>国家A级企业评定要经过自检、申报、审核、现场评估、审定、公示、通告、授牌8个步骤，凌源物流企业应按照《物流企业分类与评估指标》（GB/T 19680-2013）国家标准以及《关于开展物流企业评估工作的通知》（物联评估字〔2020〕16号）参考进行A级物流企业申报，以上文件内容见附件三、附件四。考虑申报时间等问题，凌源市A级物流企业申报工作可从明年再行开展，具体工作进度安排如下表所示：</w:t>
      </w:r>
      <w:r>
        <w:rPr>
          <w:rFonts w:ascii="黑体" w:hAnsi="黑体"/>
          <w:b/>
          <w:bCs/>
          <w:sz w:val="24"/>
          <w:szCs w:val="24"/>
        </w:rPr>
        <w:br w:type="page"/>
      </w:r>
    </w:p>
    <w:p w14:paraId="55345A8C">
      <w:pPr>
        <w:pStyle w:val="10"/>
        <w:jc w:val="center"/>
        <w:rPr>
          <w:rFonts w:ascii="黑体" w:hAnsi="黑体"/>
          <w:b/>
          <w:bCs/>
          <w:sz w:val="24"/>
          <w:szCs w:val="24"/>
        </w:rPr>
      </w:pPr>
      <w:bookmarkStart w:id="152" w:name="_Toc79498043"/>
      <w:r>
        <w:rPr>
          <w:rFonts w:hint="eastAsia" w:ascii="黑体" w:hAnsi="黑体"/>
          <w:b/>
          <w:bCs/>
          <w:sz w:val="24"/>
          <w:szCs w:val="24"/>
        </w:rPr>
        <w:t xml:space="preserve">表 </w:t>
      </w:r>
      <w:r>
        <w:rPr>
          <w:rFonts w:ascii="黑体" w:hAnsi="黑体"/>
          <w:b/>
          <w:bCs/>
          <w:sz w:val="24"/>
          <w:szCs w:val="24"/>
        </w:rPr>
        <w:fldChar w:fldCharType="begin"/>
      </w:r>
      <w:r>
        <w:rPr>
          <w:rFonts w:hint="eastAsia" w:ascii="黑体" w:hAnsi="黑体"/>
          <w:b/>
          <w:bCs/>
          <w:sz w:val="24"/>
          <w:szCs w:val="24"/>
        </w:rPr>
        <w:instrText xml:space="preserve">SEQ 表 \* ARABIC</w:instrText>
      </w:r>
      <w:r>
        <w:rPr>
          <w:rFonts w:ascii="黑体" w:hAnsi="黑体"/>
          <w:b/>
          <w:bCs/>
          <w:sz w:val="24"/>
          <w:szCs w:val="24"/>
        </w:rPr>
        <w:fldChar w:fldCharType="separate"/>
      </w:r>
      <w:r>
        <w:rPr>
          <w:rFonts w:ascii="黑体" w:hAnsi="黑体"/>
          <w:b/>
          <w:bCs/>
          <w:sz w:val="24"/>
          <w:szCs w:val="24"/>
        </w:rPr>
        <w:t>6</w:t>
      </w:r>
      <w:r>
        <w:rPr>
          <w:rFonts w:ascii="黑体" w:hAnsi="黑体"/>
          <w:b/>
          <w:bCs/>
          <w:sz w:val="24"/>
          <w:szCs w:val="24"/>
        </w:rPr>
        <w:fldChar w:fldCharType="end"/>
      </w:r>
      <w:r>
        <w:rPr>
          <w:rFonts w:hint="eastAsia" w:ascii="黑体" w:hAnsi="黑体"/>
          <w:b/>
          <w:bCs/>
          <w:sz w:val="24"/>
          <w:szCs w:val="24"/>
        </w:rPr>
        <w:t>凌源市A级物流企业申报工作进度安排表</w:t>
      </w:r>
      <w:bookmarkEnd w:id="152"/>
    </w:p>
    <w:p w14:paraId="54829023"/>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268"/>
        <w:gridCol w:w="5188"/>
      </w:tblGrid>
      <w:tr w14:paraId="5E20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14:paraId="2FE08268">
            <w:pPr>
              <w:jc w:val="center"/>
              <w:rPr>
                <w:rFonts w:asciiTheme="minorEastAsia" w:hAnsiTheme="minorEastAsia"/>
                <w:b/>
                <w:bCs/>
                <w:sz w:val="28"/>
                <w:szCs w:val="28"/>
              </w:rPr>
            </w:pPr>
            <w:r>
              <w:rPr>
                <w:rFonts w:hint="eastAsia" w:asciiTheme="minorEastAsia" w:hAnsiTheme="minorEastAsia"/>
                <w:b/>
                <w:bCs/>
                <w:sz w:val="28"/>
                <w:szCs w:val="28"/>
              </w:rPr>
              <w:t>序号</w:t>
            </w:r>
          </w:p>
        </w:tc>
        <w:tc>
          <w:tcPr>
            <w:tcW w:w="2268" w:type="dxa"/>
            <w:vAlign w:val="center"/>
          </w:tcPr>
          <w:p w14:paraId="52F794A4">
            <w:pPr>
              <w:jc w:val="center"/>
              <w:rPr>
                <w:rFonts w:asciiTheme="minorEastAsia" w:hAnsiTheme="minorEastAsia"/>
                <w:b/>
                <w:bCs/>
                <w:sz w:val="28"/>
                <w:szCs w:val="28"/>
              </w:rPr>
            </w:pPr>
            <w:r>
              <w:rPr>
                <w:rFonts w:hint="eastAsia" w:asciiTheme="minorEastAsia" w:hAnsiTheme="minorEastAsia"/>
                <w:b/>
                <w:bCs/>
                <w:sz w:val="28"/>
                <w:szCs w:val="28"/>
              </w:rPr>
              <w:t>内容</w:t>
            </w:r>
          </w:p>
        </w:tc>
        <w:tc>
          <w:tcPr>
            <w:tcW w:w="5188" w:type="dxa"/>
            <w:vAlign w:val="center"/>
          </w:tcPr>
          <w:p w14:paraId="7F0E2EA4">
            <w:pPr>
              <w:jc w:val="center"/>
              <w:rPr>
                <w:rFonts w:asciiTheme="minorEastAsia" w:hAnsiTheme="minorEastAsia"/>
                <w:b/>
                <w:bCs/>
                <w:sz w:val="28"/>
                <w:szCs w:val="28"/>
              </w:rPr>
            </w:pPr>
            <w:r>
              <w:rPr>
                <w:rFonts w:hint="eastAsia" w:asciiTheme="minorEastAsia" w:hAnsiTheme="minorEastAsia"/>
                <w:b/>
                <w:bCs/>
                <w:sz w:val="28"/>
                <w:szCs w:val="28"/>
              </w:rPr>
              <w:t>时间</w:t>
            </w:r>
          </w:p>
        </w:tc>
      </w:tr>
      <w:tr w14:paraId="3808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14:paraId="181D0B02">
            <w:pPr>
              <w:jc w:val="center"/>
              <w:rPr>
                <w:rFonts w:asciiTheme="minorEastAsia" w:hAnsiTheme="minorEastAsia"/>
                <w:sz w:val="28"/>
                <w:szCs w:val="28"/>
              </w:rPr>
            </w:pPr>
            <w:r>
              <w:rPr>
                <w:rFonts w:asciiTheme="minorEastAsia" w:hAnsiTheme="minorEastAsia"/>
                <w:sz w:val="28"/>
                <w:szCs w:val="28"/>
              </w:rPr>
              <w:t>1</w:t>
            </w:r>
          </w:p>
        </w:tc>
        <w:tc>
          <w:tcPr>
            <w:tcW w:w="2268" w:type="dxa"/>
            <w:vAlign w:val="center"/>
          </w:tcPr>
          <w:p w14:paraId="2D3C130F">
            <w:pPr>
              <w:jc w:val="center"/>
              <w:rPr>
                <w:rFonts w:asciiTheme="minorEastAsia" w:hAnsiTheme="minorEastAsia"/>
                <w:sz w:val="28"/>
                <w:szCs w:val="28"/>
              </w:rPr>
            </w:pPr>
            <w:r>
              <w:rPr>
                <w:rFonts w:hint="eastAsia" w:asciiTheme="minorEastAsia" w:hAnsiTheme="minorEastAsia"/>
                <w:sz w:val="28"/>
                <w:szCs w:val="28"/>
              </w:rPr>
              <w:t>自检</w:t>
            </w:r>
          </w:p>
        </w:tc>
        <w:tc>
          <w:tcPr>
            <w:tcW w:w="5188" w:type="dxa"/>
            <w:vAlign w:val="center"/>
          </w:tcPr>
          <w:p w14:paraId="74B3FD4A">
            <w:pPr>
              <w:jc w:val="center"/>
              <w:rPr>
                <w:rFonts w:asciiTheme="minorEastAsia" w:hAnsiTheme="minorEastAsia"/>
                <w:sz w:val="28"/>
                <w:szCs w:val="28"/>
              </w:rPr>
            </w:pPr>
            <w:r>
              <w:rPr>
                <w:rFonts w:asciiTheme="minorEastAsia" w:hAnsiTheme="minorEastAsia"/>
                <w:sz w:val="28"/>
                <w:szCs w:val="28"/>
              </w:rPr>
              <w:t>2022</w:t>
            </w:r>
            <w:r>
              <w:rPr>
                <w:rFonts w:hint="eastAsia" w:asciiTheme="minorEastAsia" w:hAnsiTheme="minorEastAsia"/>
                <w:sz w:val="28"/>
                <w:szCs w:val="28"/>
              </w:rPr>
              <w:t>年</w:t>
            </w:r>
            <w:r>
              <w:rPr>
                <w:rFonts w:asciiTheme="minorEastAsia" w:hAnsiTheme="minorEastAsia"/>
                <w:sz w:val="28"/>
                <w:szCs w:val="28"/>
              </w:rPr>
              <w:t>5</w:t>
            </w:r>
            <w:r>
              <w:rPr>
                <w:rFonts w:hint="eastAsia" w:asciiTheme="minorEastAsia" w:hAnsiTheme="minorEastAsia"/>
                <w:sz w:val="28"/>
                <w:szCs w:val="28"/>
              </w:rPr>
              <w:t>月</w:t>
            </w:r>
            <w:r>
              <w:rPr>
                <w:rFonts w:asciiTheme="minorEastAsia" w:hAnsiTheme="minorEastAsia"/>
                <w:sz w:val="28"/>
                <w:szCs w:val="28"/>
              </w:rPr>
              <w:t>-2022</w:t>
            </w:r>
            <w:r>
              <w:rPr>
                <w:rFonts w:hint="eastAsia" w:asciiTheme="minorEastAsia" w:hAnsiTheme="minorEastAsia"/>
                <w:sz w:val="28"/>
                <w:szCs w:val="28"/>
              </w:rPr>
              <w:t>年</w:t>
            </w:r>
            <w:r>
              <w:rPr>
                <w:rFonts w:asciiTheme="minorEastAsia" w:hAnsiTheme="minorEastAsia"/>
                <w:sz w:val="28"/>
                <w:szCs w:val="28"/>
              </w:rPr>
              <w:t>6</w:t>
            </w:r>
            <w:r>
              <w:rPr>
                <w:rFonts w:hint="eastAsia" w:asciiTheme="minorEastAsia" w:hAnsiTheme="minorEastAsia"/>
                <w:sz w:val="28"/>
                <w:szCs w:val="28"/>
              </w:rPr>
              <w:t>月</w:t>
            </w:r>
          </w:p>
        </w:tc>
      </w:tr>
      <w:tr w14:paraId="4B20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14:paraId="4994DD80">
            <w:pPr>
              <w:jc w:val="center"/>
              <w:rPr>
                <w:rFonts w:asciiTheme="minorEastAsia" w:hAnsiTheme="minorEastAsia"/>
                <w:sz w:val="28"/>
                <w:szCs w:val="28"/>
              </w:rPr>
            </w:pPr>
            <w:r>
              <w:rPr>
                <w:rFonts w:asciiTheme="minorEastAsia" w:hAnsiTheme="minorEastAsia"/>
                <w:sz w:val="28"/>
                <w:szCs w:val="28"/>
              </w:rPr>
              <w:t>2</w:t>
            </w:r>
          </w:p>
        </w:tc>
        <w:tc>
          <w:tcPr>
            <w:tcW w:w="2268" w:type="dxa"/>
            <w:vAlign w:val="center"/>
          </w:tcPr>
          <w:p w14:paraId="6F0244AC">
            <w:pPr>
              <w:jc w:val="center"/>
              <w:rPr>
                <w:rFonts w:asciiTheme="minorEastAsia" w:hAnsiTheme="minorEastAsia"/>
                <w:sz w:val="28"/>
                <w:szCs w:val="28"/>
              </w:rPr>
            </w:pPr>
            <w:r>
              <w:rPr>
                <w:rFonts w:hint="eastAsia" w:asciiTheme="minorEastAsia" w:hAnsiTheme="minorEastAsia"/>
                <w:sz w:val="28"/>
                <w:szCs w:val="28"/>
              </w:rPr>
              <w:t>申报</w:t>
            </w:r>
          </w:p>
        </w:tc>
        <w:tc>
          <w:tcPr>
            <w:tcW w:w="5188" w:type="dxa"/>
            <w:vAlign w:val="center"/>
          </w:tcPr>
          <w:p w14:paraId="45117E22">
            <w:pPr>
              <w:jc w:val="center"/>
              <w:rPr>
                <w:rFonts w:asciiTheme="minorEastAsia" w:hAnsiTheme="minorEastAsia"/>
                <w:sz w:val="28"/>
                <w:szCs w:val="28"/>
              </w:rPr>
            </w:pPr>
            <w:r>
              <w:rPr>
                <w:rFonts w:asciiTheme="minorEastAsia" w:hAnsiTheme="minorEastAsia"/>
                <w:sz w:val="28"/>
                <w:szCs w:val="28"/>
              </w:rPr>
              <w:t>2022</w:t>
            </w:r>
            <w:r>
              <w:rPr>
                <w:rFonts w:hint="eastAsia" w:asciiTheme="minorEastAsia" w:hAnsiTheme="minorEastAsia"/>
                <w:sz w:val="28"/>
                <w:szCs w:val="28"/>
              </w:rPr>
              <w:t>年</w:t>
            </w:r>
            <w:r>
              <w:rPr>
                <w:rFonts w:asciiTheme="minorEastAsia" w:hAnsiTheme="minorEastAsia"/>
                <w:sz w:val="28"/>
                <w:szCs w:val="28"/>
              </w:rPr>
              <w:t>6</w:t>
            </w:r>
            <w:r>
              <w:rPr>
                <w:rFonts w:hint="eastAsia" w:asciiTheme="minorEastAsia" w:hAnsiTheme="minorEastAsia"/>
                <w:sz w:val="28"/>
                <w:szCs w:val="28"/>
              </w:rPr>
              <w:t>月</w:t>
            </w:r>
            <w:r>
              <w:rPr>
                <w:rFonts w:asciiTheme="minorEastAsia" w:hAnsiTheme="minorEastAsia"/>
                <w:sz w:val="28"/>
                <w:szCs w:val="28"/>
              </w:rPr>
              <w:t>-2022</w:t>
            </w:r>
            <w:r>
              <w:rPr>
                <w:rFonts w:hint="eastAsia" w:asciiTheme="minorEastAsia" w:hAnsiTheme="minorEastAsia"/>
                <w:sz w:val="28"/>
                <w:szCs w:val="28"/>
              </w:rPr>
              <w:t>年</w:t>
            </w:r>
            <w:r>
              <w:rPr>
                <w:rFonts w:asciiTheme="minorEastAsia" w:hAnsiTheme="minorEastAsia"/>
                <w:sz w:val="28"/>
                <w:szCs w:val="28"/>
              </w:rPr>
              <w:t>7</w:t>
            </w:r>
            <w:r>
              <w:rPr>
                <w:rFonts w:hint="eastAsia" w:asciiTheme="minorEastAsia" w:hAnsiTheme="minorEastAsia"/>
                <w:sz w:val="28"/>
                <w:szCs w:val="28"/>
              </w:rPr>
              <w:t>月</w:t>
            </w:r>
          </w:p>
        </w:tc>
      </w:tr>
      <w:tr w14:paraId="4144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14:paraId="421BB7E7">
            <w:pPr>
              <w:jc w:val="center"/>
              <w:rPr>
                <w:rFonts w:asciiTheme="minorEastAsia" w:hAnsiTheme="minorEastAsia"/>
                <w:sz w:val="28"/>
                <w:szCs w:val="28"/>
              </w:rPr>
            </w:pPr>
            <w:r>
              <w:rPr>
                <w:rFonts w:asciiTheme="minorEastAsia" w:hAnsiTheme="minorEastAsia"/>
                <w:sz w:val="28"/>
                <w:szCs w:val="28"/>
              </w:rPr>
              <w:t>3</w:t>
            </w:r>
          </w:p>
        </w:tc>
        <w:tc>
          <w:tcPr>
            <w:tcW w:w="2268" w:type="dxa"/>
            <w:vAlign w:val="center"/>
          </w:tcPr>
          <w:p w14:paraId="3C6AF442">
            <w:pPr>
              <w:jc w:val="center"/>
              <w:rPr>
                <w:rFonts w:asciiTheme="minorEastAsia" w:hAnsiTheme="minorEastAsia"/>
                <w:sz w:val="28"/>
                <w:szCs w:val="28"/>
              </w:rPr>
            </w:pPr>
            <w:r>
              <w:rPr>
                <w:rFonts w:hint="eastAsia" w:asciiTheme="minorEastAsia" w:hAnsiTheme="minorEastAsia"/>
                <w:sz w:val="28"/>
                <w:szCs w:val="28"/>
              </w:rPr>
              <w:t>审核</w:t>
            </w:r>
          </w:p>
        </w:tc>
        <w:tc>
          <w:tcPr>
            <w:tcW w:w="5188" w:type="dxa"/>
            <w:vAlign w:val="center"/>
          </w:tcPr>
          <w:p w14:paraId="6E294B8F">
            <w:pPr>
              <w:jc w:val="center"/>
              <w:rPr>
                <w:rFonts w:asciiTheme="minorEastAsia" w:hAnsiTheme="minorEastAsia"/>
                <w:sz w:val="28"/>
                <w:szCs w:val="28"/>
              </w:rPr>
            </w:pPr>
            <w:r>
              <w:rPr>
                <w:rFonts w:asciiTheme="minorEastAsia" w:hAnsiTheme="minorEastAsia"/>
                <w:sz w:val="28"/>
                <w:szCs w:val="28"/>
              </w:rPr>
              <w:t>2022</w:t>
            </w:r>
            <w:r>
              <w:rPr>
                <w:rFonts w:hint="eastAsia" w:asciiTheme="minorEastAsia" w:hAnsiTheme="minorEastAsia"/>
                <w:sz w:val="28"/>
                <w:szCs w:val="28"/>
              </w:rPr>
              <w:t>年</w:t>
            </w:r>
            <w:r>
              <w:rPr>
                <w:rFonts w:asciiTheme="minorEastAsia" w:hAnsiTheme="minorEastAsia"/>
                <w:sz w:val="28"/>
                <w:szCs w:val="28"/>
              </w:rPr>
              <w:t>7</w:t>
            </w:r>
            <w:r>
              <w:rPr>
                <w:rFonts w:hint="eastAsia" w:asciiTheme="minorEastAsia" w:hAnsiTheme="minorEastAsia"/>
                <w:sz w:val="28"/>
                <w:szCs w:val="28"/>
              </w:rPr>
              <w:t>月</w:t>
            </w:r>
            <w:r>
              <w:rPr>
                <w:rFonts w:asciiTheme="minorEastAsia" w:hAnsiTheme="minorEastAsia"/>
                <w:sz w:val="28"/>
                <w:szCs w:val="28"/>
              </w:rPr>
              <w:t>-2022</w:t>
            </w:r>
            <w:r>
              <w:rPr>
                <w:rFonts w:hint="eastAsia" w:asciiTheme="minorEastAsia" w:hAnsiTheme="minorEastAsia"/>
                <w:sz w:val="28"/>
                <w:szCs w:val="28"/>
              </w:rPr>
              <w:t>年</w:t>
            </w:r>
            <w:r>
              <w:rPr>
                <w:rFonts w:asciiTheme="minorEastAsia" w:hAnsiTheme="minorEastAsia"/>
                <w:sz w:val="28"/>
                <w:szCs w:val="28"/>
              </w:rPr>
              <w:t>9</w:t>
            </w:r>
            <w:r>
              <w:rPr>
                <w:rFonts w:hint="eastAsia" w:asciiTheme="minorEastAsia" w:hAnsiTheme="minorEastAsia"/>
                <w:sz w:val="28"/>
                <w:szCs w:val="28"/>
              </w:rPr>
              <w:t>月</w:t>
            </w:r>
          </w:p>
        </w:tc>
      </w:tr>
      <w:tr w14:paraId="4F37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14:paraId="01C7CD86">
            <w:pPr>
              <w:jc w:val="center"/>
              <w:rPr>
                <w:rFonts w:asciiTheme="minorEastAsia" w:hAnsiTheme="minorEastAsia"/>
                <w:sz w:val="28"/>
                <w:szCs w:val="28"/>
              </w:rPr>
            </w:pPr>
            <w:r>
              <w:rPr>
                <w:rFonts w:asciiTheme="minorEastAsia" w:hAnsiTheme="minorEastAsia"/>
                <w:sz w:val="28"/>
                <w:szCs w:val="28"/>
              </w:rPr>
              <w:t>4</w:t>
            </w:r>
          </w:p>
        </w:tc>
        <w:tc>
          <w:tcPr>
            <w:tcW w:w="2268" w:type="dxa"/>
            <w:vAlign w:val="center"/>
          </w:tcPr>
          <w:p w14:paraId="69244054">
            <w:pPr>
              <w:jc w:val="center"/>
              <w:rPr>
                <w:rFonts w:asciiTheme="minorEastAsia" w:hAnsiTheme="minorEastAsia"/>
                <w:sz w:val="28"/>
                <w:szCs w:val="28"/>
              </w:rPr>
            </w:pPr>
            <w:r>
              <w:rPr>
                <w:rFonts w:hint="eastAsia" w:asciiTheme="minorEastAsia" w:hAnsiTheme="minorEastAsia"/>
                <w:sz w:val="28"/>
                <w:szCs w:val="28"/>
              </w:rPr>
              <w:t>现场评估</w:t>
            </w:r>
          </w:p>
        </w:tc>
        <w:tc>
          <w:tcPr>
            <w:tcW w:w="5188" w:type="dxa"/>
            <w:vAlign w:val="center"/>
          </w:tcPr>
          <w:p w14:paraId="2EC4CEA1">
            <w:pPr>
              <w:jc w:val="center"/>
              <w:rPr>
                <w:rFonts w:asciiTheme="minorEastAsia" w:hAnsiTheme="minorEastAsia"/>
                <w:sz w:val="28"/>
                <w:szCs w:val="28"/>
              </w:rPr>
            </w:pPr>
            <w:r>
              <w:rPr>
                <w:rFonts w:asciiTheme="minorEastAsia" w:hAnsiTheme="minorEastAsia"/>
                <w:sz w:val="28"/>
                <w:szCs w:val="28"/>
              </w:rPr>
              <w:t>2022</w:t>
            </w:r>
            <w:r>
              <w:rPr>
                <w:rFonts w:hint="eastAsia" w:asciiTheme="minorEastAsia" w:hAnsiTheme="minorEastAsia"/>
                <w:sz w:val="28"/>
                <w:szCs w:val="28"/>
              </w:rPr>
              <w:t>年</w:t>
            </w:r>
            <w:r>
              <w:rPr>
                <w:rFonts w:asciiTheme="minorEastAsia" w:hAnsiTheme="minorEastAsia"/>
                <w:sz w:val="28"/>
                <w:szCs w:val="28"/>
              </w:rPr>
              <w:t>9</w:t>
            </w:r>
            <w:r>
              <w:rPr>
                <w:rFonts w:hint="eastAsia" w:asciiTheme="minorEastAsia" w:hAnsiTheme="minorEastAsia"/>
                <w:sz w:val="28"/>
                <w:szCs w:val="28"/>
              </w:rPr>
              <w:t>月</w:t>
            </w:r>
            <w:r>
              <w:rPr>
                <w:rFonts w:asciiTheme="minorEastAsia" w:hAnsiTheme="minorEastAsia"/>
                <w:sz w:val="28"/>
                <w:szCs w:val="28"/>
              </w:rPr>
              <w:t>-2022</w:t>
            </w:r>
            <w:r>
              <w:rPr>
                <w:rFonts w:hint="eastAsia" w:asciiTheme="minorEastAsia" w:hAnsiTheme="minorEastAsia"/>
                <w:sz w:val="28"/>
                <w:szCs w:val="28"/>
              </w:rPr>
              <w:t>年</w:t>
            </w:r>
            <w:r>
              <w:rPr>
                <w:rFonts w:asciiTheme="minorEastAsia" w:hAnsiTheme="minorEastAsia"/>
                <w:sz w:val="28"/>
                <w:szCs w:val="28"/>
              </w:rPr>
              <w:t>10</w:t>
            </w:r>
            <w:r>
              <w:rPr>
                <w:rFonts w:hint="eastAsia" w:asciiTheme="minorEastAsia" w:hAnsiTheme="minorEastAsia"/>
                <w:sz w:val="28"/>
                <w:szCs w:val="28"/>
              </w:rPr>
              <w:t>月</w:t>
            </w:r>
          </w:p>
        </w:tc>
      </w:tr>
      <w:tr w14:paraId="4813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14:paraId="29ECC773">
            <w:pPr>
              <w:jc w:val="center"/>
              <w:rPr>
                <w:rFonts w:asciiTheme="minorEastAsia" w:hAnsiTheme="minorEastAsia"/>
                <w:sz w:val="28"/>
                <w:szCs w:val="28"/>
              </w:rPr>
            </w:pPr>
            <w:r>
              <w:rPr>
                <w:rFonts w:asciiTheme="minorEastAsia" w:hAnsiTheme="minorEastAsia"/>
                <w:sz w:val="28"/>
                <w:szCs w:val="28"/>
              </w:rPr>
              <w:t>5</w:t>
            </w:r>
          </w:p>
        </w:tc>
        <w:tc>
          <w:tcPr>
            <w:tcW w:w="2268" w:type="dxa"/>
            <w:vAlign w:val="center"/>
          </w:tcPr>
          <w:p w14:paraId="7BAC53BA">
            <w:pPr>
              <w:jc w:val="center"/>
              <w:rPr>
                <w:rFonts w:asciiTheme="minorEastAsia" w:hAnsiTheme="minorEastAsia"/>
                <w:sz w:val="28"/>
                <w:szCs w:val="28"/>
              </w:rPr>
            </w:pPr>
            <w:r>
              <w:rPr>
                <w:rFonts w:hint="eastAsia" w:asciiTheme="minorEastAsia" w:hAnsiTheme="minorEastAsia"/>
                <w:sz w:val="28"/>
                <w:szCs w:val="28"/>
              </w:rPr>
              <w:t>审定</w:t>
            </w:r>
          </w:p>
        </w:tc>
        <w:tc>
          <w:tcPr>
            <w:tcW w:w="5188" w:type="dxa"/>
            <w:vAlign w:val="center"/>
          </w:tcPr>
          <w:p w14:paraId="1D14F551">
            <w:pPr>
              <w:jc w:val="center"/>
              <w:rPr>
                <w:rFonts w:asciiTheme="minorEastAsia" w:hAnsiTheme="minorEastAsia"/>
                <w:sz w:val="28"/>
                <w:szCs w:val="28"/>
              </w:rPr>
            </w:pPr>
            <w:r>
              <w:rPr>
                <w:rFonts w:asciiTheme="minorEastAsia" w:hAnsiTheme="minorEastAsia"/>
                <w:sz w:val="28"/>
                <w:szCs w:val="28"/>
              </w:rPr>
              <w:t>2022</w:t>
            </w:r>
            <w:r>
              <w:rPr>
                <w:rFonts w:hint="eastAsia" w:asciiTheme="minorEastAsia" w:hAnsiTheme="minorEastAsia"/>
                <w:sz w:val="28"/>
                <w:szCs w:val="28"/>
              </w:rPr>
              <w:t>年</w:t>
            </w:r>
            <w:r>
              <w:rPr>
                <w:rFonts w:asciiTheme="minorEastAsia" w:hAnsiTheme="minorEastAsia"/>
                <w:sz w:val="28"/>
                <w:szCs w:val="28"/>
              </w:rPr>
              <w:t>11</w:t>
            </w:r>
            <w:r>
              <w:rPr>
                <w:rFonts w:hint="eastAsia" w:asciiTheme="minorEastAsia" w:hAnsiTheme="minorEastAsia"/>
                <w:sz w:val="28"/>
                <w:szCs w:val="28"/>
              </w:rPr>
              <w:t>月</w:t>
            </w:r>
          </w:p>
        </w:tc>
      </w:tr>
      <w:tr w14:paraId="438F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14:paraId="3F006B8D">
            <w:pPr>
              <w:jc w:val="center"/>
              <w:rPr>
                <w:rFonts w:asciiTheme="minorEastAsia" w:hAnsiTheme="minorEastAsia"/>
                <w:sz w:val="28"/>
                <w:szCs w:val="28"/>
              </w:rPr>
            </w:pPr>
            <w:r>
              <w:rPr>
                <w:rFonts w:asciiTheme="minorEastAsia" w:hAnsiTheme="minorEastAsia"/>
                <w:sz w:val="28"/>
                <w:szCs w:val="28"/>
              </w:rPr>
              <w:t>6</w:t>
            </w:r>
          </w:p>
        </w:tc>
        <w:tc>
          <w:tcPr>
            <w:tcW w:w="2268" w:type="dxa"/>
            <w:vAlign w:val="center"/>
          </w:tcPr>
          <w:p w14:paraId="0E2AE202">
            <w:pPr>
              <w:jc w:val="center"/>
              <w:rPr>
                <w:rFonts w:asciiTheme="minorEastAsia" w:hAnsiTheme="minorEastAsia"/>
                <w:sz w:val="28"/>
                <w:szCs w:val="28"/>
              </w:rPr>
            </w:pPr>
            <w:r>
              <w:rPr>
                <w:rFonts w:hint="eastAsia" w:asciiTheme="minorEastAsia" w:hAnsiTheme="minorEastAsia"/>
                <w:sz w:val="28"/>
                <w:szCs w:val="28"/>
              </w:rPr>
              <w:t>公示</w:t>
            </w:r>
          </w:p>
        </w:tc>
        <w:tc>
          <w:tcPr>
            <w:tcW w:w="5188" w:type="dxa"/>
            <w:vAlign w:val="center"/>
          </w:tcPr>
          <w:p w14:paraId="1E2D1BC7">
            <w:pPr>
              <w:jc w:val="center"/>
              <w:rPr>
                <w:rFonts w:asciiTheme="minorEastAsia" w:hAnsiTheme="minorEastAsia"/>
                <w:sz w:val="28"/>
                <w:szCs w:val="28"/>
              </w:rPr>
            </w:pPr>
            <w:r>
              <w:rPr>
                <w:rFonts w:asciiTheme="minorEastAsia" w:hAnsiTheme="minorEastAsia"/>
                <w:sz w:val="28"/>
                <w:szCs w:val="28"/>
              </w:rPr>
              <w:t>2022</w:t>
            </w:r>
            <w:r>
              <w:rPr>
                <w:rFonts w:hint="eastAsia" w:asciiTheme="minorEastAsia" w:hAnsiTheme="minorEastAsia"/>
                <w:sz w:val="28"/>
                <w:szCs w:val="28"/>
              </w:rPr>
              <w:t>年</w:t>
            </w:r>
            <w:r>
              <w:rPr>
                <w:rFonts w:asciiTheme="minorEastAsia" w:hAnsiTheme="minorEastAsia"/>
                <w:sz w:val="28"/>
                <w:szCs w:val="28"/>
              </w:rPr>
              <w:t>11</w:t>
            </w:r>
            <w:r>
              <w:rPr>
                <w:rFonts w:hint="eastAsia" w:asciiTheme="minorEastAsia" w:hAnsiTheme="minorEastAsia"/>
                <w:sz w:val="28"/>
                <w:szCs w:val="28"/>
              </w:rPr>
              <w:t>月（公示期一周）</w:t>
            </w:r>
          </w:p>
        </w:tc>
      </w:tr>
      <w:tr w14:paraId="6019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14:paraId="70293367">
            <w:pPr>
              <w:jc w:val="center"/>
              <w:rPr>
                <w:rFonts w:asciiTheme="minorEastAsia" w:hAnsiTheme="minorEastAsia"/>
                <w:sz w:val="28"/>
                <w:szCs w:val="28"/>
              </w:rPr>
            </w:pPr>
            <w:r>
              <w:rPr>
                <w:rFonts w:asciiTheme="minorEastAsia" w:hAnsiTheme="minorEastAsia"/>
                <w:sz w:val="28"/>
                <w:szCs w:val="28"/>
              </w:rPr>
              <w:t>7</w:t>
            </w:r>
          </w:p>
        </w:tc>
        <w:tc>
          <w:tcPr>
            <w:tcW w:w="2268" w:type="dxa"/>
            <w:vAlign w:val="center"/>
          </w:tcPr>
          <w:p w14:paraId="77A5F2DF">
            <w:pPr>
              <w:jc w:val="center"/>
              <w:rPr>
                <w:rFonts w:asciiTheme="minorEastAsia" w:hAnsiTheme="minorEastAsia"/>
                <w:sz w:val="28"/>
                <w:szCs w:val="28"/>
              </w:rPr>
            </w:pPr>
            <w:r>
              <w:rPr>
                <w:rFonts w:hint="eastAsia" w:asciiTheme="minorEastAsia" w:hAnsiTheme="minorEastAsia"/>
                <w:sz w:val="28"/>
                <w:szCs w:val="28"/>
              </w:rPr>
              <w:t>通告</w:t>
            </w:r>
          </w:p>
        </w:tc>
        <w:tc>
          <w:tcPr>
            <w:tcW w:w="5188" w:type="dxa"/>
            <w:vAlign w:val="center"/>
          </w:tcPr>
          <w:p w14:paraId="346349FA">
            <w:pPr>
              <w:jc w:val="center"/>
              <w:rPr>
                <w:rFonts w:asciiTheme="minorEastAsia" w:hAnsiTheme="minorEastAsia"/>
                <w:sz w:val="28"/>
                <w:szCs w:val="28"/>
              </w:rPr>
            </w:pPr>
            <w:r>
              <w:rPr>
                <w:rFonts w:asciiTheme="minorEastAsia" w:hAnsiTheme="minorEastAsia"/>
                <w:sz w:val="28"/>
                <w:szCs w:val="28"/>
              </w:rPr>
              <w:t>2022</w:t>
            </w:r>
            <w:r>
              <w:rPr>
                <w:rFonts w:hint="eastAsia" w:asciiTheme="minorEastAsia" w:hAnsiTheme="minorEastAsia"/>
                <w:sz w:val="28"/>
                <w:szCs w:val="28"/>
              </w:rPr>
              <w:t>年</w:t>
            </w:r>
            <w:r>
              <w:rPr>
                <w:rFonts w:asciiTheme="minorEastAsia" w:hAnsiTheme="minorEastAsia"/>
                <w:sz w:val="28"/>
                <w:szCs w:val="28"/>
              </w:rPr>
              <w:t>11</w:t>
            </w:r>
            <w:r>
              <w:rPr>
                <w:rFonts w:hint="eastAsia" w:asciiTheme="minorEastAsia" w:hAnsiTheme="minorEastAsia"/>
                <w:sz w:val="28"/>
                <w:szCs w:val="28"/>
              </w:rPr>
              <w:t>月</w:t>
            </w:r>
          </w:p>
        </w:tc>
      </w:tr>
      <w:tr w14:paraId="4CFD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14:paraId="5785E454">
            <w:pPr>
              <w:jc w:val="center"/>
              <w:rPr>
                <w:rFonts w:asciiTheme="minorEastAsia" w:hAnsiTheme="minorEastAsia"/>
                <w:sz w:val="28"/>
                <w:szCs w:val="28"/>
              </w:rPr>
            </w:pPr>
            <w:r>
              <w:rPr>
                <w:rFonts w:asciiTheme="minorEastAsia" w:hAnsiTheme="minorEastAsia"/>
                <w:sz w:val="28"/>
                <w:szCs w:val="28"/>
              </w:rPr>
              <w:t>8</w:t>
            </w:r>
          </w:p>
        </w:tc>
        <w:tc>
          <w:tcPr>
            <w:tcW w:w="2268" w:type="dxa"/>
            <w:vAlign w:val="center"/>
          </w:tcPr>
          <w:p w14:paraId="46954926">
            <w:pPr>
              <w:jc w:val="center"/>
              <w:rPr>
                <w:rFonts w:asciiTheme="minorEastAsia" w:hAnsiTheme="minorEastAsia"/>
                <w:sz w:val="28"/>
                <w:szCs w:val="28"/>
              </w:rPr>
            </w:pPr>
            <w:r>
              <w:rPr>
                <w:rFonts w:hint="eastAsia" w:asciiTheme="minorEastAsia" w:hAnsiTheme="minorEastAsia"/>
                <w:sz w:val="28"/>
                <w:szCs w:val="28"/>
              </w:rPr>
              <w:t>授牌</w:t>
            </w:r>
          </w:p>
        </w:tc>
        <w:tc>
          <w:tcPr>
            <w:tcW w:w="5188" w:type="dxa"/>
            <w:vAlign w:val="center"/>
          </w:tcPr>
          <w:p w14:paraId="68242074">
            <w:pPr>
              <w:jc w:val="center"/>
              <w:rPr>
                <w:rFonts w:asciiTheme="minorEastAsia" w:hAnsiTheme="minorEastAsia"/>
                <w:sz w:val="28"/>
                <w:szCs w:val="28"/>
              </w:rPr>
            </w:pPr>
            <w:r>
              <w:rPr>
                <w:rFonts w:asciiTheme="minorEastAsia" w:hAnsiTheme="minorEastAsia"/>
                <w:sz w:val="28"/>
                <w:szCs w:val="28"/>
              </w:rPr>
              <w:t>2022</w:t>
            </w:r>
            <w:r>
              <w:rPr>
                <w:rFonts w:hint="eastAsia" w:asciiTheme="minorEastAsia" w:hAnsiTheme="minorEastAsia"/>
                <w:sz w:val="28"/>
                <w:szCs w:val="28"/>
              </w:rPr>
              <w:t>年</w:t>
            </w:r>
            <w:r>
              <w:rPr>
                <w:rFonts w:asciiTheme="minorEastAsia" w:hAnsiTheme="minorEastAsia"/>
                <w:sz w:val="28"/>
                <w:szCs w:val="28"/>
              </w:rPr>
              <w:t>12</w:t>
            </w:r>
            <w:r>
              <w:rPr>
                <w:rFonts w:hint="eastAsia" w:asciiTheme="minorEastAsia" w:hAnsiTheme="minorEastAsia"/>
                <w:sz w:val="28"/>
                <w:szCs w:val="28"/>
              </w:rPr>
              <w:t>月</w:t>
            </w:r>
          </w:p>
        </w:tc>
      </w:tr>
    </w:tbl>
    <w:p w14:paraId="4293B65B">
      <w:pPr>
        <w:pStyle w:val="2"/>
      </w:pPr>
    </w:p>
    <w:p w14:paraId="37C7919B">
      <w:pPr>
        <w:pStyle w:val="4"/>
        <w:keepNext w:val="0"/>
        <w:keepLines w:val="0"/>
        <w:spacing w:line="360" w:lineRule="auto"/>
        <w:jc w:val="center"/>
      </w:pPr>
      <w:bookmarkStart w:id="153" w:name="_Toc79497996"/>
      <w:r>
        <w:rPr>
          <w:rFonts w:hint="eastAsia"/>
        </w:rPr>
        <w:t>第三节 加快推动多业协同融合发展</w:t>
      </w:r>
      <w:bookmarkEnd w:id="153"/>
    </w:p>
    <w:p w14:paraId="7E29CB42">
      <w:pPr>
        <w:spacing w:line="360" w:lineRule="auto"/>
        <w:ind w:firstLine="646" w:firstLineChars="202"/>
        <w:rPr>
          <w:rFonts w:ascii="宋体" w:hAnsi="宋体"/>
          <w:sz w:val="32"/>
          <w:szCs w:val="32"/>
        </w:rPr>
      </w:pPr>
      <w:r>
        <w:rPr>
          <w:rFonts w:ascii="宋体" w:hAnsi="宋体"/>
          <w:sz w:val="32"/>
          <w:szCs w:val="32"/>
        </w:rPr>
        <w:t>制造业与服务业融合发展是新一轮科技革命和产业变革背景下，制造业与服务业转型发展的重要方向。对我国而言，促进制造业与服务业深度融合，既是适应发展环境新变化的必然举措，也是推动产业实现高质量发展的主动变革，对于积极应对当前制造业发展面临的挑战、促进服务业转型发展与优化升级，以及提高我国制造业和服务业的国际分工地位，都具有重要意义。</w:t>
      </w:r>
    </w:p>
    <w:p w14:paraId="2467AF05">
      <w:pPr>
        <w:spacing w:line="360" w:lineRule="auto"/>
        <w:ind w:firstLine="646" w:firstLineChars="202"/>
        <w:rPr>
          <w:rFonts w:ascii="宋体" w:hAnsi="宋体"/>
          <w:sz w:val="32"/>
          <w:szCs w:val="32"/>
        </w:rPr>
      </w:pPr>
      <w:r>
        <w:rPr>
          <w:rFonts w:hint="eastAsia" w:ascii="宋体" w:hAnsi="宋体"/>
          <w:sz w:val="32"/>
          <w:szCs w:val="32"/>
        </w:rPr>
        <w:t>“十四五”期间，凌源市应从以下三个方面推动制造业、现代农业、商贸流通业与物流业实现多业协同、深度融合：一是积极鼓励制造业、现代农业、商贸流通业企业再造业务流程，将物流业务外包，释放物流需求，并以市场化手段剥离物流资产，实现主辅分离，从而提升核心竞争力；二是着力推动钢铁冶金、非金属新材料产业的龙头企业与物流龙头企业形成深度融合，通过国企、民企混改、政府下属平台企业共同出资参股的方式，</w:t>
      </w:r>
      <w:r>
        <w:rPr>
          <w:rFonts w:ascii="宋体" w:hAnsi="宋体"/>
          <w:sz w:val="32"/>
          <w:szCs w:val="32"/>
        </w:rPr>
        <w:t>将“两业”融为一体，</w:t>
      </w:r>
      <w:r>
        <w:rPr>
          <w:rFonts w:hint="eastAsia" w:ascii="宋体" w:hAnsi="宋体"/>
          <w:sz w:val="32"/>
          <w:szCs w:val="32"/>
        </w:rPr>
        <w:t>构建“</w:t>
      </w:r>
      <w:r>
        <w:rPr>
          <w:rFonts w:ascii="宋体" w:hAnsi="宋体"/>
          <w:sz w:val="32"/>
          <w:szCs w:val="32"/>
        </w:rPr>
        <w:t>你中有我、我中有你</w:t>
      </w:r>
      <w:r>
        <w:rPr>
          <w:rFonts w:hint="eastAsia" w:ascii="宋体" w:hAnsi="宋体"/>
          <w:sz w:val="32"/>
          <w:szCs w:val="32"/>
        </w:rPr>
        <w:t>”的</w:t>
      </w:r>
      <w:r>
        <w:rPr>
          <w:rFonts w:ascii="宋体" w:hAnsi="宋体"/>
          <w:sz w:val="32"/>
          <w:szCs w:val="32"/>
        </w:rPr>
        <w:t>利益共同体、命运共同体</w:t>
      </w:r>
      <w:r>
        <w:rPr>
          <w:rFonts w:hint="eastAsia" w:ascii="宋体" w:hAnsi="宋体"/>
          <w:sz w:val="32"/>
          <w:szCs w:val="32"/>
        </w:rPr>
        <w:t>；三是引入大型综合物流、多式联运、供应链物流服务企业，并与钢铁冶金、非金属新材料生产加工以及汽车生产等制造业企业实现系统对接，</w:t>
      </w:r>
      <w:r>
        <w:rPr>
          <w:rFonts w:ascii="宋体" w:hAnsi="宋体"/>
          <w:sz w:val="32"/>
          <w:szCs w:val="32"/>
        </w:rPr>
        <w:t>介入到</w:t>
      </w:r>
      <w:r>
        <w:rPr>
          <w:rFonts w:hint="eastAsia" w:ascii="宋体" w:hAnsi="宋体"/>
          <w:sz w:val="32"/>
          <w:szCs w:val="32"/>
        </w:rPr>
        <w:t>设计、制造、管理</w:t>
      </w:r>
      <w:r>
        <w:rPr>
          <w:rFonts w:ascii="宋体" w:hAnsi="宋体"/>
          <w:sz w:val="32"/>
          <w:szCs w:val="32"/>
        </w:rPr>
        <w:t>等生产内部环节</w:t>
      </w:r>
      <w:r>
        <w:rPr>
          <w:rFonts w:hint="eastAsia" w:ascii="宋体" w:hAnsi="宋体"/>
          <w:sz w:val="32"/>
          <w:szCs w:val="32"/>
        </w:rPr>
        <w:t>以及上下游原材料供应和产成品销售环节，形成跨系统、跨行业、跨空间的联通，</w:t>
      </w:r>
      <w:r>
        <w:rPr>
          <w:rFonts w:ascii="宋体" w:hAnsi="宋体"/>
          <w:sz w:val="32"/>
          <w:szCs w:val="32"/>
        </w:rPr>
        <w:t>从而</w:t>
      </w:r>
      <w:r>
        <w:rPr>
          <w:rFonts w:hint="eastAsia" w:ascii="宋体" w:hAnsi="宋体"/>
          <w:sz w:val="32"/>
          <w:szCs w:val="32"/>
        </w:rPr>
        <w:t>打通制造业与服务业的边界，</w:t>
      </w:r>
      <w:r>
        <w:rPr>
          <w:rFonts w:ascii="宋体" w:hAnsi="宋体"/>
          <w:sz w:val="32"/>
          <w:szCs w:val="32"/>
        </w:rPr>
        <w:t>推动物流服务</w:t>
      </w:r>
      <w:r>
        <w:rPr>
          <w:rFonts w:hint="eastAsia" w:ascii="宋体" w:hAnsi="宋体"/>
          <w:sz w:val="32"/>
          <w:szCs w:val="32"/>
        </w:rPr>
        <w:t>与制造业的高效协同，进而实现各种生产要素与服务资源在更大范围的优化配置，有效提升经济发展质量与效益。</w:t>
      </w:r>
    </w:p>
    <w:p w14:paraId="38B21906">
      <w:pPr>
        <w:spacing w:line="360" w:lineRule="auto"/>
        <w:ind w:firstLine="646" w:firstLineChars="202"/>
        <w:rPr>
          <w:rFonts w:ascii="宋体" w:hAnsi="宋体"/>
          <w:sz w:val="32"/>
          <w:szCs w:val="32"/>
        </w:rPr>
      </w:pPr>
      <w:r>
        <w:rPr>
          <w:rFonts w:hint="eastAsia" w:ascii="宋体" w:hAnsi="宋体"/>
          <w:sz w:val="32"/>
          <w:szCs w:val="32"/>
        </w:rPr>
        <w:t>为加快推动多业协同、融合发展，凌源市应</w:t>
      </w:r>
      <w:r>
        <w:rPr>
          <w:rFonts w:ascii="宋体" w:hAnsi="宋体"/>
          <w:sz w:val="32"/>
          <w:szCs w:val="32"/>
        </w:rPr>
        <w:t>全面开展试点建设，着力选拔一批试点单位、试点企业、试点行业，积极探索新技术、新业态、新模式、新路径，推动先进制造业和现代服务业相融相长、耦合共生，促进</w:t>
      </w:r>
      <w:r>
        <w:rPr>
          <w:rFonts w:hint="eastAsia" w:ascii="宋体" w:hAnsi="宋体"/>
          <w:sz w:val="32"/>
          <w:szCs w:val="32"/>
        </w:rPr>
        <w:t>区域</w:t>
      </w:r>
      <w:r>
        <w:rPr>
          <w:rFonts w:ascii="宋体" w:hAnsi="宋体"/>
          <w:sz w:val="32"/>
          <w:szCs w:val="32"/>
        </w:rPr>
        <w:t>产业链迈向中高端</w:t>
      </w:r>
      <w:r>
        <w:rPr>
          <w:rFonts w:hint="eastAsia" w:ascii="宋体" w:hAnsi="宋体"/>
          <w:sz w:val="32"/>
          <w:szCs w:val="32"/>
        </w:rPr>
        <w:t>，</w:t>
      </w:r>
      <w:r>
        <w:rPr>
          <w:rFonts w:ascii="宋体" w:hAnsi="宋体"/>
          <w:sz w:val="32"/>
          <w:szCs w:val="32"/>
        </w:rPr>
        <w:t>将</w:t>
      </w:r>
      <w:r>
        <w:rPr>
          <w:rFonts w:hint="eastAsia" w:ascii="宋体" w:hAnsi="宋体"/>
          <w:sz w:val="32"/>
          <w:szCs w:val="32"/>
        </w:rPr>
        <w:t>凌源市</w:t>
      </w:r>
      <w:r>
        <w:rPr>
          <w:rFonts w:ascii="宋体" w:hAnsi="宋体"/>
          <w:sz w:val="32"/>
          <w:szCs w:val="32"/>
        </w:rPr>
        <w:t>打造成为</w:t>
      </w:r>
      <w:r>
        <w:rPr>
          <w:rFonts w:hint="eastAsia" w:ascii="宋体" w:hAnsi="宋体"/>
          <w:sz w:val="32"/>
          <w:szCs w:val="32"/>
        </w:rPr>
        <w:t>辽冀蒙三省（区）结合部</w:t>
      </w:r>
      <w:r>
        <w:rPr>
          <w:rFonts w:ascii="宋体" w:hAnsi="宋体"/>
          <w:sz w:val="32"/>
          <w:szCs w:val="32"/>
        </w:rPr>
        <w:t>“两业”深度融合发展先导区。</w:t>
      </w:r>
    </w:p>
    <w:p w14:paraId="2376DC97">
      <w:pPr>
        <w:pStyle w:val="2"/>
        <w:spacing w:line="360" w:lineRule="auto"/>
        <w:ind w:firstLine="640"/>
        <w:rPr>
          <w:rFonts w:ascii="黑体" w:hAnsi="黑体" w:eastAsia="黑体"/>
          <w:b/>
          <w:bCs/>
          <w:kern w:val="44"/>
          <w:sz w:val="44"/>
          <w:szCs w:val="44"/>
        </w:rPr>
      </w:pPr>
      <w:r>
        <w:rPr>
          <w:rFonts w:hint="eastAsia" w:ascii="宋体" w:hAnsi="宋体" w:eastAsiaTheme="minorEastAsia" w:cstheme="minorBidi"/>
          <w:sz w:val="32"/>
          <w:szCs w:val="32"/>
        </w:rPr>
        <w:t>具体工作进度安排：用三年左右的时间，大力推动凌钢集团在物流领域进行混改，从而以凌钢集团的混改试点发挥制造业物流业两业联动的模范带头作用。在此期间，借助中国外运股份有限公司、中铁物流集团等龙头物流企业引进时机，同步在</w:t>
      </w:r>
      <w:r>
        <w:rPr>
          <w:rFonts w:hint="eastAsia" w:ascii="宋体" w:hAnsi="宋体"/>
          <w:sz w:val="32"/>
          <w:szCs w:val="32"/>
        </w:rPr>
        <w:t>钢铁冶金、非金属新材料生产加工以及汽车生产等领域推进双方的业务合作、系统对接。</w:t>
      </w:r>
      <w:r>
        <w:rPr>
          <w:rFonts w:hint="eastAsia" w:ascii="宋体" w:hAnsi="宋体" w:eastAsiaTheme="minorEastAsia" w:cstheme="minorBidi"/>
          <w:sz w:val="32"/>
          <w:szCs w:val="32"/>
        </w:rPr>
        <w:t>然后，利用十年左右的时间，即到2</w:t>
      </w:r>
      <w:r>
        <w:rPr>
          <w:rFonts w:ascii="宋体" w:hAnsi="宋体" w:eastAsiaTheme="minorEastAsia" w:cstheme="minorBidi"/>
          <w:sz w:val="32"/>
          <w:szCs w:val="32"/>
        </w:rPr>
        <w:t>030</w:t>
      </w:r>
      <w:r>
        <w:rPr>
          <w:rFonts w:hint="eastAsia" w:ascii="宋体" w:hAnsi="宋体" w:eastAsiaTheme="minorEastAsia" w:cstheme="minorBidi"/>
          <w:sz w:val="32"/>
          <w:szCs w:val="32"/>
        </w:rPr>
        <w:t>年，形成凌源制造业与物流业等多业之间的高质量协同发展。</w:t>
      </w:r>
      <w:r>
        <w:rPr>
          <w:rFonts w:ascii="黑体" w:hAnsi="黑体" w:eastAsia="黑体"/>
        </w:rPr>
        <w:br w:type="page"/>
      </w:r>
    </w:p>
    <w:bookmarkEnd w:id="140"/>
    <w:bookmarkEnd w:id="141"/>
    <w:bookmarkEnd w:id="142"/>
    <w:p w14:paraId="21F9456E">
      <w:pPr>
        <w:pStyle w:val="3"/>
        <w:numPr>
          <w:ilvl w:val="0"/>
          <w:numId w:val="2"/>
        </w:numPr>
        <w:spacing w:line="360" w:lineRule="auto"/>
        <w:ind w:left="0" w:firstLine="0"/>
        <w:jc w:val="center"/>
        <w:rPr>
          <w:rFonts w:ascii="黑体" w:hAnsi="黑体" w:eastAsia="黑体"/>
        </w:rPr>
      </w:pPr>
      <w:bookmarkStart w:id="154" w:name="_Toc79497997"/>
      <w:r>
        <w:rPr>
          <w:rFonts w:hint="eastAsia" w:ascii="黑体" w:hAnsi="黑体" w:eastAsia="黑体"/>
        </w:rPr>
        <w:t>产业发展</w:t>
      </w:r>
      <w:r>
        <w:rPr>
          <w:rFonts w:ascii="黑体" w:hAnsi="黑体" w:eastAsia="黑体"/>
        </w:rPr>
        <w:t>效果展望</w:t>
      </w:r>
      <w:bookmarkEnd w:id="82"/>
      <w:bookmarkEnd w:id="154"/>
    </w:p>
    <w:p w14:paraId="72E945C1">
      <w:pPr>
        <w:pStyle w:val="4"/>
        <w:spacing w:line="360" w:lineRule="auto"/>
        <w:jc w:val="center"/>
      </w:pPr>
      <w:bookmarkStart w:id="155" w:name="_Toc521147340"/>
      <w:bookmarkStart w:id="156" w:name="_Toc46998696"/>
      <w:bookmarkStart w:id="157" w:name="_Toc79497998"/>
      <w:r>
        <w:rPr>
          <w:rFonts w:hint="eastAsia"/>
        </w:rPr>
        <w:t xml:space="preserve">第一节 </w:t>
      </w:r>
      <w:r>
        <w:t>经济效益</w:t>
      </w:r>
      <w:bookmarkEnd w:id="155"/>
      <w:r>
        <w:t>分析</w:t>
      </w:r>
      <w:bookmarkEnd w:id="156"/>
      <w:bookmarkEnd w:id="157"/>
    </w:p>
    <w:p w14:paraId="7A25F12D">
      <w:pPr>
        <w:spacing w:line="360" w:lineRule="auto"/>
        <w:ind w:firstLine="646" w:firstLineChars="202"/>
        <w:rPr>
          <w:rFonts w:ascii="宋体" w:hAnsi="宋体"/>
          <w:sz w:val="32"/>
          <w:szCs w:val="32"/>
        </w:rPr>
      </w:pPr>
      <w:r>
        <w:rPr>
          <w:rFonts w:ascii="宋体" w:hAnsi="宋体"/>
          <w:sz w:val="32"/>
          <w:szCs w:val="32"/>
        </w:rPr>
        <w:t>初步预计，</w:t>
      </w:r>
      <w:r>
        <w:rPr>
          <w:rFonts w:hint="eastAsia" w:ascii="宋体" w:hAnsi="宋体"/>
          <w:sz w:val="32"/>
          <w:szCs w:val="32"/>
        </w:rPr>
        <w:t>“十四五”期间，凌源市物流业</w:t>
      </w:r>
      <w:r>
        <w:rPr>
          <w:rFonts w:ascii="宋体" w:hAnsi="宋体"/>
          <w:sz w:val="32"/>
          <w:szCs w:val="32"/>
        </w:rPr>
        <w:t>规划项目投资总额约</w:t>
      </w:r>
      <w:r>
        <w:rPr>
          <w:rFonts w:hint="eastAsia" w:ascii="宋体" w:hAnsi="宋体"/>
          <w:sz w:val="32"/>
          <w:szCs w:val="32"/>
        </w:rPr>
        <w:t>160</w:t>
      </w:r>
      <w:r>
        <w:rPr>
          <w:rFonts w:ascii="宋体" w:hAnsi="宋体"/>
          <w:sz w:val="32"/>
          <w:szCs w:val="32"/>
        </w:rPr>
        <w:t>亿元，总用地面积约</w:t>
      </w:r>
      <w:r>
        <w:rPr>
          <w:rFonts w:hint="eastAsia" w:ascii="宋体" w:hAnsi="宋体"/>
          <w:sz w:val="32"/>
          <w:szCs w:val="32"/>
        </w:rPr>
        <w:t>10000</w:t>
      </w:r>
      <w:r>
        <w:rPr>
          <w:rFonts w:ascii="宋体" w:hAnsi="宋体"/>
          <w:sz w:val="32"/>
          <w:szCs w:val="32"/>
        </w:rPr>
        <w:t>亩</w:t>
      </w:r>
      <w:r>
        <w:rPr>
          <w:rFonts w:hint="eastAsia" w:ascii="宋体" w:hAnsi="宋体"/>
          <w:sz w:val="32"/>
          <w:szCs w:val="32"/>
        </w:rPr>
        <w:t>，</w:t>
      </w:r>
      <w:r>
        <w:rPr>
          <w:rFonts w:ascii="宋体" w:hAnsi="宋体"/>
          <w:sz w:val="32"/>
          <w:szCs w:val="32"/>
        </w:rPr>
        <w:t>可新增</w:t>
      </w:r>
      <w:r>
        <w:rPr>
          <w:rFonts w:hint="eastAsia" w:ascii="宋体" w:hAnsi="宋体"/>
          <w:sz w:val="32"/>
          <w:szCs w:val="32"/>
        </w:rPr>
        <w:t>物流业</w:t>
      </w:r>
      <w:r>
        <w:rPr>
          <w:rFonts w:ascii="宋体" w:hAnsi="宋体"/>
          <w:sz w:val="32"/>
          <w:szCs w:val="32"/>
        </w:rPr>
        <w:t>总产值约</w:t>
      </w:r>
      <w:r>
        <w:rPr>
          <w:rFonts w:hint="eastAsia" w:ascii="宋体" w:hAnsi="宋体"/>
          <w:sz w:val="32"/>
          <w:szCs w:val="32"/>
        </w:rPr>
        <w:t>438</w:t>
      </w:r>
      <w:r>
        <w:rPr>
          <w:rFonts w:ascii="宋体" w:hAnsi="宋体"/>
          <w:sz w:val="32"/>
          <w:szCs w:val="32"/>
        </w:rPr>
        <w:t>亿元，新增利税约</w:t>
      </w:r>
      <w:r>
        <w:rPr>
          <w:rFonts w:hint="eastAsia" w:ascii="宋体" w:hAnsi="宋体"/>
          <w:sz w:val="32"/>
          <w:szCs w:val="32"/>
        </w:rPr>
        <w:t>70</w:t>
      </w:r>
      <w:r>
        <w:rPr>
          <w:rFonts w:ascii="宋体" w:hAnsi="宋体"/>
          <w:sz w:val="32"/>
          <w:szCs w:val="32"/>
        </w:rPr>
        <w:t>亿元。通过规划项目实施，可累计新增就业岗位</w:t>
      </w:r>
      <w:r>
        <w:rPr>
          <w:rFonts w:hint="eastAsia" w:ascii="宋体" w:hAnsi="宋体"/>
          <w:sz w:val="32"/>
          <w:szCs w:val="32"/>
        </w:rPr>
        <w:t>6</w:t>
      </w:r>
      <w:r>
        <w:rPr>
          <w:rFonts w:ascii="宋体" w:hAnsi="宋体"/>
          <w:sz w:val="32"/>
          <w:szCs w:val="32"/>
        </w:rPr>
        <w:t>万个，单位土地面积产值达到</w:t>
      </w:r>
      <w:r>
        <w:rPr>
          <w:rFonts w:hint="eastAsia" w:ascii="宋体" w:hAnsi="宋体"/>
          <w:sz w:val="32"/>
          <w:szCs w:val="32"/>
        </w:rPr>
        <w:t>438</w:t>
      </w:r>
      <w:r>
        <w:rPr>
          <w:rFonts w:ascii="宋体" w:hAnsi="宋体"/>
          <w:sz w:val="32"/>
          <w:szCs w:val="32"/>
        </w:rPr>
        <w:t>万元/亩。直接经济效益指标详见</w:t>
      </w:r>
      <w:r>
        <w:rPr>
          <w:rFonts w:hint="eastAsia" w:ascii="宋体" w:hAnsi="宋体"/>
          <w:sz w:val="32"/>
          <w:szCs w:val="32"/>
        </w:rPr>
        <w:t>下</w:t>
      </w:r>
      <w:r>
        <w:rPr>
          <w:rFonts w:ascii="宋体" w:hAnsi="宋体"/>
          <w:sz w:val="32"/>
          <w:szCs w:val="32"/>
        </w:rPr>
        <w:t>表。</w:t>
      </w:r>
    </w:p>
    <w:p w14:paraId="1CA23320">
      <w:pPr>
        <w:pStyle w:val="10"/>
        <w:jc w:val="center"/>
        <w:rPr>
          <w:b/>
          <w:bCs/>
          <w:sz w:val="24"/>
          <w:szCs w:val="24"/>
        </w:rPr>
      </w:pPr>
      <w:bookmarkStart w:id="158" w:name="_Toc79498044"/>
      <w:r>
        <w:rPr>
          <w:rFonts w:hint="eastAsia"/>
          <w:b/>
          <w:bCs/>
          <w:sz w:val="24"/>
          <w:szCs w:val="24"/>
        </w:rPr>
        <w:t>表</w:t>
      </w:r>
      <w:r>
        <w:rPr>
          <w:b/>
          <w:bCs/>
          <w:sz w:val="24"/>
          <w:szCs w:val="24"/>
        </w:rPr>
        <w:fldChar w:fldCharType="begin"/>
      </w:r>
      <w:r>
        <w:rPr>
          <w:rFonts w:hint="eastAsia"/>
          <w:b/>
          <w:bCs/>
          <w:sz w:val="24"/>
          <w:szCs w:val="24"/>
        </w:rPr>
        <w:instrText xml:space="preserve">SEQ 表 \* ARABIC</w:instrText>
      </w:r>
      <w:r>
        <w:rPr>
          <w:b/>
          <w:bCs/>
          <w:sz w:val="24"/>
          <w:szCs w:val="24"/>
        </w:rPr>
        <w:fldChar w:fldCharType="separate"/>
      </w:r>
      <w:r>
        <w:rPr>
          <w:b/>
          <w:bCs/>
          <w:sz w:val="24"/>
          <w:szCs w:val="24"/>
        </w:rPr>
        <w:t>7</w:t>
      </w:r>
      <w:r>
        <w:rPr>
          <w:b/>
          <w:bCs/>
          <w:sz w:val="24"/>
          <w:szCs w:val="24"/>
        </w:rPr>
        <w:fldChar w:fldCharType="end"/>
      </w:r>
      <w:r>
        <w:rPr>
          <w:rFonts w:hint="eastAsia"/>
          <w:b/>
          <w:bCs/>
          <w:sz w:val="24"/>
          <w:szCs w:val="24"/>
        </w:rPr>
        <w:t>凌源市物流业规划项目直接经济效益估算表</w:t>
      </w:r>
      <w:bookmarkEnd w:id="158"/>
    </w:p>
    <w:tbl>
      <w:tblPr>
        <w:tblStyle w:val="50"/>
        <w:tblW w:w="5137" w:type="pct"/>
        <w:tblInd w:w="0" w:type="dxa"/>
        <w:tblBorders>
          <w:top w:val="single" w:color="5B9BD5" w:themeColor="accent1" w:sz="8" w:space="0"/>
          <w:left w:val="none" w:color="auto" w:sz="0" w:space="0"/>
          <w:bottom w:val="single" w:color="5B9BD5" w:themeColor="accent1"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5"/>
        <w:gridCol w:w="1311"/>
        <w:gridCol w:w="2699"/>
        <w:gridCol w:w="1987"/>
      </w:tblGrid>
      <w:tr w14:paraId="0A55166A">
        <w:tblPrEx>
          <w:tblBorders>
            <w:top w:val="single" w:color="5B9BD5" w:themeColor="accent1" w:sz="8" w:space="0"/>
            <w:left w:val="none" w:color="auto" w:sz="0" w:space="0"/>
            <w:bottom w:val="single" w:color="5B9BD5" w:themeColor="accen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78" w:type="pct"/>
            <w:vMerge w:val="restart"/>
            <w:tcBorders>
              <w:top w:val="single" w:color="5B9BD5" w:themeColor="accent1" w:sz="12" w:space="0"/>
              <w:left w:val="nil"/>
              <w:bottom w:val="single" w:color="5B9BD5" w:themeColor="accent1" w:sz="8" w:space="0"/>
              <w:right w:val="nil"/>
              <w:insideH w:val="single" w:sz="8" w:space="0"/>
              <w:insideV w:val="nil"/>
            </w:tcBorders>
            <w:vAlign w:val="center"/>
          </w:tcPr>
          <w:p w14:paraId="15901C22">
            <w:pPr>
              <w:spacing w:before="0" w:after="0" w:line="360" w:lineRule="exact"/>
              <w:jc w:val="center"/>
              <w:rPr>
                <w:rFonts w:ascii="宋体" w:hAnsi="宋体" w:eastAsia="宋体"/>
                <w:b w:val="0"/>
                <w:bCs w:val="0"/>
                <w:color w:val="auto"/>
                <w:sz w:val="28"/>
                <w:szCs w:val="28"/>
              </w:rPr>
            </w:pPr>
            <w:r>
              <w:rPr>
                <w:rFonts w:ascii="宋体" w:hAnsi="宋体" w:eastAsia="宋体"/>
                <w:b/>
                <w:bCs/>
                <w:color w:val="auto"/>
                <w:sz w:val="28"/>
                <w:szCs w:val="28"/>
              </w:rPr>
              <w:t>项目</w:t>
            </w:r>
          </w:p>
        </w:tc>
        <w:tc>
          <w:tcPr>
            <w:tcW w:w="748" w:type="pct"/>
            <w:vMerge w:val="restart"/>
            <w:tcBorders>
              <w:top w:val="single" w:color="5B9BD5" w:themeColor="accent1" w:sz="12" w:space="0"/>
              <w:bottom w:val="single" w:color="5B9BD5" w:themeColor="accent1" w:sz="8" w:space="0"/>
              <w:right w:val="nil"/>
              <w:insideH w:val="single" w:sz="8" w:space="0"/>
              <w:insideV w:val="nil"/>
            </w:tcBorders>
            <w:vAlign w:val="center"/>
          </w:tcPr>
          <w:p w14:paraId="5493FF18">
            <w:pPr>
              <w:spacing w:before="0" w:after="0" w:line="360" w:lineRule="exact"/>
              <w:jc w:val="center"/>
              <w:rPr>
                <w:rFonts w:ascii="宋体" w:hAnsi="宋体" w:eastAsia="宋体"/>
                <w:b w:val="0"/>
                <w:bCs w:val="0"/>
                <w:color w:val="auto"/>
                <w:sz w:val="28"/>
                <w:szCs w:val="28"/>
              </w:rPr>
            </w:pPr>
            <w:r>
              <w:rPr>
                <w:rFonts w:ascii="宋体" w:hAnsi="宋体" w:eastAsia="宋体"/>
                <w:b/>
                <w:bCs/>
                <w:color w:val="auto"/>
                <w:sz w:val="28"/>
                <w:szCs w:val="28"/>
              </w:rPr>
              <w:t>单位</w:t>
            </w:r>
          </w:p>
        </w:tc>
        <w:tc>
          <w:tcPr>
            <w:tcW w:w="1540" w:type="pct"/>
            <w:tcBorders>
              <w:top w:val="single" w:color="5B9BD5" w:themeColor="accent1" w:sz="12" w:space="0"/>
              <w:bottom w:val="single" w:color="5B9BD5" w:themeColor="accent1" w:sz="12" w:space="0"/>
              <w:right w:val="nil"/>
              <w:insideV w:val="nil"/>
            </w:tcBorders>
            <w:vAlign w:val="center"/>
          </w:tcPr>
          <w:p w14:paraId="4CAE2524">
            <w:pPr>
              <w:spacing w:before="0" w:after="0" w:line="360" w:lineRule="exact"/>
              <w:jc w:val="center"/>
              <w:rPr>
                <w:rFonts w:ascii="宋体" w:hAnsi="宋体" w:eastAsia="宋体"/>
                <w:b w:val="0"/>
                <w:bCs w:val="0"/>
                <w:color w:val="auto"/>
                <w:sz w:val="28"/>
                <w:szCs w:val="28"/>
              </w:rPr>
            </w:pPr>
            <w:r>
              <w:rPr>
                <w:rFonts w:ascii="宋体" w:hAnsi="宋体" w:eastAsia="宋体"/>
                <w:b/>
                <w:bCs/>
                <w:color w:val="auto"/>
                <w:sz w:val="28"/>
                <w:szCs w:val="28"/>
              </w:rPr>
              <w:t>主要经济指标</w:t>
            </w:r>
          </w:p>
        </w:tc>
        <w:tc>
          <w:tcPr>
            <w:tcW w:w="1134" w:type="pct"/>
            <w:tcBorders>
              <w:top w:val="single" w:color="5B9BD5" w:themeColor="accent1" w:sz="12" w:space="0"/>
              <w:bottom w:val="single" w:color="5B9BD5" w:themeColor="accent1" w:sz="12" w:space="0"/>
              <w:right w:val="nil"/>
              <w:insideV w:val="nil"/>
            </w:tcBorders>
            <w:vAlign w:val="center"/>
          </w:tcPr>
          <w:p w14:paraId="4FD3C5B8">
            <w:pPr>
              <w:spacing w:before="0" w:after="0" w:line="360" w:lineRule="exact"/>
              <w:jc w:val="center"/>
              <w:rPr>
                <w:rFonts w:ascii="宋体" w:hAnsi="宋体" w:eastAsia="宋体"/>
                <w:b w:val="0"/>
                <w:bCs w:val="0"/>
                <w:color w:val="auto"/>
                <w:sz w:val="28"/>
                <w:szCs w:val="28"/>
              </w:rPr>
            </w:pPr>
            <w:r>
              <w:rPr>
                <w:rFonts w:ascii="宋体" w:hAnsi="宋体" w:eastAsia="宋体"/>
                <w:b/>
                <w:bCs/>
                <w:color w:val="auto"/>
                <w:sz w:val="28"/>
                <w:szCs w:val="28"/>
              </w:rPr>
              <w:t>备注</w:t>
            </w:r>
          </w:p>
        </w:tc>
      </w:tr>
      <w:tr w14:paraId="7661FD2E">
        <w:tblPrEx>
          <w:tblBorders>
            <w:top w:val="single" w:color="5B9BD5" w:themeColor="accent1" w:sz="8" w:space="0"/>
            <w:left w:val="none" w:color="auto" w:sz="0" w:space="0"/>
            <w:bottom w:val="single" w:color="5B9BD5" w:themeColor="accen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78" w:type="pct"/>
            <w:vMerge w:val="continue"/>
            <w:tcBorders>
              <w:left w:val="nil"/>
              <w:bottom w:val="single" w:color="5B9BD5" w:themeColor="accent1" w:sz="12" w:space="0"/>
              <w:right w:val="nil"/>
            </w:tcBorders>
            <w:shd w:val="clear" w:color="auto" w:fill="D6E6F4" w:themeFill="accent1" w:themeFillTint="3F"/>
            <w:vAlign w:val="center"/>
          </w:tcPr>
          <w:p w14:paraId="7D498991">
            <w:pPr>
              <w:spacing w:line="360" w:lineRule="exact"/>
              <w:jc w:val="center"/>
              <w:rPr>
                <w:rFonts w:ascii="宋体" w:hAnsi="宋体" w:eastAsia="宋体"/>
                <w:b w:val="0"/>
                <w:bCs w:val="0"/>
                <w:color w:val="auto"/>
                <w:sz w:val="28"/>
                <w:szCs w:val="28"/>
              </w:rPr>
            </w:pPr>
          </w:p>
        </w:tc>
        <w:tc>
          <w:tcPr>
            <w:tcW w:w="748" w:type="pct"/>
            <w:vMerge w:val="continue"/>
            <w:tcBorders>
              <w:bottom w:val="single" w:color="5B9BD5" w:themeColor="accent1" w:sz="12" w:space="0"/>
              <w:right w:val="nil"/>
            </w:tcBorders>
            <w:shd w:val="clear" w:color="auto" w:fill="D6E6F4" w:themeFill="accent1" w:themeFillTint="3F"/>
            <w:vAlign w:val="center"/>
          </w:tcPr>
          <w:p w14:paraId="092F6E33">
            <w:pPr>
              <w:spacing w:line="360" w:lineRule="exact"/>
              <w:jc w:val="center"/>
              <w:rPr>
                <w:rFonts w:ascii="宋体" w:hAnsi="宋体" w:eastAsia="宋体"/>
                <w:color w:val="auto"/>
                <w:sz w:val="28"/>
                <w:szCs w:val="28"/>
              </w:rPr>
            </w:pPr>
          </w:p>
        </w:tc>
        <w:tc>
          <w:tcPr>
            <w:tcW w:w="1540" w:type="pct"/>
            <w:tcBorders>
              <w:top w:val="single" w:color="5B9BD5" w:themeColor="accent1" w:sz="12" w:space="0"/>
              <w:bottom w:val="single" w:color="5B9BD5" w:themeColor="accent1" w:sz="12" w:space="0"/>
              <w:right w:val="nil"/>
            </w:tcBorders>
            <w:shd w:val="clear" w:color="auto" w:fill="D6E6F4" w:themeFill="accent1" w:themeFillTint="3F"/>
            <w:vAlign w:val="center"/>
          </w:tcPr>
          <w:p w14:paraId="7BA34B01">
            <w:pPr>
              <w:spacing w:line="360" w:lineRule="exact"/>
              <w:jc w:val="center"/>
              <w:rPr>
                <w:rFonts w:ascii="宋体" w:hAnsi="宋体" w:eastAsia="宋体"/>
                <w:color w:val="auto"/>
                <w:sz w:val="28"/>
                <w:szCs w:val="28"/>
              </w:rPr>
            </w:pPr>
            <w:r>
              <w:rPr>
                <w:rFonts w:ascii="宋体" w:hAnsi="宋体" w:eastAsia="宋体"/>
                <w:color w:val="auto"/>
                <w:sz w:val="28"/>
                <w:szCs w:val="28"/>
              </w:rPr>
              <w:t>2025年</w:t>
            </w:r>
          </w:p>
        </w:tc>
        <w:tc>
          <w:tcPr>
            <w:tcW w:w="1134" w:type="pct"/>
            <w:tcBorders>
              <w:top w:val="single" w:color="5B9BD5" w:themeColor="accent1" w:sz="12" w:space="0"/>
              <w:bottom w:val="single" w:color="5B9BD5" w:themeColor="accent1" w:sz="12" w:space="0"/>
              <w:right w:val="nil"/>
            </w:tcBorders>
            <w:shd w:val="clear" w:color="auto" w:fill="D6E6F4" w:themeFill="accent1" w:themeFillTint="3F"/>
            <w:vAlign w:val="center"/>
          </w:tcPr>
          <w:p w14:paraId="42815335">
            <w:pPr>
              <w:spacing w:line="360" w:lineRule="exact"/>
              <w:jc w:val="center"/>
              <w:rPr>
                <w:rFonts w:ascii="宋体" w:hAnsi="宋体" w:eastAsia="宋体"/>
                <w:color w:val="auto"/>
                <w:sz w:val="28"/>
                <w:szCs w:val="28"/>
              </w:rPr>
            </w:pPr>
          </w:p>
        </w:tc>
      </w:tr>
      <w:tr w14:paraId="69DFC385">
        <w:tblPrEx>
          <w:tblBorders>
            <w:top w:val="single" w:color="5B9BD5" w:themeColor="accent1" w:sz="8" w:space="0"/>
            <w:left w:val="none" w:color="auto" w:sz="0" w:space="0"/>
            <w:bottom w:val="single" w:color="5B9BD5" w:themeColor="accen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78" w:type="pct"/>
            <w:tcBorders>
              <w:top w:val="single" w:color="5B9BD5" w:themeColor="accent1" w:sz="12" w:space="0"/>
            </w:tcBorders>
            <w:vAlign w:val="center"/>
          </w:tcPr>
          <w:p w14:paraId="283AC141">
            <w:pPr>
              <w:spacing w:line="360" w:lineRule="exact"/>
              <w:jc w:val="center"/>
              <w:rPr>
                <w:rFonts w:ascii="宋体" w:hAnsi="宋体" w:eastAsia="宋体"/>
                <w:b/>
                <w:bCs w:val="0"/>
                <w:color w:val="auto"/>
                <w:sz w:val="28"/>
                <w:szCs w:val="28"/>
              </w:rPr>
            </w:pPr>
            <w:r>
              <w:rPr>
                <w:rFonts w:ascii="宋体" w:hAnsi="宋体" w:eastAsia="宋体"/>
                <w:b/>
                <w:bCs/>
                <w:color w:val="auto"/>
                <w:sz w:val="28"/>
                <w:szCs w:val="28"/>
              </w:rPr>
              <w:t>新增投资</w:t>
            </w:r>
          </w:p>
        </w:tc>
        <w:tc>
          <w:tcPr>
            <w:tcW w:w="748" w:type="pct"/>
            <w:tcBorders>
              <w:top w:val="single" w:color="5B9BD5" w:themeColor="accent1" w:sz="12" w:space="0"/>
            </w:tcBorders>
            <w:vAlign w:val="center"/>
          </w:tcPr>
          <w:p w14:paraId="711491AF">
            <w:pPr>
              <w:spacing w:line="360" w:lineRule="exact"/>
              <w:jc w:val="center"/>
              <w:rPr>
                <w:rFonts w:ascii="宋体" w:hAnsi="宋体" w:eastAsia="宋体"/>
                <w:color w:val="auto"/>
                <w:sz w:val="28"/>
                <w:szCs w:val="28"/>
              </w:rPr>
            </w:pPr>
            <w:r>
              <w:rPr>
                <w:rFonts w:ascii="宋体" w:hAnsi="宋体" w:eastAsia="宋体"/>
                <w:color w:val="auto"/>
                <w:sz w:val="28"/>
                <w:szCs w:val="28"/>
              </w:rPr>
              <w:t>亿元</w:t>
            </w:r>
          </w:p>
        </w:tc>
        <w:tc>
          <w:tcPr>
            <w:tcW w:w="1540" w:type="pct"/>
            <w:tcBorders>
              <w:top w:val="single" w:color="5B9BD5" w:themeColor="accent1" w:sz="12" w:space="0"/>
            </w:tcBorders>
            <w:vAlign w:val="center"/>
          </w:tcPr>
          <w:p w14:paraId="3D25D3D2">
            <w:pPr>
              <w:spacing w:line="360" w:lineRule="exact"/>
              <w:jc w:val="center"/>
              <w:rPr>
                <w:rFonts w:ascii="宋体" w:hAnsi="宋体" w:eastAsia="宋体"/>
                <w:color w:val="auto"/>
                <w:sz w:val="28"/>
                <w:szCs w:val="28"/>
              </w:rPr>
            </w:pPr>
            <w:r>
              <w:rPr>
                <w:rFonts w:hint="eastAsia" w:ascii="宋体" w:hAnsi="宋体" w:eastAsia="宋体"/>
                <w:color w:val="auto"/>
                <w:sz w:val="28"/>
                <w:szCs w:val="28"/>
              </w:rPr>
              <w:t>160</w:t>
            </w:r>
          </w:p>
        </w:tc>
        <w:tc>
          <w:tcPr>
            <w:tcW w:w="1134" w:type="pct"/>
            <w:tcBorders>
              <w:top w:val="single" w:color="5B9BD5" w:themeColor="accent1" w:sz="12" w:space="0"/>
            </w:tcBorders>
            <w:vAlign w:val="center"/>
          </w:tcPr>
          <w:p w14:paraId="6F3BF2D5">
            <w:pPr>
              <w:spacing w:line="360" w:lineRule="exact"/>
              <w:jc w:val="center"/>
              <w:rPr>
                <w:rFonts w:ascii="宋体" w:hAnsi="宋体" w:eastAsia="宋体"/>
                <w:color w:val="auto"/>
                <w:sz w:val="28"/>
                <w:szCs w:val="28"/>
              </w:rPr>
            </w:pPr>
            <w:r>
              <w:rPr>
                <w:rFonts w:ascii="宋体" w:hAnsi="宋体" w:eastAsia="宋体"/>
                <w:color w:val="auto"/>
                <w:sz w:val="28"/>
                <w:szCs w:val="28"/>
              </w:rPr>
              <w:t>规划期累计</w:t>
            </w:r>
          </w:p>
        </w:tc>
      </w:tr>
      <w:tr w14:paraId="27B0CE3C">
        <w:tblPrEx>
          <w:tblBorders>
            <w:top w:val="single" w:color="5B9BD5" w:themeColor="accent1" w:sz="8" w:space="0"/>
            <w:left w:val="none" w:color="auto" w:sz="0" w:space="0"/>
            <w:bottom w:val="single" w:color="5B9BD5" w:themeColor="accen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78" w:type="pct"/>
            <w:tcBorders>
              <w:left w:val="nil"/>
              <w:right w:val="nil"/>
            </w:tcBorders>
            <w:shd w:val="clear" w:color="auto" w:fill="D6E6F4" w:themeFill="accent1" w:themeFillTint="3F"/>
            <w:vAlign w:val="center"/>
          </w:tcPr>
          <w:p w14:paraId="485CC61E">
            <w:pPr>
              <w:spacing w:line="360" w:lineRule="exact"/>
              <w:jc w:val="center"/>
              <w:rPr>
                <w:rFonts w:ascii="宋体" w:hAnsi="宋体" w:eastAsia="宋体"/>
                <w:b/>
                <w:bCs w:val="0"/>
                <w:color w:val="auto"/>
                <w:sz w:val="28"/>
                <w:szCs w:val="28"/>
              </w:rPr>
            </w:pPr>
            <w:r>
              <w:rPr>
                <w:rFonts w:ascii="宋体" w:hAnsi="宋体" w:eastAsia="宋体"/>
                <w:b/>
                <w:bCs/>
                <w:color w:val="auto"/>
                <w:sz w:val="28"/>
                <w:szCs w:val="28"/>
              </w:rPr>
              <w:t>新增产值</w:t>
            </w:r>
          </w:p>
        </w:tc>
        <w:tc>
          <w:tcPr>
            <w:tcW w:w="748" w:type="pct"/>
            <w:tcBorders>
              <w:right w:val="nil"/>
            </w:tcBorders>
            <w:shd w:val="clear" w:color="auto" w:fill="D6E6F4" w:themeFill="accent1" w:themeFillTint="3F"/>
            <w:vAlign w:val="center"/>
          </w:tcPr>
          <w:p w14:paraId="2A294FF5">
            <w:pPr>
              <w:spacing w:line="360" w:lineRule="exact"/>
              <w:jc w:val="center"/>
              <w:rPr>
                <w:rFonts w:ascii="宋体" w:hAnsi="宋体" w:eastAsia="宋体"/>
                <w:color w:val="auto"/>
                <w:sz w:val="28"/>
                <w:szCs w:val="28"/>
              </w:rPr>
            </w:pPr>
            <w:r>
              <w:rPr>
                <w:rFonts w:ascii="宋体" w:hAnsi="宋体" w:eastAsia="宋体"/>
                <w:color w:val="auto"/>
                <w:sz w:val="28"/>
                <w:szCs w:val="28"/>
              </w:rPr>
              <w:t>亿元</w:t>
            </w:r>
          </w:p>
        </w:tc>
        <w:tc>
          <w:tcPr>
            <w:tcW w:w="1540" w:type="pct"/>
            <w:tcBorders>
              <w:right w:val="nil"/>
            </w:tcBorders>
            <w:shd w:val="clear" w:color="auto" w:fill="D6E6F4" w:themeFill="accent1" w:themeFillTint="3F"/>
            <w:vAlign w:val="center"/>
          </w:tcPr>
          <w:p w14:paraId="0DED226E">
            <w:pPr>
              <w:spacing w:line="360" w:lineRule="exact"/>
              <w:jc w:val="center"/>
              <w:rPr>
                <w:rFonts w:ascii="宋体" w:hAnsi="宋体" w:eastAsia="宋体"/>
                <w:color w:val="auto"/>
                <w:sz w:val="28"/>
                <w:szCs w:val="28"/>
              </w:rPr>
            </w:pPr>
            <w:r>
              <w:rPr>
                <w:rFonts w:ascii="宋体" w:hAnsi="宋体" w:eastAsia="宋体"/>
                <w:color w:val="auto"/>
                <w:sz w:val="28"/>
                <w:szCs w:val="28"/>
              </w:rPr>
              <w:t>4</w:t>
            </w:r>
            <w:r>
              <w:rPr>
                <w:rFonts w:hint="eastAsia" w:ascii="宋体" w:hAnsi="宋体" w:eastAsia="宋体"/>
                <w:color w:val="auto"/>
                <w:sz w:val="28"/>
                <w:szCs w:val="28"/>
              </w:rPr>
              <w:t>38</w:t>
            </w:r>
          </w:p>
        </w:tc>
        <w:tc>
          <w:tcPr>
            <w:tcW w:w="1134" w:type="pct"/>
            <w:tcBorders>
              <w:right w:val="nil"/>
            </w:tcBorders>
            <w:shd w:val="clear" w:color="auto" w:fill="D6E6F4" w:themeFill="accent1" w:themeFillTint="3F"/>
            <w:vAlign w:val="center"/>
          </w:tcPr>
          <w:p w14:paraId="5D4E80D2">
            <w:pPr>
              <w:spacing w:line="360" w:lineRule="exact"/>
              <w:jc w:val="center"/>
              <w:rPr>
                <w:rFonts w:ascii="宋体" w:hAnsi="宋体" w:eastAsia="宋体"/>
                <w:color w:val="auto"/>
                <w:sz w:val="28"/>
                <w:szCs w:val="28"/>
              </w:rPr>
            </w:pPr>
            <w:r>
              <w:rPr>
                <w:rFonts w:ascii="宋体" w:hAnsi="宋体" w:eastAsia="宋体"/>
                <w:color w:val="auto"/>
                <w:sz w:val="28"/>
                <w:szCs w:val="28"/>
              </w:rPr>
              <w:t>规划期累计</w:t>
            </w:r>
          </w:p>
        </w:tc>
      </w:tr>
      <w:tr w14:paraId="7507226B">
        <w:tblPrEx>
          <w:tblBorders>
            <w:top w:val="single" w:color="5B9BD5" w:themeColor="accent1" w:sz="8" w:space="0"/>
            <w:left w:val="none" w:color="auto" w:sz="0" w:space="0"/>
            <w:bottom w:val="single" w:color="5B9BD5" w:themeColor="accen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78" w:type="pct"/>
            <w:vAlign w:val="center"/>
          </w:tcPr>
          <w:p w14:paraId="44E49463">
            <w:pPr>
              <w:spacing w:line="360" w:lineRule="exact"/>
              <w:jc w:val="center"/>
              <w:rPr>
                <w:rFonts w:ascii="宋体" w:hAnsi="宋体" w:eastAsia="宋体"/>
                <w:b/>
                <w:bCs w:val="0"/>
                <w:color w:val="auto"/>
                <w:sz w:val="28"/>
                <w:szCs w:val="28"/>
              </w:rPr>
            </w:pPr>
            <w:r>
              <w:rPr>
                <w:rFonts w:ascii="宋体" w:hAnsi="宋体" w:eastAsia="宋体"/>
                <w:b/>
                <w:bCs/>
                <w:color w:val="auto"/>
                <w:sz w:val="28"/>
                <w:szCs w:val="28"/>
              </w:rPr>
              <w:t>新增利税总额</w:t>
            </w:r>
          </w:p>
        </w:tc>
        <w:tc>
          <w:tcPr>
            <w:tcW w:w="748" w:type="pct"/>
            <w:vAlign w:val="center"/>
          </w:tcPr>
          <w:p w14:paraId="101D6379">
            <w:pPr>
              <w:spacing w:line="360" w:lineRule="exact"/>
              <w:jc w:val="center"/>
              <w:rPr>
                <w:rFonts w:ascii="宋体" w:hAnsi="宋体" w:eastAsia="宋体"/>
                <w:color w:val="auto"/>
                <w:sz w:val="28"/>
                <w:szCs w:val="28"/>
              </w:rPr>
            </w:pPr>
            <w:r>
              <w:rPr>
                <w:rFonts w:ascii="宋体" w:hAnsi="宋体" w:eastAsia="宋体"/>
                <w:color w:val="auto"/>
                <w:sz w:val="28"/>
                <w:szCs w:val="28"/>
              </w:rPr>
              <w:t>亿元</w:t>
            </w:r>
          </w:p>
        </w:tc>
        <w:tc>
          <w:tcPr>
            <w:tcW w:w="1540" w:type="pct"/>
            <w:vAlign w:val="center"/>
          </w:tcPr>
          <w:p w14:paraId="527DD3B3">
            <w:pPr>
              <w:spacing w:line="360" w:lineRule="exact"/>
              <w:jc w:val="center"/>
              <w:rPr>
                <w:rFonts w:ascii="宋体" w:hAnsi="宋体" w:eastAsia="宋体"/>
                <w:color w:val="auto"/>
                <w:sz w:val="28"/>
                <w:szCs w:val="28"/>
              </w:rPr>
            </w:pPr>
            <w:r>
              <w:rPr>
                <w:rFonts w:hint="eastAsia" w:ascii="宋体" w:hAnsi="宋体" w:eastAsia="宋体"/>
                <w:color w:val="auto"/>
                <w:sz w:val="28"/>
                <w:szCs w:val="28"/>
              </w:rPr>
              <w:t>70</w:t>
            </w:r>
          </w:p>
        </w:tc>
        <w:tc>
          <w:tcPr>
            <w:tcW w:w="1134" w:type="pct"/>
            <w:vAlign w:val="center"/>
          </w:tcPr>
          <w:p w14:paraId="402F6374">
            <w:pPr>
              <w:spacing w:line="360" w:lineRule="exact"/>
              <w:jc w:val="center"/>
              <w:rPr>
                <w:rFonts w:ascii="宋体" w:hAnsi="宋体" w:eastAsia="宋体"/>
                <w:color w:val="auto"/>
                <w:sz w:val="28"/>
                <w:szCs w:val="28"/>
              </w:rPr>
            </w:pPr>
            <w:r>
              <w:rPr>
                <w:rFonts w:ascii="宋体" w:hAnsi="宋体" w:eastAsia="宋体"/>
                <w:color w:val="auto"/>
                <w:sz w:val="28"/>
                <w:szCs w:val="28"/>
              </w:rPr>
              <w:t>规划期累计</w:t>
            </w:r>
          </w:p>
        </w:tc>
      </w:tr>
      <w:tr w14:paraId="63150941">
        <w:tblPrEx>
          <w:tblBorders>
            <w:top w:val="single" w:color="5B9BD5" w:themeColor="accent1" w:sz="8" w:space="0"/>
            <w:left w:val="none" w:color="auto" w:sz="0" w:space="0"/>
            <w:bottom w:val="single" w:color="5B9BD5" w:themeColor="accen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78" w:type="pct"/>
            <w:tcBorders>
              <w:left w:val="nil"/>
              <w:right w:val="nil"/>
            </w:tcBorders>
            <w:shd w:val="clear" w:color="auto" w:fill="D6E6F4" w:themeFill="accent1" w:themeFillTint="3F"/>
            <w:vAlign w:val="center"/>
          </w:tcPr>
          <w:p w14:paraId="2DC05570">
            <w:pPr>
              <w:spacing w:line="360" w:lineRule="exact"/>
              <w:jc w:val="center"/>
              <w:rPr>
                <w:rFonts w:ascii="宋体" w:hAnsi="宋体" w:eastAsia="宋体"/>
                <w:b/>
                <w:bCs w:val="0"/>
                <w:color w:val="auto"/>
                <w:sz w:val="28"/>
                <w:szCs w:val="28"/>
              </w:rPr>
            </w:pPr>
            <w:r>
              <w:rPr>
                <w:rFonts w:ascii="宋体" w:hAnsi="宋体" w:eastAsia="宋体"/>
                <w:b/>
                <w:bCs/>
                <w:color w:val="auto"/>
                <w:sz w:val="28"/>
                <w:szCs w:val="28"/>
              </w:rPr>
              <w:t>新增就业岗位</w:t>
            </w:r>
          </w:p>
        </w:tc>
        <w:tc>
          <w:tcPr>
            <w:tcW w:w="748" w:type="pct"/>
            <w:tcBorders>
              <w:right w:val="nil"/>
            </w:tcBorders>
            <w:shd w:val="clear" w:color="auto" w:fill="D6E6F4" w:themeFill="accent1" w:themeFillTint="3F"/>
            <w:vAlign w:val="center"/>
          </w:tcPr>
          <w:p w14:paraId="469A7930">
            <w:pPr>
              <w:spacing w:line="360" w:lineRule="exact"/>
              <w:jc w:val="center"/>
              <w:rPr>
                <w:rFonts w:ascii="宋体" w:hAnsi="宋体" w:eastAsia="宋体"/>
                <w:color w:val="auto"/>
                <w:sz w:val="28"/>
                <w:szCs w:val="28"/>
              </w:rPr>
            </w:pPr>
            <w:r>
              <w:rPr>
                <w:rFonts w:ascii="宋体" w:hAnsi="宋体" w:eastAsia="宋体"/>
                <w:color w:val="auto"/>
                <w:sz w:val="28"/>
                <w:szCs w:val="28"/>
              </w:rPr>
              <w:t>人</w:t>
            </w:r>
          </w:p>
        </w:tc>
        <w:tc>
          <w:tcPr>
            <w:tcW w:w="1540" w:type="pct"/>
            <w:tcBorders>
              <w:right w:val="nil"/>
            </w:tcBorders>
            <w:shd w:val="clear" w:color="auto" w:fill="D6E6F4" w:themeFill="accent1" w:themeFillTint="3F"/>
            <w:vAlign w:val="center"/>
          </w:tcPr>
          <w:p w14:paraId="2F27F590">
            <w:pPr>
              <w:spacing w:line="360" w:lineRule="exact"/>
              <w:jc w:val="center"/>
              <w:rPr>
                <w:rFonts w:ascii="宋体" w:hAnsi="宋体" w:eastAsia="宋体"/>
                <w:color w:val="auto"/>
                <w:sz w:val="28"/>
                <w:szCs w:val="28"/>
              </w:rPr>
            </w:pPr>
            <w:r>
              <w:rPr>
                <w:rFonts w:hint="eastAsia" w:ascii="宋体" w:hAnsi="宋体" w:eastAsia="宋体"/>
                <w:color w:val="auto"/>
                <w:sz w:val="28"/>
                <w:szCs w:val="28"/>
              </w:rPr>
              <w:t>6</w:t>
            </w:r>
            <w:r>
              <w:rPr>
                <w:rFonts w:ascii="宋体" w:hAnsi="宋体" w:eastAsia="宋体"/>
                <w:color w:val="auto"/>
                <w:sz w:val="28"/>
                <w:szCs w:val="28"/>
              </w:rPr>
              <w:t>0000</w:t>
            </w:r>
          </w:p>
        </w:tc>
        <w:tc>
          <w:tcPr>
            <w:tcW w:w="1134" w:type="pct"/>
            <w:tcBorders>
              <w:right w:val="nil"/>
            </w:tcBorders>
            <w:shd w:val="clear" w:color="auto" w:fill="D6E6F4" w:themeFill="accent1" w:themeFillTint="3F"/>
            <w:vAlign w:val="center"/>
          </w:tcPr>
          <w:p w14:paraId="2B0467F6">
            <w:pPr>
              <w:spacing w:line="360" w:lineRule="exact"/>
              <w:jc w:val="center"/>
              <w:rPr>
                <w:rFonts w:ascii="宋体" w:hAnsi="宋体" w:eastAsia="宋体"/>
                <w:color w:val="auto"/>
                <w:sz w:val="28"/>
                <w:szCs w:val="28"/>
              </w:rPr>
            </w:pPr>
            <w:r>
              <w:rPr>
                <w:rFonts w:ascii="宋体" w:hAnsi="宋体" w:eastAsia="宋体"/>
                <w:color w:val="auto"/>
                <w:sz w:val="28"/>
                <w:szCs w:val="28"/>
              </w:rPr>
              <w:t>规划期累计</w:t>
            </w:r>
          </w:p>
        </w:tc>
      </w:tr>
      <w:tr w14:paraId="250C843A">
        <w:tblPrEx>
          <w:tblBorders>
            <w:top w:val="single" w:color="5B9BD5" w:themeColor="accent1" w:sz="8" w:space="0"/>
            <w:left w:val="none" w:color="auto" w:sz="0" w:space="0"/>
            <w:bottom w:val="single" w:color="5B9BD5" w:themeColor="accen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78" w:type="pct"/>
            <w:vAlign w:val="center"/>
          </w:tcPr>
          <w:p w14:paraId="3910E7FE">
            <w:pPr>
              <w:spacing w:line="360" w:lineRule="exact"/>
              <w:jc w:val="center"/>
              <w:rPr>
                <w:rFonts w:ascii="宋体" w:hAnsi="宋体" w:eastAsia="宋体"/>
                <w:b/>
                <w:bCs w:val="0"/>
                <w:color w:val="auto"/>
                <w:sz w:val="28"/>
                <w:szCs w:val="28"/>
              </w:rPr>
            </w:pPr>
            <w:r>
              <w:rPr>
                <w:rFonts w:ascii="宋体" w:hAnsi="宋体" w:eastAsia="宋体"/>
                <w:b/>
                <w:bCs/>
                <w:color w:val="auto"/>
                <w:sz w:val="28"/>
                <w:szCs w:val="28"/>
              </w:rPr>
              <w:t>新增用地面积</w:t>
            </w:r>
          </w:p>
        </w:tc>
        <w:tc>
          <w:tcPr>
            <w:tcW w:w="748" w:type="pct"/>
            <w:vAlign w:val="center"/>
          </w:tcPr>
          <w:p w14:paraId="58A0CBE5">
            <w:pPr>
              <w:spacing w:line="360" w:lineRule="exact"/>
              <w:jc w:val="center"/>
              <w:rPr>
                <w:rFonts w:ascii="宋体" w:hAnsi="宋体" w:eastAsia="宋体"/>
                <w:color w:val="auto"/>
                <w:sz w:val="28"/>
                <w:szCs w:val="28"/>
              </w:rPr>
            </w:pPr>
            <w:r>
              <w:rPr>
                <w:rFonts w:ascii="宋体" w:hAnsi="宋体" w:eastAsia="宋体"/>
                <w:color w:val="auto"/>
                <w:sz w:val="28"/>
                <w:szCs w:val="28"/>
              </w:rPr>
              <w:t>亩</w:t>
            </w:r>
          </w:p>
        </w:tc>
        <w:tc>
          <w:tcPr>
            <w:tcW w:w="1540" w:type="pct"/>
            <w:vAlign w:val="center"/>
          </w:tcPr>
          <w:p w14:paraId="2BBAFB1E">
            <w:pPr>
              <w:spacing w:line="360" w:lineRule="exact"/>
              <w:jc w:val="center"/>
              <w:rPr>
                <w:rFonts w:ascii="宋体" w:hAnsi="宋体" w:eastAsia="宋体"/>
                <w:color w:val="auto"/>
                <w:sz w:val="28"/>
                <w:szCs w:val="28"/>
              </w:rPr>
            </w:pPr>
            <w:r>
              <w:rPr>
                <w:rFonts w:hint="eastAsia" w:ascii="宋体" w:hAnsi="宋体" w:eastAsia="宋体"/>
                <w:color w:val="auto"/>
                <w:sz w:val="28"/>
                <w:szCs w:val="28"/>
              </w:rPr>
              <w:t>10000</w:t>
            </w:r>
          </w:p>
        </w:tc>
        <w:tc>
          <w:tcPr>
            <w:tcW w:w="1134" w:type="pct"/>
            <w:vAlign w:val="center"/>
          </w:tcPr>
          <w:p w14:paraId="3F406918">
            <w:pPr>
              <w:spacing w:line="360" w:lineRule="exact"/>
              <w:jc w:val="center"/>
              <w:rPr>
                <w:rFonts w:ascii="宋体" w:hAnsi="宋体" w:eastAsia="宋体"/>
                <w:color w:val="auto"/>
                <w:sz w:val="28"/>
                <w:szCs w:val="28"/>
              </w:rPr>
            </w:pPr>
            <w:r>
              <w:rPr>
                <w:rFonts w:ascii="宋体" w:hAnsi="宋体" w:eastAsia="宋体"/>
                <w:color w:val="auto"/>
                <w:sz w:val="28"/>
                <w:szCs w:val="28"/>
              </w:rPr>
              <w:t>规划期累计</w:t>
            </w:r>
          </w:p>
        </w:tc>
      </w:tr>
      <w:tr w14:paraId="32BD244B">
        <w:tblPrEx>
          <w:tblBorders>
            <w:top w:val="single" w:color="5B9BD5" w:themeColor="accent1" w:sz="8" w:space="0"/>
            <w:left w:val="none" w:color="auto" w:sz="0" w:space="0"/>
            <w:bottom w:val="single" w:color="5B9BD5" w:themeColor="accen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78" w:type="pct"/>
            <w:tcBorders>
              <w:left w:val="nil"/>
              <w:bottom w:val="nil"/>
              <w:right w:val="nil"/>
            </w:tcBorders>
            <w:shd w:val="clear" w:color="auto" w:fill="D6E6F4" w:themeFill="accent1" w:themeFillTint="3F"/>
            <w:vAlign w:val="center"/>
          </w:tcPr>
          <w:p w14:paraId="6C397BFC">
            <w:pPr>
              <w:spacing w:line="360" w:lineRule="exact"/>
              <w:jc w:val="center"/>
              <w:rPr>
                <w:rFonts w:ascii="宋体" w:hAnsi="宋体" w:eastAsia="宋体"/>
                <w:b/>
                <w:bCs w:val="0"/>
                <w:color w:val="auto"/>
                <w:sz w:val="28"/>
                <w:szCs w:val="28"/>
              </w:rPr>
            </w:pPr>
            <w:r>
              <w:rPr>
                <w:rFonts w:ascii="宋体" w:hAnsi="宋体" w:eastAsia="宋体"/>
                <w:b/>
                <w:bCs/>
                <w:color w:val="auto"/>
                <w:sz w:val="28"/>
                <w:szCs w:val="28"/>
              </w:rPr>
              <w:t>单位土地投资强度</w:t>
            </w:r>
          </w:p>
        </w:tc>
        <w:tc>
          <w:tcPr>
            <w:tcW w:w="748" w:type="pct"/>
            <w:tcBorders>
              <w:bottom w:val="nil"/>
              <w:right w:val="nil"/>
            </w:tcBorders>
            <w:shd w:val="clear" w:color="auto" w:fill="D6E6F4" w:themeFill="accent1" w:themeFillTint="3F"/>
            <w:vAlign w:val="center"/>
          </w:tcPr>
          <w:p w14:paraId="7456675B">
            <w:pPr>
              <w:spacing w:line="360" w:lineRule="exact"/>
              <w:jc w:val="center"/>
              <w:rPr>
                <w:rFonts w:ascii="宋体" w:hAnsi="宋体" w:eastAsia="宋体"/>
                <w:color w:val="auto"/>
                <w:sz w:val="28"/>
                <w:szCs w:val="28"/>
              </w:rPr>
            </w:pPr>
            <w:r>
              <w:rPr>
                <w:rFonts w:ascii="宋体" w:hAnsi="宋体" w:eastAsia="宋体"/>
                <w:color w:val="auto"/>
                <w:sz w:val="28"/>
                <w:szCs w:val="28"/>
              </w:rPr>
              <w:t>万元/亩</w:t>
            </w:r>
          </w:p>
        </w:tc>
        <w:tc>
          <w:tcPr>
            <w:tcW w:w="1540" w:type="pct"/>
            <w:tcBorders>
              <w:bottom w:val="nil"/>
              <w:right w:val="nil"/>
            </w:tcBorders>
            <w:shd w:val="clear" w:color="auto" w:fill="D6E6F4" w:themeFill="accent1" w:themeFillTint="3F"/>
            <w:vAlign w:val="center"/>
          </w:tcPr>
          <w:p w14:paraId="31C81528">
            <w:pPr>
              <w:spacing w:line="360" w:lineRule="exact"/>
              <w:jc w:val="center"/>
              <w:rPr>
                <w:rFonts w:ascii="宋体" w:hAnsi="宋体" w:eastAsia="宋体"/>
                <w:color w:val="auto"/>
                <w:sz w:val="28"/>
                <w:szCs w:val="28"/>
              </w:rPr>
            </w:pPr>
            <w:r>
              <w:rPr>
                <w:rFonts w:hint="eastAsia" w:ascii="宋体" w:hAnsi="宋体" w:eastAsia="宋体"/>
                <w:color w:val="auto"/>
                <w:sz w:val="28"/>
                <w:szCs w:val="28"/>
              </w:rPr>
              <w:t>160</w:t>
            </w:r>
          </w:p>
        </w:tc>
        <w:tc>
          <w:tcPr>
            <w:tcW w:w="1134" w:type="pct"/>
            <w:tcBorders>
              <w:bottom w:val="nil"/>
              <w:right w:val="nil"/>
            </w:tcBorders>
            <w:shd w:val="clear" w:color="auto" w:fill="D6E6F4" w:themeFill="accent1" w:themeFillTint="3F"/>
          </w:tcPr>
          <w:p w14:paraId="63E06630">
            <w:pPr>
              <w:jc w:val="center"/>
              <w:rPr>
                <w:rFonts w:ascii="宋体" w:hAnsi="宋体" w:eastAsia="宋体"/>
                <w:color w:val="auto"/>
                <w:sz w:val="28"/>
                <w:szCs w:val="28"/>
              </w:rPr>
            </w:pPr>
            <w:r>
              <w:rPr>
                <w:rFonts w:ascii="宋体" w:hAnsi="宋体" w:eastAsia="宋体"/>
                <w:color w:val="auto"/>
                <w:sz w:val="28"/>
                <w:szCs w:val="28"/>
              </w:rPr>
              <w:t>规划期</w:t>
            </w:r>
            <w:r>
              <w:rPr>
                <w:rFonts w:hint="eastAsia" w:ascii="宋体" w:hAnsi="宋体" w:eastAsia="宋体"/>
                <w:color w:val="auto"/>
                <w:sz w:val="28"/>
                <w:szCs w:val="28"/>
              </w:rPr>
              <w:t>平均</w:t>
            </w:r>
          </w:p>
        </w:tc>
      </w:tr>
      <w:tr w14:paraId="7CF6EAFA">
        <w:tblPrEx>
          <w:tblBorders>
            <w:top w:val="single" w:color="5B9BD5" w:themeColor="accent1" w:sz="8" w:space="0"/>
            <w:left w:val="none" w:color="auto" w:sz="0" w:space="0"/>
            <w:bottom w:val="single" w:color="5B9BD5" w:themeColor="accen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78" w:type="pct"/>
            <w:tcBorders>
              <w:top w:val="nil"/>
              <w:bottom w:val="single" w:color="5B9BD5" w:themeColor="accent1" w:sz="12" w:space="0"/>
            </w:tcBorders>
            <w:vAlign w:val="center"/>
          </w:tcPr>
          <w:p w14:paraId="1D261775">
            <w:pPr>
              <w:spacing w:line="360" w:lineRule="exact"/>
              <w:jc w:val="center"/>
              <w:rPr>
                <w:rFonts w:ascii="宋体" w:hAnsi="宋体" w:eastAsia="宋体"/>
                <w:b/>
                <w:bCs w:val="0"/>
                <w:color w:val="auto"/>
                <w:sz w:val="28"/>
                <w:szCs w:val="28"/>
              </w:rPr>
            </w:pPr>
            <w:r>
              <w:rPr>
                <w:rFonts w:ascii="宋体" w:hAnsi="宋体" w:eastAsia="宋体"/>
                <w:b/>
                <w:bCs/>
                <w:color w:val="auto"/>
                <w:sz w:val="28"/>
                <w:szCs w:val="28"/>
              </w:rPr>
              <w:t>单位土地产值强度</w:t>
            </w:r>
          </w:p>
        </w:tc>
        <w:tc>
          <w:tcPr>
            <w:tcW w:w="748" w:type="pct"/>
            <w:tcBorders>
              <w:top w:val="nil"/>
              <w:bottom w:val="single" w:color="5B9BD5" w:themeColor="accent1" w:sz="12" w:space="0"/>
            </w:tcBorders>
            <w:vAlign w:val="center"/>
          </w:tcPr>
          <w:p w14:paraId="595E9E8C">
            <w:pPr>
              <w:spacing w:line="360" w:lineRule="exact"/>
              <w:jc w:val="center"/>
              <w:rPr>
                <w:rFonts w:ascii="宋体" w:hAnsi="宋体" w:eastAsia="宋体"/>
                <w:color w:val="auto"/>
                <w:sz w:val="28"/>
                <w:szCs w:val="28"/>
              </w:rPr>
            </w:pPr>
            <w:r>
              <w:rPr>
                <w:rFonts w:ascii="宋体" w:hAnsi="宋体" w:eastAsia="宋体"/>
                <w:color w:val="auto"/>
                <w:sz w:val="28"/>
                <w:szCs w:val="28"/>
              </w:rPr>
              <w:t>万元/亩</w:t>
            </w:r>
          </w:p>
        </w:tc>
        <w:tc>
          <w:tcPr>
            <w:tcW w:w="1540" w:type="pct"/>
            <w:tcBorders>
              <w:top w:val="nil"/>
              <w:bottom w:val="single" w:color="5B9BD5" w:themeColor="accent1" w:sz="12" w:space="0"/>
            </w:tcBorders>
            <w:vAlign w:val="center"/>
          </w:tcPr>
          <w:p w14:paraId="1DF53FCC">
            <w:pPr>
              <w:spacing w:line="360" w:lineRule="exact"/>
              <w:jc w:val="center"/>
              <w:rPr>
                <w:rFonts w:ascii="宋体" w:hAnsi="宋体" w:eastAsia="宋体"/>
                <w:color w:val="auto"/>
                <w:sz w:val="28"/>
                <w:szCs w:val="28"/>
              </w:rPr>
            </w:pPr>
            <w:r>
              <w:rPr>
                <w:rFonts w:hint="eastAsia" w:ascii="宋体" w:hAnsi="宋体" w:eastAsia="宋体"/>
                <w:color w:val="auto"/>
                <w:sz w:val="28"/>
                <w:szCs w:val="28"/>
              </w:rPr>
              <w:t>438</w:t>
            </w:r>
          </w:p>
        </w:tc>
        <w:tc>
          <w:tcPr>
            <w:tcW w:w="1134" w:type="pct"/>
            <w:tcBorders>
              <w:top w:val="nil"/>
              <w:bottom w:val="single" w:color="5B9BD5" w:themeColor="accent1" w:sz="12" w:space="0"/>
            </w:tcBorders>
          </w:tcPr>
          <w:p w14:paraId="649D2DE7">
            <w:pPr>
              <w:jc w:val="center"/>
              <w:rPr>
                <w:rFonts w:ascii="宋体" w:hAnsi="宋体" w:eastAsia="宋体"/>
                <w:color w:val="auto"/>
                <w:sz w:val="28"/>
                <w:szCs w:val="28"/>
              </w:rPr>
            </w:pPr>
            <w:r>
              <w:rPr>
                <w:rFonts w:ascii="宋体" w:hAnsi="宋体" w:eastAsia="宋体"/>
                <w:color w:val="auto"/>
                <w:sz w:val="28"/>
                <w:szCs w:val="28"/>
              </w:rPr>
              <w:t>规划期</w:t>
            </w:r>
            <w:r>
              <w:rPr>
                <w:rFonts w:hint="eastAsia" w:ascii="宋体" w:hAnsi="宋体" w:eastAsia="宋体"/>
                <w:color w:val="auto"/>
                <w:sz w:val="28"/>
                <w:szCs w:val="28"/>
              </w:rPr>
              <w:t>平均</w:t>
            </w:r>
          </w:p>
        </w:tc>
      </w:tr>
    </w:tbl>
    <w:p w14:paraId="27A186E3">
      <w:pPr>
        <w:rPr>
          <w:sz w:val="18"/>
          <w:szCs w:val="18"/>
        </w:rPr>
      </w:pPr>
    </w:p>
    <w:p w14:paraId="7AC074EC">
      <w:pPr>
        <w:pStyle w:val="4"/>
        <w:spacing w:line="360" w:lineRule="auto"/>
        <w:jc w:val="center"/>
      </w:pPr>
      <w:bookmarkStart w:id="159" w:name="_Toc521147341"/>
      <w:bookmarkStart w:id="160" w:name="_Toc46998697"/>
      <w:bookmarkStart w:id="161" w:name="_Toc79497999"/>
      <w:r>
        <w:rPr>
          <w:rFonts w:hint="eastAsia"/>
        </w:rPr>
        <w:t>第</w:t>
      </w:r>
      <w:r>
        <w:t>二</w:t>
      </w:r>
      <w:r>
        <w:rPr>
          <w:rFonts w:hint="eastAsia"/>
        </w:rPr>
        <w:t xml:space="preserve">节 </w:t>
      </w:r>
      <w:r>
        <w:t>社会效益分析</w:t>
      </w:r>
      <w:bookmarkEnd w:id="159"/>
      <w:bookmarkEnd w:id="160"/>
      <w:bookmarkEnd w:id="161"/>
    </w:p>
    <w:p w14:paraId="4452865C">
      <w:pPr>
        <w:pStyle w:val="5"/>
        <w:spacing w:line="360" w:lineRule="auto"/>
        <w:rPr>
          <w:rFonts w:asciiTheme="minorEastAsia" w:hAnsiTheme="minorEastAsia"/>
        </w:rPr>
      </w:pPr>
      <w:bookmarkStart w:id="162" w:name="_Toc46998698"/>
      <w:bookmarkStart w:id="163" w:name="_Toc27039925"/>
      <w:bookmarkStart w:id="164" w:name="_Toc79498000"/>
      <w:r>
        <w:rPr>
          <w:rFonts w:asciiTheme="minorEastAsia" w:hAnsiTheme="minorEastAsia"/>
        </w:rPr>
        <w:t>一</w:t>
      </w:r>
      <w:r>
        <w:rPr>
          <w:rFonts w:hint="eastAsia" w:asciiTheme="minorEastAsia" w:hAnsiTheme="minorEastAsia"/>
        </w:rPr>
        <w:t>、</w:t>
      </w:r>
      <w:bookmarkEnd w:id="162"/>
      <w:bookmarkEnd w:id="163"/>
      <w:bookmarkStart w:id="165" w:name="_Toc503090131"/>
      <w:bookmarkStart w:id="166" w:name="_Toc503126901"/>
      <w:bookmarkStart w:id="167" w:name="_Toc499117637"/>
      <w:bookmarkStart w:id="168" w:name="_Toc503108205"/>
      <w:r>
        <w:rPr>
          <w:rFonts w:hint="eastAsia"/>
        </w:rPr>
        <w:t>改善区域投资环境，利于凌源招商引资</w:t>
      </w:r>
      <w:bookmarkEnd w:id="164"/>
      <w:bookmarkEnd w:id="165"/>
      <w:bookmarkEnd w:id="166"/>
      <w:bookmarkEnd w:id="167"/>
      <w:bookmarkEnd w:id="168"/>
    </w:p>
    <w:p w14:paraId="2CF93E61">
      <w:pPr>
        <w:spacing w:line="360" w:lineRule="auto"/>
        <w:ind w:firstLine="646" w:firstLineChars="202"/>
        <w:rPr>
          <w:rFonts w:ascii="宋体" w:hAnsi="宋体"/>
          <w:sz w:val="32"/>
          <w:szCs w:val="32"/>
        </w:rPr>
      </w:pPr>
      <w:r>
        <w:rPr>
          <w:rFonts w:hint="eastAsia" w:ascii="宋体" w:hAnsi="宋体"/>
          <w:sz w:val="32"/>
          <w:szCs w:val="32"/>
        </w:rPr>
        <w:t>目前，物流环境的优劣已经成为投资者评价一个地区投资环境的重要内容，相对较低的物流成本也成为了承接产业转移的重要驱动因素。许多国际国内先进企业在选择新的区域市场和物流基地时，其着眼点逐步从优惠政策转向综合投资环境、当地的物流设施、物流成本和物流服务水平等方面。凌源市现代物流体系全面建成后，可提供运输、仓储、多式联运、共同配送、冷链物流、信息服务、物流金融、供应链物流等综合性物流服务，将极大改善凌源的投资环境，有利于凌源招商引资，促进凌源以及周边地区的经济发展，为凌源市的国民经济和各项社会事业的高质量发展创造有利条件。</w:t>
      </w:r>
    </w:p>
    <w:p w14:paraId="70DAE999">
      <w:pPr>
        <w:pStyle w:val="5"/>
        <w:spacing w:line="360" w:lineRule="auto"/>
        <w:rPr>
          <w:rFonts w:asciiTheme="minorEastAsia" w:hAnsiTheme="minorEastAsia"/>
        </w:rPr>
      </w:pPr>
      <w:bookmarkStart w:id="169" w:name="_Toc46998699"/>
      <w:bookmarkStart w:id="170" w:name="_Toc27039926"/>
      <w:bookmarkStart w:id="171" w:name="_Toc79498001"/>
      <w:r>
        <w:rPr>
          <w:rFonts w:asciiTheme="minorEastAsia" w:hAnsiTheme="minorEastAsia"/>
        </w:rPr>
        <w:t>二</w:t>
      </w:r>
      <w:r>
        <w:rPr>
          <w:rFonts w:hint="eastAsia" w:asciiTheme="minorEastAsia" w:hAnsiTheme="minorEastAsia"/>
        </w:rPr>
        <w:t>、</w:t>
      </w:r>
      <w:bookmarkEnd w:id="169"/>
      <w:bookmarkEnd w:id="170"/>
      <w:bookmarkStart w:id="172" w:name="_Toc499117639"/>
      <w:bookmarkStart w:id="173" w:name="_Toc503090133"/>
      <w:bookmarkStart w:id="174" w:name="_Toc503108207"/>
      <w:bookmarkStart w:id="175" w:name="_Toc503126903"/>
      <w:r>
        <w:rPr>
          <w:rFonts w:hint="eastAsia"/>
        </w:rPr>
        <w:t>整合区域物流资源，利于实现集聚效应</w:t>
      </w:r>
      <w:bookmarkEnd w:id="171"/>
      <w:bookmarkEnd w:id="172"/>
      <w:bookmarkEnd w:id="173"/>
      <w:bookmarkEnd w:id="174"/>
      <w:bookmarkEnd w:id="175"/>
    </w:p>
    <w:p w14:paraId="19409509">
      <w:pPr>
        <w:spacing w:line="360" w:lineRule="auto"/>
        <w:ind w:firstLine="646" w:firstLineChars="202"/>
        <w:rPr>
          <w:rFonts w:ascii="宋体" w:hAnsi="宋体"/>
          <w:sz w:val="32"/>
          <w:szCs w:val="32"/>
        </w:rPr>
      </w:pPr>
      <w:r>
        <w:rPr>
          <w:rFonts w:hint="eastAsia" w:ascii="宋体" w:hAnsi="宋体"/>
          <w:sz w:val="32"/>
          <w:szCs w:val="32"/>
        </w:rPr>
        <w:t>凌源现代物流产业的发展通过高效地组织和管理，可充分整合区域物流资源，使各类资源优势互补，各取所长，发挥产业集聚功能，实现集聚效应。同时，物流园区空间集聚和功能集聚效益，有利于实现规模化、综合化和现代化的物流服务，提高运作效率，降低物流成本。</w:t>
      </w:r>
    </w:p>
    <w:p w14:paraId="5DA236E3">
      <w:pPr>
        <w:pStyle w:val="5"/>
        <w:spacing w:line="360" w:lineRule="auto"/>
      </w:pPr>
      <w:bookmarkStart w:id="176" w:name="_Toc46998700"/>
      <w:bookmarkStart w:id="177" w:name="_Toc27039928"/>
      <w:bookmarkStart w:id="178" w:name="_Toc79498002"/>
      <w:r>
        <w:t>三</w:t>
      </w:r>
      <w:r>
        <w:rPr>
          <w:rFonts w:hint="eastAsia"/>
        </w:rPr>
        <w:t>、</w:t>
      </w:r>
      <w:bookmarkEnd w:id="176"/>
      <w:bookmarkEnd w:id="177"/>
      <w:bookmarkStart w:id="179" w:name="_Toc503126902"/>
      <w:bookmarkStart w:id="180" w:name="_Toc499117638"/>
      <w:bookmarkStart w:id="181" w:name="_Toc503108206"/>
      <w:bookmarkStart w:id="182" w:name="_Toc503090132"/>
      <w:r>
        <w:rPr>
          <w:rFonts w:hint="eastAsia"/>
        </w:rPr>
        <w:t>壮大凌源主导产业，促进产业优化升级</w:t>
      </w:r>
      <w:bookmarkEnd w:id="178"/>
      <w:bookmarkEnd w:id="179"/>
      <w:bookmarkEnd w:id="180"/>
      <w:bookmarkEnd w:id="181"/>
      <w:bookmarkEnd w:id="182"/>
    </w:p>
    <w:p w14:paraId="33207A48">
      <w:pPr>
        <w:spacing w:line="360" w:lineRule="auto"/>
        <w:ind w:firstLine="646" w:firstLineChars="202"/>
        <w:rPr>
          <w:rFonts w:ascii="宋体" w:hAnsi="宋体"/>
          <w:sz w:val="32"/>
          <w:szCs w:val="32"/>
        </w:rPr>
      </w:pPr>
      <w:r>
        <w:rPr>
          <w:rFonts w:hint="eastAsia" w:ascii="宋体" w:hAnsi="宋体"/>
          <w:sz w:val="32"/>
          <w:szCs w:val="32"/>
        </w:rPr>
        <w:t>凌源现代物流项目的建设不仅能获得直接经济效益，而且作为凌源市物流发展的重要基础设施，通过整合现有物流市场主体和引入大型物流和供应链物流服务企业，能够为区域内制造业、商贸业企业提供更加完善的物流服务。凌源的众多工业企业，例如凌钢、南部非金属产业企业等均可以充分利用现代物流园区和物流通道资源开展国内国际业务，有利于壮大凌源市的主导产业。同时，物流产业集聚区的建设将完善凌源市的物流服务系统，促进凌源物流产业的优化升级。</w:t>
      </w:r>
    </w:p>
    <w:p w14:paraId="7FFFF17F">
      <w:pPr>
        <w:pStyle w:val="5"/>
        <w:spacing w:line="360" w:lineRule="auto"/>
      </w:pPr>
      <w:bookmarkStart w:id="183" w:name="_Toc79498003"/>
      <w:bookmarkStart w:id="184" w:name="_Toc27039927"/>
      <w:bookmarkStart w:id="185" w:name="_Toc46998701"/>
      <w:r>
        <w:rPr>
          <w:rFonts w:asciiTheme="minorEastAsia" w:hAnsiTheme="minorEastAsia"/>
        </w:rPr>
        <w:t>四</w:t>
      </w:r>
      <w:r>
        <w:rPr>
          <w:rFonts w:hint="eastAsia" w:asciiTheme="minorEastAsia" w:hAnsiTheme="minorEastAsia"/>
        </w:rPr>
        <w:t>、</w:t>
      </w:r>
      <w:bookmarkStart w:id="186" w:name="_Toc503108209"/>
      <w:bookmarkStart w:id="187" w:name="_Toc503126905"/>
      <w:bookmarkStart w:id="188" w:name="_Toc499117641"/>
      <w:bookmarkStart w:id="189" w:name="_Toc503090135"/>
      <w:r>
        <w:rPr>
          <w:rFonts w:hint="eastAsia"/>
        </w:rPr>
        <w:t>缓解城市交通压力，改善城市生态环境</w:t>
      </w:r>
      <w:bookmarkEnd w:id="183"/>
      <w:bookmarkEnd w:id="186"/>
      <w:bookmarkEnd w:id="187"/>
      <w:bookmarkEnd w:id="188"/>
      <w:bookmarkEnd w:id="189"/>
    </w:p>
    <w:p w14:paraId="18E09112">
      <w:pPr>
        <w:spacing w:line="360" w:lineRule="auto"/>
        <w:ind w:firstLine="646" w:firstLineChars="202"/>
        <w:rPr>
          <w:rFonts w:ascii="宋体" w:hAnsi="宋体"/>
          <w:sz w:val="32"/>
          <w:szCs w:val="32"/>
        </w:rPr>
      </w:pPr>
      <w:r>
        <w:rPr>
          <w:rFonts w:hint="eastAsia" w:ascii="宋体" w:hAnsi="宋体"/>
          <w:sz w:val="32"/>
          <w:szCs w:val="32"/>
        </w:rPr>
        <w:t>现代物流园区、物流中心的建设，使凌源市物流作业相对集中，通过空间的重新布局和功能的重新组合，可减少交通线路、货站以及相关物流设施在城市中心的占地。通过联合运输、共同配送以及绿色新能源车辆的推广普及，减少车辆出行的次数和碳排放，提高装载率，有利于缓解城市交通压力，降低噪音、尾气、大宗货物粉尘等对环境的污染，改善城市生态环境。</w:t>
      </w:r>
    </w:p>
    <w:p w14:paraId="7A2A23CC">
      <w:pPr>
        <w:pStyle w:val="5"/>
        <w:spacing w:line="360" w:lineRule="auto"/>
        <w:rPr>
          <w:rFonts w:asciiTheme="minorEastAsia" w:hAnsiTheme="minorEastAsia"/>
        </w:rPr>
      </w:pPr>
      <w:bookmarkStart w:id="190" w:name="_Toc499117643"/>
      <w:bookmarkStart w:id="191" w:name="_Toc503108211"/>
      <w:bookmarkStart w:id="192" w:name="_Toc503126907"/>
      <w:bookmarkStart w:id="193" w:name="_Toc503090137"/>
      <w:bookmarkStart w:id="194" w:name="_Toc79498004"/>
      <w:r>
        <w:rPr>
          <w:rFonts w:hint="eastAsia" w:asciiTheme="minorEastAsia" w:hAnsiTheme="minorEastAsia"/>
        </w:rPr>
        <w:t>五、增加地方财政收入，提高第三产业比重</w:t>
      </w:r>
      <w:bookmarkEnd w:id="190"/>
      <w:bookmarkEnd w:id="191"/>
      <w:bookmarkEnd w:id="192"/>
      <w:bookmarkEnd w:id="193"/>
      <w:bookmarkEnd w:id="194"/>
    </w:p>
    <w:p w14:paraId="3DAC3528">
      <w:pPr>
        <w:spacing w:line="360" w:lineRule="auto"/>
        <w:ind w:firstLine="646" w:firstLineChars="202"/>
        <w:rPr>
          <w:rFonts w:ascii="宋体" w:hAnsi="宋体"/>
          <w:sz w:val="32"/>
          <w:szCs w:val="32"/>
        </w:rPr>
      </w:pPr>
      <w:r>
        <w:rPr>
          <w:rFonts w:hint="eastAsia" w:ascii="宋体" w:hAnsi="宋体"/>
          <w:sz w:val="32"/>
          <w:szCs w:val="32"/>
        </w:rPr>
        <w:t>凌源现代物流产业体系建成后，物流业每年直接上缴利税约</w:t>
      </w:r>
      <w:r>
        <w:rPr>
          <w:rFonts w:ascii="宋体" w:hAnsi="宋体"/>
          <w:sz w:val="32"/>
          <w:szCs w:val="32"/>
        </w:rPr>
        <w:t>14</w:t>
      </w:r>
      <w:r>
        <w:rPr>
          <w:rFonts w:hint="eastAsia" w:ascii="宋体" w:hAnsi="宋体"/>
          <w:sz w:val="32"/>
          <w:szCs w:val="32"/>
        </w:rPr>
        <w:t>亿元。随着凌源市物流资源集聚效应的进一步提升，必将进一步促进地方财政收入的增长。同时，物流作为第三产业，其发展可有效提高区域第三产业的比重，促进凌源国民经济的均衡、可持续协调发展。</w:t>
      </w:r>
    </w:p>
    <w:p w14:paraId="128016AD">
      <w:pPr>
        <w:pStyle w:val="5"/>
        <w:keepNext w:val="0"/>
        <w:keepLines w:val="0"/>
        <w:spacing w:line="360" w:lineRule="auto"/>
        <w:rPr>
          <w:rFonts w:asciiTheme="minorEastAsia" w:hAnsiTheme="minorEastAsia"/>
        </w:rPr>
      </w:pPr>
      <w:bookmarkStart w:id="195" w:name="_Toc79498005"/>
      <w:r>
        <w:rPr>
          <w:rFonts w:hint="eastAsia" w:asciiTheme="minorEastAsia" w:hAnsiTheme="minorEastAsia"/>
        </w:rPr>
        <w:t>六、</w:t>
      </w:r>
      <w:r>
        <w:rPr>
          <w:rFonts w:asciiTheme="minorEastAsia" w:hAnsiTheme="minorEastAsia"/>
        </w:rPr>
        <w:t>增加</w:t>
      </w:r>
      <w:r>
        <w:rPr>
          <w:rFonts w:hint="eastAsia" w:asciiTheme="minorEastAsia" w:hAnsiTheme="minorEastAsia"/>
        </w:rPr>
        <w:t>居民</w:t>
      </w:r>
      <w:r>
        <w:rPr>
          <w:rFonts w:asciiTheme="minorEastAsia" w:hAnsiTheme="minorEastAsia"/>
        </w:rPr>
        <w:t>就业机会，助推社会和谐发展</w:t>
      </w:r>
      <w:bookmarkEnd w:id="184"/>
      <w:bookmarkEnd w:id="185"/>
      <w:bookmarkEnd w:id="195"/>
    </w:p>
    <w:p w14:paraId="56F2A7D7">
      <w:pPr>
        <w:spacing w:line="360" w:lineRule="auto"/>
        <w:ind w:firstLine="646" w:firstLineChars="202"/>
        <w:rPr>
          <w:rFonts w:ascii="宋体" w:hAnsi="宋体"/>
          <w:sz w:val="32"/>
          <w:szCs w:val="32"/>
        </w:rPr>
      </w:pPr>
      <w:bookmarkStart w:id="196" w:name="_Toc502069698"/>
      <w:r>
        <w:rPr>
          <w:rFonts w:hint="eastAsia" w:ascii="宋体" w:hAnsi="宋体"/>
          <w:sz w:val="32"/>
          <w:szCs w:val="32"/>
        </w:rPr>
        <w:t>服务业作为劳动密集型产业，可安置大量劳动力就业。凌源市现代物流业的发展，可提供包括运输、储存、包装、装卸、流通加工、配送、信息服务等大量工作岗位，根据国内同等规模物流用地、投资规模情况来看，预计凌源现代物流业将带动区域直接新增就业岗位6万多个</w:t>
      </w:r>
      <w:r>
        <w:rPr>
          <w:rFonts w:eastAsia="仿宋"/>
          <w:sz w:val="28"/>
          <w:szCs w:val="28"/>
        </w:rPr>
        <w:t>，</w:t>
      </w:r>
      <w:r>
        <w:rPr>
          <w:rFonts w:hint="eastAsia" w:ascii="宋体" w:hAnsi="宋体"/>
          <w:sz w:val="32"/>
          <w:szCs w:val="32"/>
        </w:rPr>
        <w:t>并带动</w:t>
      </w:r>
      <w:r>
        <w:rPr>
          <w:rFonts w:ascii="宋体" w:hAnsi="宋体"/>
          <w:sz w:val="32"/>
          <w:szCs w:val="32"/>
        </w:rPr>
        <w:t>餐饮服务、酒店、</w:t>
      </w:r>
      <w:r>
        <w:rPr>
          <w:rFonts w:hint="eastAsia" w:ascii="宋体" w:hAnsi="宋体"/>
          <w:sz w:val="32"/>
          <w:szCs w:val="32"/>
        </w:rPr>
        <w:t>休闲</w:t>
      </w:r>
      <w:r>
        <w:rPr>
          <w:rFonts w:ascii="宋体" w:hAnsi="宋体"/>
          <w:sz w:val="32"/>
          <w:szCs w:val="32"/>
        </w:rPr>
        <w:t>旅游等关联产业的发展，从而</w:t>
      </w:r>
      <w:r>
        <w:rPr>
          <w:rFonts w:hint="eastAsia" w:ascii="宋体" w:hAnsi="宋体"/>
          <w:sz w:val="32"/>
          <w:szCs w:val="32"/>
        </w:rPr>
        <w:t>提供</w:t>
      </w:r>
      <w:r>
        <w:rPr>
          <w:rFonts w:ascii="宋体" w:hAnsi="宋体"/>
          <w:sz w:val="32"/>
          <w:szCs w:val="32"/>
        </w:rPr>
        <w:t>大量间接就业岗位</w:t>
      </w:r>
      <w:r>
        <w:rPr>
          <w:rFonts w:hint="eastAsia" w:ascii="宋体" w:hAnsi="宋体"/>
          <w:sz w:val="32"/>
          <w:szCs w:val="32"/>
        </w:rPr>
        <w:t>，</w:t>
      </w:r>
      <w:r>
        <w:rPr>
          <w:rFonts w:ascii="宋体" w:hAnsi="宋体"/>
          <w:sz w:val="32"/>
          <w:szCs w:val="32"/>
        </w:rPr>
        <w:t>极大</w:t>
      </w:r>
      <w:r>
        <w:rPr>
          <w:rFonts w:hint="eastAsia" w:ascii="宋体" w:hAnsi="宋体"/>
          <w:sz w:val="32"/>
          <w:szCs w:val="32"/>
        </w:rPr>
        <w:t>提高</w:t>
      </w:r>
      <w:r>
        <w:rPr>
          <w:rFonts w:ascii="宋体" w:hAnsi="宋体"/>
          <w:sz w:val="32"/>
          <w:szCs w:val="32"/>
        </w:rPr>
        <w:t>当地居民就业</w:t>
      </w:r>
      <w:r>
        <w:rPr>
          <w:rFonts w:hint="eastAsia" w:ascii="宋体" w:hAnsi="宋体"/>
          <w:sz w:val="32"/>
          <w:szCs w:val="32"/>
        </w:rPr>
        <w:t>机会</w:t>
      </w:r>
      <w:r>
        <w:rPr>
          <w:rFonts w:ascii="宋体" w:hAnsi="宋体"/>
          <w:sz w:val="32"/>
          <w:szCs w:val="32"/>
        </w:rPr>
        <w:t>，显著提高群众收入水平，促进社会和谐，推动地区经济发展</w:t>
      </w:r>
      <w:r>
        <w:rPr>
          <w:rFonts w:hint="eastAsia" w:ascii="宋体" w:hAnsi="宋体"/>
          <w:sz w:val="32"/>
          <w:szCs w:val="32"/>
        </w:rPr>
        <w:t>。</w:t>
      </w:r>
      <w:bookmarkEnd w:id="196"/>
    </w:p>
    <w:p w14:paraId="361DB767">
      <w:pPr>
        <w:pStyle w:val="83"/>
        <w:spacing w:line="360" w:lineRule="auto"/>
        <w:jc w:val="both"/>
        <w:rPr>
          <w:rFonts w:ascii="Times New Roman" w:eastAsia="仿宋_GB2312" w:cs="Times New Roman"/>
          <w:color w:val="auto"/>
          <w:sz w:val="28"/>
        </w:rPr>
        <w:sectPr>
          <w:headerReference r:id="rId20" w:type="default"/>
          <w:footerReference r:id="rId21" w:type="default"/>
          <w:pgSz w:w="11906" w:h="16838"/>
          <w:pgMar w:top="1440" w:right="1797" w:bottom="1440" w:left="1797" w:header="851" w:footer="992" w:gutter="0"/>
          <w:cols w:space="425" w:num="1"/>
          <w:docGrid w:linePitch="312" w:charSpace="0"/>
        </w:sectPr>
      </w:pPr>
    </w:p>
    <w:p w14:paraId="2D11AB28">
      <w:pPr>
        <w:pStyle w:val="3"/>
        <w:numPr>
          <w:ilvl w:val="0"/>
          <w:numId w:val="2"/>
        </w:numPr>
        <w:spacing w:line="360" w:lineRule="auto"/>
        <w:ind w:left="0" w:firstLine="0"/>
        <w:jc w:val="center"/>
        <w:rPr>
          <w:rFonts w:ascii="黑体" w:hAnsi="黑体" w:eastAsia="黑体"/>
        </w:rPr>
      </w:pPr>
      <w:bookmarkStart w:id="197" w:name="_Toc79498006"/>
      <w:r>
        <w:rPr>
          <w:rFonts w:hint="eastAsia" w:ascii="黑体" w:hAnsi="黑体" w:eastAsia="黑体"/>
        </w:rPr>
        <w:t>保障</w:t>
      </w:r>
      <w:r>
        <w:rPr>
          <w:rFonts w:ascii="黑体" w:hAnsi="黑体" w:eastAsia="黑体"/>
        </w:rPr>
        <w:t>措施</w:t>
      </w:r>
      <w:bookmarkEnd w:id="83"/>
      <w:r>
        <w:rPr>
          <w:rFonts w:hint="eastAsia" w:ascii="黑体" w:hAnsi="黑体" w:eastAsia="黑体"/>
        </w:rPr>
        <w:t>与实施建议</w:t>
      </w:r>
      <w:bookmarkEnd w:id="197"/>
    </w:p>
    <w:p w14:paraId="19DFF4FA">
      <w:pPr>
        <w:pStyle w:val="4"/>
        <w:spacing w:line="360" w:lineRule="auto"/>
        <w:jc w:val="center"/>
      </w:pPr>
      <w:bookmarkStart w:id="198" w:name="_Toc79498007"/>
      <w:r>
        <w:rPr>
          <w:rFonts w:hint="eastAsia"/>
        </w:rPr>
        <w:t>第一节 保障措施</w:t>
      </w:r>
      <w:bookmarkEnd w:id="198"/>
    </w:p>
    <w:p w14:paraId="3FC5CD53">
      <w:pPr>
        <w:pStyle w:val="5"/>
        <w:spacing w:line="360" w:lineRule="auto"/>
        <w:rPr>
          <w:rFonts w:asciiTheme="minorEastAsia" w:hAnsiTheme="minorEastAsia"/>
        </w:rPr>
      </w:pPr>
      <w:bookmarkStart w:id="199" w:name="_Toc462928435"/>
      <w:bookmarkStart w:id="200" w:name="_Toc79498008"/>
      <w:r>
        <w:rPr>
          <w:rFonts w:hint="eastAsia" w:asciiTheme="minorEastAsia" w:hAnsiTheme="minorEastAsia"/>
        </w:rPr>
        <w:t>一、</w:t>
      </w:r>
      <w:bookmarkEnd w:id="199"/>
      <w:r>
        <w:rPr>
          <w:rFonts w:hint="eastAsia" w:asciiTheme="minorEastAsia" w:hAnsiTheme="minorEastAsia"/>
        </w:rPr>
        <w:t>加强组织体系保障</w:t>
      </w:r>
      <w:bookmarkEnd w:id="200"/>
    </w:p>
    <w:p w14:paraId="2262ACF7">
      <w:pPr>
        <w:spacing w:line="360" w:lineRule="auto"/>
        <w:ind w:firstLine="646" w:firstLineChars="202"/>
        <w:rPr>
          <w:rFonts w:ascii="宋体" w:hAnsi="宋体"/>
          <w:sz w:val="32"/>
          <w:szCs w:val="32"/>
        </w:rPr>
      </w:pPr>
      <w:bookmarkStart w:id="201" w:name="_Toc462928436"/>
      <w:r>
        <w:rPr>
          <w:rFonts w:hint="eastAsia" w:ascii="宋体" w:hAnsi="宋体"/>
          <w:sz w:val="32"/>
          <w:szCs w:val="32"/>
        </w:rPr>
        <w:t>加快成立书记、市长共同负责，发展和改革局、现代服务业发展中心、交通运输局、商务局、工业和信息化局、农业农村局、财政局、自然资源局、住房和城乡建设局、生态环境局、应急管理局等部门共同参与组成的现代物流产业推进工作领导小组，设立“凌源市现代物流业发展办公室”作为其常设办事机构，统筹全市现代物流业发展各项工作，研究解决物流业发展中面临的重大问题和事项。各有关部门要各司其职，密切配合，共同推进落实全市物流业发展目标任务，制定具体实施方案，健全目标责任制，切实抓好物流业发展各项工作。</w:t>
      </w:r>
    </w:p>
    <w:p w14:paraId="3E9241F8">
      <w:pPr>
        <w:pStyle w:val="5"/>
        <w:spacing w:line="360" w:lineRule="auto"/>
        <w:rPr>
          <w:rFonts w:asciiTheme="minorEastAsia" w:hAnsiTheme="minorEastAsia"/>
        </w:rPr>
      </w:pPr>
      <w:bookmarkStart w:id="202" w:name="_Toc79498009"/>
      <w:r>
        <w:rPr>
          <w:rFonts w:hint="eastAsia" w:asciiTheme="minorEastAsia" w:hAnsiTheme="minorEastAsia"/>
        </w:rPr>
        <w:t>二、注重产业</w:t>
      </w:r>
      <w:r>
        <w:rPr>
          <w:rFonts w:asciiTheme="minorEastAsia" w:hAnsiTheme="minorEastAsia"/>
        </w:rPr>
        <w:t>规划</w:t>
      </w:r>
      <w:r>
        <w:rPr>
          <w:rFonts w:hint="eastAsia" w:asciiTheme="minorEastAsia" w:hAnsiTheme="minorEastAsia"/>
        </w:rPr>
        <w:t>引领</w:t>
      </w:r>
      <w:bookmarkEnd w:id="201"/>
      <w:bookmarkEnd w:id="202"/>
    </w:p>
    <w:p w14:paraId="0BF99074">
      <w:pPr>
        <w:spacing w:line="360" w:lineRule="auto"/>
        <w:ind w:firstLine="646" w:firstLineChars="202"/>
        <w:rPr>
          <w:rFonts w:ascii="宋体" w:hAnsi="宋体"/>
          <w:sz w:val="32"/>
          <w:szCs w:val="32"/>
        </w:rPr>
      </w:pPr>
      <w:r>
        <w:rPr>
          <w:rFonts w:hint="eastAsia" w:ascii="宋体" w:hAnsi="宋体"/>
          <w:sz w:val="32"/>
          <w:szCs w:val="32"/>
        </w:rPr>
        <w:t>一是充分发挥物流产业规划的引导作用，有序推动《凌源市“十四五”现代物流产业发展规划》的组织实施；二是各部门应结合本规划要求，制定相应的细化规划或实施计划，加快推动产业规划项目落地实施；三是对于重点项目，应做好相应的前期市场调研，聘请专业机构编制好项目规划，力争做到“一张蓝图干到底”</w:t>
      </w:r>
      <w:r>
        <w:rPr>
          <w:rFonts w:hint="eastAsia" w:ascii="仿宋_GB2312" w:eastAsia="仿宋_GB2312"/>
          <w:color w:val="000000"/>
          <w:shd w:val="clear" w:color="auto" w:fill="FFFFFF"/>
        </w:rPr>
        <w:t>，</w:t>
      </w:r>
      <w:r>
        <w:rPr>
          <w:rFonts w:hint="eastAsia" w:ascii="宋体" w:hAnsi="宋体"/>
          <w:sz w:val="32"/>
          <w:szCs w:val="32"/>
        </w:rPr>
        <w:t>减少盲目投资、重复投资，加快建设进程，提高投资回报率。</w:t>
      </w:r>
    </w:p>
    <w:p w14:paraId="00275EF4">
      <w:pPr>
        <w:pStyle w:val="5"/>
        <w:spacing w:line="360" w:lineRule="auto"/>
        <w:rPr>
          <w:rFonts w:asciiTheme="minorEastAsia" w:hAnsiTheme="minorEastAsia"/>
        </w:rPr>
      </w:pPr>
      <w:bookmarkStart w:id="203" w:name="_Toc79498010"/>
      <w:bookmarkStart w:id="204" w:name="_Hlk24307573"/>
      <w:r>
        <w:rPr>
          <w:rFonts w:hint="eastAsia" w:asciiTheme="minorEastAsia" w:hAnsiTheme="minorEastAsia"/>
        </w:rPr>
        <w:t>三、强化主体培育引进</w:t>
      </w:r>
      <w:bookmarkEnd w:id="203"/>
    </w:p>
    <w:p w14:paraId="01725B96">
      <w:pPr>
        <w:spacing w:line="360" w:lineRule="auto"/>
        <w:ind w:firstLine="646" w:firstLineChars="202"/>
        <w:rPr>
          <w:rFonts w:ascii="宋体" w:hAnsi="宋体"/>
          <w:sz w:val="32"/>
          <w:szCs w:val="32"/>
        </w:rPr>
      </w:pPr>
      <w:bookmarkStart w:id="205" w:name="_Toc462928438"/>
      <w:r>
        <w:rPr>
          <w:rFonts w:hint="eastAsia" w:ascii="宋体" w:hAnsi="宋体"/>
          <w:sz w:val="32"/>
          <w:szCs w:val="32"/>
        </w:rPr>
        <w:t>加大物流业招商引资工作，完善重大项目综合协调推进机制。要深入结合朝阳市《关于推进辽冀蒙区域性物流中心建设的意见》精神，以及凌源市《关于实施物流强市战略建设区域性物流中心的工作方案》要求，大力引进国内200强知名物流企业，从而带动凌源市物流产业提档升级，转型升级，打造凌源物流新业态、新品牌。同时，要加强对本地重点物流企业的扶持与培养，以内外并举的方式共同开创企业蓬勃发展的新局面。最终要形成以龙头物流企业为引领、以中小物流企业为基础的物流主体梯队，夯实物流产业发展基础。</w:t>
      </w:r>
    </w:p>
    <w:bookmarkEnd w:id="204"/>
    <w:bookmarkEnd w:id="205"/>
    <w:p w14:paraId="1B302BAA">
      <w:pPr>
        <w:pStyle w:val="5"/>
        <w:spacing w:line="360" w:lineRule="auto"/>
        <w:rPr>
          <w:rFonts w:asciiTheme="minorEastAsia" w:hAnsiTheme="minorEastAsia"/>
        </w:rPr>
      </w:pPr>
      <w:bookmarkStart w:id="206" w:name="_Toc79498011"/>
      <w:bookmarkStart w:id="207" w:name="_Toc462928440"/>
      <w:r>
        <w:rPr>
          <w:rFonts w:hint="eastAsia" w:asciiTheme="minorEastAsia" w:hAnsiTheme="minorEastAsia"/>
        </w:rPr>
        <w:t>四、</w:t>
      </w:r>
      <w:r>
        <w:rPr>
          <w:rFonts w:asciiTheme="minorEastAsia" w:hAnsiTheme="minorEastAsia"/>
        </w:rPr>
        <w:t>引进培养物流人才</w:t>
      </w:r>
      <w:bookmarkEnd w:id="206"/>
      <w:bookmarkEnd w:id="207"/>
    </w:p>
    <w:p w14:paraId="2207D404">
      <w:pPr>
        <w:spacing w:line="360" w:lineRule="auto"/>
        <w:ind w:firstLine="646" w:firstLineChars="202"/>
        <w:rPr>
          <w:rFonts w:ascii="宋体" w:hAnsi="宋体"/>
          <w:sz w:val="32"/>
          <w:szCs w:val="32"/>
        </w:rPr>
      </w:pPr>
      <w:r>
        <w:rPr>
          <w:rFonts w:hint="eastAsia" w:ascii="宋体" w:hAnsi="宋体"/>
          <w:sz w:val="32"/>
          <w:szCs w:val="32"/>
        </w:rPr>
        <w:t>依托物流园区项目，加快搭建与省内、国内相关高等院（校）、咨询机构、培训机构的互动对接平台，设立凌源市物流人才孵化示范基地，深入推进大学进园区、进企业，增强创新发展动力。通过物流人才孵化示范基地加强与物流企业、行业协会、高等院校的合作，大力推进“产、学、研”合作模式落地凌源，建立多渠道、多层次物流专业人才综合培训体系，培养综合物流人才；完善多层次、多渠道的高层次人才引进工作体系，积极推动建立人才储备资源库；广泛引进国内优秀物流人才，特别是具有国际视野和全球网络运作能力的高端物流人才，为物流业的持续发展提供人力资源保障。</w:t>
      </w:r>
    </w:p>
    <w:p w14:paraId="215D5F8B">
      <w:pPr>
        <w:pStyle w:val="5"/>
        <w:spacing w:line="360" w:lineRule="auto"/>
        <w:rPr>
          <w:rFonts w:asciiTheme="minorEastAsia" w:hAnsiTheme="minorEastAsia"/>
        </w:rPr>
      </w:pPr>
      <w:bookmarkStart w:id="208" w:name="_Toc462928441"/>
      <w:bookmarkStart w:id="209" w:name="_Toc79498012"/>
      <w:r>
        <w:rPr>
          <w:rFonts w:hint="eastAsia" w:asciiTheme="minorEastAsia" w:hAnsiTheme="minorEastAsia"/>
        </w:rPr>
        <w:t>五、</w:t>
      </w:r>
      <w:bookmarkEnd w:id="208"/>
      <w:r>
        <w:rPr>
          <w:rFonts w:asciiTheme="minorEastAsia" w:hAnsiTheme="minorEastAsia"/>
        </w:rPr>
        <w:t>建立合作联动机制</w:t>
      </w:r>
      <w:bookmarkEnd w:id="209"/>
    </w:p>
    <w:p w14:paraId="162712EB">
      <w:pPr>
        <w:spacing w:line="360" w:lineRule="auto"/>
        <w:ind w:firstLine="646" w:firstLineChars="202"/>
        <w:rPr>
          <w:rFonts w:ascii="宋体" w:hAnsi="宋体"/>
          <w:sz w:val="32"/>
          <w:szCs w:val="32"/>
        </w:rPr>
      </w:pPr>
      <w:bookmarkStart w:id="210" w:name="_Hlk24307815"/>
      <w:r>
        <w:rPr>
          <w:rFonts w:hint="eastAsia" w:ascii="宋体" w:hAnsi="宋体"/>
          <w:sz w:val="32"/>
          <w:szCs w:val="32"/>
        </w:rPr>
        <w:t>一是成立凌源现代物流产业协会，加强行业协调和自律，加强与政府相关职能部门的沟通协调，尤其要加强在物流产业规划编制、项目审批、政策制定等方面的综合沟通与协调。二是建立起凌源与朝阳市其它县市之间的物流协调发展联动机制，以朝阳市“四大战略”为指引，深化区域间物流产业协作。三是主动发挥好凌源物流平台先发优势，利用新媒体、会展、论坛等形式创建多层次的产业宣传机制，率先推动区域物流产业健康发展。</w:t>
      </w:r>
      <w:bookmarkEnd w:id="210"/>
    </w:p>
    <w:p w14:paraId="740D766B">
      <w:pPr>
        <w:pStyle w:val="5"/>
        <w:spacing w:line="360" w:lineRule="auto"/>
        <w:rPr>
          <w:rFonts w:asciiTheme="minorEastAsia" w:hAnsiTheme="minorEastAsia"/>
        </w:rPr>
      </w:pPr>
      <w:bookmarkStart w:id="211" w:name="_Toc79498013"/>
      <w:r>
        <w:rPr>
          <w:rFonts w:hint="eastAsia" w:asciiTheme="minorEastAsia" w:hAnsiTheme="minorEastAsia"/>
        </w:rPr>
        <w:t>六、</w:t>
      </w:r>
      <w:r>
        <w:rPr>
          <w:rFonts w:asciiTheme="minorEastAsia" w:hAnsiTheme="minorEastAsia"/>
        </w:rPr>
        <w:t>加强行业统计工作</w:t>
      </w:r>
      <w:bookmarkEnd w:id="211"/>
    </w:p>
    <w:p w14:paraId="4384D7CA">
      <w:pPr>
        <w:spacing w:line="360" w:lineRule="auto"/>
        <w:ind w:firstLine="646" w:firstLineChars="202"/>
        <w:rPr>
          <w:rFonts w:ascii="宋体" w:hAnsi="宋体"/>
          <w:sz w:val="32"/>
          <w:szCs w:val="32"/>
        </w:rPr>
      </w:pPr>
      <w:r>
        <w:rPr>
          <w:rFonts w:hint="eastAsia" w:ascii="宋体" w:hAnsi="宋体"/>
          <w:sz w:val="32"/>
          <w:szCs w:val="32"/>
        </w:rPr>
        <w:t>建立并完善物流业统计调查制度和信息管理制度，建立科学的物流业统计方法和指标体系；认真贯彻实施社会物流统计核算与报表制度，进一步完善物流业统计调查、信息管理等制度，优化物流统计网上直报系统；推进全市物流统计平台建设，建立健全物流统计信息共享机制，提高统计数据的准确性、权威性和时效性；在重点物流园区和企业开展物流统计监测，及时为凌源市现代物流业发展提供决策依据。</w:t>
      </w:r>
    </w:p>
    <w:p w14:paraId="5A573008">
      <w:pPr>
        <w:pStyle w:val="5"/>
        <w:spacing w:line="360" w:lineRule="auto"/>
        <w:rPr>
          <w:rFonts w:asciiTheme="minorEastAsia" w:hAnsiTheme="minorEastAsia"/>
        </w:rPr>
      </w:pPr>
      <w:bookmarkStart w:id="212" w:name="_Toc79498014"/>
      <w:r>
        <w:rPr>
          <w:rFonts w:hint="eastAsia" w:asciiTheme="minorEastAsia" w:hAnsiTheme="minorEastAsia"/>
        </w:rPr>
        <w:t>七、完善产业政策体系</w:t>
      </w:r>
      <w:bookmarkEnd w:id="212"/>
    </w:p>
    <w:p w14:paraId="5DDA7FF7">
      <w:pPr>
        <w:spacing w:line="360" w:lineRule="auto"/>
        <w:ind w:firstLine="561"/>
        <w:rPr>
          <w:rFonts w:ascii="宋体" w:hAnsi="宋体"/>
          <w:sz w:val="32"/>
          <w:szCs w:val="32"/>
        </w:rPr>
      </w:pPr>
      <w:r>
        <w:rPr>
          <w:rFonts w:hint="eastAsia" w:ascii="宋体" w:hAnsi="宋体"/>
          <w:sz w:val="32"/>
          <w:szCs w:val="32"/>
        </w:rPr>
        <w:t>加强对国家现代流通体系建设、物流业降本增效、供应链创新发展及电商与快递协同发展等相关政策的系统研究；积极向国家和辽宁省争取政策支持，重点集中在财税、土地、金融、产业资金等方面寻求相关鼓励和扶持政策；整合各类政策扶持资金，集中支持重点物流项目建设，建立政策效应的良性传导机制，使政策效果真正惠及物流企业、特别是中小物流企业；落实和完善支持物流业发展的用地政策，将物流园区、物流中心等建设用地纳入全市土地利用总体规划和城市总体规划中统筹考虑，建立现代物流业用地总量控制的用地管理机制，优先保障物流用地计划指标，将重点物流项目用地优先纳入全市年度土地供应计划；推进物流企业用电、用水、用气价格与工业同价，享受类似工业企业的优惠政策；加快推进制造业企业主辅分离，加快释放社会物流需求；搭建融资平台、落实融资政策，建立物流行业政府引导基金，带动民间资本进入物流市场，探索成立市场化运作的物流业投融资平台。</w:t>
      </w:r>
    </w:p>
    <w:p w14:paraId="226C1780">
      <w:pPr>
        <w:pStyle w:val="5"/>
        <w:spacing w:line="360" w:lineRule="auto"/>
        <w:rPr>
          <w:rFonts w:asciiTheme="minorEastAsia" w:hAnsiTheme="minorEastAsia"/>
        </w:rPr>
      </w:pPr>
      <w:bookmarkStart w:id="213" w:name="_Toc79498015"/>
      <w:bookmarkStart w:id="214" w:name="_Toc46506081"/>
      <w:bookmarkStart w:id="215" w:name="_Toc462928439"/>
      <w:r>
        <w:rPr>
          <w:rFonts w:hint="eastAsia" w:asciiTheme="minorEastAsia" w:hAnsiTheme="minorEastAsia"/>
        </w:rPr>
        <w:t>八、</w:t>
      </w:r>
      <w:r>
        <w:rPr>
          <w:rFonts w:asciiTheme="minorEastAsia" w:hAnsiTheme="minorEastAsia"/>
        </w:rPr>
        <w:t>强化</w:t>
      </w:r>
      <w:r>
        <w:rPr>
          <w:rFonts w:hint="eastAsia" w:asciiTheme="minorEastAsia" w:hAnsiTheme="minorEastAsia"/>
        </w:rPr>
        <w:t>招商引资服务</w:t>
      </w:r>
      <w:bookmarkEnd w:id="213"/>
      <w:bookmarkEnd w:id="214"/>
      <w:bookmarkEnd w:id="215"/>
    </w:p>
    <w:p w14:paraId="27CE4B24">
      <w:pPr>
        <w:spacing w:line="360" w:lineRule="auto"/>
        <w:ind w:firstLine="646" w:firstLineChars="202"/>
        <w:rPr>
          <w:rFonts w:asciiTheme="minorEastAsia" w:hAnsiTheme="minorEastAsia"/>
          <w:sz w:val="32"/>
          <w:szCs w:val="32"/>
        </w:rPr>
      </w:pPr>
      <w:r>
        <w:rPr>
          <w:rFonts w:hint="eastAsia" w:ascii="宋体" w:hAnsi="宋体"/>
          <w:sz w:val="32"/>
          <w:szCs w:val="32"/>
        </w:rPr>
        <w:t>加大现代物流产业招商引资工作力度，实施“招大引强”物流发展战略，紧盯京、津、冀、蒙、辽等地区实施精准招商，大力引进对物流产业功能提升具有较强带动辐射作用的优质项目，确保项目建设质量和水平。建立重点物流项目建设目标跟踪服务机制，定期对重点物流项目进行跟踪回访，及时发现并协调解决项目建设中存在的障碍，推动重点项目的顺利实施。</w:t>
      </w:r>
    </w:p>
    <w:bookmarkEnd w:id="0"/>
    <w:p w14:paraId="30255C0D">
      <w:pPr>
        <w:pStyle w:val="4"/>
        <w:spacing w:line="360" w:lineRule="auto"/>
        <w:jc w:val="center"/>
      </w:pPr>
      <w:bookmarkStart w:id="216" w:name="_Toc79498016"/>
      <w:bookmarkStart w:id="217" w:name="_Hlk7442966"/>
      <w:r>
        <w:rPr>
          <w:rFonts w:hint="eastAsia"/>
        </w:rPr>
        <w:t>第二节 实施建议</w:t>
      </w:r>
      <w:bookmarkEnd w:id="216"/>
    </w:p>
    <w:bookmarkEnd w:id="217"/>
    <w:p w14:paraId="24492C80">
      <w:pPr>
        <w:pStyle w:val="5"/>
        <w:spacing w:line="360" w:lineRule="auto"/>
        <w:rPr>
          <w:rFonts w:ascii="宋体" w:hAnsi="宋体" w:eastAsia="宋体"/>
        </w:rPr>
      </w:pPr>
      <w:bookmarkStart w:id="218" w:name="_Toc79498017"/>
      <w:bookmarkStart w:id="219" w:name="_Toc311099544"/>
      <w:r>
        <w:rPr>
          <w:rFonts w:hint="eastAsia" w:ascii="宋体" w:hAnsi="宋体" w:eastAsia="宋体"/>
        </w:rPr>
        <w:t>一、加大金融财税支持力度</w:t>
      </w:r>
      <w:bookmarkEnd w:id="218"/>
    </w:p>
    <w:p w14:paraId="263CF2CF">
      <w:pPr>
        <w:spacing w:line="360" w:lineRule="auto"/>
        <w:ind w:firstLine="646" w:firstLineChars="202"/>
        <w:rPr>
          <w:rFonts w:ascii="宋体" w:hAnsi="宋体" w:eastAsia="宋体"/>
          <w:sz w:val="32"/>
          <w:szCs w:val="32"/>
        </w:rPr>
      </w:pPr>
      <w:r>
        <w:rPr>
          <w:rFonts w:hint="eastAsia" w:ascii="宋体" w:hAnsi="宋体" w:eastAsia="宋体"/>
          <w:sz w:val="32"/>
          <w:szCs w:val="32"/>
        </w:rPr>
        <w:t>推进资本要素市场化配置，探索建立现代物流产业发展基金，引导社会资本进入物流领域，通过政府性投资对物流业重点领域和薄弱环节予以支持；支持符合条件的物流企业通过发债、上市、挂牌等多种方式拓宽融资渠道；通过贴息、补助、奖励、地方留存税金返还等多种形式，支持朝阳致远金融物流港、致远物流一体化服务平台、朝阳凌源非金属新材料产业园区物流园、凌源农产品商贸物流园等重点物流项目、重点物流平台建设；加大对重点物流企业发展、物流人才培训机构、第四方物流机构的财税减免支持力度；贯彻落实物流企业所得税、房产税、土地使用税等减免政策，对于朝阳致远金融物流港、朝阳凌源非金属新材料产业园区物流园、凌源农产品商贸物流园等重点物流枢纽项目可给予5年期限的土地使用税免交政策。</w:t>
      </w:r>
    </w:p>
    <w:p w14:paraId="0B3BAD8B">
      <w:pPr>
        <w:pStyle w:val="5"/>
        <w:keepNext w:val="0"/>
        <w:keepLines w:val="0"/>
        <w:spacing w:line="360" w:lineRule="auto"/>
        <w:rPr>
          <w:rFonts w:ascii="宋体" w:hAnsi="宋体" w:eastAsia="宋体"/>
        </w:rPr>
      </w:pPr>
      <w:bookmarkStart w:id="220" w:name="_Toc79498018"/>
      <w:r>
        <w:rPr>
          <w:rFonts w:hint="eastAsia" w:ascii="宋体" w:hAnsi="宋体" w:eastAsia="宋体"/>
        </w:rPr>
        <w:t>二、强化物流信息平台网络</w:t>
      </w:r>
      <w:bookmarkEnd w:id="220"/>
    </w:p>
    <w:p w14:paraId="0B7D65C5">
      <w:pPr>
        <w:spacing w:line="360" w:lineRule="auto"/>
        <w:ind w:firstLine="646" w:firstLineChars="202"/>
        <w:rPr>
          <w:rFonts w:ascii="宋体" w:hAnsi="宋体" w:eastAsia="宋体"/>
          <w:sz w:val="32"/>
          <w:szCs w:val="32"/>
        </w:rPr>
      </w:pPr>
      <w:r>
        <w:rPr>
          <w:rFonts w:hint="eastAsia" w:ascii="宋体" w:hAnsi="宋体" w:eastAsia="宋体"/>
          <w:sz w:val="32"/>
          <w:szCs w:val="32"/>
        </w:rPr>
        <w:t>加快凌源市公共物流服务平台、辽冀蒙多式联运综合服务信息平台、辽冀蒙物流数据交易结算服务平台等综合服务平台建设，提升区域物流信息系统的兼容性和开放性，促进物流订单、储运业务、货物追踪、支付结算、供应链金融等信息集成高效流动，提高物流供需匹配效率。强化区域物流枢纽与全国性专业物流信息平台和沿海港口信息平台的对接与资源共享，推动枢纽运营企业与满帮、G7、菜鸟物流等全国性物流信息服务龙头企业，以及葫芦岛港、锦州港、秦皇岛港等港口企业信息平台深度对接，在公路货运、农产品冷链、电商快递、多式联运等领域为企业提供全程智慧供应链服务。打破行业信息壁垒，推动交通、公安、海关、市场监管、气象、邮政等部门公共数据开放共享，为便利企业生产经营和完善物流信用环境提供支撑。</w:t>
      </w:r>
    </w:p>
    <w:p w14:paraId="64B5F9DA">
      <w:pPr>
        <w:pStyle w:val="5"/>
        <w:spacing w:line="360" w:lineRule="auto"/>
        <w:rPr>
          <w:rFonts w:ascii="宋体" w:hAnsi="宋体" w:eastAsia="宋体"/>
        </w:rPr>
      </w:pPr>
      <w:bookmarkStart w:id="221" w:name="_Toc79498019"/>
      <w:r>
        <w:rPr>
          <w:rFonts w:hint="eastAsia" w:ascii="宋体" w:hAnsi="宋体" w:eastAsia="宋体"/>
        </w:rPr>
        <w:t>三、大力推动区域货源集聚</w:t>
      </w:r>
      <w:bookmarkEnd w:id="221"/>
    </w:p>
    <w:p w14:paraId="343EFE62">
      <w:pPr>
        <w:spacing w:line="360" w:lineRule="auto"/>
        <w:ind w:firstLine="646" w:firstLineChars="202"/>
        <w:rPr>
          <w:rFonts w:ascii="宋体" w:hAnsi="宋体" w:eastAsia="宋体"/>
          <w:sz w:val="32"/>
          <w:szCs w:val="32"/>
        </w:rPr>
      </w:pPr>
      <w:r>
        <w:rPr>
          <w:rFonts w:hint="eastAsia" w:ascii="宋体" w:hAnsi="宋体" w:eastAsia="宋体"/>
          <w:sz w:val="32"/>
          <w:szCs w:val="32"/>
        </w:rPr>
        <w:t>“十四五”期间，凌源市的整体货量将快速增加，形成相对稳定的本地货源基础，运输方式“公转铁”趋势将会加快，凌源发运货物的公路、铁路运价将会呈现逐步下降的趋势。借此机会，凌源市政府应采取申请铁路运价下浮和阶段性运费补贴等措施，大力推动区域货源向凌源聚集，进一步加快物流成本下降的步伐，从而形成“洼地效应”，吸纳更多物流市场主体前来开拓和发展业务，最终达到扩大物流业市场规模、增加财政收入的目的。</w:t>
      </w:r>
    </w:p>
    <w:p w14:paraId="6FB1B570">
      <w:pPr>
        <w:spacing w:line="360" w:lineRule="auto"/>
        <w:ind w:firstLine="646" w:firstLineChars="202"/>
        <w:rPr>
          <w:rFonts w:ascii="宋体" w:hAnsi="宋体" w:eastAsia="宋体"/>
          <w:sz w:val="32"/>
          <w:szCs w:val="32"/>
        </w:rPr>
      </w:pPr>
      <w:r>
        <w:rPr>
          <w:rFonts w:hint="eastAsia" w:ascii="宋体" w:hAnsi="宋体" w:eastAsia="宋体"/>
          <w:sz w:val="32"/>
          <w:szCs w:val="32"/>
        </w:rPr>
        <w:t>尤其针对集装箱货物，补贴力度应更大，从而吸纳更多适箱货物前来凌源集聚，达到部分铁海联运线路能够开行周班或形成“五定班列”的目标，构建起铁海联运大通道、打造内陆无水港，进而确立凌源作为辽冀蒙三省结合部对接环渤海、长三角、粤港澳大湾区乃至国际的重要物流节点的战略地位，进一步增强发展动能，全面提升对外开放水平，为招商引资、引入大型生产制造企业创造更好的营商环境。</w:t>
      </w:r>
    </w:p>
    <w:p w14:paraId="0F8A809A">
      <w:pPr>
        <w:spacing w:line="360" w:lineRule="auto"/>
        <w:ind w:firstLine="646" w:firstLineChars="202"/>
        <w:rPr>
          <w:rFonts w:ascii="宋体" w:hAnsi="宋体" w:eastAsia="宋体"/>
          <w:sz w:val="32"/>
          <w:szCs w:val="32"/>
        </w:rPr>
      </w:pPr>
      <w:r>
        <w:rPr>
          <w:rFonts w:hint="eastAsia" w:ascii="宋体" w:hAnsi="宋体" w:eastAsia="宋体"/>
          <w:sz w:val="32"/>
          <w:szCs w:val="32"/>
        </w:rPr>
        <w:t>在物流通道建设初期，需要下定决心、抢抓机遇，加大补贴资金投入，真正形成相对成本优势和集聚效应，带动区域货源向凌源快速集聚，最终建成具有较大成本优势且不靠补贴就能运行的区域货运枢纽。切不可犹豫不决或在补贴资金投入上采取“添油战术”，从而延误时机，阻滞区域货源的聚集，影响区域物流通道的建设进程。</w:t>
      </w:r>
    </w:p>
    <w:p w14:paraId="4F74519C">
      <w:pPr>
        <w:pStyle w:val="5"/>
        <w:spacing w:line="360" w:lineRule="auto"/>
        <w:rPr>
          <w:rFonts w:ascii="宋体" w:hAnsi="宋体" w:eastAsia="宋体"/>
        </w:rPr>
      </w:pPr>
      <w:bookmarkStart w:id="222" w:name="_Toc79498020"/>
      <w:r>
        <w:rPr>
          <w:rFonts w:hint="eastAsia" w:ascii="宋体" w:hAnsi="宋体" w:eastAsia="宋体"/>
        </w:rPr>
        <w:t>四、充分发挥龙头引领作用</w:t>
      </w:r>
      <w:bookmarkEnd w:id="222"/>
    </w:p>
    <w:p w14:paraId="3C6BBA52">
      <w:pPr>
        <w:spacing w:line="360" w:lineRule="auto"/>
        <w:ind w:firstLine="646" w:firstLineChars="202"/>
        <w:rPr>
          <w:rFonts w:ascii="宋体" w:hAnsi="宋体"/>
          <w:sz w:val="32"/>
          <w:szCs w:val="32"/>
        </w:rPr>
      </w:pPr>
      <w:r>
        <w:rPr>
          <w:rFonts w:hint="eastAsia" w:ascii="宋体" w:hAnsi="宋体"/>
          <w:sz w:val="32"/>
          <w:szCs w:val="32"/>
        </w:rPr>
        <w:t>朝阳致远金融物流港是凌源市物流基础设施建设的先行者，在凌源市乃至朝阳市物流产业发展中处于领先地位，具有先发优势。目前该项目办公楼、铁矿粉库、钢材库等设施已基本建成。同时，朝阳致远金融物流港无车承运人平台已经搭建完毕，具备了开展运营的条件。凌源市应以该项目为主要抓手，在土地供应、基础设施配套以及产业联动、产能与运能对接等方面给予更多政策支持，推动现代物流产业加速发展，与制造业、商贸业加速融合。可考虑以该项目为平台，设立</w:t>
      </w:r>
      <w:r>
        <w:rPr>
          <w:rFonts w:hint="eastAsia" w:ascii="宋体" w:hAnsi="宋体" w:eastAsia="宋体"/>
          <w:sz w:val="32"/>
          <w:szCs w:val="32"/>
        </w:rPr>
        <w:t>辽冀蒙物流数据交易结算服务中心，并</w:t>
      </w:r>
      <w:r>
        <w:rPr>
          <w:rFonts w:hint="eastAsia" w:ascii="宋体" w:hAnsi="宋体"/>
          <w:sz w:val="32"/>
          <w:szCs w:val="32"/>
        </w:rPr>
        <w:t>建设凌源市现代物流产业发展展览展示馆、凌源市现代物流科技孵化中心，以及在该项目园区内设立辽冀蒙创业创新孵化基地、电商产业基地等项目。同时，以该项目为依托，积极开展军民融合方面的相关物流合作项目，并设立退伍军人创业孵化基地。通过上述相关举措的强劲促动</w:t>
      </w:r>
      <w:r>
        <w:rPr>
          <w:rFonts w:ascii="宋体" w:hAnsi="宋体"/>
          <w:sz w:val="32"/>
          <w:szCs w:val="32"/>
        </w:rPr>
        <w:t>,</w:t>
      </w:r>
      <w:r>
        <w:rPr>
          <w:rFonts w:hint="eastAsia" w:ascii="宋体" w:hAnsi="宋体"/>
          <w:sz w:val="32"/>
          <w:szCs w:val="32"/>
        </w:rPr>
        <w:t>把朝阳致远金融物流港建设成为国内领先、区域一流的现代化综合物流服务提供商，</w:t>
      </w:r>
      <w:r>
        <w:rPr>
          <w:rFonts w:ascii="宋体" w:hAnsi="宋体"/>
          <w:sz w:val="32"/>
          <w:szCs w:val="32"/>
        </w:rPr>
        <w:t>凸显</w:t>
      </w:r>
      <w:r>
        <w:rPr>
          <w:rFonts w:hint="eastAsia" w:ascii="宋体" w:hAnsi="宋体"/>
          <w:sz w:val="32"/>
          <w:szCs w:val="32"/>
        </w:rPr>
        <w:t>出</w:t>
      </w:r>
      <w:r>
        <w:rPr>
          <w:rFonts w:ascii="宋体" w:hAnsi="宋体"/>
          <w:sz w:val="32"/>
          <w:szCs w:val="32"/>
        </w:rPr>
        <w:t>大项目</w:t>
      </w:r>
      <w:r>
        <w:rPr>
          <w:rFonts w:hint="eastAsia" w:ascii="宋体" w:hAnsi="宋体"/>
          <w:sz w:val="32"/>
          <w:szCs w:val="32"/>
        </w:rPr>
        <w:t>的</w:t>
      </w:r>
      <w:r>
        <w:rPr>
          <w:rFonts w:ascii="宋体" w:hAnsi="宋体"/>
          <w:sz w:val="32"/>
          <w:szCs w:val="32"/>
        </w:rPr>
        <w:t>龙头</w:t>
      </w:r>
      <w:r>
        <w:rPr>
          <w:rFonts w:hint="eastAsia" w:ascii="宋体" w:hAnsi="宋体"/>
          <w:sz w:val="32"/>
          <w:szCs w:val="32"/>
        </w:rPr>
        <w:t>带动</w:t>
      </w:r>
      <w:r>
        <w:rPr>
          <w:rFonts w:ascii="宋体" w:hAnsi="宋体"/>
          <w:sz w:val="32"/>
          <w:szCs w:val="32"/>
        </w:rPr>
        <w:t>作用</w:t>
      </w:r>
      <w:r>
        <w:rPr>
          <w:rFonts w:hint="eastAsia" w:ascii="宋体" w:hAnsi="宋体"/>
          <w:sz w:val="32"/>
          <w:szCs w:val="32"/>
        </w:rPr>
        <w:t>，更好地推动全市物流业的高质量发展。</w:t>
      </w:r>
    </w:p>
    <w:p w14:paraId="0BD79DCE">
      <w:pPr>
        <w:pStyle w:val="5"/>
        <w:spacing w:line="360" w:lineRule="auto"/>
        <w:rPr>
          <w:rFonts w:ascii="宋体" w:hAnsi="宋体" w:eastAsia="宋体"/>
        </w:rPr>
      </w:pPr>
      <w:bookmarkStart w:id="223" w:name="_Toc79498021"/>
      <w:r>
        <w:rPr>
          <w:rFonts w:hint="eastAsia" w:ascii="宋体" w:hAnsi="宋体" w:eastAsia="宋体"/>
        </w:rPr>
        <w:t>五、加快推进区域</w:t>
      </w:r>
      <w:r>
        <w:rPr>
          <w:rFonts w:ascii="宋体" w:hAnsi="宋体" w:eastAsia="宋体"/>
        </w:rPr>
        <w:t>交通基础设施建设</w:t>
      </w:r>
      <w:bookmarkEnd w:id="223"/>
    </w:p>
    <w:p w14:paraId="69CD9C49">
      <w:pPr>
        <w:spacing w:line="360" w:lineRule="auto"/>
        <w:ind w:firstLine="646" w:firstLineChars="202"/>
        <w:rPr>
          <w:rFonts w:ascii="宋体" w:hAnsi="宋体" w:eastAsia="宋体"/>
          <w:sz w:val="32"/>
          <w:szCs w:val="32"/>
        </w:rPr>
      </w:pPr>
      <w:r>
        <w:rPr>
          <w:rFonts w:hint="eastAsia" w:ascii="宋体" w:hAnsi="宋体" w:eastAsia="宋体"/>
          <w:sz w:val="32"/>
          <w:szCs w:val="32"/>
        </w:rPr>
        <w:t>随着区域经济的快速发展，凌源现有的交通、物流等基础设施较为薄弱以及铁路运力不足的短板愈加凸显，无法满足“十四五”期间区域货运量快速增长以及大宗物资运输方式“公转铁”的需要。</w:t>
      </w:r>
    </w:p>
    <w:p w14:paraId="0FF17C0E">
      <w:pPr>
        <w:spacing w:line="360" w:lineRule="auto"/>
        <w:ind w:firstLine="646" w:firstLineChars="202"/>
        <w:rPr>
          <w:rFonts w:ascii="宋体" w:hAnsi="宋体" w:eastAsia="宋体"/>
          <w:sz w:val="32"/>
          <w:szCs w:val="32"/>
        </w:rPr>
      </w:pPr>
      <w:r>
        <w:rPr>
          <w:rFonts w:hint="eastAsia" w:ascii="宋体" w:hAnsi="宋体" w:eastAsia="宋体"/>
          <w:sz w:val="32"/>
          <w:szCs w:val="32"/>
        </w:rPr>
        <w:t>为此，凌源市应</w:t>
      </w:r>
      <w:r>
        <w:rPr>
          <w:rFonts w:ascii="宋体" w:hAnsi="宋体" w:eastAsia="宋体"/>
          <w:sz w:val="32"/>
          <w:szCs w:val="32"/>
        </w:rPr>
        <w:t>高起点规划、高标准建设</w:t>
      </w:r>
      <w:r>
        <w:rPr>
          <w:rFonts w:hint="eastAsia" w:ascii="宋体" w:hAnsi="宋体" w:eastAsia="宋体"/>
          <w:sz w:val="32"/>
          <w:szCs w:val="32"/>
        </w:rPr>
        <w:t>交通物流相关设施。市域北部，要提前预留朝阳致远金融物流港的扩展用地，建议在其现有基础上扩容园区面积至</w:t>
      </w:r>
      <w:r>
        <w:rPr>
          <w:rFonts w:ascii="宋体" w:hAnsi="宋体" w:eastAsia="宋体"/>
          <w:sz w:val="32"/>
          <w:szCs w:val="32"/>
        </w:rPr>
        <w:t>1228</w:t>
      </w:r>
      <w:r>
        <w:rPr>
          <w:rFonts w:hint="eastAsia" w:ascii="宋体" w:hAnsi="宋体" w:eastAsia="宋体"/>
          <w:sz w:val="32"/>
          <w:szCs w:val="32"/>
        </w:rPr>
        <w:t>亩，大致位置于新建国道1</w:t>
      </w:r>
      <w:r>
        <w:rPr>
          <w:rFonts w:ascii="宋体" w:hAnsi="宋体" w:eastAsia="宋体"/>
          <w:sz w:val="32"/>
          <w:szCs w:val="32"/>
        </w:rPr>
        <w:t>01</w:t>
      </w:r>
      <w:r>
        <w:rPr>
          <w:rFonts w:hint="eastAsia" w:ascii="宋体" w:hAnsi="宋体" w:eastAsia="宋体"/>
          <w:sz w:val="32"/>
          <w:szCs w:val="32"/>
        </w:rPr>
        <w:t>线以东，同时要规划引入铁路专用线，以备开展公铁联运业务；市域南部，针对朝阳凌源非金属新材料产业园交通</w:t>
      </w:r>
      <w:r>
        <w:rPr>
          <w:rFonts w:ascii="宋体" w:hAnsi="宋体" w:eastAsia="宋体"/>
          <w:sz w:val="32"/>
          <w:szCs w:val="32"/>
        </w:rPr>
        <w:t>基础设施</w:t>
      </w:r>
      <w:r>
        <w:rPr>
          <w:rFonts w:hint="eastAsia" w:ascii="宋体" w:hAnsi="宋体" w:eastAsia="宋体"/>
          <w:sz w:val="32"/>
          <w:szCs w:val="32"/>
        </w:rPr>
        <w:t>现状</w:t>
      </w:r>
      <w:r>
        <w:rPr>
          <w:rFonts w:ascii="宋体" w:hAnsi="宋体" w:eastAsia="宋体"/>
          <w:sz w:val="32"/>
          <w:szCs w:val="32"/>
        </w:rPr>
        <w:t>，</w:t>
      </w:r>
      <w:r>
        <w:rPr>
          <w:rFonts w:hint="eastAsia" w:ascii="宋体" w:hAnsi="宋体" w:eastAsia="宋体"/>
          <w:sz w:val="32"/>
          <w:szCs w:val="32"/>
        </w:rPr>
        <w:t>要</w:t>
      </w:r>
      <w:r>
        <w:rPr>
          <w:rFonts w:ascii="宋体" w:hAnsi="宋体" w:eastAsia="宋体"/>
          <w:sz w:val="32"/>
          <w:szCs w:val="32"/>
        </w:rPr>
        <w:t>统筹推进</w:t>
      </w:r>
      <w:r>
        <w:rPr>
          <w:rFonts w:hint="eastAsia" w:ascii="宋体" w:hAnsi="宋体" w:eastAsia="宋体"/>
          <w:sz w:val="32"/>
          <w:szCs w:val="32"/>
        </w:rPr>
        <w:t>公</w:t>
      </w:r>
      <w:r>
        <w:rPr>
          <w:rFonts w:ascii="宋体" w:hAnsi="宋体" w:eastAsia="宋体"/>
          <w:sz w:val="32"/>
          <w:szCs w:val="32"/>
        </w:rPr>
        <w:t>路、</w:t>
      </w:r>
      <w:r>
        <w:rPr>
          <w:rFonts w:hint="eastAsia" w:ascii="宋体" w:hAnsi="宋体" w:eastAsia="宋体"/>
          <w:sz w:val="32"/>
          <w:szCs w:val="32"/>
        </w:rPr>
        <w:t>铁路</w:t>
      </w:r>
      <w:r>
        <w:rPr>
          <w:rFonts w:ascii="宋体" w:hAnsi="宋体" w:eastAsia="宋体"/>
          <w:sz w:val="32"/>
          <w:szCs w:val="32"/>
        </w:rPr>
        <w:t>等基础设施建设，</w:t>
      </w:r>
      <w:r>
        <w:rPr>
          <w:rFonts w:hint="eastAsia" w:ascii="宋体" w:hAnsi="宋体" w:eastAsia="宋体"/>
          <w:sz w:val="32"/>
          <w:szCs w:val="32"/>
        </w:rPr>
        <w:t>支持大型工矿企业和物流园区建设铁路专用线，加快推进朝阳凌源非金属新材料产业园物流园铁路专用线工程、富源矿业铁路专用线工程等项目，结合产业发展和工矿企业布局，加快推进区域内部公路运输通道的建设。同时，应加大力度推进锦承线、魏塔线等铁路线路的电气化改造以及凌源经济开发区配套铁路专用线新建工程等项目，进一步扩大铁路运能，为实施公铁联运创造条件。</w:t>
      </w:r>
    </w:p>
    <w:bookmarkEnd w:id="219"/>
    <w:p w14:paraId="3E30EF44">
      <w:pPr>
        <w:pStyle w:val="5"/>
        <w:spacing w:line="360" w:lineRule="auto"/>
        <w:rPr>
          <w:rFonts w:ascii="宋体" w:hAnsi="宋体" w:eastAsia="宋体"/>
        </w:rPr>
      </w:pPr>
      <w:bookmarkStart w:id="224" w:name="_Toc79498022"/>
      <w:r>
        <w:rPr>
          <w:rFonts w:hint="eastAsia" w:ascii="宋体" w:hAnsi="宋体" w:eastAsia="宋体"/>
        </w:rPr>
        <w:t>六、加快推进区域商贸业与物流业集聚发展</w:t>
      </w:r>
      <w:bookmarkEnd w:id="224"/>
    </w:p>
    <w:p w14:paraId="7657D6CC">
      <w:pPr>
        <w:spacing w:line="360" w:lineRule="auto"/>
        <w:ind w:firstLine="646" w:firstLineChars="202"/>
        <w:rPr>
          <w:rFonts w:ascii="宋体" w:hAnsi="宋体" w:eastAsia="宋体"/>
          <w:sz w:val="32"/>
          <w:szCs w:val="32"/>
        </w:rPr>
      </w:pPr>
      <w:r>
        <w:rPr>
          <w:rFonts w:hint="eastAsia" w:ascii="宋体" w:hAnsi="宋体" w:eastAsia="宋体"/>
          <w:sz w:val="32"/>
          <w:szCs w:val="32"/>
        </w:rPr>
        <w:t>凌源市</w:t>
      </w:r>
      <w:r>
        <w:rPr>
          <w:rFonts w:ascii="宋体" w:hAnsi="宋体" w:eastAsia="宋体"/>
          <w:sz w:val="32"/>
          <w:szCs w:val="32"/>
        </w:rPr>
        <w:t>商业百货、批发市场、连锁超市等传统商贸流通业较为发达，尤其是</w:t>
      </w:r>
      <w:r>
        <w:rPr>
          <w:rFonts w:hint="eastAsia" w:ascii="宋体" w:hAnsi="宋体" w:eastAsia="宋体"/>
          <w:sz w:val="32"/>
          <w:szCs w:val="32"/>
        </w:rPr>
        <w:t>商品批发业，已成为辐射辽冀蒙三省交界处的商贸批发中心。但是，凌源市的商贸物流业仍处于低端水平，商品储存分散，缺乏现代化的存储、分拣设施，管理落后、安全隐患较多，商品运输和中转配送都是由商贸企业自行解决，各自为战，导致商贸物流总体效率较低、成本较高。“十四五”期间，凌源市应以辽冀蒙商贸物流园为依托，整合本地及周边区域商贸物流业，鼓励商贸流通企业把商品存储在辽冀蒙商贸物流园等物流聚集区，逐步开行凌源至周边如建平县、喀左县、宁城县等地的常态化商贸物流干线班车，并把运输、仓储、分拣、配送等环节外包，通过信息化手段与仓储管理、快递、零担快运等物流服务企业连接，形成商贸资源和物流资源的空间聚集和协同发展，形成区域商贸物流集散中心，构建高效的辽冀蒙区域现代流通体系。</w:t>
      </w:r>
    </w:p>
    <w:p w14:paraId="22D83ACF">
      <w:pPr>
        <w:pStyle w:val="5"/>
        <w:spacing w:line="360" w:lineRule="auto"/>
        <w:rPr>
          <w:rFonts w:ascii="宋体" w:hAnsi="宋体" w:eastAsia="宋体"/>
        </w:rPr>
      </w:pPr>
      <w:bookmarkStart w:id="225" w:name="_Toc79498023"/>
      <w:r>
        <w:rPr>
          <w:rFonts w:hint="eastAsia" w:ascii="宋体" w:hAnsi="宋体" w:eastAsia="宋体"/>
        </w:rPr>
        <w:t>七、加快推进供应链物流服务业态发展</w:t>
      </w:r>
      <w:bookmarkEnd w:id="225"/>
    </w:p>
    <w:p w14:paraId="5C54E3D9">
      <w:pPr>
        <w:spacing w:line="360" w:lineRule="auto"/>
        <w:ind w:firstLine="646" w:firstLineChars="202"/>
        <w:rPr>
          <w:rFonts w:ascii="宋体" w:hAnsi="宋体" w:eastAsia="宋体"/>
          <w:sz w:val="32"/>
          <w:szCs w:val="32"/>
        </w:rPr>
      </w:pPr>
      <w:r>
        <w:rPr>
          <w:rFonts w:hint="eastAsia" w:ascii="宋体" w:hAnsi="宋体" w:eastAsia="宋体"/>
          <w:sz w:val="32"/>
          <w:szCs w:val="32"/>
        </w:rPr>
        <w:t>大力发展供应链物流服务是推动区域产业转型升级、加快区域商贸流通服务效率、延伸区域产业链、提升区域经济价值链的迫切需要，同时也可以有效解决中小企业融资难的问题。物流企业也将充分利用供应链升级的机会，逐步从传统物流向高端物流和供应链服务转型，提高发展的质量和效益，进一步提升产业地位。</w:t>
      </w:r>
    </w:p>
    <w:p w14:paraId="3FB5F511">
      <w:pPr>
        <w:spacing w:line="360" w:lineRule="auto"/>
        <w:ind w:firstLine="646" w:firstLineChars="202"/>
        <w:rPr>
          <w:rFonts w:ascii="宋体" w:hAnsi="宋体" w:eastAsia="宋体"/>
          <w:sz w:val="32"/>
          <w:szCs w:val="32"/>
        </w:rPr>
      </w:pPr>
      <w:r>
        <w:rPr>
          <w:rFonts w:hint="eastAsia" w:ascii="宋体" w:hAnsi="宋体" w:eastAsia="宋体"/>
          <w:sz w:val="32"/>
          <w:szCs w:val="32"/>
        </w:rPr>
        <w:t>凌源市应着重在以下三个方面发展供应链物流服务：</w:t>
      </w:r>
    </w:p>
    <w:p w14:paraId="428762F8">
      <w:pPr>
        <w:spacing w:line="360" w:lineRule="auto"/>
        <w:ind w:firstLine="646" w:firstLineChars="202"/>
        <w:rPr>
          <w:rFonts w:ascii="宋体" w:hAnsi="宋体" w:eastAsia="宋体"/>
          <w:sz w:val="32"/>
          <w:szCs w:val="32"/>
        </w:rPr>
      </w:pPr>
      <w:r>
        <w:rPr>
          <w:rFonts w:hint="eastAsia" w:ascii="宋体" w:hAnsi="宋体" w:eastAsia="宋体"/>
          <w:sz w:val="32"/>
          <w:szCs w:val="32"/>
        </w:rPr>
        <w:t>一是打造区域大宗商品交易平台与构建钢铁产业供应链物流服务体系。钢铁产业是凌源市的主导产业，应借助钢铁产业的发展基础，通过合作引入国内知名大宗商品交易平台，开展围绕钢铁上下游产业链条的大宗商品贸易。同时借助朝阳致远金融物流港、凌源物流信息服务平台等物流基础设施，构建服务于上下游的中高端钢产品供应链物流体系，既能为凌钢的扩产以及钢铁产业上游原材料的供应和下游中高端机电产品的生产提供一条龙服务和全链条支撑，又可进一步扩大区域钢铁产品和机电产品的辐射范围和贸易总量。</w:t>
      </w:r>
    </w:p>
    <w:p w14:paraId="5EEC9D1B">
      <w:pPr>
        <w:spacing w:line="360" w:lineRule="auto"/>
        <w:ind w:firstLine="646" w:firstLineChars="202"/>
        <w:rPr>
          <w:rFonts w:ascii="宋体" w:hAnsi="宋体" w:eastAsia="宋体"/>
          <w:sz w:val="32"/>
          <w:szCs w:val="32"/>
        </w:rPr>
      </w:pPr>
      <w:r>
        <w:rPr>
          <w:rFonts w:hint="eastAsia" w:ascii="宋体" w:hAnsi="宋体" w:eastAsia="宋体"/>
          <w:sz w:val="32"/>
          <w:szCs w:val="32"/>
        </w:rPr>
        <w:t>二是发展汽车及零部件供应链物流服务体系。汽车产业是凌源市的产业发展重心之一，产业上下游与国际国内市场的协同、互动效应十分明显，为此，凌源市应加快推进汽车物流园区、铁路场站等资源和基础设施建设，引入金融服务机构，强化汽车及零部件供应链融资服务体系，着重鼓励相关供应链物流服务企业提供</w:t>
      </w:r>
      <w:r>
        <w:fldChar w:fldCharType="begin"/>
      </w:r>
      <w:r>
        <w:instrText xml:space="preserve"> HYPERLINK "https://baike.baidu.com/item/%E8%81%94%E5%90%88%E5%BA%93%E5%AD%98%E7%AE%A1%E7%90%86" \t "_blank" </w:instrText>
      </w:r>
      <w:r>
        <w:fldChar w:fldCharType="separate"/>
      </w:r>
      <w:r>
        <w:rPr>
          <w:rFonts w:ascii="宋体" w:hAnsi="宋体" w:eastAsia="宋体"/>
          <w:sz w:val="32"/>
          <w:szCs w:val="32"/>
        </w:rPr>
        <w:t>联合库存管理</w:t>
      </w:r>
      <w:r>
        <w:rPr>
          <w:rFonts w:ascii="宋体" w:hAnsi="宋体" w:eastAsia="宋体"/>
          <w:sz w:val="32"/>
          <w:szCs w:val="32"/>
        </w:rPr>
        <w:fldChar w:fldCharType="end"/>
      </w:r>
      <w:r>
        <w:rPr>
          <w:rFonts w:ascii="宋体" w:hAnsi="宋体" w:eastAsia="宋体"/>
          <w:sz w:val="32"/>
          <w:szCs w:val="32"/>
        </w:rPr>
        <w:t>、供应库存</w:t>
      </w:r>
      <w:r>
        <w:rPr>
          <w:rFonts w:hint="eastAsia" w:ascii="宋体" w:hAnsi="宋体" w:eastAsia="宋体"/>
          <w:sz w:val="32"/>
          <w:szCs w:val="32"/>
        </w:rPr>
        <w:t>管理</w:t>
      </w:r>
      <w:r>
        <w:rPr>
          <w:rFonts w:ascii="宋体" w:hAnsi="宋体" w:eastAsia="宋体"/>
          <w:sz w:val="32"/>
          <w:szCs w:val="32"/>
        </w:rPr>
        <w:t>（</w:t>
      </w:r>
      <w:r>
        <w:fldChar w:fldCharType="begin"/>
      </w:r>
      <w:r>
        <w:instrText xml:space="preserve"> HYPERLINK "https://baike.baidu.com/item/VMI" \t "_blank" </w:instrText>
      </w:r>
      <w:r>
        <w:fldChar w:fldCharType="separate"/>
      </w:r>
      <w:r>
        <w:rPr>
          <w:rFonts w:ascii="宋体" w:hAnsi="宋体" w:eastAsia="宋体"/>
          <w:sz w:val="32"/>
          <w:szCs w:val="32"/>
        </w:rPr>
        <w:t>VMI</w:t>
      </w:r>
      <w:r>
        <w:rPr>
          <w:rFonts w:ascii="宋体" w:hAnsi="宋体" w:eastAsia="宋体"/>
          <w:sz w:val="32"/>
          <w:szCs w:val="32"/>
        </w:rPr>
        <w:fldChar w:fldCharType="end"/>
      </w:r>
      <w:r>
        <w:rPr>
          <w:rFonts w:ascii="宋体" w:hAnsi="宋体" w:eastAsia="宋体"/>
          <w:sz w:val="32"/>
          <w:szCs w:val="32"/>
        </w:rPr>
        <w:t>）、</w:t>
      </w:r>
      <w:r>
        <w:fldChar w:fldCharType="begin"/>
      </w:r>
      <w:r>
        <w:instrText xml:space="preserve"> HYPERLINK "https://baike.baidu.com/item/%E4%BE%9B%E5%BA%94%E9%93%BE%E8%BF%90%E8%BE%93%E7%AE%A1%E7%90%86" \t "_blank" </w:instrText>
      </w:r>
      <w:r>
        <w:fldChar w:fldCharType="separate"/>
      </w:r>
      <w:r>
        <w:rPr>
          <w:rFonts w:ascii="宋体" w:hAnsi="宋体" w:eastAsia="宋体"/>
          <w:sz w:val="32"/>
          <w:szCs w:val="32"/>
        </w:rPr>
        <w:t>供应链运输管理</w:t>
      </w:r>
      <w:r>
        <w:rPr>
          <w:rFonts w:ascii="宋体" w:hAnsi="宋体" w:eastAsia="宋体"/>
          <w:sz w:val="32"/>
          <w:szCs w:val="32"/>
        </w:rPr>
        <w:fldChar w:fldCharType="end"/>
      </w:r>
      <w:r>
        <w:rPr>
          <w:rFonts w:ascii="宋体" w:hAnsi="宋体" w:eastAsia="宋体"/>
          <w:sz w:val="32"/>
          <w:szCs w:val="32"/>
        </w:rPr>
        <w:t>、连续补充货物（</w:t>
      </w:r>
      <w:r>
        <w:fldChar w:fldCharType="begin"/>
      </w:r>
      <w:r>
        <w:instrText xml:space="preserve"> HYPERLINK "https://baike.baidu.com/item/CRP" \t "_blank" </w:instrText>
      </w:r>
      <w:r>
        <w:fldChar w:fldCharType="separate"/>
      </w:r>
      <w:r>
        <w:rPr>
          <w:rFonts w:ascii="宋体" w:hAnsi="宋体" w:eastAsia="宋体"/>
          <w:sz w:val="32"/>
          <w:szCs w:val="32"/>
        </w:rPr>
        <w:t>CRP</w:t>
      </w:r>
      <w:r>
        <w:rPr>
          <w:rFonts w:ascii="宋体" w:hAnsi="宋体" w:eastAsia="宋体"/>
          <w:sz w:val="32"/>
          <w:szCs w:val="32"/>
        </w:rPr>
        <w:fldChar w:fldCharType="end"/>
      </w:r>
      <w:r>
        <w:rPr>
          <w:rFonts w:ascii="宋体" w:hAnsi="宋体" w:eastAsia="宋体"/>
          <w:sz w:val="32"/>
          <w:szCs w:val="32"/>
        </w:rPr>
        <w:t>）、</w:t>
      </w:r>
      <w:r>
        <w:fldChar w:fldCharType="begin"/>
      </w:r>
      <w:r>
        <w:instrText xml:space="preserve"> HYPERLINK "https://baike.baidu.com/item/%E5%88%86%E9%94%80%E8%B5%84%E6%BA%90%E8%AE%A1%E5%88%92" \t "_blank" </w:instrText>
      </w:r>
      <w:r>
        <w:fldChar w:fldCharType="separate"/>
      </w:r>
      <w:r>
        <w:rPr>
          <w:rFonts w:ascii="宋体" w:hAnsi="宋体" w:eastAsia="宋体"/>
          <w:sz w:val="32"/>
          <w:szCs w:val="32"/>
        </w:rPr>
        <w:t>分销资源计划</w:t>
      </w:r>
      <w:r>
        <w:rPr>
          <w:rFonts w:ascii="宋体" w:hAnsi="宋体" w:eastAsia="宋体"/>
          <w:sz w:val="32"/>
          <w:szCs w:val="32"/>
        </w:rPr>
        <w:fldChar w:fldCharType="end"/>
      </w:r>
      <w:r>
        <w:rPr>
          <w:rFonts w:ascii="宋体" w:hAnsi="宋体" w:eastAsia="宋体"/>
          <w:sz w:val="32"/>
          <w:szCs w:val="32"/>
        </w:rPr>
        <w:t>（</w:t>
      </w:r>
      <w:r>
        <w:fldChar w:fldCharType="begin"/>
      </w:r>
      <w:r>
        <w:instrText xml:space="preserve"> HYPERLINK "https://baike.baidu.com/item/DRP" \t "_blank" </w:instrText>
      </w:r>
      <w:r>
        <w:fldChar w:fldCharType="separate"/>
      </w:r>
      <w:r>
        <w:rPr>
          <w:rFonts w:ascii="宋体" w:hAnsi="宋体" w:eastAsia="宋体"/>
          <w:sz w:val="32"/>
          <w:szCs w:val="32"/>
        </w:rPr>
        <w:t>DRP</w:t>
      </w:r>
      <w:r>
        <w:rPr>
          <w:rFonts w:ascii="宋体" w:hAnsi="宋体" w:eastAsia="宋体"/>
          <w:sz w:val="32"/>
          <w:szCs w:val="32"/>
        </w:rPr>
        <w:fldChar w:fldCharType="end"/>
      </w:r>
      <w:r>
        <w:rPr>
          <w:rFonts w:ascii="宋体" w:hAnsi="宋体" w:eastAsia="宋体"/>
          <w:sz w:val="32"/>
          <w:szCs w:val="32"/>
        </w:rPr>
        <w:t>）、准时化技术（</w:t>
      </w:r>
      <w:r>
        <w:fldChar w:fldCharType="begin"/>
      </w:r>
      <w:r>
        <w:instrText xml:space="preserve"> HYPERLINK "https://baike.baidu.com/item/JIT" \t "_blank" </w:instrText>
      </w:r>
      <w:r>
        <w:fldChar w:fldCharType="separate"/>
      </w:r>
      <w:r>
        <w:rPr>
          <w:rFonts w:ascii="宋体" w:hAnsi="宋体" w:eastAsia="宋体"/>
          <w:sz w:val="32"/>
          <w:szCs w:val="32"/>
        </w:rPr>
        <w:t>JIT</w:t>
      </w:r>
      <w:r>
        <w:rPr>
          <w:rFonts w:ascii="宋体" w:hAnsi="宋体" w:eastAsia="宋体"/>
          <w:sz w:val="32"/>
          <w:szCs w:val="32"/>
        </w:rPr>
        <w:fldChar w:fldCharType="end"/>
      </w:r>
      <w:r>
        <w:rPr>
          <w:rFonts w:ascii="宋体" w:hAnsi="宋体" w:eastAsia="宋体"/>
          <w:sz w:val="32"/>
          <w:szCs w:val="32"/>
        </w:rPr>
        <w:t>）、快速响应系统（</w:t>
      </w:r>
      <w:r>
        <w:fldChar w:fldCharType="begin"/>
      </w:r>
      <w:r>
        <w:instrText xml:space="preserve"> HYPERLINK "https://baike.baidu.com/item/QR" \t "_blank" </w:instrText>
      </w:r>
      <w:r>
        <w:fldChar w:fldCharType="separate"/>
      </w:r>
      <w:r>
        <w:rPr>
          <w:rFonts w:ascii="宋体" w:hAnsi="宋体" w:eastAsia="宋体"/>
          <w:sz w:val="32"/>
          <w:szCs w:val="32"/>
        </w:rPr>
        <w:t>QR</w:t>
      </w:r>
      <w:r>
        <w:rPr>
          <w:rFonts w:ascii="宋体" w:hAnsi="宋体" w:eastAsia="宋体"/>
          <w:sz w:val="32"/>
          <w:szCs w:val="32"/>
        </w:rPr>
        <w:fldChar w:fldCharType="end"/>
      </w:r>
      <w:r>
        <w:rPr>
          <w:rFonts w:ascii="宋体" w:hAnsi="宋体" w:eastAsia="宋体"/>
          <w:sz w:val="32"/>
          <w:szCs w:val="32"/>
        </w:rPr>
        <w:t>，Quick Response）、有效率的客户响应系统（</w:t>
      </w:r>
      <w:r>
        <w:fldChar w:fldCharType="begin"/>
      </w:r>
      <w:r>
        <w:instrText xml:space="preserve"> HYPERLINK "https://baike.baidu.com/item/ECR" \t "_blank" </w:instrText>
      </w:r>
      <w:r>
        <w:fldChar w:fldCharType="separate"/>
      </w:r>
      <w:r>
        <w:rPr>
          <w:rFonts w:ascii="宋体" w:hAnsi="宋体" w:eastAsia="宋体"/>
          <w:sz w:val="32"/>
          <w:szCs w:val="32"/>
        </w:rPr>
        <w:t>ECR</w:t>
      </w:r>
      <w:r>
        <w:rPr>
          <w:rFonts w:ascii="宋体" w:hAnsi="宋体" w:eastAsia="宋体"/>
          <w:sz w:val="32"/>
          <w:szCs w:val="32"/>
        </w:rPr>
        <w:fldChar w:fldCharType="end"/>
      </w:r>
      <w:r>
        <w:rPr>
          <w:rFonts w:ascii="宋体" w:hAnsi="宋体" w:eastAsia="宋体"/>
          <w:sz w:val="32"/>
          <w:szCs w:val="32"/>
        </w:rPr>
        <w:t>，Efficient Consumer Response）</w:t>
      </w:r>
      <w:r>
        <w:rPr>
          <w:rFonts w:hint="eastAsia" w:ascii="宋体" w:hAnsi="宋体" w:eastAsia="宋体"/>
          <w:sz w:val="32"/>
          <w:szCs w:val="32"/>
        </w:rPr>
        <w:t>等服务，为汽车及零部件产业的加速发展创造条件。</w:t>
      </w:r>
    </w:p>
    <w:p w14:paraId="36540CEB">
      <w:pPr>
        <w:spacing w:line="360" w:lineRule="auto"/>
        <w:ind w:firstLine="646" w:firstLineChars="202"/>
        <w:rPr>
          <w:rFonts w:asciiTheme="minorEastAsia" w:hAnsiTheme="minorEastAsia"/>
          <w:sz w:val="32"/>
          <w:szCs w:val="32"/>
        </w:rPr>
      </w:pPr>
      <w:r>
        <w:rPr>
          <w:rFonts w:hint="eastAsia" w:ascii="宋体" w:hAnsi="宋体" w:eastAsia="宋体"/>
          <w:sz w:val="32"/>
          <w:szCs w:val="32"/>
        </w:rPr>
        <w:t>三是发展农产品供应链物流服务体系。围绕农产品贸易核心企业，以信息流通网络为依托，应用信息化、数字化的方法来管理农产品产供销和深加工的全过程，通过对信息流、物流和资金流的协同，将农产品供应商、采购商、消费者连成一体，强化凌源及周边区域与东三省、京津冀等区域农产品市场的对接，提高农产品的流通效率，从而推动区域农产品贸易量的快速增加。应着重建设农产品冷链物流服务体系，加强农产品供应链金融服务能力，鼓励相关企业拓展农产品供应链新型技术的开发运用，形成具有区域特点的农产品供应链物流服务体系。</w:t>
      </w:r>
    </w:p>
    <w:p w14:paraId="518073BA">
      <w:pPr>
        <w:pStyle w:val="5"/>
        <w:keepNext w:val="0"/>
        <w:keepLines w:val="0"/>
        <w:spacing w:line="360" w:lineRule="auto"/>
        <w:rPr>
          <w:rFonts w:ascii="宋体" w:hAnsi="宋体" w:eastAsia="宋体"/>
        </w:rPr>
      </w:pPr>
      <w:bookmarkStart w:id="226" w:name="_Toc79498024"/>
      <w:bookmarkStart w:id="227" w:name="_Toc46506118"/>
      <w:bookmarkStart w:id="228" w:name="_Hlk494731408"/>
      <w:bookmarkStart w:id="229" w:name="_Toc432976984"/>
      <w:bookmarkStart w:id="230" w:name="_Toc437472046"/>
      <w:bookmarkStart w:id="231" w:name="_Toc433277861"/>
      <w:bookmarkStart w:id="232" w:name="_Toc433049085"/>
      <w:r>
        <w:rPr>
          <w:rFonts w:hint="eastAsia" w:ascii="宋体" w:hAnsi="宋体" w:eastAsia="宋体"/>
        </w:rPr>
        <w:t>八、加快推进辽冀蒙物流结算中心建设</w:t>
      </w:r>
      <w:bookmarkEnd w:id="226"/>
    </w:p>
    <w:p w14:paraId="47E4970A">
      <w:pPr>
        <w:spacing w:line="360" w:lineRule="auto"/>
        <w:ind w:firstLine="646" w:firstLineChars="202"/>
        <w:rPr>
          <w:rFonts w:ascii="宋体" w:hAnsi="宋体" w:eastAsia="宋体"/>
          <w:sz w:val="32"/>
          <w:szCs w:val="32"/>
        </w:rPr>
      </w:pPr>
      <w:r>
        <w:rPr>
          <w:rFonts w:hint="eastAsia" w:ascii="宋体" w:hAnsi="宋体" w:eastAsia="宋体"/>
          <w:sz w:val="32"/>
          <w:szCs w:val="32"/>
        </w:rPr>
        <w:t>一是以朝阳致远物流无车承运平台为依托，利用互联网、云计算、大数据、物联网等先进技术，建设完善车货匹配平台和物流协同管理系统、无车承运人系统、网商银行支付系统、交通部路网中心ETC发票对接系统及互联网平台代理开具增值税专用发票平台，实现物流行业全流程的互联网结算功能，通过整合产业链、构建完整高效的物流生态圈，打造覆盖线上线下的区域物流结算中心。二是推动重点在建项目物流结算落地凌源。对项目建成后物流业务结算可落地凌源的，在用地指标等方面优先予以保障，按照最优原则，加快项目审批速度，以项目带动物流结算规模发展壮大。三是推动大型生产制造企业物流业务结算落地。推动大型生产制造企业将在凌源进出的相关物流结算业务落地凌源，同时对新建项目提前将物流结算落地凌源纳入双方合作范围之内，给予相应倾斜性政策。四是对其他物流企业主动落户凌源的，以财政奖励、专项补助、贴息补助等多种财税优惠政策，鼓励其在凌源注册公司进行业务结算。五是加快推动本地大型生产企业释放物流需求。目前凌钢等企业物流基本系自主开展业务运作，应考虑加快推动凌钢等公司实现主辅分离，进一步释放社会物流需求。六是加快建设和充分利用辽冀蒙物流数据交易结算服务平台，加大物流结算业务推广力度，提高物流结算便利度，陆续整合铁路、公路、邮政、快递等信息资源，实现凌源物流结算信息的全覆盖与便捷高效。</w:t>
      </w:r>
    </w:p>
    <w:p w14:paraId="278326C3"/>
    <w:p w14:paraId="6D72CF4B">
      <w:pPr>
        <w:pStyle w:val="5"/>
        <w:spacing w:line="360" w:lineRule="auto"/>
      </w:pPr>
      <w:bookmarkStart w:id="233" w:name="_Toc79498025"/>
      <w:r>
        <w:rPr>
          <w:rFonts w:hint="eastAsia" w:ascii="宋体" w:hAnsi="宋体" w:eastAsia="宋体"/>
        </w:rPr>
        <w:t>九、积极助力完成碳达峰碳中和目标</w:t>
      </w:r>
      <w:bookmarkEnd w:id="233"/>
    </w:p>
    <w:p w14:paraId="688762E2">
      <w:pPr>
        <w:pStyle w:val="2"/>
        <w:spacing w:line="360" w:lineRule="auto"/>
        <w:rPr>
          <w:rFonts w:ascii="宋体" w:hAnsi="宋体"/>
          <w:sz w:val="32"/>
          <w:szCs w:val="32"/>
        </w:rPr>
      </w:pPr>
      <w:r>
        <w:tab/>
      </w:r>
      <w:r>
        <w:rPr>
          <w:rFonts w:hint="eastAsia" w:ascii="宋体" w:hAnsi="宋体" w:cstheme="minorBidi"/>
          <w:sz w:val="32"/>
          <w:szCs w:val="32"/>
        </w:rPr>
        <w:t>凌源市物流产业发展要坚持系统思维，统筹发展与环境、速度与质量、成本与效益，主要从推进运输结构调整、加强新能源汽车应用以及树立先进运营管理理念等三方面发力，强势推动物流领域从高碳向低碳转变，积极实现“碳达峰、碳中和”目标。</w:t>
      </w:r>
      <w:r>
        <w:rPr>
          <w:rFonts w:hint="eastAsia" w:ascii="宋体" w:hAnsi="宋体"/>
          <w:sz w:val="32"/>
          <w:szCs w:val="32"/>
        </w:rPr>
        <w:t>一是要深入推进运输结构调整，努力实现货运物流的低碳化。调整运输结构是实现节能减排、节能降碳的必然要求。</w:t>
      </w:r>
      <w:r>
        <w:rPr>
          <w:rFonts w:ascii="宋体" w:hAnsi="宋体"/>
          <w:sz w:val="32"/>
          <w:szCs w:val="32"/>
        </w:rPr>
        <w:t>2018年10月，国务院办公厅印发了《道路运输结构调整三年行动计划》，部署开展了铁路运能提升行动、水运系统升级行动、公路货运治理行动、多式</w:t>
      </w:r>
      <w:r>
        <w:rPr>
          <w:rFonts w:hint="eastAsia" w:ascii="宋体" w:hAnsi="宋体"/>
          <w:sz w:val="32"/>
          <w:szCs w:val="32"/>
        </w:rPr>
        <w:t>联运提速行动、城市绿色配送行动，信息资源整合行动等六大行动。三年行动计划实施以来，铁路货运量在全社会货运量比例不断提高，水路货运量快速增长，港口的公转铁、公转水成效显著，集装箱多式联运快速发展，节能减排等综合效应逐步显现。但就凌源市来看，公路承担了绝大部分钢铁建材、非金属矿产品等大宗货物的运输业务，铁路货运量及货运周转量占比仍不高，运输结构调整仍然是今后凌源物流产业绿色发展和高质量发展的重要抓手。凌源市要从供需两端共同发力，充分发挥各种运输方式的比较优势和组合效率，推动运输结构调整。要大力推进具有公铁联运、公铁海联运等多式联运功能的货运枢纽和物流园区建设，加强不同运输方式间的高效衔接，鼓励铁路、港口等企业加强合作，大幅提升多式联运业务比例。二是要加快推广应用新能源汽车，努力实现运输工具的低碳化。推广应用新能源汽车对于调整能源消费结构、减少碳排放和大气污染具有重要意义。</w:t>
      </w:r>
      <w:r>
        <w:rPr>
          <w:rFonts w:ascii="宋体" w:hAnsi="宋体"/>
          <w:sz w:val="32"/>
          <w:szCs w:val="32"/>
        </w:rPr>
        <w:t>2020年10月，国务院办公厅印发了《新能源汽车产业发展规划（2021-2035年）》，再次提出“加快新能源汽车在分时租赁、城市公交、出租汽车、场地用车等领域的应用”，提出“2021年起，国家生态文明试验区、大气污染防治重点区域新增或者更新公交、出租、物流配送等公共领域的车辆，新能源汽车比例不低于80%”</w:t>
      </w:r>
      <w:r>
        <w:rPr>
          <w:rFonts w:hint="eastAsia" w:ascii="宋体" w:hAnsi="宋体"/>
          <w:sz w:val="32"/>
          <w:szCs w:val="32"/>
        </w:rPr>
        <w:t>，</w:t>
      </w:r>
      <w:r>
        <w:rPr>
          <w:rFonts w:ascii="宋体" w:hAnsi="宋体"/>
          <w:sz w:val="32"/>
          <w:szCs w:val="32"/>
        </w:rPr>
        <w:t>这对</w:t>
      </w:r>
      <w:r>
        <w:rPr>
          <w:rFonts w:hint="eastAsia" w:ascii="宋体" w:hAnsi="宋体"/>
          <w:sz w:val="32"/>
          <w:szCs w:val="32"/>
        </w:rPr>
        <w:t>凌源市物流行业提出了更高的要求。因此，要把推广应用新能源汽车作为落实新发展理念、推动绿色发展、实施碳达峰行动的重要举措，要依托城市绿色货运配送示范工程等载体，用好用足新能源汽车在交通运输行业的运营补贴政策，加快新能源汽车在物流领域的推广应用，大力降低碳排放。三是必须加快推动物流企业树立先进的运营管理理念，不断提高信息化、标准化和自动化水平，促进一体化运作和网络化经营，切实降低能耗、减少排放、缓解交通压力。</w:t>
      </w:r>
    </w:p>
    <w:p w14:paraId="2CE97502">
      <w:pPr>
        <w:pStyle w:val="2"/>
      </w:pPr>
    </w:p>
    <w:p w14:paraId="133A9FB4">
      <w:pPr>
        <w:rPr>
          <w:rFonts w:ascii="Times New Roman" w:hAnsi="Times New Roman" w:eastAsia="宋体" w:cs="Times New Roman"/>
          <w:szCs w:val="21"/>
        </w:rPr>
      </w:pPr>
    </w:p>
    <w:p w14:paraId="4B0D64ED">
      <w:pPr>
        <w:tabs>
          <w:tab w:val="left" w:pos="2294"/>
        </w:tabs>
        <w:ind w:firstLine="420" w:firstLineChars="200"/>
        <w:rPr>
          <w:rFonts w:ascii="Times New Roman" w:hAnsi="Times New Roman" w:eastAsia="宋体" w:cs="Times New Roman"/>
          <w:szCs w:val="21"/>
        </w:rPr>
      </w:pPr>
    </w:p>
    <w:p w14:paraId="5BE5BC33">
      <w:pPr>
        <w:sectPr>
          <w:headerReference r:id="rId22" w:type="default"/>
          <w:footerReference r:id="rId23" w:type="default"/>
          <w:pgSz w:w="11906" w:h="16838"/>
          <w:pgMar w:top="1440" w:right="1797" w:bottom="1440" w:left="1797" w:header="851" w:footer="992" w:gutter="0"/>
          <w:cols w:space="425" w:num="1"/>
          <w:docGrid w:linePitch="312" w:charSpace="0"/>
        </w:sectPr>
      </w:pPr>
    </w:p>
    <w:p w14:paraId="1771E425">
      <w:pPr>
        <w:pStyle w:val="3"/>
        <w:tabs>
          <w:tab w:val="left" w:pos="1696"/>
        </w:tabs>
        <w:spacing w:line="360" w:lineRule="auto"/>
        <w:jc w:val="center"/>
        <w:rPr>
          <w:rFonts w:ascii="黑体" w:hAnsi="黑体" w:eastAsia="黑体"/>
        </w:rPr>
      </w:pPr>
      <w:bookmarkStart w:id="234" w:name="_Toc79498026"/>
      <w:bookmarkStart w:id="235" w:name="_Toc56438979"/>
      <w:bookmarkStart w:id="236" w:name="_Toc57622988"/>
      <w:bookmarkStart w:id="237" w:name="_Toc59380293"/>
      <w:r>
        <w:rPr>
          <w:rFonts w:hint="eastAsia" w:ascii="黑体" w:hAnsi="黑体" w:eastAsia="黑体"/>
        </w:rPr>
        <w:t>专题一 我国物流业发展现状</w:t>
      </w:r>
      <w:bookmarkEnd w:id="234"/>
    </w:p>
    <w:p w14:paraId="074A1D56">
      <w:pPr>
        <w:spacing w:line="360" w:lineRule="auto"/>
        <w:ind w:firstLine="646" w:firstLineChars="202"/>
        <w:rPr>
          <w:rFonts w:ascii="宋体" w:hAnsi="宋体"/>
          <w:sz w:val="32"/>
          <w:szCs w:val="32"/>
        </w:rPr>
      </w:pPr>
      <w:r>
        <w:rPr>
          <w:rFonts w:hint="eastAsia" w:ascii="宋体" w:hAnsi="宋体"/>
          <w:sz w:val="32"/>
          <w:szCs w:val="32"/>
        </w:rPr>
        <w:t>当前，我国物流业主要经济指标运行在合理区间，结构调整和新旧动能加快转换，降本增效取得阶段性成果，营商环境进一步改善。</w:t>
      </w:r>
    </w:p>
    <w:p w14:paraId="41542111">
      <w:pPr>
        <w:pStyle w:val="5"/>
        <w:spacing w:line="360" w:lineRule="auto"/>
      </w:pPr>
      <w:bookmarkStart w:id="238" w:name="_Toc79498027"/>
      <w:r>
        <w:rPr>
          <w:rFonts w:hint="eastAsia"/>
        </w:rPr>
        <w:t>一、物流产业总体运行缓中趋稳</w:t>
      </w:r>
      <w:bookmarkEnd w:id="238"/>
    </w:p>
    <w:p w14:paraId="53856530">
      <w:pPr>
        <w:spacing w:line="360" w:lineRule="auto"/>
        <w:ind w:firstLine="420"/>
        <w:rPr>
          <w:rFonts w:ascii="宋体" w:hAnsi="宋体"/>
          <w:sz w:val="32"/>
          <w:szCs w:val="32"/>
        </w:rPr>
      </w:pPr>
      <w:r>
        <w:rPr>
          <w:rFonts w:hint="eastAsia" w:ascii="宋体" w:hAnsi="宋体"/>
          <w:sz w:val="32"/>
          <w:szCs w:val="32"/>
        </w:rPr>
        <w:t>近年来，我国物流产业运行总体平稳，社会物流总额、社会物流总收入保持连续增长态势，社会物流总费用在国民经济中的占比持续下降。其中社会物流总额由2</w:t>
      </w:r>
      <w:r>
        <w:rPr>
          <w:rFonts w:ascii="宋体" w:hAnsi="宋体"/>
          <w:sz w:val="32"/>
          <w:szCs w:val="32"/>
        </w:rPr>
        <w:t>015</w:t>
      </w:r>
      <w:r>
        <w:rPr>
          <w:rFonts w:hint="eastAsia" w:ascii="宋体" w:hAnsi="宋体"/>
          <w:sz w:val="32"/>
          <w:szCs w:val="32"/>
        </w:rPr>
        <w:t>年的2</w:t>
      </w:r>
      <w:r>
        <w:rPr>
          <w:rFonts w:ascii="宋体" w:hAnsi="宋体"/>
          <w:sz w:val="32"/>
          <w:szCs w:val="32"/>
        </w:rPr>
        <w:t>19</w:t>
      </w:r>
      <w:r>
        <w:rPr>
          <w:rFonts w:hint="eastAsia" w:ascii="宋体" w:hAnsi="宋体"/>
          <w:sz w:val="32"/>
          <w:szCs w:val="32"/>
        </w:rPr>
        <w:t>.</w:t>
      </w:r>
      <w:r>
        <w:rPr>
          <w:rFonts w:ascii="宋体" w:hAnsi="宋体"/>
          <w:sz w:val="32"/>
          <w:szCs w:val="32"/>
        </w:rPr>
        <w:t>2</w:t>
      </w:r>
      <w:r>
        <w:rPr>
          <w:rFonts w:hint="eastAsia" w:ascii="宋体" w:hAnsi="宋体"/>
          <w:sz w:val="32"/>
          <w:szCs w:val="32"/>
        </w:rPr>
        <w:t>万亿元增至2019年的298万亿元，年均增长6.33%；社会物流总收入由2</w:t>
      </w:r>
      <w:r>
        <w:rPr>
          <w:rFonts w:ascii="宋体" w:hAnsi="宋体"/>
          <w:sz w:val="32"/>
          <w:szCs w:val="32"/>
        </w:rPr>
        <w:t>015</w:t>
      </w:r>
      <w:r>
        <w:rPr>
          <w:rFonts w:hint="eastAsia" w:ascii="宋体" w:hAnsi="宋体"/>
          <w:sz w:val="32"/>
          <w:szCs w:val="32"/>
        </w:rPr>
        <w:t>年的7.</w:t>
      </w:r>
      <w:r>
        <w:rPr>
          <w:rFonts w:ascii="宋体" w:hAnsi="宋体"/>
          <w:sz w:val="32"/>
          <w:szCs w:val="32"/>
        </w:rPr>
        <w:t>6</w:t>
      </w:r>
      <w:r>
        <w:rPr>
          <w:rFonts w:hint="eastAsia" w:ascii="宋体" w:hAnsi="宋体"/>
          <w:sz w:val="32"/>
          <w:szCs w:val="32"/>
        </w:rPr>
        <w:t>万亿元增至2019年的10.3万亿元，年均增长6.26%；社会物流总费用由2</w:t>
      </w:r>
      <w:r>
        <w:rPr>
          <w:rFonts w:ascii="宋体" w:hAnsi="宋体"/>
          <w:sz w:val="32"/>
          <w:szCs w:val="32"/>
        </w:rPr>
        <w:t>015</w:t>
      </w:r>
      <w:r>
        <w:rPr>
          <w:rFonts w:hint="eastAsia" w:ascii="宋体" w:hAnsi="宋体"/>
          <w:sz w:val="32"/>
          <w:szCs w:val="32"/>
        </w:rPr>
        <w:t>年的16%降至2019年的14.7%，说明我国物流业结构正在不断优化。</w:t>
      </w:r>
    </w:p>
    <w:p w14:paraId="3F87BE60">
      <w:pPr>
        <w:pStyle w:val="10"/>
        <w:spacing w:line="360" w:lineRule="auto"/>
        <w:jc w:val="center"/>
        <w:rPr>
          <w:rFonts w:ascii="宋体" w:hAnsi="宋体"/>
          <w:b/>
          <w:bCs/>
          <w:sz w:val="32"/>
          <w:szCs w:val="32"/>
        </w:rPr>
      </w:pPr>
      <w:bookmarkStart w:id="239" w:name="_Toc79498045"/>
      <w:r>
        <w:rPr>
          <w:rFonts w:hint="eastAsia"/>
          <w:b/>
          <w:bCs/>
          <w:sz w:val="24"/>
          <w:szCs w:val="24"/>
        </w:rPr>
        <w:t>表</w:t>
      </w:r>
      <w:r>
        <w:rPr>
          <w:b/>
          <w:bCs/>
          <w:sz w:val="24"/>
          <w:szCs w:val="24"/>
        </w:rPr>
        <w:fldChar w:fldCharType="begin"/>
      </w:r>
      <w:r>
        <w:rPr>
          <w:rFonts w:hint="eastAsia"/>
          <w:b/>
          <w:bCs/>
          <w:sz w:val="24"/>
          <w:szCs w:val="24"/>
        </w:rPr>
        <w:instrText xml:space="preserve">SEQ 表 \* ARABIC</w:instrText>
      </w:r>
      <w:r>
        <w:rPr>
          <w:b/>
          <w:bCs/>
          <w:sz w:val="24"/>
          <w:szCs w:val="24"/>
        </w:rPr>
        <w:fldChar w:fldCharType="separate"/>
      </w:r>
      <w:r>
        <w:rPr>
          <w:b/>
          <w:bCs/>
          <w:sz w:val="24"/>
          <w:szCs w:val="24"/>
        </w:rPr>
        <w:t>8</w:t>
      </w:r>
      <w:r>
        <w:rPr>
          <w:b/>
          <w:bCs/>
          <w:sz w:val="24"/>
          <w:szCs w:val="24"/>
        </w:rPr>
        <w:fldChar w:fldCharType="end"/>
      </w:r>
      <w:r>
        <w:rPr>
          <w:rFonts w:hint="eastAsia"/>
          <w:b/>
          <w:bCs/>
          <w:sz w:val="24"/>
          <w:szCs w:val="24"/>
        </w:rPr>
        <w:t>近</w:t>
      </w:r>
      <w:r>
        <w:rPr>
          <w:b/>
          <w:bCs/>
          <w:sz w:val="24"/>
          <w:szCs w:val="24"/>
        </w:rPr>
        <w:t>5年我国社会物流总额</w:t>
      </w:r>
      <w:r>
        <w:rPr>
          <w:rFonts w:hint="eastAsia"/>
          <w:b/>
          <w:bCs/>
          <w:sz w:val="24"/>
          <w:szCs w:val="24"/>
        </w:rPr>
        <w:t>、社会物流总收入</w:t>
      </w:r>
      <w:r>
        <w:rPr>
          <w:b/>
          <w:bCs/>
          <w:sz w:val="24"/>
          <w:szCs w:val="24"/>
        </w:rPr>
        <w:t>汇总表</w:t>
      </w:r>
      <w:bookmarkEnd w:id="239"/>
    </w:p>
    <w:tbl>
      <w:tblPr>
        <w:tblStyle w:val="35"/>
        <w:tblW w:w="8296" w:type="dxa"/>
        <w:tblInd w:w="0" w:type="dxa"/>
        <w:tblLayout w:type="autofit"/>
        <w:tblCellMar>
          <w:top w:w="0" w:type="dxa"/>
          <w:left w:w="108" w:type="dxa"/>
          <w:bottom w:w="0" w:type="dxa"/>
          <w:right w:w="108" w:type="dxa"/>
        </w:tblCellMar>
      </w:tblPr>
      <w:tblGrid>
        <w:gridCol w:w="834"/>
        <w:gridCol w:w="977"/>
        <w:gridCol w:w="1870"/>
        <w:gridCol w:w="1417"/>
        <w:gridCol w:w="1764"/>
        <w:gridCol w:w="1434"/>
      </w:tblGrid>
      <w:tr w14:paraId="1BFC83A7">
        <w:tblPrEx>
          <w:tblCellMar>
            <w:top w:w="0" w:type="dxa"/>
            <w:left w:w="108" w:type="dxa"/>
            <w:bottom w:w="0" w:type="dxa"/>
            <w:right w:w="108" w:type="dxa"/>
          </w:tblCellMar>
        </w:tblPrEx>
        <w:trPr>
          <w:trHeight w:val="418" w:hRule="atLeast"/>
        </w:trPr>
        <w:tc>
          <w:tcPr>
            <w:tcW w:w="8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9F3DD8">
            <w:pPr>
              <w:widowControl/>
              <w:spacing w:line="360" w:lineRule="auto"/>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序号</w:t>
            </w:r>
          </w:p>
        </w:tc>
        <w:tc>
          <w:tcPr>
            <w:tcW w:w="977" w:type="dxa"/>
            <w:tcBorders>
              <w:top w:val="single" w:color="auto" w:sz="4" w:space="0"/>
              <w:left w:val="nil"/>
              <w:bottom w:val="single" w:color="auto" w:sz="4" w:space="0"/>
              <w:right w:val="single" w:color="auto" w:sz="4" w:space="0"/>
            </w:tcBorders>
            <w:shd w:val="clear" w:color="auto" w:fill="auto"/>
            <w:noWrap/>
            <w:vAlign w:val="center"/>
          </w:tcPr>
          <w:p w14:paraId="5914608F">
            <w:pPr>
              <w:widowControl/>
              <w:spacing w:line="360" w:lineRule="auto"/>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年份</w:t>
            </w:r>
          </w:p>
        </w:tc>
        <w:tc>
          <w:tcPr>
            <w:tcW w:w="1870" w:type="dxa"/>
            <w:tcBorders>
              <w:top w:val="single" w:color="auto" w:sz="4" w:space="0"/>
              <w:left w:val="nil"/>
              <w:bottom w:val="single" w:color="auto" w:sz="4" w:space="0"/>
              <w:right w:val="single" w:color="auto" w:sz="4" w:space="0"/>
            </w:tcBorders>
            <w:shd w:val="clear" w:color="auto" w:fill="auto"/>
            <w:noWrap/>
            <w:vAlign w:val="center"/>
          </w:tcPr>
          <w:p w14:paraId="7DC926A9">
            <w:pPr>
              <w:widowControl/>
              <w:spacing w:line="360" w:lineRule="auto"/>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社会物流</w:t>
            </w:r>
          </w:p>
          <w:p w14:paraId="28DD23FF">
            <w:pPr>
              <w:widowControl/>
              <w:spacing w:line="360" w:lineRule="auto"/>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总额</w:t>
            </w:r>
          </w:p>
          <w:p w14:paraId="46BAB831">
            <w:pPr>
              <w:widowControl/>
              <w:spacing w:line="360" w:lineRule="auto"/>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（万亿元）</w:t>
            </w:r>
          </w:p>
        </w:tc>
        <w:tc>
          <w:tcPr>
            <w:tcW w:w="1417" w:type="dxa"/>
            <w:tcBorders>
              <w:top w:val="single" w:color="auto" w:sz="4" w:space="0"/>
              <w:left w:val="nil"/>
              <w:bottom w:val="single" w:color="auto" w:sz="4" w:space="0"/>
              <w:right w:val="single" w:color="auto" w:sz="4" w:space="0"/>
            </w:tcBorders>
            <w:shd w:val="clear" w:color="auto" w:fill="auto"/>
            <w:noWrap/>
            <w:vAlign w:val="center"/>
          </w:tcPr>
          <w:p w14:paraId="0438FF61">
            <w:pPr>
              <w:widowControl/>
              <w:spacing w:line="360" w:lineRule="auto"/>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增长率</w:t>
            </w:r>
          </w:p>
        </w:tc>
        <w:tc>
          <w:tcPr>
            <w:tcW w:w="1764" w:type="dxa"/>
            <w:tcBorders>
              <w:top w:val="single" w:color="auto" w:sz="4" w:space="0"/>
              <w:left w:val="nil"/>
              <w:bottom w:val="single" w:color="auto" w:sz="4" w:space="0"/>
              <w:right w:val="single" w:color="auto" w:sz="4" w:space="0"/>
            </w:tcBorders>
            <w:vAlign w:val="center"/>
          </w:tcPr>
          <w:p w14:paraId="19A9DBF8">
            <w:pPr>
              <w:widowControl/>
              <w:spacing w:line="360" w:lineRule="auto"/>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社会物流</w:t>
            </w:r>
          </w:p>
          <w:p w14:paraId="2468879F">
            <w:pPr>
              <w:widowControl/>
              <w:spacing w:line="360" w:lineRule="auto"/>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总收入</w:t>
            </w:r>
          </w:p>
          <w:p w14:paraId="5927A006">
            <w:pPr>
              <w:widowControl/>
              <w:spacing w:line="360" w:lineRule="auto"/>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（万亿元）</w:t>
            </w:r>
          </w:p>
        </w:tc>
        <w:tc>
          <w:tcPr>
            <w:tcW w:w="1434" w:type="dxa"/>
            <w:tcBorders>
              <w:top w:val="single" w:color="auto" w:sz="4" w:space="0"/>
              <w:left w:val="nil"/>
              <w:bottom w:val="single" w:color="auto" w:sz="4" w:space="0"/>
              <w:right w:val="single" w:color="auto" w:sz="4" w:space="0"/>
            </w:tcBorders>
            <w:vAlign w:val="center"/>
          </w:tcPr>
          <w:p w14:paraId="6032E809">
            <w:pPr>
              <w:widowControl/>
              <w:spacing w:line="360" w:lineRule="auto"/>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增长率</w:t>
            </w:r>
          </w:p>
        </w:tc>
      </w:tr>
      <w:tr w14:paraId="069EEBF1">
        <w:tblPrEx>
          <w:tblCellMar>
            <w:top w:w="0" w:type="dxa"/>
            <w:left w:w="108" w:type="dxa"/>
            <w:bottom w:w="0" w:type="dxa"/>
            <w:right w:w="108" w:type="dxa"/>
          </w:tblCellMar>
        </w:tblPrEx>
        <w:trPr>
          <w:trHeight w:val="440" w:hRule="atLeast"/>
        </w:trPr>
        <w:tc>
          <w:tcPr>
            <w:tcW w:w="834" w:type="dxa"/>
            <w:tcBorders>
              <w:top w:val="nil"/>
              <w:left w:val="single" w:color="auto" w:sz="4" w:space="0"/>
              <w:bottom w:val="single" w:color="auto" w:sz="4" w:space="0"/>
              <w:right w:val="single" w:color="auto" w:sz="4" w:space="0"/>
            </w:tcBorders>
            <w:shd w:val="clear" w:color="auto" w:fill="auto"/>
            <w:noWrap/>
            <w:vAlign w:val="center"/>
          </w:tcPr>
          <w:p w14:paraId="4153641A">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1</w:t>
            </w:r>
          </w:p>
        </w:tc>
        <w:tc>
          <w:tcPr>
            <w:tcW w:w="977" w:type="dxa"/>
            <w:tcBorders>
              <w:top w:val="nil"/>
              <w:left w:val="nil"/>
              <w:bottom w:val="single" w:color="auto" w:sz="4" w:space="0"/>
              <w:right w:val="single" w:color="auto" w:sz="4" w:space="0"/>
            </w:tcBorders>
            <w:shd w:val="clear" w:color="auto" w:fill="auto"/>
            <w:noWrap/>
            <w:vAlign w:val="center"/>
          </w:tcPr>
          <w:p w14:paraId="37340965">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2015</w:t>
            </w:r>
          </w:p>
        </w:tc>
        <w:tc>
          <w:tcPr>
            <w:tcW w:w="1870" w:type="dxa"/>
            <w:tcBorders>
              <w:top w:val="nil"/>
              <w:left w:val="nil"/>
              <w:bottom w:val="single" w:color="auto" w:sz="4" w:space="0"/>
              <w:right w:val="single" w:color="auto" w:sz="4" w:space="0"/>
            </w:tcBorders>
            <w:shd w:val="clear" w:color="auto" w:fill="auto"/>
            <w:noWrap/>
            <w:vAlign w:val="center"/>
          </w:tcPr>
          <w:p w14:paraId="62593A43">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219.2</w:t>
            </w:r>
          </w:p>
        </w:tc>
        <w:tc>
          <w:tcPr>
            <w:tcW w:w="1417" w:type="dxa"/>
            <w:tcBorders>
              <w:top w:val="nil"/>
              <w:left w:val="nil"/>
              <w:bottom w:val="single" w:color="auto" w:sz="4" w:space="0"/>
              <w:right w:val="single" w:color="auto" w:sz="4" w:space="0"/>
            </w:tcBorders>
            <w:shd w:val="clear" w:color="auto" w:fill="auto"/>
            <w:noWrap/>
            <w:vAlign w:val="center"/>
          </w:tcPr>
          <w:p w14:paraId="141CFCA0">
            <w:pPr>
              <w:widowControl/>
              <w:spacing w:line="360" w:lineRule="auto"/>
              <w:jc w:val="center"/>
              <w:rPr>
                <w:rFonts w:ascii="宋体" w:hAnsi="宋体" w:eastAsia="宋体" w:cs="宋体"/>
                <w:color w:val="252525"/>
                <w:kern w:val="0"/>
                <w:sz w:val="28"/>
                <w:szCs w:val="28"/>
              </w:rPr>
            </w:pPr>
            <w:r>
              <w:rPr>
                <w:rFonts w:hint="eastAsia" w:ascii="宋体" w:hAnsi="宋体" w:eastAsia="宋体" w:cs="宋体"/>
                <w:color w:val="252525"/>
                <w:kern w:val="0"/>
                <w:sz w:val="28"/>
                <w:szCs w:val="28"/>
              </w:rPr>
              <w:t>5.8%</w:t>
            </w:r>
          </w:p>
        </w:tc>
        <w:tc>
          <w:tcPr>
            <w:tcW w:w="1764" w:type="dxa"/>
            <w:tcBorders>
              <w:top w:val="nil"/>
              <w:left w:val="nil"/>
              <w:bottom w:val="single" w:color="auto" w:sz="4" w:space="0"/>
              <w:right w:val="single" w:color="auto" w:sz="4" w:space="0"/>
            </w:tcBorders>
            <w:vAlign w:val="bottom"/>
          </w:tcPr>
          <w:p w14:paraId="37144943">
            <w:pPr>
              <w:widowControl/>
              <w:spacing w:line="360" w:lineRule="auto"/>
              <w:jc w:val="center"/>
              <w:rPr>
                <w:rFonts w:ascii="宋体" w:hAnsi="宋体" w:eastAsia="宋体" w:cs="宋体"/>
                <w:color w:val="252525"/>
                <w:kern w:val="0"/>
                <w:sz w:val="28"/>
                <w:szCs w:val="28"/>
              </w:rPr>
            </w:pPr>
            <w:r>
              <w:rPr>
                <w:rFonts w:ascii="宋体" w:hAnsi="宋体" w:eastAsia="宋体" w:cs="宋体"/>
                <w:color w:val="252525"/>
                <w:kern w:val="0"/>
                <w:sz w:val="28"/>
                <w:szCs w:val="28"/>
              </w:rPr>
              <w:t>7.6</w:t>
            </w:r>
          </w:p>
        </w:tc>
        <w:tc>
          <w:tcPr>
            <w:tcW w:w="1434" w:type="dxa"/>
            <w:tcBorders>
              <w:top w:val="nil"/>
              <w:left w:val="nil"/>
              <w:bottom w:val="single" w:color="auto" w:sz="4" w:space="0"/>
              <w:right w:val="single" w:color="auto" w:sz="4" w:space="0"/>
            </w:tcBorders>
            <w:vAlign w:val="center"/>
          </w:tcPr>
          <w:p w14:paraId="204B5F97">
            <w:pPr>
              <w:widowControl/>
              <w:spacing w:line="360" w:lineRule="auto"/>
              <w:jc w:val="center"/>
              <w:rPr>
                <w:rFonts w:ascii="宋体" w:hAnsi="宋体" w:eastAsia="宋体" w:cs="宋体"/>
                <w:color w:val="252525"/>
                <w:kern w:val="0"/>
                <w:sz w:val="28"/>
                <w:szCs w:val="28"/>
              </w:rPr>
            </w:pPr>
            <w:r>
              <w:rPr>
                <w:rFonts w:hint="eastAsia" w:ascii="宋体" w:hAnsi="宋体" w:eastAsia="宋体" w:cs="宋体"/>
                <w:color w:val="252525"/>
                <w:kern w:val="0"/>
                <w:sz w:val="28"/>
                <w:szCs w:val="28"/>
              </w:rPr>
              <w:t>4.5%</w:t>
            </w:r>
          </w:p>
        </w:tc>
      </w:tr>
      <w:tr w14:paraId="52C1D43B">
        <w:tblPrEx>
          <w:tblCellMar>
            <w:top w:w="0" w:type="dxa"/>
            <w:left w:w="108" w:type="dxa"/>
            <w:bottom w:w="0" w:type="dxa"/>
            <w:right w:w="108" w:type="dxa"/>
          </w:tblCellMar>
        </w:tblPrEx>
        <w:trPr>
          <w:trHeight w:val="440" w:hRule="atLeast"/>
        </w:trPr>
        <w:tc>
          <w:tcPr>
            <w:tcW w:w="834" w:type="dxa"/>
            <w:tcBorders>
              <w:top w:val="nil"/>
              <w:left w:val="single" w:color="auto" w:sz="4" w:space="0"/>
              <w:bottom w:val="single" w:color="auto" w:sz="4" w:space="0"/>
              <w:right w:val="single" w:color="auto" w:sz="4" w:space="0"/>
            </w:tcBorders>
            <w:shd w:val="clear" w:color="auto" w:fill="auto"/>
            <w:noWrap/>
            <w:vAlign w:val="center"/>
          </w:tcPr>
          <w:p w14:paraId="19CE25FD">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2</w:t>
            </w:r>
          </w:p>
        </w:tc>
        <w:tc>
          <w:tcPr>
            <w:tcW w:w="977" w:type="dxa"/>
            <w:tcBorders>
              <w:top w:val="nil"/>
              <w:left w:val="nil"/>
              <w:bottom w:val="single" w:color="auto" w:sz="4" w:space="0"/>
              <w:right w:val="single" w:color="auto" w:sz="4" w:space="0"/>
            </w:tcBorders>
            <w:shd w:val="clear" w:color="auto" w:fill="auto"/>
            <w:noWrap/>
            <w:vAlign w:val="center"/>
          </w:tcPr>
          <w:p w14:paraId="14941F8C">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2016</w:t>
            </w:r>
          </w:p>
        </w:tc>
        <w:tc>
          <w:tcPr>
            <w:tcW w:w="1870" w:type="dxa"/>
            <w:tcBorders>
              <w:top w:val="nil"/>
              <w:left w:val="nil"/>
              <w:bottom w:val="single" w:color="auto" w:sz="4" w:space="0"/>
              <w:right w:val="single" w:color="auto" w:sz="4" w:space="0"/>
            </w:tcBorders>
            <w:shd w:val="clear" w:color="auto" w:fill="auto"/>
            <w:noWrap/>
            <w:vAlign w:val="center"/>
          </w:tcPr>
          <w:p w14:paraId="118B0006">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229.7</w:t>
            </w:r>
          </w:p>
        </w:tc>
        <w:tc>
          <w:tcPr>
            <w:tcW w:w="1417" w:type="dxa"/>
            <w:tcBorders>
              <w:top w:val="nil"/>
              <w:left w:val="nil"/>
              <w:bottom w:val="single" w:color="auto" w:sz="4" w:space="0"/>
              <w:right w:val="single" w:color="auto" w:sz="4" w:space="0"/>
            </w:tcBorders>
            <w:shd w:val="clear" w:color="auto" w:fill="auto"/>
            <w:noWrap/>
            <w:vAlign w:val="center"/>
          </w:tcPr>
          <w:p w14:paraId="1C8CA892">
            <w:pPr>
              <w:widowControl/>
              <w:spacing w:line="360" w:lineRule="auto"/>
              <w:jc w:val="center"/>
              <w:rPr>
                <w:rFonts w:ascii="宋体" w:hAnsi="宋体" w:eastAsia="宋体" w:cs="宋体"/>
                <w:color w:val="000000"/>
                <w:kern w:val="0"/>
                <w:sz w:val="28"/>
                <w:szCs w:val="28"/>
              </w:rPr>
            </w:pPr>
            <w:r>
              <w:rPr>
                <w:rFonts w:hint="eastAsia" w:ascii="宋体" w:hAnsi="宋体" w:eastAsia="宋体"/>
                <w:color w:val="000000"/>
                <w:sz w:val="28"/>
                <w:szCs w:val="28"/>
              </w:rPr>
              <w:t>4.8%</w:t>
            </w:r>
          </w:p>
        </w:tc>
        <w:tc>
          <w:tcPr>
            <w:tcW w:w="1764" w:type="dxa"/>
            <w:tcBorders>
              <w:top w:val="nil"/>
              <w:left w:val="nil"/>
              <w:bottom w:val="single" w:color="auto" w:sz="4" w:space="0"/>
              <w:right w:val="single" w:color="auto" w:sz="4" w:space="0"/>
            </w:tcBorders>
            <w:vAlign w:val="bottom"/>
          </w:tcPr>
          <w:p w14:paraId="5B2B99F7">
            <w:pPr>
              <w:widowControl/>
              <w:spacing w:line="360" w:lineRule="auto"/>
              <w:jc w:val="center"/>
              <w:rPr>
                <w:rFonts w:ascii="宋体" w:hAnsi="宋体" w:eastAsia="宋体"/>
                <w:color w:val="000000"/>
                <w:sz w:val="28"/>
                <w:szCs w:val="28"/>
              </w:rPr>
            </w:pPr>
            <w:r>
              <w:rPr>
                <w:rFonts w:ascii="宋体" w:hAnsi="宋体" w:eastAsia="宋体" w:cs="宋体"/>
                <w:color w:val="000000"/>
                <w:kern w:val="0"/>
                <w:sz w:val="28"/>
                <w:szCs w:val="28"/>
              </w:rPr>
              <w:t>7.9</w:t>
            </w:r>
          </w:p>
        </w:tc>
        <w:tc>
          <w:tcPr>
            <w:tcW w:w="1434" w:type="dxa"/>
            <w:tcBorders>
              <w:top w:val="nil"/>
              <w:left w:val="nil"/>
              <w:bottom w:val="single" w:color="auto" w:sz="4" w:space="0"/>
              <w:right w:val="single" w:color="auto" w:sz="4" w:space="0"/>
            </w:tcBorders>
            <w:vAlign w:val="center"/>
          </w:tcPr>
          <w:p w14:paraId="32BE8A06">
            <w:pPr>
              <w:widowControl/>
              <w:spacing w:line="360" w:lineRule="auto"/>
              <w:jc w:val="center"/>
              <w:rPr>
                <w:rFonts w:ascii="宋体" w:hAnsi="宋体" w:eastAsia="宋体"/>
                <w:color w:val="000000"/>
                <w:sz w:val="28"/>
                <w:szCs w:val="28"/>
              </w:rPr>
            </w:pPr>
            <w:r>
              <w:rPr>
                <w:rFonts w:hint="eastAsia" w:ascii="宋体" w:hAnsi="宋体" w:eastAsia="宋体"/>
                <w:color w:val="000000"/>
                <w:sz w:val="28"/>
                <w:szCs w:val="28"/>
              </w:rPr>
              <w:t>3.9%</w:t>
            </w:r>
          </w:p>
        </w:tc>
      </w:tr>
      <w:tr w14:paraId="5EC02089">
        <w:tblPrEx>
          <w:tblCellMar>
            <w:top w:w="0" w:type="dxa"/>
            <w:left w:w="108" w:type="dxa"/>
            <w:bottom w:w="0" w:type="dxa"/>
            <w:right w:w="108" w:type="dxa"/>
          </w:tblCellMar>
        </w:tblPrEx>
        <w:trPr>
          <w:trHeight w:val="440" w:hRule="atLeast"/>
        </w:trPr>
        <w:tc>
          <w:tcPr>
            <w:tcW w:w="834" w:type="dxa"/>
            <w:tcBorders>
              <w:top w:val="nil"/>
              <w:left w:val="single" w:color="auto" w:sz="4" w:space="0"/>
              <w:bottom w:val="single" w:color="auto" w:sz="4" w:space="0"/>
              <w:right w:val="single" w:color="auto" w:sz="4" w:space="0"/>
            </w:tcBorders>
            <w:shd w:val="clear" w:color="auto" w:fill="auto"/>
            <w:noWrap/>
            <w:vAlign w:val="center"/>
          </w:tcPr>
          <w:p w14:paraId="70F7C348">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3</w:t>
            </w:r>
          </w:p>
        </w:tc>
        <w:tc>
          <w:tcPr>
            <w:tcW w:w="977" w:type="dxa"/>
            <w:tcBorders>
              <w:top w:val="nil"/>
              <w:left w:val="nil"/>
              <w:bottom w:val="single" w:color="auto" w:sz="4" w:space="0"/>
              <w:right w:val="single" w:color="auto" w:sz="4" w:space="0"/>
            </w:tcBorders>
            <w:shd w:val="clear" w:color="auto" w:fill="auto"/>
            <w:noWrap/>
            <w:vAlign w:val="center"/>
          </w:tcPr>
          <w:p w14:paraId="6C0B97EA">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2017</w:t>
            </w:r>
          </w:p>
        </w:tc>
        <w:tc>
          <w:tcPr>
            <w:tcW w:w="1870" w:type="dxa"/>
            <w:tcBorders>
              <w:top w:val="nil"/>
              <w:left w:val="nil"/>
              <w:bottom w:val="single" w:color="auto" w:sz="4" w:space="0"/>
              <w:right w:val="single" w:color="auto" w:sz="4" w:space="0"/>
            </w:tcBorders>
            <w:shd w:val="clear" w:color="auto" w:fill="auto"/>
            <w:noWrap/>
            <w:vAlign w:val="center"/>
          </w:tcPr>
          <w:p w14:paraId="13CFE877">
            <w:pPr>
              <w:widowControl/>
              <w:spacing w:line="360" w:lineRule="auto"/>
              <w:jc w:val="center"/>
              <w:rPr>
                <w:rFonts w:ascii="宋体" w:hAnsi="宋体" w:eastAsia="宋体" w:cs="宋体"/>
                <w:color w:val="444444"/>
                <w:kern w:val="0"/>
                <w:sz w:val="28"/>
                <w:szCs w:val="28"/>
              </w:rPr>
            </w:pPr>
            <w:r>
              <w:rPr>
                <w:rFonts w:ascii="宋体" w:hAnsi="宋体" w:eastAsia="宋体" w:cs="宋体"/>
                <w:color w:val="444444"/>
                <w:kern w:val="0"/>
                <w:sz w:val="28"/>
                <w:szCs w:val="28"/>
              </w:rPr>
              <w:t>252.8</w:t>
            </w:r>
          </w:p>
        </w:tc>
        <w:tc>
          <w:tcPr>
            <w:tcW w:w="1417" w:type="dxa"/>
            <w:tcBorders>
              <w:top w:val="nil"/>
              <w:left w:val="nil"/>
              <w:bottom w:val="single" w:color="auto" w:sz="4" w:space="0"/>
              <w:right w:val="single" w:color="auto" w:sz="4" w:space="0"/>
            </w:tcBorders>
            <w:shd w:val="clear" w:color="auto" w:fill="auto"/>
            <w:noWrap/>
            <w:vAlign w:val="center"/>
          </w:tcPr>
          <w:p w14:paraId="2A15EBD5">
            <w:pPr>
              <w:widowControl/>
              <w:spacing w:line="360" w:lineRule="auto"/>
              <w:jc w:val="center"/>
              <w:rPr>
                <w:rFonts w:ascii="宋体" w:hAnsi="宋体" w:eastAsia="宋体" w:cs="宋体"/>
                <w:color w:val="000000"/>
                <w:kern w:val="0"/>
                <w:sz w:val="28"/>
                <w:szCs w:val="28"/>
              </w:rPr>
            </w:pPr>
            <w:r>
              <w:rPr>
                <w:rFonts w:hint="eastAsia" w:ascii="宋体" w:hAnsi="宋体" w:eastAsia="宋体"/>
                <w:color w:val="000000"/>
                <w:sz w:val="28"/>
                <w:szCs w:val="28"/>
              </w:rPr>
              <w:t>10.1%</w:t>
            </w:r>
          </w:p>
        </w:tc>
        <w:tc>
          <w:tcPr>
            <w:tcW w:w="1764" w:type="dxa"/>
            <w:tcBorders>
              <w:top w:val="nil"/>
              <w:left w:val="nil"/>
              <w:bottom w:val="single" w:color="auto" w:sz="4" w:space="0"/>
              <w:right w:val="single" w:color="auto" w:sz="4" w:space="0"/>
            </w:tcBorders>
            <w:vAlign w:val="bottom"/>
          </w:tcPr>
          <w:p w14:paraId="2605129D">
            <w:pPr>
              <w:widowControl/>
              <w:spacing w:line="360" w:lineRule="auto"/>
              <w:jc w:val="center"/>
              <w:rPr>
                <w:rFonts w:ascii="宋体" w:hAnsi="宋体" w:eastAsia="宋体"/>
                <w:color w:val="000000"/>
                <w:sz w:val="28"/>
                <w:szCs w:val="28"/>
              </w:rPr>
            </w:pPr>
            <w:r>
              <w:rPr>
                <w:rFonts w:ascii="宋体" w:hAnsi="宋体" w:eastAsia="宋体" w:cs="宋体"/>
                <w:color w:val="000000"/>
                <w:kern w:val="0"/>
                <w:sz w:val="28"/>
                <w:szCs w:val="28"/>
              </w:rPr>
              <w:t>8.8</w:t>
            </w:r>
          </w:p>
        </w:tc>
        <w:tc>
          <w:tcPr>
            <w:tcW w:w="1434" w:type="dxa"/>
            <w:tcBorders>
              <w:top w:val="nil"/>
              <w:left w:val="nil"/>
              <w:bottom w:val="single" w:color="auto" w:sz="4" w:space="0"/>
              <w:right w:val="single" w:color="auto" w:sz="4" w:space="0"/>
            </w:tcBorders>
            <w:vAlign w:val="center"/>
          </w:tcPr>
          <w:p w14:paraId="2BA7C869">
            <w:pPr>
              <w:widowControl/>
              <w:spacing w:line="360" w:lineRule="auto"/>
              <w:jc w:val="center"/>
              <w:rPr>
                <w:rFonts w:ascii="宋体" w:hAnsi="宋体" w:eastAsia="宋体"/>
                <w:color w:val="000000"/>
                <w:sz w:val="28"/>
                <w:szCs w:val="28"/>
              </w:rPr>
            </w:pPr>
            <w:r>
              <w:rPr>
                <w:rFonts w:hint="eastAsia" w:ascii="宋体" w:hAnsi="宋体" w:eastAsia="宋体"/>
                <w:color w:val="000000"/>
                <w:sz w:val="28"/>
                <w:szCs w:val="28"/>
              </w:rPr>
              <w:t>11.4%</w:t>
            </w:r>
          </w:p>
        </w:tc>
      </w:tr>
      <w:tr w14:paraId="11C5904D">
        <w:tblPrEx>
          <w:tblCellMar>
            <w:top w:w="0" w:type="dxa"/>
            <w:left w:w="108" w:type="dxa"/>
            <w:bottom w:w="0" w:type="dxa"/>
            <w:right w:w="108" w:type="dxa"/>
          </w:tblCellMar>
        </w:tblPrEx>
        <w:trPr>
          <w:trHeight w:val="440" w:hRule="atLeast"/>
        </w:trPr>
        <w:tc>
          <w:tcPr>
            <w:tcW w:w="834" w:type="dxa"/>
            <w:tcBorders>
              <w:top w:val="nil"/>
              <w:left w:val="single" w:color="auto" w:sz="4" w:space="0"/>
              <w:bottom w:val="single" w:color="auto" w:sz="4" w:space="0"/>
              <w:right w:val="single" w:color="auto" w:sz="4" w:space="0"/>
            </w:tcBorders>
            <w:shd w:val="clear" w:color="auto" w:fill="auto"/>
            <w:noWrap/>
            <w:vAlign w:val="center"/>
          </w:tcPr>
          <w:p w14:paraId="0BAD110C">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4</w:t>
            </w:r>
          </w:p>
        </w:tc>
        <w:tc>
          <w:tcPr>
            <w:tcW w:w="977" w:type="dxa"/>
            <w:tcBorders>
              <w:top w:val="nil"/>
              <w:left w:val="nil"/>
              <w:bottom w:val="single" w:color="auto" w:sz="4" w:space="0"/>
              <w:right w:val="single" w:color="auto" w:sz="4" w:space="0"/>
            </w:tcBorders>
            <w:shd w:val="clear" w:color="auto" w:fill="auto"/>
            <w:noWrap/>
            <w:vAlign w:val="center"/>
          </w:tcPr>
          <w:p w14:paraId="0973B4B5">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2018</w:t>
            </w:r>
          </w:p>
        </w:tc>
        <w:tc>
          <w:tcPr>
            <w:tcW w:w="1870" w:type="dxa"/>
            <w:tcBorders>
              <w:top w:val="nil"/>
              <w:left w:val="nil"/>
              <w:bottom w:val="single" w:color="auto" w:sz="4" w:space="0"/>
              <w:right w:val="single" w:color="auto" w:sz="4" w:space="0"/>
            </w:tcBorders>
            <w:shd w:val="clear" w:color="auto" w:fill="auto"/>
            <w:noWrap/>
            <w:vAlign w:val="center"/>
          </w:tcPr>
          <w:p w14:paraId="36E831D6">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283.1</w:t>
            </w:r>
          </w:p>
        </w:tc>
        <w:tc>
          <w:tcPr>
            <w:tcW w:w="1417" w:type="dxa"/>
            <w:tcBorders>
              <w:top w:val="nil"/>
              <w:left w:val="nil"/>
              <w:bottom w:val="single" w:color="auto" w:sz="4" w:space="0"/>
              <w:right w:val="single" w:color="auto" w:sz="4" w:space="0"/>
            </w:tcBorders>
            <w:shd w:val="clear" w:color="auto" w:fill="auto"/>
            <w:noWrap/>
            <w:vAlign w:val="center"/>
          </w:tcPr>
          <w:p w14:paraId="04CCAD6C">
            <w:pPr>
              <w:widowControl/>
              <w:spacing w:line="360" w:lineRule="auto"/>
              <w:jc w:val="center"/>
              <w:rPr>
                <w:rFonts w:ascii="宋体" w:hAnsi="宋体" w:eastAsia="宋体" w:cs="宋体"/>
                <w:color w:val="000000"/>
                <w:kern w:val="0"/>
                <w:sz w:val="28"/>
                <w:szCs w:val="28"/>
              </w:rPr>
            </w:pPr>
            <w:r>
              <w:rPr>
                <w:rFonts w:hint="eastAsia" w:ascii="宋体" w:hAnsi="宋体" w:eastAsia="宋体"/>
                <w:color w:val="000000"/>
                <w:sz w:val="28"/>
                <w:szCs w:val="28"/>
              </w:rPr>
              <w:t>12.0%</w:t>
            </w:r>
          </w:p>
        </w:tc>
        <w:tc>
          <w:tcPr>
            <w:tcW w:w="1764" w:type="dxa"/>
            <w:tcBorders>
              <w:top w:val="nil"/>
              <w:left w:val="nil"/>
              <w:bottom w:val="single" w:color="auto" w:sz="4" w:space="0"/>
              <w:right w:val="single" w:color="auto" w:sz="4" w:space="0"/>
            </w:tcBorders>
            <w:vAlign w:val="bottom"/>
          </w:tcPr>
          <w:p w14:paraId="3B25B112">
            <w:pPr>
              <w:widowControl/>
              <w:spacing w:line="360" w:lineRule="auto"/>
              <w:jc w:val="center"/>
              <w:rPr>
                <w:rFonts w:ascii="宋体" w:hAnsi="宋体" w:eastAsia="宋体"/>
                <w:color w:val="000000"/>
                <w:sz w:val="28"/>
                <w:szCs w:val="28"/>
              </w:rPr>
            </w:pPr>
            <w:r>
              <w:rPr>
                <w:rFonts w:ascii="宋体" w:hAnsi="宋体" w:eastAsia="宋体" w:cs="宋体"/>
                <w:color w:val="000000"/>
                <w:kern w:val="0"/>
                <w:sz w:val="28"/>
                <w:szCs w:val="28"/>
              </w:rPr>
              <w:t>10.1</w:t>
            </w:r>
          </w:p>
        </w:tc>
        <w:tc>
          <w:tcPr>
            <w:tcW w:w="1434" w:type="dxa"/>
            <w:tcBorders>
              <w:top w:val="nil"/>
              <w:left w:val="nil"/>
              <w:bottom w:val="single" w:color="auto" w:sz="4" w:space="0"/>
              <w:right w:val="single" w:color="auto" w:sz="4" w:space="0"/>
            </w:tcBorders>
            <w:vAlign w:val="center"/>
          </w:tcPr>
          <w:p w14:paraId="3006D928">
            <w:pPr>
              <w:widowControl/>
              <w:spacing w:line="360" w:lineRule="auto"/>
              <w:jc w:val="center"/>
              <w:rPr>
                <w:rFonts w:ascii="宋体" w:hAnsi="宋体" w:eastAsia="宋体"/>
                <w:color w:val="000000"/>
                <w:sz w:val="28"/>
                <w:szCs w:val="28"/>
              </w:rPr>
            </w:pPr>
            <w:r>
              <w:rPr>
                <w:rFonts w:hint="eastAsia" w:ascii="宋体" w:hAnsi="宋体" w:eastAsia="宋体"/>
                <w:color w:val="000000"/>
                <w:sz w:val="28"/>
                <w:szCs w:val="28"/>
              </w:rPr>
              <w:t>14.8%</w:t>
            </w:r>
          </w:p>
        </w:tc>
      </w:tr>
      <w:tr w14:paraId="60AC0AEC">
        <w:tblPrEx>
          <w:tblCellMar>
            <w:top w:w="0" w:type="dxa"/>
            <w:left w:w="108" w:type="dxa"/>
            <w:bottom w:w="0" w:type="dxa"/>
            <w:right w:w="108" w:type="dxa"/>
          </w:tblCellMar>
        </w:tblPrEx>
        <w:trPr>
          <w:trHeight w:val="418" w:hRule="atLeast"/>
        </w:trPr>
        <w:tc>
          <w:tcPr>
            <w:tcW w:w="834" w:type="dxa"/>
            <w:tcBorders>
              <w:top w:val="nil"/>
              <w:left w:val="single" w:color="auto" w:sz="4" w:space="0"/>
              <w:bottom w:val="single" w:color="auto" w:sz="4" w:space="0"/>
              <w:right w:val="single" w:color="auto" w:sz="4" w:space="0"/>
            </w:tcBorders>
            <w:shd w:val="clear" w:color="auto" w:fill="auto"/>
            <w:noWrap/>
            <w:vAlign w:val="center"/>
          </w:tcPr>
          <w:p w14:paraId="633D995C">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5</w:t>
            </w:r>
          </w:p>
        </w:tc>
        <w:tc>
          <w:tcPr>
            <w:tcW w:w="977" w:type="dxa"/>
            <w:tcBorders>
              <w:top w:val="nil"/>
              <w:left w:val="nil"/>
              <w:bottom w:val="single" w:color="auto" w:sz="4" w:space="0"/>
              <w:right w:val="single" w:color="auto" w:sz="4" w:space="0"/>
            </w:tcBorders>
            <w:shd w:val="clear" w:color="auto" w:fill="auto"/>
            <w:noWrap/>
            <w:vAlign w:val="center"/>
          </w:tcPr>
          <w:p w14:paraId="4D3151E3">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2019</w:t>
            </w:r>
          </w:p>
        </w:tc>
        <w:tc>
          <w:tcPr>
            <w:tcW w:w="1870" w:type="dxa"/>
            <w:tcBorders>
              <w:top w:val="nil"/>
              <w:left w:val="nil"/>
              <w:bottom w:val="single" w:color="auto" w:sz="4" w:space="0"/>
              <w:right w:val="single" w:color="auto" w:sz="4" w:space="0"/>
            </w:tcBorders>
            <w:shd w:val="clear" w:color="auto" w:fill="auto"/>
            <w:noWrap/>
            <w:vAlign w:val="center"/>
          </w:tcPr>
          <w:p w14:paraId="781F47C7">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298</w:t>
            </w:r>
          </w:p>
        </w:tc>
        <w:tc>
          <w:tcPr>
            <w:tcW w:w="1417" w:type="dxa"/>
            <w:tcBorders>
              <w:top w:val="nil"/>
              <w:left w:val="nil"/>
              <w:bottom w:val="single" w:color="auto" w:sz="4" w:space="0"/>
              <w:right w:val="single" w:color="auto" w:sz="4" w:space="0"/>
            </w:tcBorders>
            <w:shd w:val="clear" w:color="auto" w:fill="auto"/>
            <w:noWrap/>
            <w:vAlign w:val="center"/>
          </w:tcPr>
          <w:p w14:paraId="6311A716">
            <w:pPr>
              <w:widowControl/>
              <w:spacing w:line="360" w:lineRule="auto"/>
              <w:jc w:val="center"/>
              <w:rPr>
                <w:rFonts w:ascii="宋体" w:hAnsi="宋体" w:eastAsia="宋体" w:cs="宋体"/>
                <w:color w:val="000000"/>
                <w:kern w:val="0"/>
                <w:sz w:val="28"/>
                <w:szCs w:val="28"/>
              </w:rPr>
            </w:pPr>
            <w:r>
              <w:rPr>
                <w:rFonts w:hint="eastAsia" w:ascii="宋体" w:hAnsi="宋体" w:eastAsia="宋体"/>
                <w:color w:val="000000"/>
                <w:sz w:val="28"/>
                <w:szCs w:val="28"/>
              </w:rPr>
              <w:t>5.3%</w:t>
            </w:r>
          </w:p>
        </w:tc>
        <w:tc>
          <w:tcPr>
            <w:tcW w:w="1764" w:type="dxa"/>
            <w:tcBorders>
              <w:top w:val="nil"/>
              <w:left w:val="nil"/>
              <w:bottom w:val="single" w:color="auto" w:sz="4" w:space="0"/>
              <w:right w:val="single" w:color="auto" w:sz="4" w:space="0"/>
            </w:tcBorders>
            <w:vAlign w:val="bottom"/>
          </w:tcPr>
          <w:p w14:paraId="3743D255">
            <w:pPr>
              <w:widowControl/>
              <w:spacing w:line="360" w:lineRule="auto"/>
              <w:jc w:val="center"/>
              <w:rPr>
                <w:rFonts w:ascii="宋体" w:hAnsi="宋体" w:eastAsia="宋体"/>
                <w:color w:val="000000"/>
                <w:sz w:val="28"/>
                <w:szCs w:val="28"/>
              </w:rPr>
            </w:pPr>
            <w:r>
              <w:rPr>
                <w:rFonts w:ascii="宋体" w:hAnsi="宋体" w:eastAsia="宋体" w:cs="宋体"/>
                <w:color w:val="000000"/>
                <w:kern w:val="0"/>
                <w:sz w:val="28"/>
                <w:szCs w:val="28"/>
              </w:rPr>
              <w:t>10.3</w:t>
            </w:r>
          </w:p>
        </w:tc>
        <w:tc>
          <w:tcPr>
            <w:tcW w:w="1434" w:type="dxa"/>
            <w:tcBorders>
              <w:top w:val="nil"/>
              <w:left w:val="nil"/>
              <w:bottom w:val="single" w:color="auto" w:sz="4" w:space="0"/>
              <w:right w:val="single" w:color="auto" w:sz="4" w:space="0"/>
            </w:tcBorders>
            <w:vAlign w:val="center"/>
          </w:tcPr>
          <w:p w14:paraId="3FE8CA77">
            <w:pPr>
              <w:widowControl/>
              <w:spacing w:line="360" w:lineRule="auto"/>
              <w:jc w:val="center"/>
              <w:rPr>
                <w:rFonts w:ascii="宋体" w:hAnsi="宋体" w:eastAsia="宋体"/>
                <w:color w:val="000000"/>
                <w:sz w:val="28"/>
                <w:szCs w:val="28"/>
              </w:rPr>
            </w:pPr>
            <w:r>
              <w:rPr>
                <w:rFonts w:hint="eastAsia" w:ascii="宋体" w:hAnsi="宋体" w:eastAsia="宋体"/>
                <w:color w:val="000000"/>
                <w:sz w:val="28"/>
                <w:szCs w:val="28"/>
              </w:rPr>
              <w:t>2.0%</w:t>
            </w:r>
          </w:p>
        </w:tc>
      </w:tr>
    </w:tbl>
    <w:p w14:paraId="432BFBD1">
      <w:pPr>
        <w:spacing w:line="360" w:lineRule="auto"/>
        <w:ind w:firstLine="646" w:firstLineChars="202"/>
        <w:rPr>
          <w:rFonts w:ascii="宋体" w:hAnsi="宋体"/>
          <w:sz w:val="32"/>
          <w:szCs w:val="32"/>
        </w:rPr>
      </w:pPr>
      <w:r>
        <w:rPr>
          <w:rFonts w:hint="eastAsia" w:ascii="宋体" w:hAnsi="宋体"/>
          <w:sz w:val="32"/>
          <w:szCs w:val="32"/>
        </w:rPr>
        <w:t>2015年至2019年的5年间，我国货运量经历了由升转降的过程，由2</w:t>
      </w:r>
      <w:r>
        <w:rPr>
          <w:rFonts w:ascii="宋体" w:hAnsi="宋体"/>
          <w:sz w:val="32"/>
          <w:szCs w:val="32"/>
        </w:rPr>
        <w:t>015</w:t>
      </w:r>
      <w:r>
        <w:rPr>
          <w:rFonts w:hint="eastAsia" w:ascii="宋体" w:hAnsi="宋体"/>
          <w:sz w:val="32"/>
          <w:szCs w:val="32"/>
        </w:rPr>
        <w:t>年的410亿吨增至2018年的506.29亿吨，连续4年保持稳定增长，但到2</w:t>
      </w:r>
      <w:r>
        <w:rPr>
          <w:rFonts w:ascii="宋体" w:hAnsi="宋体"/>
          <w:sz w:val="32"/>
          <w:szCs w:val="32"/>
        </w:rPr>
        <w:t>019</w:t>
      </w:r>
      <w:r>
        <w:rPr>
          <w:rFonts w:hint="eastAsia" w:ascii="宋体" w:hAnsi="宋体"/>
          <w:sz w:val="32"/>
          <w:szCs w:val="32"/>
        </w:rPr>
        <w:t>年回落至4</w:t>
      </w:r>
      <w:r>
        <w:rPr>
          <w:rFonts w:ascii="宋体" w:hAnsi="宋体"/>
          <w:sz w:val="32"/>
          <w:szCs w:val="32"/>
        </w:rPr>
        <w:t>70</w:t>
      </w:r>
      <w:r>
        <w:rPr>
          <w:rFonts w:hint="eastAsia" w:ascii="宋体" w:hAnsi="宋体"/>
          <w:sz w:val="32"/>
          <w:szCs w:val="32"/>
        </w:rPr>
        <w:t>.</w:t>
      </w:r>
      <w:r>
        <w:rPr>
          <w:rFonts w:ascii="宋体" w:hAnsi="宋体"/>
          <w:sz w:val="32"/>
          <w:szCs w:val="32"/>
        </w:rPr>
        <w:t>6</w:t>
      </w:r>
      <w:r>
        <w:rPr>
          <w:rFonts w:hint="eastAsia" w:ascii="宋体" w:hAnsi="宋体"/>
          <w:sz w:val="32"/>
          <w:szCs w:val="32"/>
        </w:rPr>
        <w:t>亿吨，下跌态势较为明显，从一个侧面也反映出我国产业正处于结构调整、新旧动能转换阶段。</w:t>
      </w:r>
    </w:p>
    <w:p w14:paraId="096852FA">
      <w:pPr>
        <w:pStyle w:val="10"/>
        <w:spacing w:line="360" w:lineRule="auto"/>
        <w:jc w:val="center"/>
        <w:rPr>
          <w:b/>
          <w:bCs/>
          <w:sz w:val="24"/>
          <w:szCs w:val="24"/>
        </w:rPr>
      </w:pPr>
      <w:bookmarkStart w:id="240" w:name="_Toc79498046"/>
      <w:r>
        <w:rPr>
          <w:rFonts w:hint="eastAsia"/>
          <w:b/>
          <w:bCs/>
          <w:sz w:val="24"/>
          <w:szCs w:val="24"/>
        </w:rPr>
        <w:t>表</w:t>
      </w:r>
      <w:r>
        <w:rPr>
          <w:b/>
          <w:bCs/>
          <w:sz w:val="24"/>
          <w:szCs w:val="24"/>
        </w:rPr>
        <w:fldChar w:fldCharType="begin"/>
      </w:r>
      <w:r>
        <w:rPr>
          <w:rFonts w:hint="eastAsia"/>
          <w:b/>
          <w:bCs/>
          <w:sz w:val="24"/>
          <w:szCs w:val="24"/>
        </w:rPr>
        <w:instrText xml:space="preserve">SEQ 表 \* ARABIC</w:instrText>
      </w:r>
      <w:r>
        <w:rPr>
          <w:b/>
          <w:bCs/>
          <w:sz w:val="24"/>
          <w:szCs w:val="24"/>
        </w:rPr>
        <w:fldChar w:fldCharType="separate"/>
      </w:r>
      <w:r>
        <w:rPr>
          <w:b/>
          <w:bCs/>
          <w:sz w:val="24"/>
          <w:szCs w:val="24"/>
        </w:rPr>
        <w:t>9</w:t>
      </w:r>
      <w:r>
        <w:rPr>
          <w:b/>
          <w:bCs/>
          <w:sz w:val="24"/>
          <w:szCs w:val="24"/>
        </w:rPr>
        <w:fldChar w:fldCharType="end"/>
      </w:r>
      <w:r>
        <w:rPr>
          <w:rFonts w:hint="eastAsia"/>
          <w:b/>
          <w:bCs/>
          <w:sz w:val="24"/>
          <w:szCs w:val="24"/>
        </w:rPr>
        <w:t>近</w:t>
      </w:r>
      <w:r>
        <w:rPr>
          <w:b/>
          <w:bCs/>
          <w:sz w:val="24"/>
          <w:szCs w:val="24"/>
        </w:rPr>
        <w:t>5年我国货运量</w:t>
      </w:r>
      <w:r>
        <w:rPr>
          <w:rFonts w:hint="eastAsia"/>
          <w:b/>
          <w:bCs/>
          <w:sz w:val="24"/>
          <w:szCs w:val="24"/>
        </w:rPr>
        <w:t>汇总表</w:t>
      </w:r>
      <w:bookmarkEnd w:id="240"/>
    </w:p>
    <w:tbl>
      <w:tblPr>
        <w:tblStyle w:val="35"/>
        <w:tblW w:w="8296" w:type="dxa"/>
        <w:tblInd w:w="0" w:type="dxa"/>
        <w:tblLayout w:type="autofit"/>
        <w:tblCellMar>
          <w:top w:w="0" w:type="dxa"/>
          <w:left w:w="108" w:type="dxa"/>
          <w:bottom w:w="0" w:type="dxa"/>
          <w:right w:w="108" w:type="dxa"/>
        </w:tblCellMar>
      </w:tblPr>
      <w:tblGrid>
        <w:gridCol w:w="846"/>
        <w:gridCol w:w="1134"/>
        <w:gridCol w:w="4394"/>
        <w:gridCol w:w="1922"/>
      </w:tblGrid>
      <w:tr w14:paraId="44BEDA83">
        <w:tblPrEx>
          <w:tblCellMar>
            <w:top w:w="0" w:type="dxa"/>
            <w:left w:w="108" w:type="dxa"/>
            <w:bottom w:w="0" w:type="dxa"/>
            <w:right w:w="108" w:type="dxa"/>
          </w:tblCellMar>
        </w:tblPrEx>
        <w:trPr>
          <w:trHeight w:val="348"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243F054">
            <w:pPr>
              <w:widowControl/>
              <w:spacing w:line="360" w:lineRule="auto"/>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序号</w:t>
            </w:r>
          </w:p>
        </w:tc>
        <w:tc>
          <w:tcPr>
            <w:tcW w:w="1134" w:type="dxa"/>
            <w:tcBorders>
              <w:top w:val="single" w:color="auto" w:sz="4" w:space="0"/>
              <w:left w:val="nil"/>
              <w:bottom w:val="single" w:color="auto" w:sz="4" w:space="0"/>
              <w:right w:val="single" w:color="auto" w:sz="4" w:space="0"/>
            </w:tcBorders>
            <w:shd w:val="clear" w:color="auto" w:fill="auto"/>
            <w:noWrap/>
            <w:vAlign w:val="bottom"/>
          </w:tcPr>
          <w:p w14:paraId="03678024">
            <w:pPr>
              <w:widowControl/>
              <w:spacing w:line="360" w:lineRule="auto"/>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年份</w:t>
            </w:r>
          </w:p>
        </w:tc>
        <w:tc>
          <w:tcPr>
            <w:tcW w:w="4394" w:type="dxa"/>
            <w:tcBorders>
              <w:top w:val="single" w:color="auto" w:sz="4" w:space="0"/>
              <w:left w:val="nil"/>
              <w:bottom w:val="single" w:color="auto" w:sz="4" w:space="0"/>
              <w:right w:val="single" w:color="auto" w:sz="4" w:space="0"/>
            </w:tcBorders>
            <w:shd w:val="clear" w:color="auto" w:fill="auto"/>
            <w:noWrap/>
            <w:vAlign w:val="bottom"/>
          </w:tcPr>
          <w:p w14:paraId="34AB8C58">
            <w:pPr>
              <w:widowControl/>
              <w:spacing w:line="360" w:lineRule="auto"/>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货运量（</w:t>
            </w:r>
            <w:r>
              <w:rPr>
                <w:rFonts w:hint="eastAsia" w:ascii="宋体" w:hAnsi="宋体"/>
                <w:sz w:val="32"/>
                <w:szCs w:val="32"/>
              </w:rPr>
              <w:t>亿吨）</w:t>
            </w:r>
          </w:p>
        </w:tc>
        <w:tc>
          <w:tcPr>
            <w:tcW w:w="1922" w:type="dxa"/>
            <w:tcBorders>
              <w:top w:val="single" w:color="auto" w:sz="4" w:space="0"/>
              <w:left w:val="nil"/>
              <w:bottom w:val="single" w:color="auto" w:sz="4" w:space="0"/>
              <w:right w:val="single" w:color="auto" w:sz="4" w:space="0"/>
            </w:tcBorders>
          </w:tcPr>
          <w:p w14:paraId="3433DD55">
            <w:pPr>
              <w:widowControl/>
              <w:spacing w:line="360" w:lineRule="auto"/>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增长率</w:t>
            </w:r>
          </w:p>
        </w:tc>
      </w:tr>
      <w:tr w14:paraId="0F4F3075">
        <w:tblPrEx>
          <w:tblCellMar>
            <w:top w:w="0" w:type="dxa"/>
            <w:left w:w="108" w:type="dxa"/>
            <w:bottom w:w="0" w:type="dxa"/>
            <w:right w:w="108" w:type="dxa"/>
          </w:tblCellMar>
        </w:tblPrEx>
        <w:trPr>
          <w:trHeight w:val="348" w:hRule="atLeast"/>
        </w:trPr>
        <w:tc>
          <w:tcPr>
            <w:tcW w:w="846" w:type="dxa"/>
            <w:tcBorders>
              <w:top w:val="nil"/>
              <w:left w:val="single" w:color="auto" w:sz="4" w:space="0"/>
              <w:bottom w:val="single" w:color="auto" w:sz="4" w:space="0"/>
              <w:right w:val="single" w:color="auto" w:sz="4" w:space="0"/>
            </w:tcBorders>
            <w:shd w:val="clear" w:color="auto" w:fill="auto"/>
            <w:noWrap/>
            <w:vAlign w:val="bottom"/>
          </w:tcPr>
          <w:p w14:paraId="68D1A080">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1</w:t>
            </w:r>
          </w:p>
        </w:tc>
        <w:tc>
          <w:tcPr>
            <w:tcW w:w="1134" w:type="dxa"/>
            <w:tcBorders>
              <w:top w:val="nil"/>
              <w:left w:val="nil"/>
              <w:bottom w:val="single" w:color="auto" w:sz="4" w:space="0"/>
              <w:right w:val="single" w:color="auto" w:sz="4" w:space="0"/>
            </w:tcBorders>
            <w:shd w:val="clear" w:color="auto" w:fill="auto"/>
            <w:noWrap/>
            <w:vAlign w:val="bottom"/>
          </w:tcPr>
          <w:p w14:paraId="4D074CFA">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2015</w:t>
            </w:r>
          </w:p>
        </w:tc>
        <w:tc>
          <w:tcPr>
            <w:tcW w:w="4394" w:type="dxa"/>
            <w:tcBorders>
              <w:top w:val="nil"/>
              <w:left w:val="nil"/>
              <w:bottom w:val="single" w:color="auto" w:sz="4" w:space="0"/>
              <w:right w:val="single" w:color="auto" w:sz="4" w:space="0"/>
            </w:tcBorders>
            <w:shd w:val="clear" w:color="auto" w:fill="auto"/>
            <w:noWrap/>
            <w:vAlign w:val="bottom"/>
          </w:tcPr>
          <w:p w14:paraId="2C21040A">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410</w:t>
            </w:r>
          </w:p>
        </w:tc>
        <w:tc>
          <w:tcPr>
            <w:tcW w:w="1922" w:type="dxa"/>
            <w:tcBorders>
              <w:top w:val="nil"/>
              <w:left w:val="nil"/>
              <w:bottom w:val="single" w:color="auto" w:sz="4" w:space="0"/>
              <w:right w:val="single" w:color="auto" w:sz="4" w:space="0"/>
            </w:tcBorders>
          </w:tcPr>
          <w:p w14:paraId="09A4B8B8">
            <w:pPr>
              <w:widowControl/>
              <w:spacing w:line="360" w:lineRule="auto"/>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w:t>
            </w:r>
          </w:p>
        </w:tc>
      </w:tr>
      <w:tr w14:paraId="708CE82A">
        <w:tblPrEx>
          <w:tblCellMar>
            <w:top w:w="0" w:type="dxa"/>
            <w:left w:w="108" w:type="dxa"/>
            <w:bottom w:w="0" w:type="dxa"/>
            <w:right w:w="108" w:type="dxa"/>
          </w:tblCellMar>
        </w:tblPrEx>
        <w:trPr>
          <w:trHeight w:val="348" w:hRule="atLeast"/>
        </w:trPr>
        <w:tc>
          <w:tcPr>
            <w:tcW w:w="846" w:type="dxa"/>
            <w:tcBorders>
              <w:top w:val="nil"/>
              <w:left w:val="single" w:color="auto" w:sz="4" w:space="0"/>
              <w:bottom w:val="single" w:color="auto" w:sz="4" w:space="0"/>
              <w:right w:val="single" w:color="auto" w:sz="4" w:space="0"/>
            </w:tcBorders>
            <w:shd w:val="clear" w:color="auto" w:fill="auto"/>
            <w:noWrap/>
            <w:vAlign w:val="bottom"/>
          </w:tcPr>
          <w:p w14:paraId="6C02A229">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2</w:t>
            </w:r>
          </w:p>
        </w:tc>
        <w:tc>
          <w:tcPr>
            <w:tcW w:w="1134" w:type="dxa"/>
            <w:tcBorders>
              <w:top w:val="nil"/>
              <w:left w:val="nil"/>
              <w:bottom w:val="single" w:color="auto" w:sz="4" w:space="0"/>
              <w:right w:val="single" w:color="auto" w:sz="4" w:space="0"/>
            </w:tcBorders>
            <w:shd w:val="clear" w:color="auto" w:fill="auto"/>
            <w:noWrap/>
            <w:vAlign w:val="bottom"/>
          </w:tcPr>
          <w:p w14:paraId="3C13FECC">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2016</w:t>
            </w:r>
          </w:p>
        </w:tc>
        <w:tc>
          <w:tcPr>
            <w:tcW w:w="4394" w:type="dxa"/>
            <w:tcBorders>
              <w:top w:val="nil"/>
              <w:left w:val="nil"/>
              <w:bottom w:val="single" w:color="auto" w:sz="4" w:space="0"/>
              <w:right w:val="single" w:color="auto" w:sz="4" w:space="0"/>
            </w:tcBorders>
            <w:shd w:val="clear" w:color="auto" w:fill="auto"/>
            <w:noWrap/>
            <w:vAlign w:val="bottom"/>
          </w:tcPr>
          <w:p w14:paraId="6622B458">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431.34</w:t>
            </w:r>
          </w:p>
        </w:tc>
        <w:tc>
          <w:tcPr>
            <w:tcW w:w="1922" w:type="dxa"/>
            <w:tcBorders>
              <w:top w:val="nil"/>
              <w:left w:val="nil"/>
              <w:bottom w:val="single" w:color="auto" w:sz="4" w:space="0"/>
              <w:right w:val="single" w:color="auto" w:sz="4" w:space="0"/>
            </w:tcBorders>
            <w:vAlign w:val="center"/>
          </w:tcPr>
          <w:p w14:paraId="5C6D84CF">
            <w:pPr>
              <w:widowControl/>
              <w:spacing w:line="360" w:lineRule="auto"/>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5.2%</w:t>
            </w:r>
          </w:p>
        </w:tc>
      </w:tr>
      <w:tr w14:paraId="362860E1">
        <w:tblPrEx>
          <w:tblCellMar>
            <w:top w:w="0" w:type="dxa"/>
            <w:left w:w="108" w:type="dxa"/>
            <w:bottom w:w="0" w:type="dxa"/>
            <w:right w:w="108" w:type="dxa"/>
          </w:tblCellMar>
        </w:tblPrEx>
        <w:trPr>
          <w:trHeight w:val="348" w:hRule="atLeast"/>
        </w:trPr>
        <w:tc>
          <w:tcPr>
            <w:tcW w:w="846" w:type="dxa"/>
            <w:tcBorders>
              <w:top w:val="nil"/>
              <w:left w:val="single" w:color="auto" w:sz="4" w:space="0"/>
              <w:bottom w:val="single" w:color="auto" w:sz="4" w:space="0"/>
              <w:right w:val="single" w:color="auto" w:sz="4" w:space="0"/>
            </w:tcBorders>
            <w:shd w:val="clear" w:color="auto" w:fill="auto"/>
            <w:noWrap/>
            <w:vAlign w:val="bottom"/>
          </w:tcPr>
          <w:p w14:paraId="68B393D5">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3</w:t>
            </w:r>
          </w:p>
        </w:tc>
        <w:tc>
          <w:tcPr>
            <w:tcW w:w="1134" w:type="dxa"/>
            <w:tcBorders>
              <w:top w:val="nil"/>
              <w:left w:val="nil"/>
              <w:bottom w:val="single" w:color="auto" w:sz="4" w:space="0"/>
              <w:right w:val="single" w:color="auto" w:sz="4" w:space="0"/>
            </w:tcBorders>
            <w:shd w:val="clear" w:color="auto" w:fill="auto"/>
            <w:noWrap/>
            <w:vAlign w:val="bottom"/>
          </w:tcPr>
          <w:p w14:paraId="4C3B46E4">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2017</w:t>
            </w:r>
          </w:p>
        </w:tc>
        <w:tc>
          <w:tcPr>
            <w:tcW w:w="4394" w:type="dxa"/>
            <w:tcBorders>
              <w:top w:val="nil"/>
              <w:left w:val="nil"/>
              <w:bottom w:val="single" w:color="auto" w:sz="4" w:space="0"/>
              <w:right w:val="single" w:color="auto" w:sz="4" w:space="0"/>
            </w:tcBorders>
            <w:shd w:val="clear" w:color="auto" w:fill="auto"/>
            <w:noWrap/>
            <w:vAlign w:val="bottom"/>
          </w:tcPr>
          <w:p w14:paraId="191B83FA">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472.43</w:t>
            </w:r>
          </w:p>
        </w:tc>
        <w:tc>
          <w:tcPr>
            <w:tcW w:w="1922" w:type="dxa"/>
            <w:tcBorders>
              <w:top w:val="nil"/>
              <w:left w:val="nil"/>
              <w:bottom w:val="single" w:color="auto" w:sz="4" w:space="0"/>
              <w:right w:val="single" w:color="auto" w:sz="4" w:space="0"/>
            </w:tcBorders>
            <w:vAlign w:val="center"/>
          </w:tcPr>
          <w:p w14:paraId="4FA2DDEB">
            <w:pPr>
              <w:widowControl/>
              <w:spacing w:line="360" w:lineRule="auto"/>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9.5%</w:t>
            </w:r>
          </w:p>
        </w:tc>
      </w:tr>
      <w:tr w14:paraId="553863AB">
        <w:tblPrEx>
          <w:tblCellMar>
            <w:top w:w="0" w:type="dxa"/>
            <w:left w:w="108" w:type="dxa"/>
            <w:bottom w:w="0" w:type="dxa"/>
            <w:right w:w="108" w:type="dxa"/>
          </w:tblCellMar>
        </w:tblPrEx>
        <w:trPr>
          <w:trHeight w:val="348" w:hRule="atLeast"/>
        </w:trPr>
        <w:tc>
          <w:tcPr>
            <w:tcW w:w="846" w:type="dxa"/>
            <w:tcBorders>
              <w:top w:val="nil"/>
              <w:left w:val="single" w:color="auto" w:sz="4" w:space="0"/>
              <w:bottom w:val="single" w:color="auto" w:sz="4" w:space="0"/>
              <w:right w:val="single" w:color="auto" w:sz="4" w:space="0"/>
            </w:tcBorders>
            <w:shd w:val="clear" w:color="auto" w:fill="auto"/>
            <w:noWrap/>
            <w:vAlign w:val="bottom"/>
          </w:tcPr>
          <w:p w14:paraId="46196FC7">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4</w:t>
            </w:r>
          </w:p>
        </w:tc>
        <w:tc>
          <w:tcPr>
            <w:tcW w:w="1134" w:type="dxa"/>
            <w:tcBorders>
              <w:top w:val="nil"/>
              <w:left w:val="nil"/>
              <w:bottom w:val="single" w:color="auto" w:sz="4" w:space="0"/>
              <w:right w:val="single" w:color="auto" w:sz="4" w:space="0"/>
            </w:tcBorders>
            <w:shd w:val="clear" w:color="auto" w:fill="auto"/>
            <w:noWrap/>
            <w:vAlign w:val="bottom"/>
          </w:tcPr>
          <w:p w14:paraId="58E20F8A">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2018</w:t>
            </w:r>
          </w:p>
        </w:tc>
        <w:tc>
          <w:tcPr>
            <w:tcW w:w="4394" w:type="dxa"/>
            <w:tcBorders>
              <w:top w:val="nil"/>
              <w:left w:val="nil"/>
              <w:bottom w:val="single" w:color="auto" w:sz="4" w:space="0"/>
              <w:right w:val="single" w:color="auto" w:sz="4" w:space="0"/>
            </w:tcBorders>
            <w:shd w:val="clear" w:color="auto" w:fill="auto"/>
            <w:noWrap/>
            <w:vAlign w:val="bottom"/>
          </w:tcPr>
          <w:p w14:paraId="737B10B3">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506.29</w:t>
            </w:r>
          </w:p>
        </w:tc>
        <w:tc>
          <w:tcPr>
            <w:tcW w:w="1922" w:type="dxa"/>
            <w:tcBorders>
              <w:top w:val="nil"/>
              <w:left w:val="nil"/>
              <w:bottom w:val="single" w:color="auto" w:sz="4" w:space="0"/>
              <w:right w:val="single" w:color="auto" w:sz="4" w:space="0"/>
            </w:tcBorders>
            <w:vAlign w:val="center"/>
          </w:tcPr>
          <w:p w14:paraId="533C8EA0">
            <w:pPr>
              <w:widowControl/>
              <w:spacing w:line="360" w:lineRule="auto"/>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7.2%</w:t>
            </w:r>
          </w:p>
        </w:tc>
      </w:tr>
      <w:tr w14:paraId="1A01E86D">
        <w:tblPrEx>
          <w:tblCellMar>
            <w:top w:w="0" w:type="dxa"/>
            <w:left w:w="108" w:type="dxa"/>
            <w:bottom w:w="0" w:type="dxa"/>
            <w:right w:w="108" w:type="dxa"/>
          </w:tblCellMar>
        </w:tblPrEx>
        <w:trPr>
          <w:trHeight w:val="348" w:hRule="atLeast"/>
        </w:trPr>
        <w:tc>
          <w:tcPr>
            <w:tcW w:w="846" w:type="dxa"/>
            <w:tcBorders>
              <w:top w:val="nil"/>
              <w:left w:val="single" w:color="auto" w:sz="4" w:space="0"/>
              <w:bottom w:val="single" w:color="auto" w:sz="4" w:space="0"/>
              <w:right w:val="single" w:color="auto" w:sz="4" w:space="0"/>
            </w:tcBorders>
            <w:shd w:val="clear" w:color="auto" w:fill="auto"/>
            <w:noWrap/>
            <w:vAlign w:val="bottom"/>
          </w:tcPr>
          <w:p w14:paraId="6F548543">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5</w:t>
            </w:r>
          </w:p>
        </w:tc>
        <w:tc>
          <w:tcPr>
            <w:tcW w:w="1134" w:type="dxa"/>
            <w:tcBorders>
              <w:top w:val="nil"/>
              <w:left w:val="nil"/>
              <w:bottom w:val="single" w:color="auto" w:sz="4" w:space="0"/>
              <w:right w:val="single" w:color="auto" w:sz="4" w:space="0"/>
            </w:tcBorders>
            <w:shd w:val="clear" w:color="auto" w:fill="auto"/>
            <w:noWrap/>
            <w:vAlign w:val="bottom"/>
          </w:tcPr>
          <w:p w14:paraId="18895BFF">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2019</w:t>
            </w:r>
          </w:p>
        </w:tc>
        <w:tc>
          <w:tcPr>
            <w:tcW w:w="4394" w:type="dxa"/>
            <w:tcBorders>
              <w:top w:val="nil"/>
              <w:left w:val="nil"/>
              <w:bottom w:val="single" w:color="auto" w:sz="4" w:space="0"/>
              <w:right w:val="single" w:color="auto" w:sz="4" w:space="0"/>
            </w:tcBorders>
            <w:shd w:val="clear" w:color="auto" w:fill="auto"/>
            <w:noWrap/>
            <w:vAlign w:val="bottom"/>
          </w:tcPr>
          <w:p w14:paraId="689AF477">
            <w:pPr>
              <w:widowControl/>
              <w:spacing w:line="360" w:lineRule="auto"/>
              <w:jc w:val="center"/>
              <w:rPr>
                <w:rFonts w:ascii="宋体" w:hAnsi="宋体" w:eastAsia="宋体" w:cs="宋体"/>
                <w:color w:val="000000"/>
                <w:kern w:val="0"/>
                <w:sz w:val="28"/>
                <w:szCs w:val="28"/>
              </w:rPr>
            </w:pPr>
            <w:r>
              <w:rPr>
                <w:rFonts w:ascii="宋体" w:hAnsi="宋体" w:eastAsia="宋体" w:cs="宋体"/>
                <w:color w:val="000000"/>
                <w:kern w:val="0"/>
                <w:sz w:val="28"/>
                <w:szCs w:val="28"/>
              </w:rPr>
              <w:t>462</w:t>
            </w:r>
            <w:r>
              <w:rPr>
                <w:rFonts w:hint="eastAsia" w:ascii="宋体" w:hAnsi="宋体" w:eastAsia="宋体" w:cs="宋体"/>
                <w:color w:val="000000"/>
                <w:kern w:val="0"/>
                <w:sz w:val="28"/>
                <w:szCs w:val="28"/>
              </w:rPr>
              <w:t>.</w:t>
            </w:r>
            <w:r>
              <w:rPr>
                <w:rFonts w:ascii="宋体" w:hAnsi="宋体" w:eastAsia="宋体" w:cs="宋体"/>
                <w:color w:val="000000"/>
                <w:kern w:val="0"/>
                <w:sz w:val="28"/>
                <w:szCs w:val="28"/>
              </w:rPr>
              <w:t>24</w:t>
            </w:r>
          </w:p>
        </w:tc>
        <w:tc>
          <w:tcPr>
            <w:tcW w:w="1922" w:type="dxa"/>
            <w:tcBorders>
              <w:top w:val="nil"/>
              <w:left w:val="nil"/>
              <w:bottom w:val="single" w:color="auto" w:sz="4" w:space="0"/>
              <w:right w:val="single" w:color="auto" w:sz="4" w:space="0"/>
            </w:tcBorders>
            <w:vAlign w:val="center"/>
          </w:tcPr>
          <w:p w14:paraId="1BA1673A">
            <w:pPr>
              <w:widowControl/>
              <w:spacing w:line="360" w:lineRule="auto"/>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-8.7%</w:t>
            </w:r>
          </w:p>
        </w:tc>
      </w:tr>
    </w:tbl>
    <w:p w14:paraId="563E5498">
      <w:pPr>
        <w:spacing w:line="360" w:lineRule="auto"/>
        <w:ind w:firstLine="640" w:firstLineChars="200"/>
        <w:rPr>
          <w:rFonts w:ascii="宋体" w:hAnsi="宋体"/>
          <w:sz w:val="32"/>
          <w:szCs w:val="32"/>
        </w:rPr>
      </w:pPr>
      <w:r>
        <w:rPr>
          <w:rFonts w:hint="eastAsia" w:ascii="宋体" w:hAnsi="宋体"/>
          <w:sz w:val="32"/>
          <w:szCs w:val="32"/>
        </w:rPr>
        <w:t>从货物运输的方式来看，公路运输仍然占据着我国货物运输行业的主导地位，2019年各种货运运输量中公路运输量占比为72.99%，水运占比为15.87%，铁路运输量占比为9.18%，民航货运量占比为0.02%，其它管道等运输方式占比为1.</w:t>
      </w:r>
      <w:r>
        <w:rPr>
          <w:rFonts w:ascii="宋体" w:hAnsi="宋体"/>
          <w:sz w:val="32"/>
          <w:szCs w:val="32"/>
        </w:rPr>
        <w:t>94</w:t>
      </w:r>
      <w:r>
        <w:rPr>
          <w:rFonts w:hint="eastAsia" w:ascii="宋体" w:hAnsi="宋体"/>
          <w:sz w:val="32"/>
          <w:szCs w:val="32"/>
        </w:rPr>
        <w:t>%。受业务量增速放缓、价格走低挤压，物流行业整体盈利水平进一步走弱，企业生存压力持续加大。</w:t>
      </w:r>
    </w:p>
    <w:p w14:paraId="3040317F">
      <w:pPr>
        <w:pStyle w:val="5"/>
        <w:spacing w:line="360" w:lineRule="auto"/>
      </w:pPr>
      <w:bookmarkStart w:id="241" w:name="_Toc79498028"/>
      <w:r>
        <w:rPr>
          <w:rFonts w:hint="eastAsia"/>
        </w:rPr>
        <w:t>二、物流产业供需结构加速调整</w:t>
      </w:r>
      <w:bookmarkEnd w:id="241"/>
    </w:p>
    <w:p w14:paraId="29B7ACA8">
      <w:pPr>
        <w:spacing w:line="360" w:lineRule="auto"/>
        <w:ind w:firstLine="646" w:firstLineChars="202"/>
        <w:rPr>
          <w:rFonts w:ascii="宋体" w:hAnsi="宋体"/>
          <w:sz w:val="32"/>
          <w:szCs w:val="32"/>
        </w:rPr>
      </w:pPr>
      <w:r>
        <w:rPr>
          <w:rFonts w:hint="eastAsia" w:ascii="宋体" w:hAnsi="宋体"/>
          <w:sz w:val="32"/>
          <w:szCs w:val="32"/>
        </w:rPr>
        <w:t>1、物流需求结构持续优化</w:t>
      </w:r>
    </w:p>
    <w:p w14:paraId="06676281">
      <w:pPr>
        <w:spacing w:line="360" w:lineRule="auto"/>
        <w:ind w:firstLine="646" w:firstLineChars="202"/>
        <w:rPr>
          <w:rFonts w:ascii="宋体" w:hAnsi="宋体"/>
          <w:sz w:val="32"/>
          <w:szCs w:val="32"/>
        </w:rPr>
      </w:pPr>
      <w:r>
        <w:rPr>
          <w:rFonts w:hint="eastAsia" w:ascii="宋体" w:hAnsi="宋体"/>
          <w:sz w:val="32"/>
          <w:szCs w:val="32"/>
        </w:rPr>
        <w:t>目前，工业品物流仍然是我国社会物流需求的主要来源，2019年，我国工业品物流总额269.6万亿元，占社会物流总额的90%左右。但是，随着近年来国内市场内需的持续扩大和消费结构的不断升级，带动了内需型、消费型物流快速增长，冷链物流、电商物流、即时物流、同城速递等与居民消费生活相关的领域成为市场增长热点。2019年全年，我国快递业务量超过630亿件，人均达到45件。同时，高技术产业、战略性新兴产业物流需求增速快于高耗能物流、大宗商品物流，服务型制造与制造型服务相互渗透，为社会化、专业化物流服务提供了新的发展空间。</w:t>
      </w:r>
    </w:p>
    <w:p w14:paraId="473AAE8D">
      <w:pPr>
        <w:spacing w:line="360" w:lineRule="auto"/>
        <w:ind w:firstLine="646" w:firstLineChars="202"/>
        <w:rPr>
          <w:rFonts w:ascii="宋体" w:hAnsi="宋体"/>
          <w:sz w:val="32"/>
          <w:szCs w:val="32"/>
        </w:rPr>
      </w:pPr>
      <w:r>
        <w:rPr>
          <w:rFonts w:hint="eastAsia" w:ascii="宋体" w:hAnsi="宋体"/>
          <w:sz w:val="32"/>
          <w:szCs w:val="32"/>
        </w:rPr>
        <w:t>2、物流供给结构稳步升级</w:t>
      </w:r>
    </w:p>
    <w:p w14:paraId="31474033">
      <w:pPr>
        <w:spacing w:line="360" w:lineRule="auto"/>
        <w:ind w:firstLine="646" w:firstLineChars="202"/>
        <w:rPr>
          <w:rFonts w:ascii="宋体" w:hAnsi="宋体"/>
          <w:sz w:val="32"/>
          <w:szCs w:val="32"/>
        </w:rPr>
      </w:pPr>
      <w:r>
        <w:rPr>
          <w:rFonts w:hint="eastAsia" w:ascii="宋体" w:hAnsi="宋体"/>
          <w:sz w:val="32"/>
          <w:szCs w:val="32"/>
        </w:rPr>
        <w:t>近年来，我国大型骨干物流企业逆势而上，市场集中度进一步增强。2019年，全国A级物流企业总数已达6132家，其中5A级334家。“中国物流企业50强”主营业务收入总额超过一万亿元，进入“门槛”提高到30亿元。在快递快运、铁路物流、港航物流、合同物流、仓储园区、汽车物流等细分市场优胜劣汰洗牌加速，前八家快递与包裹服务企业品牌集中度指数超过八成。</w:t>
      </w:r>
    </w:p>
    <w:p w14:paraId="1576AA5D">
      <w:pPr>
        <w:spacing w:line="360" w:lineRule="auto"/>
        <w:ind w:firstLine="646" w:firstLineChars="202"/>
        <w:rPr>
          <w:rFonts w:ascii="宋体" w:hAnsi="宋体"/>
          <w:sz w:val="32"/>
          <w:szCs w:val="32"/>
        </w:rPr>
      </w:pPr>
      <w:r>
        <w:rPr>
          <w:rFonts w:hint="eastAsia" w:ascii="宋体" w:hAnsi="宋体"/>
          <w:sz w:val="32"/>
          <w:szCs w:val="32"/>
        </w:rPr>
        <w:t>3、运输结构调整取得成效</w:t>
      </w:r>
    </w:p>
    <w:p w14:paraId="0472705B">
      <w:pPr>
        <w:spacing w:line="360" w:lineRule="auto"/>
        <w:ind w:firstLine="646" w:firstLineChars="202"/>
        <w:rPr>
          <w:rFonts w:ascii="宋体" w:hAnsi="宋体"/>
          <w:sz w:val="32"/>
          <w:szCs w:val="32"/>
        </w:rPr>
      </w:pPr>
      <w:r>
        <w:rPr>
          <w:rFonts w:hint="eastAsia" w:ascii="宋体" w:hAnsi="宋体"/>
          <w:sz w:val="32"/>
          <w:szCs w:val="32"/>
        </w:rPr>
        <w:t>随着国家层面鼓励“公转铁”、发展“多式联运”等引导政策的出台，我国货物运输方式得到进一步优化。2019年国家铁路完成货物发送量34.4亿吨，同比增长7.8%。环渤海、山东省、长三角地区沿海主要港口和唐山港、黄骅港等港口，矿石、焦炭等大宗货物疏港比例，出现了铁路和水路回升，公路占比下降的趋势。大型工矿企业和物流园区铁路专用线接入比例、大宗货物铁路运输比例和商品车铁水运输比例稳步增加。</w:t>
      </w:r>
    </w:p>
    <w:p w14:paraId="354CF9DF">
      <w:pPr>
        <w:pStyle w:val="5"/>
        <w:spacing w:line="360" w:lineRule="auto"/>
      </w:pPr>
      <w:bookmarkStart w:id="242" w:name="_Toc79498029"/>
      <w:r>
        <w:rPr>
          <w:rFonts w:hint="eastAsia"/>
        </w:rPr>
        <w:t>三、现代科技赋能物流智慧化转型</w:t>
      </w:r>
      <w:bookmarkEnd w:id="242"/>
    </w:p>
    <w:p w14:paraId="651ABD4C">
      <w:pPr>
        <w:spacing w:line="360" w:lineRule="auto"/>
        <w:ind w:firstLine="646" w:firstLineChars="202"/>
        <w:rPr>
          <w:rFonts w:ascii="宋体" w:hAnsi="宋体"/>
          <w:sz w:val="32"/>
          <w:szCs w:val="32"/>
        </w:rPr>
      </w:pPr>
      <w:r>
        <w:rPr>
          <w:rFonts w:hint="eastAsia" w:ascii="宋体" w:hAnsi="宋体"/>
          <w:sz w:val="32"/>
          <w:szCs w:val="32"/>
        </w:rPr>
        <w:t>随着物联网、云计算、大数据等新一代信息技术在物流领域加快应用，物流业务实现全链路在线化和数字化，为我国物流业智能化转型奠定了坚实基础。近年来，无人机、无人车、无人仓、无人驾驶、无人码头等智能装备使用场景不断增多，人工智能技术在物流领域加速落地。平台经济日益兴起，在整车运输、城市配送、航运货代等领域涌现了一批大量整合零散资源、活跃用户数领先的平台型企业。交通运输部相关数据显示，2019年全国229家无车承运试点企业整合货运车辆211万辆,市场集约化、规模化程度明显增强。随着现代科技的高速发展，物流产业正发生着翻天覆地的变化，科技对物流行业的赋能作用愈发凸显，将不断推动物流向智慧化转型。</w:t>
      </w:r>
    </w:p>
    <w:p w14:paraId="4DDCEBEB">
      <w:pPr>
        <w:pStyle w:val="5"/>
        <w:spacing w:line="360" w:lineRule="auto"/>
      </w:pPr>
      <w:bookmarkStart w:id="243" w:name="_Toc79498030"/>
      <w:r>
        <w:rPr>
          <w:rFonts w:hint="eastAsia"/>
        </w:rPr>
        <w:t>四、现代供应链成为发展新亮点</w:t>
      </w:r>
      <w:bookmarkEnd w:id="243"/>
    </w:p>
    <w:p w14:paraId="2F537202">
      <w:pPr>
        <w:spacing w:line="360" w:lineRule="auto"/>
        <w:ind w:firstLine="646" w:firstLineChars="202"/>
        <w:rPr>
          <w:rFonts w:ascii="宋体" w:hAnsi="宋体"/>
          <w:sz w:val="32"/>
          <w:szCs w:val="32"/>
        </w:rPr>
      </w:pPr>
      <w:r>
        <w:rPr>
          <w:rFonts w:hint="eastAsia" w:ascii="宋体" w:hAnsi="宋体"/>
          <w:sz w:val="32"/>
          <w:szCs w:val="32"/>
        </w:rPr>
        <w:t>党的十九大报告提出，在现代供应链等领域培育新增长点、形成新动能。2019年，商务部、工业和信息化部、生态环境部、农业农村部、人民银行、市场监管总局、银保监会和中国物流与采购联合会等8部门（单位）联合开展了供应链创新与应用试点工作，从试点情况看，试点企业正在形成包容、开放、共享的供应链思维，逐步由传统的拼速度、拼规模、拼价格的竞争，转变为上下游协作，共同搭建供应链协同共赢的生态圈，有效推进了供应链成本降低和效率提升。从当前的供应链发展现状来看，我国供应链创新发展已经迈入了新的发展阶段。</w:t>
      </w:r>
    </w:p>
    <w:p w14:paraId="2F499630">
      <w:pPr>
        <w:pStyle w:val="5"/>
        <w:spacing w:line="360" w:lineRule="auto"/>
      </w:pPr>
      <w:bookmarkStart w:id="244" w:name="_Toc79498031"/>
      <w:r>
        <w:rPr>
          <w:rFonts w:hint="eastAsia"/>
        </w:rPr>
        <w:t>五、物流枢纽建设助力枢纽经济发展</w:t>
      </w:r>
      <w:bookmarkEnd w:id="244"/>
    </w:p>
    <w:p w14:paraId="351372A6">
      <w:pPr>
        <w:spacing w:line="360" w:lineRule="auto"/>
        <w:ind w:firstLine="646" w:firstLineChars="202"/>
        <w:rPr>
          <w:rFonts w:ascii="宋体" w:hAnsi="宋体"/>
          <w:sz w:val="32"/>
          <w:szCs w:val="32"/>
        </w:rPr>
      </w:pPr>
      <w:r>
        <w:rPr>
          <w:rFonts w:hint="eastAsia" w:ascii="宋体" w:hAnsi="宋体"/>
          <w:sz w:val="32"/>
          <w:szCs w:val="32"/>
        </w:rPr>
        <w:t>随着自由贸易试验区，长三角区域一体化、粤港澳大湾区、西部陆海新通道等重大国家战略规划的出台，区域协调发展新格局正在加快形成，对物流基础设施的网络升级更替提出了新要求。按照国家发改委、交通运输部有关规划，到2025年我国计划布局建设150个左右国家物流枢纽。2019年国家发改委和交通运输部首次确定了23家国家物流枢纽建设名单，2</w:t>
      </w:r>
      <w:r>
        <w:rPr>
          <w:rFonts w:ascii="宋体" w:hAnsi="宋体"/>
          <w:sz w:val="32"/>
          <w:szCs w:val="32"/>
        </w:rPr>
        <w:t>020</w:t>
      </w:r>
      <w:r>
        <w:rPr>
          <w:rFonts w:hint="eastAsia" w:ascii="宋体" w:hAnsi="宋体"/>
          <w:sz w:val="32"/>
          <w:szCs w:val="32"/>
        </w:rPr>
        <w:t>年又有22个物流枢纽入选了国家物流枢纽建设名单。随着物流基础设施网络建设步伐的加快，我国物流枢纽网络建设进入了实质性推进阶段，国内枢纽经济即将开创蓬勃发展的崭新局面。</w:t>
      </w:r>
    </w:p>
    <w:p w14:paraId="46222185">
      <w:pPr>
        <w:pStyle w:val="5"/>
        <w:spacing w:line="360" w:lineRule="auto"/>
      </w:pPr>
      <w:bookmarkStart w:id="245" w:name="_Toc79498032"/>
      <w:r>
        <w:rPr>
          <w:rFonts w:hint="eastAsia"/>
        </w:rPr>
        <w:t>六、国际物流融入对外开放新局面</w:t>
      </w:r>
      <w:bookmarkEnd w:id="245"/>
    </w:p>
    <w:p w14:paraId="266CD5A4">
      <w:pPr>
        <w:spacing w:line="360" w:lineRule="auto"/>
        <w:ind w:firstLine="646" w:firstLineChars="202"/>
        <w:rPr>
          <w:rFonts w:ascii="宋体" w:hAnsi="宋体"/>
          <w:sz w:val="32"/>
          <w:szCs w:val="32"/>
        </w:rPr>
      </w:pPr>
      <w:r>
        <w:rPr>
          <w:rFonts w:hint="eastAsia" w:ascii="宋体" w:hAnsi="宋体"/>
          <w:sz w:val="32"/>
          <w:szCs w:val="32"/>
        </w:rPr>
        <w:t>在新发展格局下,我国对外开放进一步扩大。据商务部、外汇局统计，2019年，我国对外全行业直接投资8079.5亿元人民币，制造业等实体经济领域对外投资稳步增长。对外投资和工程建设带动物流“走出去”发展，物流企业与工程制造企业深化国际合作，跨境电商、快递快运、物流平台等一批国内领先的骨干企业加速布局新兴物流市场。海外仓库、港口码头、公路、铁路等物流基础设施和成熟运营主体成为投资重点，“一带一路”物流体系建设稳步推进。 其中，“一带一路”国际物流保持较快增长势头，全年中欧班列开行1.8万列，联通亚欧大陆110多个城市。民航新开通“一带一路”航线409条。《西部陆海新通道总体规划》正式印发，有望开辟“一带一路”国际陆海贸易新通道。从以上各方面来看，我国物流业“走出去</w:t>
      </w:r>
      <w:r>
        <w:rPr>
          <w:rFonts w:ascii="宋体" w:hAnsi="宋体"/>
          <w:sz w:val="32"/>
          <w:szCs w:val="32"/>
        </w:rPr>
        <w:t>”</w:t>
      </w:r>
      <w:r>
        <w:rPr>
          <w:rFonts w:hint="eastAsia" w:ascii="宋体" w:hAnsi="宋体"/>
          <w:sz w:val="32"/>
          <w:szCs w:val="32"/>
        </w:rPr>
        <w:t>的步伐更趋稳健，在对外开放新局面中，持续提供了全方位的物流保障。</w:t>
      </w:r>
    </w:p>
    <w:p w14:paraId="384CC4C1">
      <w:pPr>
        <w:pStyle w:val="5"/>
        <w:spacing w:line="360" w:lineRule="auto"/>
      </w:pPr>
      <w:bookmarkStart w:id="246" w:name="_Toc79498033"/>
      <w:r>
        <w:rPr>
          <w:rFonts w:hint="eastAsia"/>
        </w:rPr>
        <w:t>七、环保绿色物流已成大势所趋</w:t>
      </w:r>
      <w:bookmarkEnd w:id="246"/>
    </w:p>
    <w:p w14:paraId="7424E139">
      <w:pPr>
        <w:spacing w:line="360" w:lineRule="auto"/>
        <w:ind w:firstLine="646" w:firstLineChars="202"/>
        <w:rPr>
          <w:rFonts w:ascii="宋体" w:hAnsi="宋体"/>
          <w:sz w:val="32"/>
          <w:szCs w:val="32"/>
        </w:rPr>
      </w:pPr>
      <w:r>
        <w:rPr>
          <w:rFonts w:hint="eastAsia" w:ascii="宋体" w:hAnsi="宋体"/>
          <w:sz w:val="32"/>
          <w:szCs w:val="32"/>
        </w:rPr>
        <w:t>为配合污染防治攻坚战，近年来，我国物流行业围绕货车污染治理开展了持续不断的攻坚行动，多地出台环保限行和老旧柴油货车淘汰政策。2019年，各地老旧柴油货车淘汰数量达到任务量的40%以上；国内全面供应符合国六标准的车用汽柴油，北京、天津等重点区域提前实施机动车国六排放标准；第二批24个城市绿色货运配送城市名单公布，多地出台针对清洁能源物流车的便利通行政策；国家邮政局开展绿色采购试点和可循环中转袋应用试点，为行业生态环保工作积累经验；快递、物流企业纷纷探索可回收包装和可循环材料，托盘循环共用、挂车交换共享、仓库太阳能屋顶日益普及，绿色、可持续物流取得新进展。基于生态环境保护理念的更加深入人心，发展绿色物流既是企业应对竞争、开拓市场的必要手段，更是实现社会可持续发展的现实需要。</w:t>
      </w:r>
    </w:p>
    <w:p w14:paraId="45E141FD">
      <w:pPr>
        <w:spacing w:line="360" w:lineRule="auto"/>
        <w:ind w:firstLine="646" w:firstLineChars="202"/>
        <w:rPr>
          <w:rFonts w:ascii="宋体" w:hAnsi="宋体"/>
          <w:sz w:val="32"/>
          <w:szCs w:val="32"/>
        </w:rPr>
      </w:pPr>
      <w:r>
        <w:rPr>
          <w:rFonts w:hint="eastAsia" w:ascii="宋体" w:hAnsi="宋体"/>
          <w:sz w:val="32"/>
          <w:szCs w:val="32"/>
        </w:rPr>
        <w:t>总体来看，当前我国物流业运行平稳，发展态势良好，为我国经济社会的整体高质量发展提供了强有力的保障。</w:t>
      </w:r>
    </w:p>
    <w:bookmarkEnd w:id="235"/>
    <w:p w14:paraId="6DAD7188">
      <w:pPr>
        <w:widowControl/>
        <w:jc w:val="left"/>
        <w:rPr>
          <w:rFonts w:ascii="黑体" w:hAnsi="黑体" w:eastAsia="黑体"/>
          <w:b/>
          <w:bCs/>
          <w:kern w:val="44"/>
          <w:sz w:val="44"/>
          <w:szCs w:val="44"/>
        </w:rPr>
      </w:pPr>
      <w:r>
        <w:rPr>
          <w:rFonts w:ascii="黑体" w:hAnsi="黑体" w:eastAsia="黑体"/>
        </w:rPr>
        <w:br w:type="page"/>
      </w:r>
    </w:p>
    <w:p w14:paraId="31E95A74">
      <w:pPr>
        <w:pStyle w:val="3"/>
        <w:spacing w:line="360" w:lineRule="auto"/>
        <w:jc w:val="center"/>
        <w:rPr>
          <w:rFonts w:ascii="黑体" w:hAnsi="黑体" w:eastAsia="黑体"/>
        </w:rPr>
        <w:sectPr>
          <w:pgSz w:w="11906" w:h="16838"/>
          <w:pgMar w:top="1440" w:right="1797" w:bottom="1440" w:left="1797" w:header="851" w:footer="992" w:gutter="0"/>
          <w:cols w:space="425" w:num="1"/>
          <w:docGrid w:linePitch="312" w:charSpace="0"/>
        </w:sectPr>
      </w:pPr>
    </w:p>
    <w:p w14:paraId="603FEB48">
      <w:pPr>
        <w:pStyle w:val="3"/>
        <w:spacing w:line="360" w:lineRule="auto"/>
        <w:jc w:val="center"/>
        <w:rPr>
          <w:rFonts w:ascii="黑体" w:hAnsi="黑体" w:eastAsia="黑体"/>
        </w:rPr>
      </w:pPr>
      <w:bookmarkStart w:id="247" w:name="_Toc79498034"/>
      <w:r>
        <w:rPr>
          <w:rFonts w:hint="eastAsia" w:ascii="黑体" w:hAnsi="黑体" w:eastAsia="黑体"/>
        </w:rPr>
        <w:t>附表一：凌源市现代物流业重点项目汇总表（2</w:t>
      </w:r>
      <w:r>
        <w:rPr>
          <w:rFonts w:ascii="黑体" w:hAnsi="黑体" w:eastAsia="黑体"/>
        </w:rPr>
        <w:t>0</w:t>
      </w:r>
      <w:r>
        <w:rPr>
          <w:rFonts w:hint="eastAsia" w:ascii="黑体" w:hAnsi="黑体" w:eastAsia="黑体"/>
        </w:rPr>
        <w:t>20－2</w:t>
      </w:r>
      <w:r>
        <w:rPr>
          <w:rFonts w:ascii="黑体" w:hAnsi="黑体" w:eastAsia="黑体"/>
        </w:rPr>
        <w:t>03</w:t>
      </w:r>
      <w:r>
        <w:rPr>
          <w:rFonts w:hint="eastAsia" w:ascii="黑体" w:hAnsi="黑体" w:eastAsia="黑体"/>
        </w:rPr>
        <w:t>5年）</w:t>
      </w:r>
      <w:bookmarkEnd w:id="247"/>
    </w:p>
    <w:bookmarkEnd w:id="236"/>
    <w:bookmarkEnd w:id="237"/>
    <w:tbl>
      <w:tblPr>
        <w:tblStyle w:val="35"/>
        <w:tblW w:w="14170" w:type="dxa"/>
        <w:jc w:val="center"/>
        <w:tblLayout w:type="fixed"/>
        <w:tblCellMar>
          <w:top w:w="0" w:type="dxa"/>
          <w:left w:w="108" w:type="dxa"/>
          <w:bottom w:w="0" w:type="dxa"/>
          <w:right w:w="108" w:type="dxa"/>
        </w:tblCellMar>
      </w:tblPr>
      <w:tblGrid>
        <w:gridCol w:w="562"/>
        <w:gridCol w:w="1560"/>
        <w:gridCol w:w="1275"/>
        <w:gridCol w:w="993"/>
        <w:gridCol w:w="5103"/>
        <w:gridCol w:w="1417"/>
        <w:gridCol w:w="1276"/>
        <w:gridCol w:w="1134"/>
        <w:gridCol w:w="850"/>
      </w:tblGrid>
      <w:tr w14:paraId="13DFBA36">
        <w:tblPrEx>
          <w:tblCellMar>
            <w:top w:w="0" w:type="dxa"/>
            <w:left w:w="108" w:type="dxa"/>
            <w:bottom w:w="0" w:type="dxa"/>
            <w:right w:w="108" w:type="dxa"/>
          </w:tblCellMar>
        </w:tblPrEx>
        <w:trPr>
          <w:trHeight w:val="453" w:hRule="atLeast"/>
          <w:tblHeader/>
          <w:jc w:val="center"/>
        </w:trPr>
        <w:tc>
          <w:tcPr>
            <w:tcW w:w="562" w:type="dxa"/>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14:paraId="0F320C84">
            <w:pPr>
              <w:widowControl/>
              <w:tabs>
                <w:tab w:val="left" w:pos="1985"/>
              </w:tabs>
              <w:spacing w:line="20" w:lineRule="atLeast"/>
              <w:jc w:val="center"/>
              <w:rPr>
                <w:rFonts w:ascii="微软雅黑" w:hAnsi="微软雅黑" w:eastAsia="微软雅黑" w:cs="宋体"/>
                <w:b/>
                <w:kern w:val="0"/>
                <w:sz w:val="24"/>
                <w:szCs w:val="24"/>
              </w:rPr>
            </w:pPr>
            <w:r>
              <w:rPr>
                <w:rFonts w:hint="eastAsia" w:ascii="微软雅黑" w:hAnsi="微软雅黑" w:eastAsia="微软雅黑" w:cs="宋体"/>
                <w:b/>
                <w:kern w:val="0"/>
                <w:sz w:val="24"/>
                <w:szCs w:val="24"/>
              </w:rPr>
              <w:t>序号</w:t>
            </w:r>
          </w:p>
        </w:tc>
        <w:tc>
          <w:tcPr>
            <w:tcW w:w="1560" w:type="dxa"/>
            <w:tcBorders>
              <w:top w:val="single" w:color="auto" w:sz="4" w:space="0"/>
              <w:left w:val="nil"/>
              <w:bottom w:val="single" w:color="auto" w:sz="4" w:space="0"/>
              <w:right w:val="single" w:color="auto" w:sz="4" w:space="0"/>
            </w:tcBorders>
            <w:shd w:val="clear" w:color="auto" w:fill="BDD6EE" w:themeFill="accent1" w:themeFillTint="66"/>
            <w:vAlign w:val="center"/>
          </w:tcPr>
          <w:p w14:paraId="0E16D1E3">
            <w:pPr>
              <w:widowControl/>
              <w:tabs>
                <w:tab w:val="left" w:pos="1985"/>
              </w:tabs>
              <w:spacing w:line="20" w:lineRule="atLeast"/>
              <w:jc w:val="center"/>
              <w:rPr>
                <w:rFonts w:ascii="微软雅黑" w:hAnsi="微软雅黑" w:eastAsia="微软雅黑" w:cs="宋体"/>
                <w:b/>
                <w:kern w:val="0"/>
                <w:sz w:val="24"/>
                <w:szCs w:val="24"/>
              </w:rPr>
            </w:pPr>
            <w:r>
              <w:rPr>
                <w:rFonts w:hint="eastAsia" w:ascii="微软雅黑" w:hAnsi="微软雅黑" w:eastAsia="微软雅黑" w:cs="宋体"/>
                <w:b/>
                <w:kern w:val="0"/>
                <w:sz w:val="24"/>
                <w:szCs w:val="24"/>
              </w:rPr>
              <w:t>项目名称</w:t>
            </w:r>
          </w:p>
        </w:tc>
        <w:tc>
          <w:tcPr>
            <w:tcW w:w="1275" w:type="dxa"/>
            <w:tcBorders>
              <w:top w:val="single" w:color="auto" w:sz="4" w:space="0"/>
              <w:left w:val="nil"/>
              <w:bottom w:val="single" w:color="auto" w:sz="4" w:space="0"/>
              <w:right w:val="single" w:color="auto" w:sz="4" w:space="0"/>
            </w:tcBorders>
            <w:shd w:val="clear" w:color="auto" w:fill="BDD6EE" w:themeFill="accent1" w:themeFillTint="66"/>
            <w:vAlign w:val="center"/>
          </w:tcPr>
          <w:p w14:paraId="1C7EB235">
            <w:pPr>
              <w:widowControl/>
              <w:tabs>
                <w:tab w:val="left" w:pos="1985"/>
              </w:tabs>
              <w:spacing w:line="20" w:lineRule="atLeast"/>
              <w:jc w:val="center"/>
              <w:rPr>
                <w:rFonts w:ascii="微软雅黑" w:hAnsi="微软雅黑" w:eastAsia="微软雅黑" w:cs="宋体"/>
                <w:b/>
                <w:kern w:val="0"/>
                <w:sz w:val="24"/>
                <w:szCs w:val="24"/>
              </w:rPr>
            </w:pPr>
            <w:r>
              <w:rPr>
                <w:rFonts w:hint="eastAsia" w:ascii="微软雅黑" w:hAnsi="微软雅黑" w:eastAsia="微软雅黑" w:cs="宋体"/>
                <w:b/>
                <w:kern w:val="0"/>
                <w:sz w:val="24"/>
                <w:szCs w:val="24"/>
              </w:rPr>
              <w:t>所在地</w:t>
            </w:r>
          </w:p>
        </w:tc>
        <w:tc>
          <w:tcPr>
            <w:tcW w:w="993" w:type="dxa"/>
            <w:tcBorders>
              <w:top w:val="single" w:color="auto" w:sz="4" w:space="0"/>
              <w:left w:val="nil"/>
              <w:bottom w:val="single" w:color="auto" w:sz="4" w:space="0"/>
              <w:right w:val="single" w:color="auto" w:sz="4" w:space="0"/>
            </w:tcBorders>
            <w:shd w:val="clear" w:color="auto" w:fill="BDD6EE" w:themeFill="accent1" w:themeFillTint="66"/>
            <w:vAlign w:val="center"/>
          </w:tcPr>
          <w:p w14:paraId="43874C55">
            <w:pPr>
              <w:widowControl/>
              <w:tabs>
                <w:tab w:val="left" w:pos="1985"/>
              </w:tabs>
              <w:spacing w:line="20" w:lineRule="atLeast"/>
              <w:jc w:val="center"/>
              <w:rPr>
                <w:rFonts w:ascii="微软雅黑" w:hAnsi="微软雅黑" w:eastAsia="微软雅黑" w:cs="宋体"/>
                <w:b/>
                <w:kern w:val="0"/>
                <w:sz w:val="24"/>
                <w:szCs w:val="24"/>
              </w:rPr>
            </w:pPr>
            <w:r>
              <w:rPr>
                <w:rFonts w:hint="eastAsia" w:ascii="微软雅黑" w:hAnsi="微软雅黑" w:eastAsia="微软雅黑" w:cs="宋体"/>
                <w:b/>
                <w:kern w:val="0"/>
                <w:sz w:val="24"/>
                <w:szCs w:val="24"/>
              </w:rPr>
              <w:t>建设</w:t>
            </w:r>
          </w:p>
          <w:p w14:paraId="388831BF">
            <w:pPr>
              <w:widowControl/>
              <w:tabs>
                <w:tab w:val="left" w:pos="1985"/>
              </w:tabs>
              <w:spacing w:line="20" w:lineRule="atLeast"/>
              <w:jc w:val="center"/>
              <w:rPr>
                <w:rFonts w:ascii="微软雅黑" w:hAnsi="微软雅黑" w:eastAsia="微软雅黑" w:cs="宋体"/>
                <w:b/>
                <w:kern w:val="0"/>
                <w:sz w:val="24"/>
                <w:szCs w:val="24"/>
              </w:rPr>
            </w:pPr>
            <w:r>
              <w:rPr>
                <w:rFonts w:hint="eastAsia" w:ascii="微软雅黑" w:hAnsi="微软雅黑" w:eastAsia="微软雅黑" w:cs="宋体"/>
                <w:b/>
                <w:kern w:val="0"/>
                <w:sz w:val="24"/>
                <w:szCs w:val="24"/>
              </w:rPr>
              <w:t>性质</w:t>
            </w:r>
          </w:p>
        </w:tc>
        <w:tc>
          <w:tcPr>
            <w:tcW w:w="5103" w:type="dxa"/>
            <w:tcBorders>
              <w:top w:val="single" w:color="auto" w:sz="4" w:space="0"/>
              <w:left w:val="nil"/>
              <w:bottom w:val="single" w:color="auto" w:sz="4" w:space="0"/>
              <w:right w:val="single" w:color="auto" w:sz="4" w:space="0"/>
            </w:tcBorders>
            <w:shd w:val="clear" w:color="auto" w:fill="BDD6EE" w:themeFill="accent1" w:themeFillTint="66"/>
            <w:vAlign w:val="center"/>
          </w:tcPr>
          <w:p w14:paraId="5BE93032">
            <w:pPr>
              <w:widowControl/>
              <w:tabs>
                <w:tab w:val="left" w:pos="1985"/>
              </w:tabs>
              <w:spacing w:line="20" w:lineRule="atLeast"/>
              <w:jc w:val="center"/>
              <w:rPr>
                <w:rFonts w:ascii="微软雅黑" w:hAnsi="微软雅黑" w:eastAsia="微软雅黑" w:cs="宋体"/>
                <w:b/>
                <w:kern w:val="0"/>
                <w:sz w:val="24"/>
                <w:szCs w:val="24"/>
              </w:rPr>
            </w:pPr>
            <w:r>
              <w:rPr>
                <w:rFonts w:hint="eastAsia" w:ascii="微软雅黑" w:hAnsi="微软雅黑" w:eastAsia="微软雅黑" w:cs="宋体"/>
                <w:b/>
                <w:kern w:val="0"/>
                <w:sz w:val="24"/>
                <w:szCs w:val="24"/>
              </w:rPr>
              <w:t>主要建设内容与规模</w:t>
            </w:r>
          </w:p>
        </w:tc>
        <w:tc>
          <w:tcPr>
            <w:tcW w:w="1417" w:type="dxa"/>
            <w:tcBorders>
              <w:top w:val="single" w:color="auto" w:sz="4" w:space="0"/>
              <w:left w:val="nil"/>
              <w:bottom w:val="single" w:color="auto" w:sz="4" w:space="0"/>
              <w:right w:val="single" w:color="auto" w:sz="4" w:space="0"/>
            </w:tcBorders>
            <w:shd w:val="clear" w:color="auto" w:fill="BDD6EE" w:themeFill="accent1" w:themeFillTint="66"/>
            <w:vAlign w:val="center"/>
          </w:tcPr>
          <w:p w14:paraId="1BEAD6C4">
            <w:pPr>
              <w:widowControl/>
              <w:tabs>
                <w:tab w:val="left" w:pos="1985"/>
              </w:tabs>
              <w:spacing w:line="20" w:lineRule="atLeast"/>
              <w:jc w:val="center"/>
              <w:rPr>
                <w:rFonts w:ascii="微软雅黑" w:hAnsi="微软雅黑" w:eastAsia="微软雅黑" w:cs="宋体"/>
                <w:b/>
                <w:kern w:val="0"/>
                <w:sz w:val="24"/>
                <w:szCs w:val="24"/>
              </w:rPr>
            </w:pPr>
            <w:r>
              <w:rPr>
                <w:rFonts w:hint="eastAsia" w:ascii="微软雅黑" w:hAnsi="微软雅黑" w:eastAsia="微软雅黑" w:cs="宋体"/>
                <w:b/>
                <w:kern w:val="0"/>
                <w:sz w:val="24"/>
                <w:szCs w:val="24"/>
              </w:rPr>
              <w:t>起止</w:t>
            </w:r>
          </w:p>
          <w:p w14:paraId="1B3DE68F">
            <w:pPr>
              <w:widowControl/>
              <w:tabs>
                <w:tab w:val="left" w:pos="1985"/>
              </w:tabs>
              <w:spacing w:line="20" w:lineRule="atLeast"/>
              <w:jc w:val="center"/>
              <w:rPr>
                <w:rFonts w:ascii="微软雅黑" w:hAnsi="微软雅黑" w:eastAsia="微软雅黑" w:cs="宋体"/>
                <w:b/>
                <w:kern w:val="0"/>
                <w:sz w:val="24"/>
                <w:szCs w:val="24"/>
              </w:rPr>
            </w:pPr>
            <w:r>
              <w:rPr>
                <w:rFonts w:hint="eastAsia" w:ascii="微软雅黑" w:hAnsi="微软雅黑" w:eastAsia="微软雅黑" w:cs="宋体"/>
                <w:b/>
                <w:kern w:val="0"/>
                <w:sz w:val="24"/>
                <w:szCs w:val="24"/>
              </w:rPr>
              <w:t>年限</w:t>
            </w:r>
          </w:p>
        </w:tc>
        <w:tc>
          <w:tcPr>
            <w:tcW w:w="1276" w:type="dxa"/>
            <w:tcBorders>
              <w:top w:val="single" w:color="auto" w:sz="4" w:space="0"/>
              <w:left w:val="nil"/>
              <w:bottom w:val="single" w:color="auto" w:sz="4" w:space="0"/>
              <w:right w:val="single" w:color="auto" w:sz="4" w:space="0"/>
            </w:tcBorders>
            <w:shd w:val="clear" w:color="auto" w:fill="BDD6EE" w:themeFill="accent1" w:themeFillTint="66"/>
            <w:vAlign w:val="center"/>
          </w:tcPr>
          <w:p w14:paraId="30C2CF1F">
            <w:pPr>
              <w:widowControl/>
              <w:tabs>
                <w:tab w:val="left" w:pos="1985"/>
              </w:tabs>
              <w:spacing w:line="20" w:lineRule="atLeast"/>
              <w:jc w:val="center"/>
              <w:rPr>
                <w:rFonts w:ascii="微软雅黑" w:hAnsi="微软雅黑" w:eastAsia="微软雅黑" w:cs="宋体"/>
                <w:b/>
                <w:kern w:val="0"/>
                <w:sz w:val="24"/>
                <w:szCs w:val="24"/>
              </w:rPr>
            </w:pPr>
            <w:r>
              <w:rPr>
                <w:rFonts w:hint="eastAsia" w:ascii="微软雅黑" w:hAnsi="微软雅黑" w:eastAsia="微软雅黑" w:cs="宋体"/>
                <w:b/>
                <w:kern w:val="0"/>
                <w:sz w:val="24"/>
                <w:szCs w:val="24"/>
              </w:rPr>
              <w:t>总投资</w:t>
            </w:r>
            <w:r>
              <w:rPr>
                <w:rFonts w:hint="eastAsia" w:ascii="微软雅黑" w:hAnsi="微软雅黑" w:eastAsia="微软雅黑" w:cs="宋体"/>
                <w:b/>
                <w:kern w:val="0"/>
                <w:sz w:val="24"/>
                <w:szCs w:val="24"/>
              </w:rPr>
              <w:br w:type="textWrapping"/>
            </w:r>
            <w:r>
              <w:rPr>
                <w:rFonts w:hint="eastAsia" w:ascii="微软雅黑" w:hAnsi="微软雅黑" w:eastAsia="微软雅黑" w:cs="宋体"/>
                <w:b/>
                <w:kern w:val="0"/>
                <w:sz w:val="24"/>
                <w:szCs w:val="24"/>
              </w:rPr>
              <w:t>（亿元）</w:t>
            </w:r>
          </w:p>
        </w:tc>
        <w:tc>
          <w:tcPr>
            <w:tcW w:w="1134" w:type="dxa"/>
            <w:tcBorders>
              <w:top w:val="single" w:color="auto" w:sz="4" w:space="0"/>
              <w:left w:val="nil"/>
              <w:bottom w:val="single" w:color="auto" w:sz="4" w:space="0"/>
              <w:right w:val="single" w:color="auto" w:sz="4" w:space="0"/>
            </w:tcBorders>
            <w:shd w:val="clear" w:color="auto" w:fill="BDD6EE" w:themeFill="accent1" w:themeFillTint="66"/>
            <w:vAlign w:val="center"/>
          </w:tcPr>
          <w:p w14:paraId="3C90A391">
            <w:pPr>
              <w:widowControl/>
              <w:tabs>
                <w:tab w:val="left" w:pos="1985"/>
              </w:tabs>
              <w:spacing w:line="0" w:lineRule="atLeast"/>
              <w:jc w:val="center"/>
              <w:rPr>
                <w:rFonts w:ascii="微软雅黑" w:hAnsi="微软雅黑" w:eastAsia="微软雅黑" w:cs="宋体"/>
                <w:b/>
                <w:kern w:val="0"/>
                <w:sz w:val="24"/>
                <w:szCs w:val="24"/>
              </w:rPr>
            </w:pPr>
            <w:r>
              <w:rPr>
                <w:rFonts w:hint="eastAsia" w:ascii="微软雅黑" w:hAnsi="微软雅黑" w:eastAsia="微软雅黑" w:cs="宋体"/>
                <w:b/>
                <w:kern w:val="0"/>
                <w:sz w:val="24"/>
                <w:szCs w:val="24"/>
              </w:rPr>
              <w:t>项目进</w:t>
            </w:r>
            <w:r>
              <w:rPr>
                <w:rFonts w:hint="eastAsia" w:ascii="微软雅黑" w:hAnsi="微软雅黑" w:eastAsia="微软雅黑" w:cs="宋体"/>
                <w:b/>
                <w:kern w:val="0"/>
                <w:sz w:val="24"/>
                <w:szCs w:val="24"/>
              </w:rPr>
              <w:br w:type="textWrapping"/>
            </w:r>
            <w:r>
              <w:rPr>
                <w:rFonts w:hint="eastAsia" w:ascii="微软雅黑" w:hAnsi="微软雅黑" w:eastAsia="微软雅黑" w:cs="宋体"/>
                <w:b/>
                <w:kern w:val="0"/>
                <w:sz w:val="24"/>
                <w:szCs w:val="24"/>
              </w:rPr>
              <w:t>展情况</w:t>
            </w:r>
          </w:p>
        </w:tc>
        <w:tc>
          <w:tcPr>
            <w:tcW w:w="850" w:type="dxa"/>
            <w:tcBorders>
              <w:top w:val="single" w:color="auto" w:sz="4" w:space="0"/>
              <w:left w:val="nil"/>
              <w:bottom w:val="single" w:color="auto" w:sz="4" w:space="0"/>
              <w:right w:val="single" w:color="auto" w:sz="4" w:space="0"/>
            </w:tcBorders>
            <w:shd w:val="clear" w:color="auto" w:fill="BDD6EE" w:themeFill="accent1" w:themeFillTint="66"/>
          </w:tcPr>
          <w:p w14:paraId="362DCD6C">
            <w:pPr>
              <w:widowControl/>
              <w:tabs>
                <w:tab w:val="left" w:pos="1985"/>
              </w:tabs>
              <w:spacing w:line="0" w:lineRule="atLeast"/>
              <w:jc w:val="center"/>
              <w:rPr>
                <w:rFonts w:ascii="微软雅黑" w:hAnsi="微软雅黑" w:eastAsia="微软雅黑" w:cs="宋体"/>
                <w:b/>
                <w:kern w:val="0"/>
                <w:sz w:val="24"/>
                <w:szCs w:val="24"/>
              </w:rPr>
            </w:pPr>
            <w:r>
              <w:rPr>
                <w:rFonts w:hint="eastAsia" w:ascii="微软雅黑" w:hAnsi="微软雅黑" w:eastAsia="微软雅黑" w:cs="宋体"/>
                <w:b/>
                <w:kern w:val="0"/>
                <w:sz w:val="24"/>
                <w:szCs w:val="24"/>
              </w:rPr>
              <w:t>服务产业类别</w:t>
            </w:r>
          </w:p>
        </w:tc>
      </w:tr>
      <w:tr w14:paraId="13BE3EC6">
        <w:tblPrEx>
          <w:tblCellMar>
            <w:top w:w="0" w:type="dxa"/>
            <w:left w:w="108" w:type="dxa"/>
            <w:bottom w:w="0" w:type="dxa"/>
            <w:right w:w="108" w:type="dxa"/>
          </w:tblCellMar>
        </w:tblPrEx>
        <w:trPr>
          <w:trHeight w:val="761" w:hRule="atLeast"/>
          <w:jc w:val="center"/>
        </w:trPr>
        <w:tc>
          <w:tcPr>
            <w:tcW w:w="13320" w:type="dxa"/>
            <w:gridSpan w:val="8"/>
            <w:tcBorders>
              <w:top w:val="nil"/>
              <w:left w:val="single" w:color="auto" w:sz="4" w:space="0"/>
              <w:bottom w:val="single" w:color="auto" w:sz="4" w:space="0"/>
              <w:right w:val="single" w:color="auto" w:sz="4" w:space="0"/>
            </w:tcBorders>
            <w:vAlign w:val="center"/>
          </w:tcPr>
          <w:p w14:paraId="08F75681">
            <w:pPr>
              <w:widowControl/>
              <w:tabs>
                <w:tab w:val="left" w:pos="1985"/>
              </w:tabs>
              <w:spacing w:line="360" w:lineRule="auto"/>
              <w:jc w:val="center"/>
              <w:rPr>
                <w:rFonts w:ascii="宋体" w:hAnsi="宋体" w:eastAsia="宋体" w:cs="宋体"/>
                <w:b/>
                <w:kern w:val="0"/>
                <w:sz w:val="24"/>
                <w:szCs w:val="24"/>
              </w:rPr>
            </w:pPr>
            <w:r>
              <w:rPr>
                <w:rFonts w:hint="eastAsia" w:ascii="宋体" w:hAnsi="宋体" w:eastAsia="宋体" w:cs="宋体"/>
                <w:b/>
                <w:kern w:val="0"/>
                <w:sz w:val="24"/>
                <w:szCs w:val="24"/>
              </w:rPr>
              <w:t>（一）基础设施扩展提升工程</w:t>
            </w:r>
          </w:p>
        </w:tc>
        <w:tc>
          <w:tcPr>
            <w:tcW w:w="850" w:type="dxa"/>
            <w:tcBorders>
              <w:top w:val="nil"/>
              <w:left w:val="single" w:color="auto" w:sz="4" w:space="0"/>
              <w:bottom w:val="single" w:color="auto" w:sz="4" w:space="0"/>
              <w:right w:val="single" w:color="auto" w:sz="4" w:space="0"/>
            </w:tcBorders>
          </w:tcPr>
          <w:p w14:paraId="121E3A9F">
            <w:pPr>
              <w:widowControl/>
              <w:tabs>
                <w:tab w:val="left" w:pos="1985"/>
              </w:tabs>
              <w:spacing w:line="360" w:lineRule="auto"/>
              <w:jc w:val="center"/>
              <w:rPr>
                <w:rFonts w:ascii="宋体" w:hAnsi="宋体" w:eastAsia="宋体" w:cs="宋体"/>
                <w:b/>
                <w:kern w:val="0"/>
                <w:sz w:val="24"/>
                <w:szCs w:val="24"/>
              </w:rPr>
            </w:pPr>
          </w:p>
        </w:tc>
      </w:tr>
      <w:tr w14:paraId="1475EC0D">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047AF658">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1</w:t>
            </w:r>
          </w:p>
        </w:tc>
        <w:tc>
          <w:tcPr>
            <w:tcW w:w="1560" w:type="dxa"/>
            <w:tcBorders>
              <w:top w:val="nil"/>
              <w:left w:val="single" w:color="auto" w:sz="4" w:space="0"/>
              <w:bottom w:val="single" w:color="auto" w:sz="4" w:space="0"/>
              <w:right w:val="single" w:color="auto" w:sz="4" w:space="0"/>
            </w:tcBorders>
            <w:vAlign w:val="center"/>
          </w:tcPr>
          <w:p w14:paraId="7C493B39">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开发区铁路线项目</w:t>
            </w:r>
          </w:p>
        </w:tc>
        <w:tc>
          <w:tcPr>
            <w:tcW w:w="1275" w:type="dxa"/>
            <w:tcBorders>
              <w:top w:val="nil"/>
              <w:left w:val="nil"/>
              <w:bottom w:val="single" w:color="auto" w:sz="4" w:space="0"/>
              <w:right w:val="single" w:color="auto" w:sz="4" w:space="0"/>
            </w:tcBorders>
            <w:vAlign w:val="center"/>
          </w:tcPr>
          <w:p w14:paraId="2071EED2">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朝阳凌源经济开发区</w:t>
            </w:r>
          </w:p>
        </w:tc>
        <w:tc>
          <w:tcPr>
            <w:tcW w:w="993" w:type="dxa"/>
            <w:tcBorders>
              <w:top w:val="nil"/>
              <w:left w:val="nil"/>
              <w:bottom w:val="single" w:color="auto" w:sz="4" w:space="0"/>
              <w:right w:val="single" w:color="auto" w:sz="4" w:space="0"/>
            </w:tcBorders>
            <w:vAlign w:val="center"/>
          </w:tcPr>
          <w:p w14:paraId="4DE3C488">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35F771DE">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专用线长度4.4km。</w:t>
            </w:r>
          </w:p>
        </w:tc>
        <w:tc>
          <w:tcPr>
            <w:tcW w:w="1417" w:type="dxa"/>
            <w:tcBorders>
              <w:top w:val="nil"/>
              <w:left w:val="nil"/>
              <w:bottom w:val="single" w:color="auto" w:sz="4" w:space="0"/>
              <w:right w:val="single" w:color="auto" w:sz="4" w:space="0"/>
            </w:tcBorders>
            <w:vAlign w:val="center"/>
          </w:tcPr>
          <w:p w14:paraId="70D83108">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202</w:t>
            </w:r>
            <w:r>
              <w:rPr>
                <w:rFonts w:ascii="宋体" w:hAnsi="宋体" w:eastAsia="宋体" w:cs="宋体"/>
                <w:kern w:val="0"/>
                <w:sz w:val="24"/>
                <w:szCs w:val="24"/>
              </w:rPr>
              <w:t>1</w:t>
            </w:r>
            <w:r>
              <w:rPr>
                <w:rFonts w:hint="eastAsia" w:ascii="宋体" w:hAnsi="宋体" w:eastAsia="宋体" w:cs="宋体"/>
                <w:kern w:val="0"/>
                <w:sz w:val="24"/>
                <w:szCs w:val="24"/>
              </w:rPr>
              <w:t>-2022</w:t>
            </w:r>
          </w:p>
        </w:tc>
        <w:tc>
          <w:tcPr>
            <w:tcW w:w="1276" w:type="dxa"/>
            <w:tcBorders>
              <w:top w:val="nil"/>
              <w:left w:val="nil"/>
              <w:bottom w:val="single" w:color="auto" w:sz="4" w:space="0"/>
              <w:right w:val="single" w:color="auto" w:sz="4" w:space="0"/>
            </w:tcBorders>
            <w:vAlign w:val="center"/>
          </w:tcPr>
          <w:p w14:paraId="30DDE283">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9.9</w:t>
            </w:r>
          </w:p>
        </w:tc>
        <w:tc>
          <w:tcPr>
            <w:tcW w:w="1134" w:type="dxa"/>
            <w:tcBorders>
              <w:top w:val="nil"/>
              <w:left w:val="nil"/>
              <w:bottom w:val="single" w:color="auto" w:sz="4" w:space="0"/>
              <w:right w:val="single" w:color="auto" w:sz="4" w:space="0"/>
            </w:tcBorders>
            <w:vAlign w:val="center"/>
          </w:tcPr>
          <w:p w14:paraId="4B4796ED">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可研编制中</w:t>
            </w:r>
          </w:p>
        </w:tc>
        <w:tc>
          <w:tcPr>
            <w:tcW w:w="850" w:type="dxa"/>
            <w:tcBorders>
              <w:top w:val="nil"/>
              <w:left w:val="nil"/>
              <w:bottom w:val="single" w:color="auto" w:sz="4" w:space="0"/>
              <w:right w:val="single" w:color="auto" w:sz="4" w:space="0"/>
            </w:tcBorders>
            <w:vAlign w:val="center"/>
          </w:tcPr>
          <w:p w14:paraId="3251BD96">
            <w:pPr>
              <w:widowControl/>
              <w:tabs>
                <w:tab w:val="left" w:pos="1985"/>
              </w:tabs>
              <w:spacing w:line="360" w:lineRule="auto"/>
              <w:jc w:val="center"/>
              <w:textAlignment w:val="center"/>
              <w:rPr>
                <w:rFonts w:ascii="宋体" w:hAnsi="宋体" w:eastAsia="宋体" w:cs="宋体"/>
                <w:kern w:val="0"/>
                <w:sz w:val="24"/>
                <w:szCs w:val="24"/>
              </w:rPr>
            </w:pPr>
            <w:r>
              <w:rPr>
                <w:rFonts w:hint="eastAsia" w:ascii="宋体" w:hAnsi="宋体" w:eastAsia="宋体" w:cs="宋体"/>
                <w:kern w:val="0"/>
                <w:sz w:val="24"/>
                <w:szCs w:val="24"/>
              </w:rPr>
              <w:t>-</w:t>
            </w:r>
          </w:p>
        </w:tc>
      </w:tr>
      <w:tr w14:paraId="1B29F314">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0AED5C0F">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2</w:t>
            </w:r>
          </w:p>
        </w:tc>
        <w:tc>
          <w:tcPr>
            <w:tcW w:w="1560" w:type="dxa"/>
            <w:tcBorders>
              <w:top w:val="nil"/>
              <w:left w:val="single" w:color="auto" w:sz="4" w:space="0"/>
              <w:bottom w:val="single" w:color="auto" w:sz="4" w:space="0"/>
              <w:right w:val="single" w:color="auto" w:sz="4" w:space="0"/>
            </w:tcBorders>
            <w:vAlign w:val="center"/>
          </w:tcPr>
          <w:p w14:paraId="4EF15ACE">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朝阳凌源非金属新材料产业园区物流园铁路专用线项目</w:t>
            </w:r>
          </w:p>
        </w:tc>
        <w:tc>
          <w:tcPr>
            <w:tcW w:w="1275" w:type="dxa"/>
            <w:tcBorders>
              <w:top w:val="nil"/>
              <w:left w:val="nil"/>
              <w:bottom w:val="single" w:color="auto" w:sz="4" w:space="0"/>
              <w:right w:val="single" w:color="auto" w:sz="4" w:space="0"/>
            </w:tcBorders>
            <w:vAlign w:val="center"/>
          </w:tcPr>
          <w:p w14:paraId="1C3562E3">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三家子</w:t>
            </w:r>
          </w:p>
        </w:tc>
        <w:tc>
          <w:tcPr>
            <w:tcW w:w="993" w:type="dxa"/>
            <w:tcBorders>
              <w:top w:val="nil"/>
              <w:left w:val="nil"/>
              <w:bottom w:val="single" w:color="auto" w:sz="4" w:space="0"/>
              <w:right w:val="single" w:color="auto" w:sz="4" w:space="0"/>
            </w:tcBorders>
            <w:vAlign w:val="center"/>
          </w:tcPr>
          <w:p w14:paraId="471F4DF8">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16FF0314">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新建专用线正线长度6.3Km，新建三家子物流园区物流园站1座，设到发线4条，有效长度满足550m，牵出线1条，有效长度550m，边修线1条，有效长度120m，机待线5条，有效长度45m，货物线8条，有效装卸长度450m，设行车指挥站台1座，规模为50m×6m×0.3m，煤炭集装箱平货位2处，规模为450m×40m，冶金白灰集装箱平货位2处，规模为450m×30m，货物站台4座，规模为450m×40m×1.1m，货物站台上均设货物仓库1座，规模为440m×32m。远期到发线有效长度预留1050m，货物线装卸有效长度预留900m条件。占地面积900亩，项目建成后实现年吞吐量3200万吨。</w:t>
            </w:r>
          </w:p>
        </w:tc>
        <w:tc>
          <w:tcPr>
            <w:tcW w:w="1417" w:type="dxa"/>
            <w:tcBorders>
              <w:top w:val="nil"/>
              <w:left w:val="nil"/>
              <w:bottom w:val="single" w:color="auto" w:sz="4" w:space="0"/>
              <w:right w:val="single" w:color="auto" w:sz="4" w:space="0"/>
            </w:tcBorders>
            <w:vAlign w:val="center"/>
          </w:tcPr>
          <w:p w14:paraId="5025E3E4">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2021-2023</w:t>
            </w:r>
          </w:p>
        </w:tc>
        <w:tc>
          <w:tcPr>
            <w:tcW w:w="1276" w:type="dxa"/>
            <w:tcBorders>
              <w:top w:val="nil"/>
              <w:left w:val="nil"/>
              <w:bottom w:val="single" w:color="auto" w:sz="4" w:space="0"/>
              <w:right w:val="single" w:color="auto" w:sz="4" w:space="0"/>
            </w:tcBorders>
            <w:vAlign w:val="center"/>
          </w:tcPr>
          <w:p w14:paraId="58A4828F">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1134" w:type="dxa"/>
            <w:tcBorders>
              <w:top w:val="nil"/>
              <w:left w:val="nil"/>
              <w:bottom w:val="single" w:color="auto" w:sz="4" w:space="0"/>
              <w:right w:val="single" w:color="auto" w:sz="4" w:space="0"/>
            </w:tcBorders>
            <w:vAlign w:val="center"/>
          </w:tcPr>
          <w:p w14:paraId="3A3194E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nil"/>
              <w:left w:val="nil"/>
              <w:bottom w:val="single" w:color="auto" w:sz="4" w:space="0"/>
              <w:right w:val="single" w:color="auto" w:sz="4" w:space="0"/>
            </w:tcBorders>
            <w:vAlign w:val="center"/>
          </w:tcPr>
          <w:p w14:paraId="109C746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w:t>
            </w:r>
          </w:p>
        </w:tc>
      </w:tr>
      <w:tr w14:paraId="3B39ED41">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335F1098">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3</w:t>
            </w:r>
          </w:p>
        </w:tc>
        <w:tc>
          <w:tcPr>
            <w:tcW w:w="1560" w:type="dxa"/>
            <w:tcBorders>
              <w:top w:val="nil"/>
              <w:left w:val="single" w:color="auto" w:sz="4" w:space="0"/>
              <w:bottom w:val="single" w:color="auto" w:sz="4" w:space="0"/>
              <w:right w:val="single" w:color="auto" w:sz="4" w:space="0"/>
            </w:tcBorders>
            <w:vAlign w:val="center"/>
          </w:tcPr>
          <w:p w14:paraId="610C7840">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富源矿业铁路专用线项目</w:t>
            </w:r>
          </w:p>
        </w:tc>
        <w:tc>
          <w:tcPr>
            <w:tcW w:w="1275" w:type="dxa"/>
            <w:tcBorders>
              <w:top w:val="nil"/>
              <w:left w:val="nil"/>
              <w:bottom w:val="single" w:color="auto" w:sz="4" w:space="0"/>
              <w:right w:val="single" w:color="auto" w:sz="4" w:space="0"/>
            </w:tcBorders>
            <w:vAlign w:val="center"/>
          </w:tcPr>
          <w:p w14:paraId="366E11B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四合当</w:t>
            </w:r>
          </w:p>
        </w:tc>
        <w:tc>
          <w:tcPr>
            <w:tcW w:w="993" w:type="dxa"/>
            <w:tcBorders>
              <w:top w:val="nil"/>
              <w:left w:val="nil"/>
              <w:bottom w:val="single" w:color="auto" w:sz="4" w:space="0"/>
              <w:right w:val="single" w:color="auto" w:sz="4" w:space="0"/>
            </w:tcBorders>
            <w:vAlign w:val="center"/>
          </w:tcPr>
          <w:p w14:paraId="37AA1A28">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13BA3C5D">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金杖子车站至凌源富源矿业（四合当楼上村厂区）专用线13km，特大桥3000延长米/2座，终至楼上厂区，设厂区站。厂区站到发线3条（含正线1条），其中2条到发线兼货物线，有效长度1050m，机待线1条，有效长度45m，安全线2条，有效长度50m，货物站台2座，规模为900m×40m×1.1m，站台上均设置仓库，规模为880m×32m。占地约200亩，项目建成后实现年吞吐量2000万吨。</w:t>
            </w:r>
          </w:p>
        </w:tc>
        <w:tc>
          <w:tcPr>
            <w:tcW w:w="1417" w:type="dxa"/>
            <w:tcBorders>
              <w:top w:val="nil"/>
              <w:left w:val="nil"/>
              <w:bottom w:val="single" w:color="auto" w:sz="4" w:space="0"/>
              <w:right w:val="single" w:color="auto" w:sz="4" w:space="0"/>
            </w:tcBorders>
            <w:vAlign w:val="center"/>
          </w:tcPr>
          <w:p w14:paraId="6AAA685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2021-2023</w:t>
            </w:r>
          </w:p>
        </w:tc>
        <w:tc>
          <w:tcPr>
            <w:tcW w:w="1276" w:type="dxa"/>
            <w:tcBorders>
              <w:top w:val="nil"/>
              <w:left w:val="nil"/>
              <w:bottom w:val="single" w:color="auto" w:sz="4" w:space="0"/>
              <w:right w:val="single" w:color="auto" w:sz="4" w:space="0"/>
            </w:tcBorders>
            <w:vAlign w:val="center"/>
          </w:tcPr>
          <w:p w14:paraId="2672BAE9">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6.9</w:t>
            </w:r>
          </w:p>
        </w:tc>
        <w:tc>
          <w:tcPr>
            <w:tcW w:w="1134" w:type="dxa"/>
            <w:tcBorders>
              <w:top w:val="nil"/>
              <w:left w:val="nil"/>
              <w:bottom w:val="single" w:color="auto" w:sz="4" w:space="0"/>
              <w:right w:val="single" w:color="auto" w:sz="4" w:space="0"/>
            </w:tcBorders>
            <w:vAlign w:val="center"/>
          </w:tcPr>
          <w:p w14:paraId="1A79518A">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nil"/>
              <w:left w:val="nil"/>
              <w:bottom w:val="single" w:color="auto" w:sz="4" w:space="0"/>
              <w:right w:val="single" w:color="auto" w:sz="4" w:space="0"/>
            </w:tcBorders>
            <w:vAlign w:val="center"/>
          </w:tcPr>
          <w:p w14:paraId="2E1BB90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w:t>
            </w:r>
          </w:p>
        </w:tc>
      </w:tr>
      <w:tr w14:paraId="47E2854A">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384FB373">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560" w:type="dxa"/>
            <w:tcBorders>
              <w:top w:val="nil"/>
              <w:left w:val="single" w:color="auto" w:sz="4" w:space="0"/>
              <w:bottom w:val="single" w:color="auto" w:sz="4" w:space="0"/>
              <w:right w:val="single" w:color="auto" w:sz="4" w:space="0"/>
            </w:tcBorders>
            <w:vAlign w:val="center"/>
          </w:tcPr>
          <w:p w14:paraId="64A41EA3">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朝阳致远金融物流港铁路专用线</w:t>
            </w:r>
          </w:p>
        </w:tc>
        <w:tc>
          <w:tcPr>
            <w:tcW w:w="1275" w:type="dxa"/>
            <w:tcBorders>
              <w:top w:val="nil"/>
              <w:left w:val="nil"/>
              <w:bottom w:val="single" w:color="auto" w:sz="4" w:space="0"/>
              <w:right w:val="single" w:color="auto" w:sz="4" w:space="0"/>
            </w:tcBorders>
            <w:vAlign w:val="center"/>
          </w:tcPr>
          <w:p w14:paraId="0738479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朝阳凌源经济开发区</w:t>
            </w:r>
          </w:p>
        </w:tc>
        <w:tc>
          <w:tcPr>
            <w:tcW w:w="993" w:type="dxa"/>
            <w:tcBorders>
              <w:top w:val="nil"/>
              <w:left w:val="nil"/>
              <w:bottom w:val="single" w:color="auto" w:sz="4" w:space="0"/>
              <w:right w:val="single" w:color="auto" w:sz="4" w:space="0"/>
            </w:tcBorders>
            <w:vAlign w:val="center"/>
          </w:tcPr>
          <w:p w14:paraId="151ED5F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5B03B029">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从凌源东站西侧再引出一条铁路专用线，预计长度5km，采用社会化融资方式明确出资比例，主要建设多式联运场站、标准仓库、集装箱堆场、增值服务区等设施，并引入海关或根据需要适时设立两仓（进口保税仓和出口监管仓），项目建成后实现年吞吐量2000万吨。</w:t>
            </w:r>
          </w:p>
        </w:tc>
        <w:tc>
          <w:tcPr>
            <w:tcW w:w="1417" w:type="dxa"/>
            <w:tcBorders>
              <w:top w:val="nil"/>
              <w:left w:val="nil"/>
              <w:bottom w:val="single" w:color="auto" w:sz="4" w:space="0"/>
              <w:right w:val="single" w:color="auto" w:sz="4" w:space="0"/>
            </w:tcBorders>
            <w:vAlign w:val="center"/>
          </w:tcPr>
          <w:p w14:paraId="3789F4A7">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2024-2025</w:t>
            </w:r>
          </w:p>
        </w:tc>
        <w:tc>
          <w:tcPr>
            <w:tcW w:w="1276" w:type="dxa"/>
            <w:tcBorders>
              <w:top w:val="nil"/>
              <w:left w:val="nil"/>
              <w:bottom w:val="single" w:color="auto" w:sz="4" w:space="0"/>
              <w:right w:val="single" w:color="auto" w:sz="4" w:space="0"/>
            </w:tcBorders>
            <w:vAlign w:val="center"/>
          </w:tcPr>
          <w:p w14:paraId="427B89C1">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1134" w:type="dxa"/>
            <w:tcBorders>
              <w:top w:val="nil"/>
              <w:left w:val="nil"/>
              <w:bottom w:val="single" w:color="auto" w:sz="4" w:space="0"/>
              <w:right w:val="single" w:color="auto" w:sz="4" w:space="0"/>
            </w:tcBorders>
            <w:vAlign w:val="center"/>
          </w:tcPr>
          <w:p w14:paraId="186077D9">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nil"/>
              <w:left w:val="nil"/>
              <w:bottom w:val="single" w:color="auto" w:sz="4" w:space="0"/>
              <w:right w:val="single" w:color="auto" w:sz="4" w:space="0"/>
            </w:tcBorders>
            <w:vAlign w:val="center"/>
          </w:tcPr>
          <w:p w14:paraId="493CA08F">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w:t>
            </w:r>
          </w:p>
        </w:tc>
      </w:tr>
      <w:tr w14:paraId="677FF396">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5820505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1560" w:type="dxa"/>
            <w:tcBorders>
              <w:top w:val="nil"/>
              <w:left w:val="single" w:color="auto" w:sz="4" w:space="0"/>
              <w:bottom w:val="single" w:color="auto" w:sz="4" w:space="0"/>
              <w:right w:val="single" w:color="auto" w:sz="4" w:space="0"/>
            </w:tcBorders>
            <w:vAlign w:val="center"/>
          </w:tcPr>
          <w:p w14:paraId="6AB6AEA8">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京铁连接线新建工程（凌源南外环）</w:t>
            </w:r>
          </w:p>
        </w:tc>
        <w:tc>
          <w:tcPr>
            <w:tcW w:w="1275" w:type="dxa"/>
            <w:tcBorders>
              <w:top w:val="nil"/>
              <w:left w:val="nil"/>
              <w:bottom w:val="single" w:color="auto" w:sz="4" w:space="0"/>
              <w:right w:val="single" w:color="auto" w:sz="4" w:space="0"/>
            </w:tcBorders>
            <w:vAlign w:val="center"/>
          </w:tcPr>
          <w:p w14:paraId="7D5764CE">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凌源市</w:t>
            </w:r>
          </w:p>
        </w:tc>
        <w:tc>
          <w:tcPr>
            <w:tcW w:w="993" w:type="dxa"/>
            <w:tcBorders>
              <w:top w:val="nil"/>
              <w:left w:val="nil"/>
              <w:bottom w:val="single" w:color="auto" w:sz="4" w:space="0"/>
              <w:right w:val="single" w:color="auto" w:sz="4" w:space="0"/>
            </w:tcBorders>
            <w:vAlign w:val="center"/>
          </w:tcPr>
          <w:p w14:paraId="1CC323C1">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053F72C4">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全长10.9公里，路面宽12米，为二级公路。桥梁516.53m/7座，涵洞1047.66m/31道。道路建成后将与凌源市306线、老宽线、新改移的101线等国省干线共同构成凌源市大外环交通骨架，提高运输服务水平。</w:t>
            </w:r>
          </w:p>
        </w:tc>
        <w:tc>
          <w:tcPr>
            <w:tcW w:w="1417" w:type="dxa"/>
            <w:tcBorders>
              <w:top w:val="nil"/>
              <w:left w:val="nil"/>
              <w:bottom w:val="single" w:color="auto" w:sz="4" w:space="0"/>
              <w:right w:val="single" w:color="auto" w:sz="4" w:space="0"/>
            </w:tcBorders>
            <w:vAlign w:val="center"/>
          </w:tcPr>
          <w:p w14:paraId="6E227FE6">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2020-2022</w:t>
            </w:r>
          </w:p>
        </w:tc>
        <w:tc>
          <w:tcPr>
            <w:tcW w:w="1276" w:type="dxa"/>
            <w:tcBorders>
              <w:top w:val="nil"/>
              <w:left w:val="nil"/>
              <w:bottom w:val="single" w:color="auto" w:sz="4" w:space="0"/>
              <w:right w:val="single" w:color="auto" w:sz="4" w:space="0"/>
            </w:tcBorders>
            <w:vAlign w:val="center"/>
          </w:tcPr>
          <w:p w14:paraId="3C918B53">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w:t>
            </w:r>
          </w:p>
        </w:tc>
        <w:tc>
          <w:tcPr>
            <w:tcW w:w="1134" w:type="dxa"/>
            <w:tcBorders>
              <w:top w:val="nil"/>
              <w:left w:val="nil"/>
              <w:bottom w:val="single" w:color="auto" w:sz="4" w:space="0"/>
              <w:right w:val="single" w:color="auto" w:sz="4" w:space="0"/>
            </w:tcBorders>
            <w:vAlign w:val="center"/>
          </w:tcPr>
          <w:p w14:paraId="369AB0DE">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 xml:space="preserve">规划中 </w:t>
            </w:r>
          </w:p>
        </w:tc>
        <w:tc>
          <w:tcPr>
            <w:tcW w:w="850" w:type="dxa"/>
            <w:tcBorders>
              <w:top w:val="nil"/>
              <w:left w:val="nil"/>
              <w:bottom w:val="single" w:color="auto" w:sz="4" w:space="0"/>
              <w:right w:val="single" w:color="auto" w:sz="4" w:space="0"/>
            </w:tcBorders>
            <w:vAlign w:val="center"/>
          </w:tcPr>
          <w:p w14:paraId="31976E66">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w:t>
            </w:r>
          </w:p>
        </w:tc>
      </w:tr>
      <w:tr w14:paraId="4922E10A">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32B0B183">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1560" w:type="dxa"/>
            <w:tcBorders>
              <w:top w:val="nil"/>
              <w:left w:val="single" w:color="auto" w:sz="4" w:space="0"/>
              <w:bottom w:val="single" w:color="auto" w:sz="4" w:space="0"/>
              <w:right w:val="single" w:color="auto" w:sz="4" w:space="0"/>
            </w:tcBorders>
            <w:vAlign w:val="center"/>
          </w:tcPr>
          <w:p w14:paraId="3F96B74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绥珠线凌源绕城段新建工程</w:t>
            </w:r>
          </w:p>
        </w:tc>
        <w:tc>
          <w:tcPr>
            <w:tcW w:w="1275" w:type="dxa"/>
            <w:tcBorders>
              <w:top w:val="nil"/>
              <w:left w:val="nil"/>
              <w:bottom w:val="single" w:color="auto" w:sz="4" w:space="0"/>
              <w:right w:val="single" w:color="auto" w:sz="4" w:space="0"/>
            </w:tcBorders>
            <w:vAlign w:val="center"/>
          </w:tcPr>
          <w:p w14:paraId="1401B340">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小城子</w:t>
            </w:r>
          </w:p>
        </w:tc>
        <w:tc>
          <w:tcPr>
            <w:tcW w:w="993" w:type="dxa"/>
            <w:tcBorders>
              <w:top w:val="nil"/>
              <w:left w:val="nil"/>
              <w:bottom w:val="single" w:color="auto" w:sz="4" w:space="0"/>
              <w:right w:val="single" w:color="auto" w:sz="4" w:space="0"/>
            </w:tcBorders>
            <w:vAlign w:val="center"/>
          </w:tcPr>
          <w:p w14:paraId="20466848">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481B5751">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工程起点为凌源东大桥，终点为小城子，路段全长10.9公里，路面宽15米，按二级标准设计。凌源市规划通车里程：115.5公里。</w:t>
            </w:r>
          </w:p>
        </w:tc>
        <w:tc>
          <w:tcPr>
            <w:tcW w:w="1417" w:type="dxa"/>
            <w:tcBorders>
              <w:top w:val="nil"/>
              <w:left w:val="nil"/>
              <w:bottom w:val="single" w:color="auto" w:sz="4" w:space="0"/>
              <w:right w:val="single" w:color="auto" w:sz="4" w:space="0"/>
            </w:tcBorders>
            <w:vAlign w:val="center"/>
          </w:tcPr>
          <w:p w14:paraId="5BF18B00">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2020-2022</w:t>
            </w:r>
          </w:p>
        </w:tc>
        <w:tc>
          <w:tcPr>
            <w:tcW w:w="1276" w:type="dxa"/>
            <w:tcBorders>
              <w:top w:val="nil"/>
              <w:left w:val="nil"/>
              <w:bottom w:val="single" w:color="auto" w:sz="4" w:space="0"/>
              <w:right w:val="single" w:color="auto" w:sz="4" w:space="0"/>
            </w:tcBorders>
            <w:vAlign w:val="center"/>
          </w:tcPr>
          <w:p w14:paraId="5C6E7144">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w:t>
            </w:r>
          </w:p>
        </w:tc>
        <w:tc>
          <w:tcPr>
            <w:tcW w:w="1134" w:type="dxa"/>
            <w:tcBorders>
              <w:top w:val="nil"/>
              <w:left w:val="nil"/>
              <w:bottom w:val="single" w:color="auto" w:sz="4" w:space="0"/>
              <w:right w:val="single" w:color="auto" w:sz="4" w:space="0"/>
            </w:tcBorders>
            <w:vAlign w:val="center"/>
          </w:tcPr>
          <w:p w14:paraId="13FC179F">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nil"/>
              <w:left w:val="nil"/>
              <w:bottom w:val="single" w:color="auto" w:sz="4" w:space="0"/>
              <w:right w:val="single" w:color="auto" w:sz="4" w:space="0"/>
            </w:tcBorders>
            <w:vAlign w:val="center"/>
          </w:tcPr>
          <w:p w14:paraId="6D9AB15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w:t>
            </w:r>
          </w:p>
        </w:tc>
      </w:tr>
      <w:tr w14:paraId="4663A6BF">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5A2011E6">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1560" w:type="dxa"/>
            <w:tcBorders>
              <w:top w:val="nil"/>
              <w:left w:val="single" w:color="auto" w:sz="4" w:space="0"/>
              <w:bottom w:val="single" w:color="auto" w:sz="4" w:space="0"/>
              <w:right w:val="single" w:color="auto" w:sz="4" w:space="0"/>
            </w:tcBorders>
            <w:vAlign w:val="center"/>
          </w:tcPr>
          <w:p w14:paraId="1B5B998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凌源（蒙辽界）至绥中高速公路工程</w:t>
            </w:r>
          </w:p>
        </w:tc>
        <w:tc>
          <w:tcPr>
            <w:tcW w:w="1275" w:type="dxa"/>
            <w:tcBorders>
              <w:top w:val="nil"/>
              <w:left w:val="nil"/>
              <w:bottom w:val="single" w:color="auto" w:sz="4" w:space="0"/>
              <w:right w:val="single" w:color="auto" w:sz="4" w:space="0"/>
            </w:tcBorders>
            <w:vAlign w:val="center"/>
          </w:tcPr>
          <w:p w14:paraId="241D4B8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凌源市</w:t>
            </w:r>
          </w:p>
        </w:tc>
        <w:tc>
          <w:tcPr>
            <w:tcW w:w="993" w:type="dxa"/>
            <w:tcBorders>
              <w:top w:val="nil"/>
              <w:left w:val="nil"/>
              <w:bottom w:val="single" w:color="auto" w:sz="4" w:space="0"/>
              <w:right w:val="single" w:color="auto" w:sz="4" w:space="0"/>
            </w:tcBorders>
            <w:vAlign w:val="center"/>
          </w:tcPr>
          <w:p w14:paraId="12E81799">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6CDE04F9">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在凌源市境内路线里程约25.5公里，双向四车道，路基宽度26米，与赤峰一级路相连。</w:t>
            </w:r>
          </w:p>
        </w:tc>
        <w:tc>
          <w:tcPr>
            <w:tcW w:w="1417" w:type="dxa"/>
            <w:tcBorders>
              <w:top w:val="nil"/>
              <w:left w:val="nil"/>
              <w:bottom w:val="single" w:color="auto" w:sz="4" w:space="0"/>
              <w:right w:val="single" w:color="auto" w:sz="4" w:space="0"/>
            </w:tcBorders>
            <w:vAlign w:val="center"/>
          </w:tcPr>
          <w:p w14:paraId="1C71ADB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2020-2022</w:t>
            </w:r>
          </w:p>
        </w:tc>
        <w:tc>
          <w:tcPr>
            <w:tcW w:w="1276" w:type="dxa"/>
            <w:tcBorders>
              <w:top w:val="nil"/>
              <w:left w:val="nil"/>
              <w:bottom w:val="single" w:color="auto" w:sz="4" w:space="0"/>
              <w:right w:val="single" w:color="auto" w:sz="4" w:space="0"/>
            </w:tcBorders>
            <w:vAlign w:val="center"/>
          </w:tcPr>
          <w:p w14:paraId="5022C0B7">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w:t>
            </w:r>
          </w:p>
        </w:tc>
        <w:tc>
          <w:tcPr>
            <w:tcW w:w="1134" w:type="dxa"/>
            <w:tcBorders>
              <w:top w:val="nil"/>
              <w:left w:val="nil"/>
              <w:bottom w:val="single" w:color="auto" w:sz="4" w:space="0"/>
              <w:right w:val="single" w:color="auto" w:sz="4" w:space="0"/>
            </w:tcBorders>
            <w:vAlign w:val="center"/>
          </w:tcPr>
          <w:p w14:paraId="604807E4">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nil"/>
              <w:left w:val="nil"/>
              <w:bottom w:val="single" w:color="auto" w:sz="4" w:space="0"/>
              <w:right w:val="single" w:color="auto" w:sz="4" w:space="0"/>
            </w:tcBorders>
            <w:vAlign w:val="center"/>
          </w:tcPr>
          <w:p w14:paraId="43C01CDE">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w:t>
            </w:r>
          </w:p>
        </w:tc>
      </w:tr>
      <w:tr w14:paraId="4C7AD5B2">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7800BCF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1560" w:type="dxa"/>
            <w:tcBorders>
              <w:top w:val="nil"/>
              <w:left w:val="single" w:color="auto" w:sz="4" w:space="0"/>
              <w:bottom w:val="single" w:color="auto" w:sz="4" w:space="0"/>
              <w:right w:val="single" w:color="auto" w:sz="4" w:space="0"/>
            </w:tcBorders>
            <w:vAlign w:val="center"/>
          </w:tcPr>
          <w:p w14:paraId="4F5DFF76">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迁安至凌源高速公路工程</w:t>
            </w:r>
          </w:p>
        </w:tc>
        <w:tc>
          <w:tcPr>
            <w:tcW w:w="1275" w:type="dxa"/>
            <w:tcBorders>
              <w:top w:val="nil"/>
              <w:left w:val="nil"/>
              <w:bottom w:val="single" w:color="auto" w:sz="4" w:space="0"/>
              <w:right w:val="single" w:color="auto" w:sz="4" w:space="0"/>
            </w:tcBorders>
            <w:vAlign w:val="center"/>
          </w:tcPr>
          <w:p w14:paraId="641E2077">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凌源市</w:t>
            </w:r>
          </w:p>
        </w:tc>
        <w:tc>
          <w:tcPr>
            <w:tcW w:w="993" w:type="dxa"/>
            <w:tcBorders>
              <w:top w:val="nil"/>
              <w:left w:val="nil"/>
              <w:bottom w:val="single" w:color="auto" w:sz="4" w:space="0"/>
              <w:right w:val="single" w:color="auto" w:sz="4" w:space="0"/>
            </w:tcBorders>
            <w:vAlign w:val="center"/>
          </w:tcPr>
          <w:p w14:paraId="72D063D2">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3F927363">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在凌源市境内全长42.258公里，双向四车道，路基宽度25.5米。</w:t>
            </w:r>
          </w:p>
        </w:tc>
        <w:tc>
          <w:tcPr>
            <w:tcW w:w="1417" w:type="dxa"/>
            <w:tcBorders>
              <w:top w:val="nil"/>
              <w:left w:val="nil"/>
              <w:bottom w:val="single" w:color="auto" w:sz="4" w:space="0"/>
              <w:right w:val="single" w:color="auto" w:sz="4" w:space="0"/>
            </w:tcBorders>
            <w:vAlign w:val="center"/>
          </w:tcPr>
          <w:p w14:paraId="70617FC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2020-2022</w:t>
            </w:r>
          </w:p>
        </w:tc>
        <w:tc>
          <w:tcPr>
            <w:tcW w:w="1276" w:type="dxa"/>
            <w:tcBorders>
              <w:top w:val="nil"/>
              <w:left w:val="nil"/>
              <w:bottom w:val="single" w:color="auto" w:sz="4" w:space="0"/>
              <w:right w:val="single" w:color="auto" w:sz="4" w:space="0"/>
            </w:tcBorders>
            <w:vAlign w:val="center"/>
          </w:tcPr>
          <w:p w14:paraId="67707EF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w:t>
            </w:r>
          </w:p>
        </w:tc>
        <w:tc>
          <w:tcPr>
            <w:tcW w:w="1134" w:type="dxa"/>
            <w:tcBorders>
              <w:top w:val="nil"/>
              <w:left w:val="nil"/>
              <w:bottom w:val="single" w:color="auto" w:sz="4" w:space="0"/>
              <w:right w:val="single" w:color="auto" w:sz="4" w:space="0"/>
            </w:tcBorders>
            <w:vAlign w:val="center"/>
          </w:tcPr>
          <w:p w14:paraId="61C48DA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nil"/>
              <w:left w:val="nil"/>
              <w:bottom w:val="single" w:color="auto" w:sz="4" w:space="0"/>
              <w:right w:val="single" w:color="auto" w:sz="4" w:space="0"/>
            </w:tcBorders>
            <w:vAlign w:val="center"/>
          </w:tcPr>
          <w:p w14:paraId="3C9D1D2E">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w:t>
            </w:r>
          </w:p>
        </w:tc>
      </w:tr>
      <w:tr w14:paraId="31030CF7">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1F64F6F1">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1560" w:type="dxa"/>
            <w:tcBorders>
              <w:top w:val="nil"/>
              <w:left w:val="single" w:color="auto" w:sz="4" w:space="0"/>
              <w:bottom w:val="single" w:color="auto" w:sz="4" w:space="0"/>
              <w:right w:val="single" w:color="auto" w:sz="4" w:space="0"/>
            </w:tcBorders>
            <w:vAlign w:val="center"/>
          </w:tcPr>
          <w:p w14:paraId="7F6236E4">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省道老宽线改造工程</w:t>
            </w:r>
          </w:p>
        </w:tc>
        <w:tc>
          <w:tcPr>
            <w:tcW w:w="1275" w:type="dxa"/>
            <w:tcBorders>
              <w:top w:val="nil"/>
              <w:left w:val="nil"/>
              <w:bottom w:val="single" w:color="auto" w:sz="4" w:space="0"/>
              <w:right w:val="single" w:color="auto" w:sz="4" w:space="0"/>
            </w:tcBorders>
            <w:vAlign w:val="center"/>
          </w:tcPr>
          <w:p w14:paraId="75E0C3A2">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凌源市</w:t>
            </w:r>
          </w:p>
        </w:tc>
        <w:tc>
          <w:tcPr>
            <w:tcW w:w="993" w:type="dxa"/>
            <w:tcBorders>
              <w:top w:val="nil"/>
              <w:left w:val="nil"/>
              <w:bottom w:val="single" w:color="auto" w:sz="4" w:space="0"/>
              <w:right w:val="single" w:color="auto" w:sz="4" w:space="0"/>
            </w:tcBorders>
            <w:vAlign w:val="center"/>
          </w:tcPr>
          <w:p w14:paraId="4ABE12F7">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改造</w:t>
            </w:r>
          </w:p>
        </w:tc>
        <w:tc>
          <w:tcPr>
            <w:tcW w:w="5103" w:type="dxa"/>
            <w:tcBorders>
              <w:top w:val="nil"/>
              <w:left w:val="nil"/>
              <w:bottom w:val="single" w:color="auto" w:sz="4" w:space="0"/>
              <w:right w:val="single" w:color="auto" w:sz="4" w:space="0"/>
            </w:tcBorders>
            <w:vAlign w:val="center"/>
          </w:tcPr>
          <w:p w14:paraId="78EA63F8">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位于老宽线（K92+453-K161+516）东山岔口-大煤岭段。路线长度69.06公里，将路面原宽度8.5-14米加宽至24米，设计标准为公路一级。</w:t>
            </w:r>
          </w:p>
        </w:tc>
        <w:tc>
          <w:tcPr>
            <w:tcW w:w="1417" w:type="dxa"/>
            <w:tcBorders>
              <w:top w:val="nil"/>
              <w:left w:val="nil"/>
              <w:bottom w:val="single" w:color="auto" w:sz="4" w:space="0"/>
              <w:right w:val="single" w:color="auto" w:sz="4" w:space="0"/>
            </w:tcBorders>
            <w:vAlign w:val="center"/>
          </w:tcPr>
          <w:p w14:paraId="530A23E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2020-2025</w:t>
            </w:r>
          </w:p>
        </w:tc>
        <w:tc>
          <w:tcPr>
            <w:tcW w:w="1276" w:type="dxa"/>
            <w:tcBorders>
              <w:top w:val="nil"/>
              <w:left w:val="nil"/>
              <w:bottom w:val="single" w:color="auto" w:sz="4" w:space="0"/>
              <w:right w:val="single" w:color="auto" w:sz="4" w:space="0"/>
            </w:tcBorders>
            <w:vAlign w:val="center"/>
          </w:tcPr>
          <w:p w14:paraId="4710CDE8">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w:t>
            </w:r>
          </w:p>
        </w:tc>
        <w:tc>
          <w:tcPr>
            <w:tcW w:w="1134" w:type="dxa"/>
            <w:tcBorders>
              <w:top w:val="nil"/>
              <w:left w:val="nil"/>
              <w:bottom w:val="single" w:color="auto" w:sz="4" w:space="0"/>
              <w:right w:val="single" w:color="auto" w:sz="4" w:space="0"/>
            </w:tcBorders>
            <w:vAlign w:val="center"/>
          </w:tcPr>
          <w:p w14:paraId="6AB8077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nil"/>
              <w:left w:val="nil"/>
              <w:bottom w:val="single" w:color="auto" w:sz="4" w:space="0"/>
              <w:right w:val="single" w:color="auto" w:sz="4" w:space="0"/>
            </w:tcBorders>
            <w:vAlign w:val="center"/>
          </w:tcPr>
          <w:p w14:paraId="168931F1">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w:t>
            </w:r>
          </w:p>
        </w:tc>
      </w:tr>
      <w:tr w14:paraId="42938945">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5D152410">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1560" w:type="dxa"/>
            <w:tcBorders>
              <w:top w:val="nil"/>
              <w:left w:val="single" w:color="auto" w:sz="4" w:space="0"/>
              <w:bottom w:val="single" w:color="auto" w:sz="4" w:space="0"/>
              <w:right w:val="single" w:color="auto" w:sz="4" w:space="0"/>
            </w:tcBorders>
            <w:vAlign w:val="center"/>
          </w:tcPr>
          <w:p w14:paraId="3FCB2099">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凌源市京沈线改扩建工程</w:t>
            </w:r>
          </w:p>
          <w:p w14:paraId="0F156CD5">
            <w:pPr>
              <w:pStyle w:val="2"/>
            </w:pPr>
          </w:p>
        </w:tc>
        <w:tc>
          <w:tcPr>
            <w:tcW w:w="1275" w:type="dxa"/>
            <w:tcBorders>
              <w:top w:val="nil"/>
              <w:left w:val="nil"/>
              <w:bottom w:val="single" w:color="auto" w:sz="4" w:space="0"/>
              <w:right w:val="single" w:color="auto" w:sz="4" w:space="0"/>
            </w:tcBorders>
            <w:vAlign w:val="center"/>
          </w:tcPr>
          <w:p w14:paraId="43FCD3E3">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凌源市</w:t>
            </w:r>
          </w:p>
        </w:tc>
        <w:tc>
          <w:tcPr>
            <w:tcW w:w="993" w:type="dxa"/>
            <w:tcBorders>
              <w:top w:val="nil"/>
              <w:left w:val="nil"/>
              <w:bottom w:val="single" w:color="auto" w:sz="4" w:space="0"/>
              <w:right w:val="single" w:color="auto" w:sz="4" w:space="0"/>
            </w:tcBorders>
            <w:vAlign w:val="center"/>
          </w:tcPr>
          <w:p w14:paraId="55598142">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改造</w:t>
            </w:r>
          </w:p>
        </w:tc>
        <w:tc>
          <w:tcPr>
            <w:tcW w:w="5103" w:type="dxa"/>
            <w:tcBorders>
              <w:top w:val="nil"/>
              <w:left w:val="nil"/>
              <w:bottom w:val="single" w:color="auto" w:sz="4" w:space="0"/>
              <w:right w:val="single" w:color="auto" w:sz="4" w:space="0"/>
            </w:tcBorders>
            <w:vAlign w:val="center"/>
          </w:tcPr>
          <w:p w14:paraId="65C099FD">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起于京沈线（K377+208-K383+300）二十里堡大桥-八里堡段扩建工程，共6.1公里，一级公路，路面宽由原来10米扩建至24米。</w:t>
            </w:r>
          </w:p>
        </w:tc>
        <w:tc>
          <w:tcPr>
            <w:tcW w:w="1417" w:type="dxa"/>
            <w:tcBorders>
              <w:top w:val="nil"/>
              <w:left w:val="nil"/>
              <w:bottom w:val="single" w:color="auto" w:sz="4" w:space="0"/>
              <w:right w:val="single" w:color="auto" w:sz="4" w:space="0"/>
            </w:tcBorders>
            <w:vAlign w:val="center"/>
          </w:tcPr>
          <w:p w14:paraId="28E07706">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2020-2025</w:t>
            </w:r>
          </w:p>
        </w:tc>
        <w:tc>
          <w:tcPr>
            <w:tcW w:w="1276" w:type="dxa"/>
            <w:tcBorders>
              <w:top w:val="nil"/>
              <w:left w:val="nil"/>
              <w:bottom w:val="single" w:color="auto" w:sz="4" w:space="0"/>
              <w:right w:val="single" w:color="auto" w:sz="4" w:space="0"/>
            </w:tcBorders>
            <w:vAlign w:val="center"/>
          </w:tcPr>
          <w:p w14:paraId="4642DB2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w:t>
            </w:r>
          </w:p>
        </w:tc>
        <w:tc>
          <w:tcPr>
            <w:tcW w:w="1134" w:type="dxa"/>
            <w:tcBorders>
              <w:top w:val="nil"/>
              <w:left w:val="nil"/>
              <w:bottom w:val="single" w:color="auto" w:sz="4" w:space="0"/>
              <w:right w:val="single" w:color="auto" w:sz="4" w:space="0"/>
            </w:tcBorders>
            <w:vAlign w:val="center"/>
          </w:tcPr>
          <w:p w14:paraId="0DDF177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nil"/>
              <w:left w:val="nil"/>
              <w:bottom w:val="single" w:color="auto" w:sz="4" w:space="0"/>
              <w:right w:val="single" w:color="auto" w:sz="4" w:space="0"/>
            </w:tcBorders>
            <w:vAlign w:val="center"/>
          </w:tcPr>
          <w:p w14:paraId="486319C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w:t>
            </w:r>
          </w:p>
        </w:tc>
      </w:tr>
      <w:tr w14:paraId="4A1CB4F5">
        <w:tblPrEx>
          <w:tblCellMar>
            <w:top w:w="0" w:type="dxa"/>
            <w:left w:w="108" w:type="dxa"/>
            <w:bottom w:w="0" w:type="dxa"/>
            <w:right w:w="108" w:type="dxa"/>
          </w:tblCellMar>
        </w:tblPrEx>
        <w:trPr>
          <w:trHeight w:val="761" w:hRule="atLeast"/>
          <w:jc w:val="center"/>
        </w:trPr>
        <w:tc>
          <w:tcPr>
            <w:tcW w:w="13320" w:type="dxa"/>
            <w:gridSpan w:val="8"/>
            <w:tcBorders>
              <w:top w:val="nil"/>
              <w:left w:val="single" w:color="auto" w:sz="4" w:space="0"/>
              <w:bottom w:val="single" w:color="auto" w:sz="4" w:space="0"/>
              <w:right w:val="single" w:color="auto" w:sz="4" w:space="0"/>
            </w:tcBorders>
            <w:vAlign w:val="center"/>
          </w:tcPr>
          <w:p w14:paraId="3105E486">
            <w:pPr>
              <w:widowControl/>
              <w:tabs>
                <w:tab w:val="left" w:pos="1985"/>
              </w:tabs>
              <w:spacing w:line="360" w:lineRule="auto"/>
              <w:jc w:val="center"/>
              <w:rPr>
                <w:rFonts w:ascii="宋体" w:hAnsi="宋体" w:eastAsia="宋体" w:cs="宋体"/>
                <w:b/>
                <w:kern w:val="0"/>
                <w:sz w:val="24"/>
                <w:szCs w:val="24"/>
              </w:rPr>
            </w:pPr>
            <w:r>
              <w:rPr>
                <w:rFonts w:hint="eastAsia" w:ascii="宋体" w:hAnsi="宋体" w:eastAsia="宋体" w:cs="宋体"/>
                <w:b/>
                <w:kern w:val="0"/>
                <w:sz w:val="24"/>
                <w:szCs w:val="24"/>
              </w:rPr>
              <w:t>（二） 物流节点建设工程</w:t>
            </w:r>
          </w:p>
        </w:tc>
        <w:tc>
          <w:tcPr>
            <w:tcW w:w="850" w:type="dxa"/>
            <w:tcBorders>
              <w:top w:val="nil"/>
              <w:left w:val="single" w:color="auto" w:sz="4" w:space="0"/>
              <w:bottom w:val="single" w:color="auto" w:sz="4" w:space="0"/>
              <w:right w:val="single" w:color="auto" w:sz="4" w:space="0"/>
            </w:tcBorders>
          </w:tcPr>
          <w:p w14:paraId="10B28C3F">
            <w:pPr>
              <w:widowControl/>
              <w:tabs>
                <w:tab w:val="left" w:pos="1985"/>
              </w:tabs>
              <w:spacing w:line="360" w:lineRule="auto"/>
              <w:jc w:val="center"/>
              <w:rPr>
                <w:rFonts w:ascii="宋体" w:hAnsi="宋体" w:eastAsia="宋体" w:cs="宋体"/>
                <w:b/>
                <w:kern w:val="0"/>
                <w:sz w:val="24"/>
                <w:szCs w:val="24"/>
              </w:rPr>
            </w:pPr>
          </w:p>
        </w:tc>
      </w:tr>
      <w:tr w14:paraId="0E5AC674">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7CE838DC">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1</w:t>
            </w:r>
          </w:p>
        </w:tc>
        <w:tc>
          <w:tcPr>
            <w:tcW w:w="1560" w:type="dxa"/>
            <w:tcBorders>
              <w:top w:val="nil"/>
              <w:left w:val="single" w:color="auto" w:sz="4" w:space="0"/>
              <w:bottom w:val="single" w:color="auto" w:sz="4" w:space="0"/>
              <w:right w:val="single" w:color="auto" w:sz="4" w:space="0"/>
            </w:tcBorders>
            <w:vAlign w:val="center"/>
          </w:tcPr>
          <w:p w14:paraId="73DA5D29">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sz w:val="24"/>
                <w:szCs w:val="24"/>
              </w:rPr>
              <w:t>凌源市农产品商贸物流园</w:t>
            </w:r>
          </w:p>
        </w:tc>
        <w:tc>
          <w:tcPr>
            <w:tcW w:w="1275" w:type="dxa"/>
            <w:tcBorders>
              <w:top w:val="nil"/>
              <w:left w:val="nil"/>
              <w:bottom w:val="single" w:color="auto" w:sz="4" w:space="0"/>
              <w:right w:val="single" w:color="auto" w:sz="4" w:space="0"/>
            </w:tcBorders>
            <w:vAlign w:val="center"/>
          </w:tcPr>
          <w:p w14:paraId="1B34D6DF">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sz w:val="24"/>
                <w:szCs w:val="24"/>
              </w:rPr>
              <w:t>北炉</w:t>
            </w:r>
          </w:p>
        </w:tc>
        <w:tc>
          <w:tcPr>
            <w:tcW w:w="993" w:type="dxa"/>
            <w:tcBorders>
              <w:top w:val="nil"/>
              <w:left w:val="nil"/>
              <w:bottom w:val="single" w:color="auto" w:sz="4" w:space="0"/>
              <w:right w:val="single" w:color="auto" w:sz="4" w:space="0"/>
            </w:tcBorders>
            <w:vAlign w:val="center"/>
          </w:tcPr>
          <w:p w14:paraId="5523EEE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5E919944">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项目占地约6</w:t>
            </w:r>
            <w:r>
              <w:rPr>
                <w:rFonts w:ascii="宋体" w:hAnsi="宋体" w:eastAsia="宋体" w:cs="宋体"/>
                <w:kern w:val="0"/>
                <w:sz w:val="24"/>
                <w:szCs w:val="24"/>
              </w:rPr>
              <w:t>00</w:t>
            </w:r>
            <w:r>
              <w:rPr>
                <w:rFonts w:hint="eastAsia" w:ascii="宋体" w:hAnsi="宋体" w:eastAsia="宋体" w:cs="宋体"/>
                <w:kern w:val="0"/>
                <w:sz w:val="24"/>
                <w:szCs w:val="24"/>
              </w:rPr>
              <w:t>亩，主要建设农产品批发市场、集散中转中心、流通加工中心、冷链物流中心、农产品质量溯源中心、商务配套中心、农产品大数据中心等，打造成为辽冀蒙区域农产品市场交易、物流集散、质量检测、价格形成枢纽中心。</w:t>
            </w:r>
          </w:p>
        </w:tc>
        <w:tc>
          <w:tcPr>
            <w:tcW w:w="1417" w:type="dxa"/>
            <w:tcBorders>
              <w:top w:val="nil"/>
              <w:left w:val="nil"/>
              <w:bottom w:val="single" w:color="auto" w:sz="4" w:space="0"/>
              <w:right w:val="single" w:color="auto" w:sz="4" w:space="0"/>
            </w:tcBorders>
            <w:vAlign w:val="center"/>
          </w:tcPr>
          <w:p w14:paraId="12B1B520">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2021-2025</w:t>
            </w:r>
          </w:p>
        </w:tc>
        <w:tc>
          <w:tcPr>
            <w:tcW w:w="1276" w:type="dxa"/>
            <w:tcBorders>
              <w:top w:val="nil"/>
              <w:left w:val="nil"/>
              <w:bottom w:val="single" w:color="auto" w:sz="4" w:space="0"/>
              <w:right w:val="single" w:color="auto" w:sz="4" w:space="0"/>
            </w:tcBorders>
            <w:vAlign w:val="center"/>
          </w:tcPr>
          <w:p w14:paraId="467E43E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w:t>
            </w:r>
            <w:r>
              <w:rPr>
                <w:rFonts w:ascii="宋体" w:hAnsi="宋体" w:eastAsia="宋体" w:cs="宋体"/>
                <w:kern w:val="0"/>
                <w:sz w:val="24"/>
                <w:szCs w:val="24"/>
              </w:rPr>
              <w:t>5</w:t>
            </w:r>
          </w:p>
        </w:tc>
        <w:tc>
          <w:tcPr>
            <w:tcW w:w="1134" w:type="dxa"/>
            <w:tcBorders>
              <w:top w:val="nil"/>
              <w:left w:val="nil"/>
              <w:bottom w:val="single" w:color="auto" w:sz="4" w:space="0"/>
              <w:right w:val="single" w:color="auto" w:sz="4" w:space="0"/>
            </w:tcBorders>
            <w:vAlign w:val="center"/>
          </w:tcPr>
          <w:p w14:paraId="7500908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nil"/>
              <w:left w:val="nil"/>
              <w:bottom w:val="single" w:color="auto" w:sz="4" w:space="0"/>
              <w:right w:val="single" w:color="auto" w:sz="4" w:space="0"/>
            </w:tcBorders>
            <w:vAlign w:val="center"/>
          </w:tcPr>
          <w:p w14:paraId="31B52BB7">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第一产业</w:t>
            </w:r>
          </w:p>
        </w:tc>
      </w:tr>
      <w:tr w14:paraId="0A4CE7BF">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2707774C">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2</w:t>
            </w:r>
          </w:p>
        </w:tc>
        <w:tc>
          <w:tcPr>
            <w:tcW w:w="1560" w:type="dxa"/>
            <w:tcBorders>
              <w:top w:val="nil"/>
              <w:left w:val="single" w:color="auto" w:sz="4" w:space="0"/>
              <w:bottom w:val="single" w:color="auto" w:sz="4" w:space="0"/>
              <w:right w:val="single" w:color="auto" w:sz="4" w:space="0"/>
            </w:tcBorders>
            <w:vAlign w:val="center"/>
          </w:tcPr>
          <w:p w14:paraId="64787573">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sz w:val="24"/>
                <w:szCs w:val="24"/>
              </w:rPr>
              <w:t>凌源市农产品加工园区小城子分园配套物流园</w:t>
            </w:r>
          </w:p>
        </w:tc>
        <w:tc>
          <w:tcPr>
            <w:tcW w:w="1275" w:type="dxa"/>
            <w:tcBorders>
              <w:top w:val="nil"/>
              <w:left w:val="nil"/>
              <w:bottom w:val="single" w:color="auto" w:sz="4" w:space="0"/>
              <w:right w:val="single" w:color="auto" w:sz="4" w:space="0"/>
            </w:tcBorders>
            <w:vAlign w:val="center"/>
          </w:tcPr>
          <w:p w14:paraId="7C3EAA9E">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sz w:val="24"/>
                <w:szCs w:val="24"/>
              </w:rPr>
              <w:t>小城子镇</w:t>
            </w:r>
          </w:p>
        </w:tc>
        <w:tc>
          <w:tcPr>
            <w:tcW w:w="993" w:type="dxa"/>
            <w:tcBorders>
              <w:top w:val="nil"/>
              <w:left w:val="nil"/>
              <w:bottom w:val="single" w:color="auto" w:sz="4" w:space="0"/>
              <w:right w:val="single" w:color="auto" w:sz="4" w:space="0"/>
            </w:tcBorders>
            <w:vAlign w:val="center"/>
          </w:tcPr>
          <w:p w14:paraId="0B247A8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117DE5D0">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凌源市农产品加工园区小城子分园配套物流园规划物流仓储用地面积为</w:t>
            </w:r>
            <w:r>
              <w:rPr>
                <w:rFonts w:ascii="宋体" w:hAnsi="宋体" w:eastAsia="宋体" w:cs="宋体"/>
                <w:kern w:val="0"/>
                <w:sz w:val="24"/>
                <w:szCs w:val="24"/>
              </w:rPr>
              <w:t>5</w:t>
            </w:r>
            <w:r>
              <w:rPr>
                <w:rFonts w:hint="eastAsia" w:ascii="宋体" w:hAnsi="宋体" w:eastAsia="宋体" w:cs="宋体"/>
                <w:kern w:val="0"/>
                <w:sz w:val="24"/>
                <w:szCs w:val="24"/>
              </w:rPr>
              <w:t>.84公顷，占总建设用地比例为</w:t>
            </w:r>
            <w:r>
              <w:rPr>
                <w:rFonts w:ascii="宋体" w:hAnsi="宋体" w:eastAsia="宋体" w:cs="宋体"/>
                <w:kern w:val="0"/>
                <w:sz w:val="24"/>
                <w:szCs w:val="24"/>
              </w:rPr>
              <w:t>0</w:t>
            </w:r>
            <w:r>
              <w:rPr>
                <w:rFonts w:hint="eastAsia" w:ascii="宋体" w:hAnsi="宋体" w:eastAsia="宋体" w:cs="宋体"/>
                <w:kern w:val="0"/>
                <w:sz w:val="24"/>
                <w:szCs w:val="24"/>
              </w:rPr>
              <w:t>.</w:t>
            </w:r>
            <w:r>
              <w:rPr>
                <w:rFonts w:ascii="宋体" w:hAnsi="宋体" w:eastAsia="宋体" w:cs="宋体"/>
                <w:kern w:val="0"/>
                <w:sz w:val="24"/>
                <w:szCs w:val="24"/>
              </w:rPr>
              <w:t>55</w:t>
            </w:r>
            <w:r>
              <w:rPr>
                <w:rFonts w:hint="eastAsia" w:ascii="宋体" w:hAnsi="宋体" w:eastAsia="宋体" w:cs="宋体"/>
                <w:kern w:val="0"/>
                <w:sz w:val="24"/>
                <w:szCs w:val="24"/>
              </w:rPr>
              <w:t>%，主要服务于花卉等高端农产品精深加工业务，以及部分畜牧农产品物流服务。</w:t>
            </w:r>
          </w:p>
        </w:tc>
        <w:tc>
          <w:tcPr>
            <w:tcW w:w="1417" w:type="dxa"/>
            <w:tcBorders>
              <w:top w:val="nil"/>
              <w:left w:val="nil"/>
              <w:bottom w:val="single" w:color="auto" w:sz="4" w:space="0"/>
              <w:right w:val="single" w:color="auto" w:sz="4" w:space="0"/>
            </w:tcBorders>
            <w:vAlign w:val="center"/>
          </w:tcPr>
          <w:p w14:paraId="25E622B3">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2021-2025</w:t>
            </w:r>
          </w:p>
        </w:tc>
        <w:tc>
          <w:tcPr>
            <w:tcW w:w="1276" w:type="dxa"/>
            <w:tcBorders>
              <w:top w:val="nil"/>
              <w:left w:val="nil"/>
              <w:bottom w:val="single" w:color="auto" w:sz="4" w:space="0"/>
              <w:right w:val="single" w:color="auto" w:sz="4" w:space="0"/>
            </w:tcBorders>
            <w:vAlign w:val="center"/>
          </w:tcPr>
          <w:p w14:paraId="08CDE11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134" w:type="dxa"/>
            <w:tcBorders>
              <w:top w:val="nil"/>
              <w:left w:val="nil"/>
              <w:bottom w:val="single" w:color="auto" w:sz="4" w:space="0"/>
              <w:right w:val="single" w:color="auto" w:sz="4" w:space="0"/>
            </w:tcBorders>
            <w:vAlign w:val="center"/>
          </w:tcPr>
          <w:p w14:paraId="5D418580">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nil"/>
              <w:left w:val="nil"/>
              <w:bottom w:val="single" w:color="auto" w:sz="4" w:space="0"/>
              <w:right w:val="single" w:color="auto" w:sz="4" w:space="0"/>
            </w:tcBorders>
            <w:vAlign w:val="center"/>
          </w:tcPr>
          <w:p w14:paraId="35AB5E49">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第一产业</w:t>
            </w:r>
          </w:p>
        </w:tc>
      </w:tr>
      <w:tr w14:paraId="40E991C7">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0222C5A9">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3</w:t>
            </w:r>
          </w:p>
        </w:tc>
        <w:tc>
          <w:tcPr>
            <w:tcW w:w="1560" w:type="dxa"/>
            <w:tcBorders>
              <w:top w:val="nil"/>
              <w:left w:val="single" w:color="auto" w:sz="4" w:space="0"/>
              <w:bottom w:val="single" w:color="auto" w:sz="4" w:space="0"/>
              <w:right w:val="single" w:color="auto" w:sz="4" w:space="0"/>
            </w:tcBorders>
            <w:vAlign w:val="center"/>
          </w:tcPr>
          <w:p w14:paraId="0B05A01E">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凌源农业科工贸数字物流产业园</w:t>
            </w:r>
          </w:p>
        </w:tc>
        <w:tc>
          <w:tcPr>
            <w:tcW w:w="1275" w:type="dxa"/>
            <w:tcBorders>
              <w:top w:val="nil"/>
              <w:left w:val="nil"/>
              <w:bottom w:val="single" w:color="auto" w:sz="4" w:space="0"/>
              <w:right w:val="single" w:color="auto" w:sz="4" w:space="0"/>
            </w:tcBorders>
            <w:vAlign w:val="center"/>
          </w:tcPr>
          <w:p w14:paraId="71DC497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八里堡与康熙八旗酒业之间</w:t>
            </w:r>
          </w:p>
        </w:tc>
        <w:tc>
          <w:tcPr>
            <w:tcW w:w="993" w:type="dxa"/>
            <w:tcBorders>
              <w:top w:val="nil"/>
              <w:left w:val="nil"/>
              <w:bottom w:val="single" w:color="auto" w:sz="4" w:space="0"/>
              <w:right w:val="single" w:color="auto" w:sz="4" w:space="0"/>
            </w:tcBorders>
            <w:vAlign w:val="center"/>
          </w:tcPr>
          <w:p w14:paraId="2AFB04EF">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7AF8FDB1">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规划面积约550亩，集聚农产品深加工企业、农产品商贸及电商企业和农产品冷链物流企业，重点发展农产品深加工、果蔬物流、花卉物流、肉类物流等，打造集加工、商贸、物流一体化的农产品相关产业聚集区。</w:t>
            </w:r>
          </w:p>
        </w:tc>
        <w:tc>
          <w:tcPr>
            <w:tcW w:w="1417" w:type="dxa"/>
            <w:tcBorders>
              <w:top w:val="nil"/>
              <w:left w:val="nil"/>
              <w:bottom w:val="single" w:color="auto" w:sz="4" w:space="0"/>
              <w:right w:val="single" w:color="auto" w:sz="4" w:space="0"/>
            </w:tcBorders>
            <w:vAlign w:val="center"/>
          </w:tcPr>
          <w:p w14:paraId="3D296A5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2021-2023</w:t>
            </w:r>
          </w:p>
        </w:tc>
        <w:tc>
          <w:tcPr>
            <w:tcW w:w="1276" w:type="dxa"/>
            <w:tcBorders>
              <w:top w:val="nil"/>
              <w:left w:val="nil"/>
              <w:bottom w:val="single" w:color="auto" w:sz="4" w:space="0"/>
              <w:right w:val="single" w:color="auto" w:sz="4" w:space="0"/>
            </w:tcBorders>
            <w:vAlign w:val="center"/>
          </w:tcPr>
          <w:p w14:paraId="78E1229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13.5</w:t>
            </w:r>
          </w:p>
        </w:tc>
        <w:tc>
          <w:tcPr>
            <w:tcW w:w="1134" w:type="dxa"/>
            <w:tcBorders>
              <w:top w:val="nil"/>
              <w:left w:val="nil"/>
              <w:bottom w:val="single" w:color="auto" w:sz="4" w:space="0"/>
              <w:right w:val="single" w:color="auto" w:sz="4" w:space="0"/>
            </w:tcBorders>
            <w:vAlign w:val="center"/>
          </w:tcPr>
          <w:p w14:paraId="6FF98B71">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nil"/>
              <w:left w:val="nil"/>
              <w:bottom w:val="single" w:color="auto" w:sz="4" w:space="0"/>
              <w:right w:val="single" w:color="auto" w:sz="4" w:space="0"/>
            </w:tcBorders>
            <w:vAlign w:val="center"/>
          </w:tcPr>
          <w:p w14:paraId="5367670F">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第一产业</w:t>
            </w:r>
          </w:p>
        </w:tc>
      </w:tr>
      <w:tr w14:paraId="04A350A1">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37A4F0F1">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4</w:t>
            </w:r>
          </w:p>
        </w:tc>
        <w:tc>
          <w:tcPr>
            <w:tcW w:w="1560" w:type="dxa"/>
            <w:tcBorders>
              <w:top w:val="nil"/>
              <w:left w:val="single" w:color="auto" w:sz="4" w:space="0"/>
              <w:bottom w:val="single" w:color="auto" w:sz="4" w:space="0"/>
              <w:right w:val="single" w:color="auto" w:sz="4" w:space="0"/>
            </w:tcBorders>
            <w:vAlign w:val="center"/>
          </w:tcPr>
          <w:p w14:paraId="4DBC0F7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凌源市城市绿色农产品配送中心</w:t>
            </w:r>
          </w:p>
        </w:tc>
        <w:tc>
          <w:tcPr>
            <w:tcW w:w="1275" w:type="dxa"/>
            <w:tcBorders>
              <w:top w:val="nil"/>
              <w:left w:val="nil"/>
              <w:bottom w:val="single" w:color="auto" w:sz="4" w:space="0"/>
              <w:right w:val="single" w:color="auto" w:sz="4" w:space="0"/>
            </w:tcBorders>
            <w:vAlign w:val="center"/>
          </w:tcPr>
          <w:p w14:paraId="42AB0241">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宋杖子</w:t>
            </w:r>
          </w:p>
        </w:tc>
        <w:tc>
          <w:tcPr>
            <w:tcW w:w="993" w:type="dxa"/>
            <w:tcBorders>
              <w:top w:val="nil"/>
              <w:left w:val="nil"/>
              <w:bottom w:val="single" w:color="auto" w:sz="4" w:space="0"/>
              <w:right w:val="single" w:color="auto" w:sz="4" w:space="0"/>
            </w:tcBorders>
            <w:vAlign w:val="center"/>
          </w:tcPr>
          <w:p w14:paraId="35825B4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64F42FDE">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规划面积200亩，主要建设办公楼、农产品交易大厅、检测室、恒温库、生产车间、包装车间等。项目建成后将成为凌源市绿色农产品配送的重要节点。</w:t>
            </w:r>
          </w:p>
        </w:tc>
        <w:tc>
          <w:tcPr>
            <w:tcW w:w="1417" w:type="dxa"/>
            <w:tcBorders>
              <w:top w:val="nil"/>
              <w:left w:val="nil"/>
              <w:bottom w:val="single" w:color="auto" w:sz="4" w:space="0"/>
              <w:right w:val="single" w:color="auto" w:sz="4" w:space="0"/>
            </w:tcBorders>
            <w:vAlign w:val="center"/>
          </w:tcPr>
          <w:p w14:paraId="06DD54A2">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2021-2022</w:t>
            </w:r>
          </w:p>
        </w:tc>
        <w:tc>
          <w:tcPr>
            <w:tcW w:w="1276" w:type="dxa"/>
            <w:tcBorders>
              <w:top w:val="nil"/>
              <w:left w:val="nil"/>
              <w:bottom w:val="single" w:color="auto" w:sz="4" w:space="0"/>
              <w:right w:val="single" w:color="auto" w:sz="4" w:space="0"/>
            </w:tcBorders>
            <w:vAlign w:val="center"/>
          </w:tcPr>
          <w:p w14:paraId="74047D6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w:t>
            </w:r>
            <w:r>
              <w:rPr>
                <w:rFonts w:ascii="宋体" w:hAnsi="宋体" w:eastAsia="宋体" w:cs="宋体"/>
                <w:kern w:val="0"/>
                <w:sz w:val="24"/>
                <w:szCs w:val="24"/>
              </w:rPr>
              <w:t>25</w:t>
            </w:r>
          </w:p>
        </w:tc>
        <w:tc>
          <w:tcPr>
            <w:tcW w:w="1134" w:type="dxa"/>
            <w:tcBorders>
              <w:top w:val="nil"/>
              <w:left w:val="nil"/>
              <w:bottom w:val="single" w:color="auto" w:sz="4" w:space="0"/>
              <w:right w:val="single" w:color="auto" w:sz="4" w:space="0"/>
            </w:tcBorders>
            <w:vAlign w:val="center"/>
          </w:tcPr>
          <w:p w14:paraId="6B4CAFB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建设中</w:t>
            </w:r>
          </w:p>
        </w:tc>
        <w:tc>
          <w:tcPr>
            <w:tcW w:w="850" w:type="dxa"/>
            <w:tcBorders>
              <w:top w:val="nil"/>
              <w:left w:val="nil"/>
              <w:bottom w:val="single" w:color="auto" w:sz="4" w:space="0"/>
              <w:right w:val="single" w:color="auto" w:sz="4" w:space="0"/>
            </w:tcBorders>
            <w:vAlign w:val="center"/>
          </w:tcPr>
          <w:p w14:paraId="77FECA49">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第一产业</w:t>
            </w:r>
          </w:p>
        </w:tc>
      </w:tr>
      <w:tr w14:paraId="4E45D055">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23EFD852">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5</w:t>
            </w:r>
          </w:p>
        </w:tc>
        <w:tc>
          <w:tcPr>
            <w:tcW w:w="1560" w:type="dxa"/>
            <w:tcBorders>
              <w:top w:val="nil"/>
              <w:left w:val="single" w:color="auto" w:sz="4" w:space="0"/>
              <w:bottom w:val="single" w:color="auto" w:sz="4" w:space="0"/>
              <w:right w:val="single" w:color="auto" w:sz="4" w:space="0"/>
            </w:tcBorders>
            <w:vAlign w:val="center"/>
          </w:tcPr>
          <w:p w14:paraId="434A7E1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青怡坊新型花卉交易中心</w:t>
            </w:r>
          </w:p>
        </w:tc>
        <w:tc>
          <w:tcPr>
            <w:tcW w:w="1275" w:type="dxa"/>
            <w:tcBorders>
              <w:top w:val="nil"/>
              <w:left w:val="nil"/>
              <w:bottom w:val="single" w:color="auto" w:sz="4" w:space="0"/>
              <w:right w:val="single" w:color="auto" w:sz="4" w:space="0"/>
            </w:tcBorders>
            <w:vAlign w:val="center"/>
          </w:tcPr>
          <w:p w14:paraId="1BD4B41E">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宋杖子</w:t>
            </w:r>
          </w:p>
        </w:tc>
        <w:tc>
          <w:tcPr>
            <w:tcW w:w="993" w:type="dxa"/>
            <w:tcBorders>
              <w:top w:val="nil"/>
              <w:left w:val="nil"/>
              <w:bottom w:val="single" w:color="auto" w:sz="4" w:space="0"/>
              <w:right w:val="single" w:color="auto" w:sz="4" w:space="0"/>
            </w:tcBorders>
            <w:vAlign w:val="center"/>
          </w:tcPr>
          <w:p w14:paraId="4A0EA25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2E779DDB">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规划面积100亩，建设以花卉交易、礼品包装、恒温存储为主的集约式服务中心，重点发展花卉产品的恒温仓储、流通加工及配送业务，打造凌源市花卉市场的交易和物流服务中心。</w:t>
            </w:r>
          </w:p>
        </w:tc>
        <w:tc>
          <w:tcPr>
            <w:tcW w:w="1417" w:type="dxa"/>
            <w:tcBorders>
              <w:top w:val="nil"/>
              <w:left w:val="nil"/>
              <w:bottom w:val="single" w:color="auto" w:sz="4" w:space="0"/>
              <w:right w:val="single" w:color="auto" w:sz="4" w:space="0"/>
            </w:tcBorders>
            <w:vAlign w:val="center"/>
          </w:tcPr>
          <w:p w14:paraId="3DEFACC1">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w:t>
            </w:r>
            <w:r>
              <w:rPr>
                <w:rFonts w:ascii="宋体" w:hAnsi="宋体" w:eastAsia="宋体" w:cs="宋体"/>
                <w:kern w:val="0"/>
                <w:sz w:val="24"/>
                <w:szCs w:val="24"/>
              </w:rPr>
              <w:t>21</w:t>
            </w:r>
            <w:r>
              <w:rPr>
                <w:rFonts w:hint="eastAsia" w:ascii="宋体" w:hAnsi="宋体" w:eastAsia="宋体" w:cs="宋体"/>
                <w:kern w:val="0"/>
                <w:sz w:val="24"/>
                <w:szCs w:val="24"/>
              </w:rPr>
              <w:t>-2022</w:t>
            </w:r>
          </w:p>
        </w:tc>
        <w:tc>
          <w:tcPr>
            <w:tcW w:w="1276" w:type="dxa"/>
            <w:tcBorders>
              <w:top w:val="nil"/>
              <w:left w:val="nil"/>
              <w:bottom w:val="single" w:color="auto" w:sz="4" w:space="0"/>
              <w:right w:val="single" w:color="auto" w:sz="4" w:space="0"/>
            </w:tcBorders>
            <w:vAlign w:val="center"/>
          </w:tcPr>
          <w:p w14:paraId="2EC34BE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134" w:type="dxa"/>
            <w:tcBorders>
              <w:top w:val="nil"/>
              <w:left w:val="nil"/>
              <w:bottom w:val="single" w:color="auto" w:sz="4" w:space="0"/>
              <w:right w:val="single" w:color="auto" w:sz="4" w:space="0"/>
            </w:tcBorders>
            <w:vAlign w:val="center"/>
          </w:tcPr>
          <w:p w14:paraId="15444E1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nil"/>
              <w:left w:val="nil"/>
              <w:bottom w:val="single" w:color="auto" w:sz="4" w:space="0"/>
              <w:right w:val="single" w:color="auto" w:sz="4" w:space="0"/>
            </w:tcBorders>
            <w:vAlign w:val="center"/>
          </w:tcPr>
          <w:p w14:paraId="78757CE8">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第一产业</w:t>
            </w:r>
          </w:p>
        </w:tc>
      </w:tr>
      <w:tr w14:paraId="1A7972AB">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6E241D0B">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6</w:t>
            </w:r>
          </w:p>
        </w:tc>
        <w:tc>
          <w:tcPr>
            <w:tcW w:w="1560" w:type="dxa"/>
            <w:tcBorders>
              <w:top w:val="nil"/>
              <w:left w:val="single" w:color="auto" w:sz="4" w:space="0"/>
              <w:bottom w:val="single" w:color="auto" w:sz="4" w:space="0"/>
              <w:right w:val="single" w:color="auto" w:sz="4" w:space="0"/>
            </w:tcBorders>
            <w:vAlign w:val="center"/>
          </w:tcPr>
          <w:p w14:paraId="7A7B30FE">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八里堡冷链物流中心</w:t>
            </w:r>
          </w:p>
        </w:tc>
        <w:tc>
          <w:tcPr>
            <w:tcW w:w="1275" w:type="dxa"/>
            <w:tcBorders>
              <w:top w:val="nil"/>
              <w:left w:val="nil"/>
              <w:bottom w:val="single" w:color="auto" w:sz="4" w:space="0"/>
              <w:right w:val="single" w:color="auto" w:sz="4" w:space="0"/>
            </w:tcBorders>
            <w:vAlign w:val="center"/>
          </w:tcPr>
          <w:p w14:paraId="6313862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凌源市区西部八里堡</w:t>
            </w:r>
          </w:p>
        </w:tc>
        <w:tc>
          <w:tcPr>
            <w:tcW w:w="993" w:type="dxa"/>
            <w:tcBorders>
              <w:top w:val="nil"/>
              <w:left w:val="nil"/>
              <w:bottom w:val="single" w:color="auto" w:sz="4" w:space="0"/>
              <w:right w:val="single" w:color="auto" w:sz="4" w:space="0"/>
            </w:tcBorders>
            <w:vAlign w:val="center"/>
          </w:tcPr>
          <w:p w14:paraId="7F0F103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7FEECE38">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规划面积约</w:t>
            </w:r>
            <w:r>
              <w:rPr>
                <w:rFonts w:ascii="宋体" w:hAnsi="宋体" w:eastAsia="宋体" w:cs="宋体"/>
                <w:kern w:val="0"/>
                <w:sz w:val="24"/>
                <w:szCs w:val="24"/>
              </w:rPr>
              <w:t>1</w:t>
            </w:r>
            <w:r>
              <w:rPr>
                <w:rFonts w:hint="eastAsia" w:ascii="宋体" w:hAnsi="宋体" w:eastAsia="宋体" w:cs="宋体"/>
                <w:kern w:val="0"/>
                <w:sz w:val="24"/>
                <w:szCs w:val="24"/>
              </w:rPr>
              <w:t>00亩，重点建设冷库、冷链物流配送中心等设施，一期规划建设1万吨冷库一座，二期规划再建设1万吨冷库一座。</w:t>
            </w:r>
          </w:p>
        </w:tc>
        <w:tc>
          <w:tcPr>
            <w:tcW w:w="1417" w:type="dxa"/>
            <w:tcBorders>
              <w:top w:val="nil"/>
              <w:left w:val="nil"/>
              <w:bottom w:val="single" w:color="auto" w:sz="4" w:space="0"/>
              <w:right w:val="single" w:color="auto" w:sz="4" w:space="0"/>
            </w:tcBorders>
            <w:vAlign w:val="center"/>
          </w:tcPr>
          <w:p w14:paraId="076A4770">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w:t>
            </w:r>
            <w:r>
              <w:rPr>
                <w:rFonts w:ascii="宋体" w:hAnsi="宋体" w:eastAsia="宋体" w:cs="宋体"/>
                <w:kern w:val="0"/>
                <w:sz w:val="24"/>
                <w:szCs w:val="24"/>
              </w:rPr>
              <w:t>2</w:t>
            </w:r>
            <w:r>
              <w:rPr>
                <w:rFonts w:hint="eastAsia" w:ascii="宋体" w:hAnsi="宋体" w:eastAsia="宋体" w:cs="宋体"/>
                <w:kern w:val="0"/>
                <w:sz w:val="24"/>
                <w:szCs w:val="24"/>
              </w:rPr>
              <w:t>-202</w:t>
            </w:r>
            <w:r>
              <w:rPr>
                <w:rFonts w:ascii="宋体" w:hAnsi="宋体" w:eastAsia="宋体" w:cs="宋体"/>
                <w:kern w:val="0"/>
                <w:sz w:val="24"/>
                <w:szCs w:val="24"/>
              </w:rPr>
              <w:t>5</w:t>
            </w:r>
          </w:p>
        </w:tc>
        <w:tc>
          <w:tcPr>
            <w:tcW w:w="1276" w:type="dxa"/>
            <w:tcBorders>
              <w:top w:val="nil"/>
              <w:left w:val="nil"/>
              <w:bottom w:val="single" w:color="auto" w:sz="4" w:space="0"/>
              <w:right w:val="single" w:color="auto" w:sz="4" w:space="0"/>
            </w:tcBorders>
            <w:vAlign w:val="center"/>
          </w:tcPr>
          <w:p w14:paraId="1343485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134" w:type="dxa"/>
            <w:tcBorders>
              <w:top w:val="nil"/>
              <w:left w:val="nil"/>
              <w:bottom w:val="single" w:color="auto" w:sz="4" w:space="0"/>
              <w:right w:val="single" w:color="auto" w:sz="4" w:space="0"/>
            </w:tcBorders>
            <w:vAlign w:val="center"/>
          </w:tcPr>
          <w:p w14:paraId="173BE5D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新增</w:t>
            </w:r>
          </w:p>
        </w:tc>
        <w:tc>
          <w:tcPr>
            <w:tcW w:w="850" w:type="dxa"/>
            <w:tcBorders>
              <w:top w:val="nil"/>
              <w:left w:val="nil"/>
              <w:bottom w:val="single" w:color="auto" w:sz="4" w:space="0"/>
              <w:right w:val="single" w:color="auto" w:sz="4" w:space="0"/>
            </w:tcBorders>
            <w:vAlign w:val="center"/>
          </w:tcPr>
          <w:p w14:paraId="6FEE0D19">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第一产业</w:t>
            </w:r>
          </w:p>
        </w:tc>
      </w:tr>
      <w:tr w14:paraId="18A81EF7">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0773A0CE">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7</w:t>
            </w:r>
          </w:p>
        </w:tc>
        <w:tc>
          <w:tcPr>
            <w:tcW w:w="1560" w:type="dxa"/>
            <w:tcBorders>
              <w:top w:val="nil"/>
              <w:left w:val="single" w:color="auto" w:sz="4" w:space="0"/>
              <w:bottom w:val="single" w:color="auto" w:sz="4" w:space="0"/>
              <w:right w:val="single" w:color="auto" w:sz="4" w:space="0"/>
            </w:tcBorders>
            <w:vAlign w:val="center"/>
          </w:tcPr>
          <w:p w14:paraId="79ECB6B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宏瑞肉联冷链物流中心</w:t>
            </w:r>
          </w:p>
        </w:tc>
        <w:tc>
          <w:tcPr>
            <w:tcW w:w="1275" w:type="dxa"/>
            <w:tcBorders>
              <w:top w:val="nil"/>
              <w:left w:val="nil"/>
              <w:bottom w:val="single" w:color="auto" w:sz="4" w:space="0"/>
              <w:right w:val="single" w:color="auto" w:sz="4" w:space="0"/>
            </w:tcBorders>
            <w:vAlign w:val="center"/>
          </w:tcPr>
          <w:p w14:paraId="092B111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东城街道</w:t>
            </w:r>
          </w:p>
        </w:tc>
        <w:tc>
          <w:tcPr>
            <w:tcW w:w="993" w:type="dxa"/>
            <w:tcBorders>
              <w:top w:val="nil"/>
              <w:left w:val="nil"/>
              <w:bottom w:val="single" w:color="auto" w:sz="4" w:space="0"/>
              <w:right w:val="single" w:color="auto" w:sz="4" w:space="0"/>
            </w:tcBorders>
            <w:vAlign w:val="center"/>
          </w:tcPr>
          <w:p w14:paraId="543C054F">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1DA49300">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规划面积200亩，由宏瑞肉联厂投资2亿元建设冷链物流中心，依托企业自身的肉类存储和运输需求（目前拥有冷链车27台），主要建设内容包括冷库、肉制品深加工中心、冷链运输分拨中心等。</w:t>
            </w:r>
          </w:p>
        </w:tc>
        <w:tc>
          <w:tcPr>
            <w:tcW w:w="1417" w:type="dxa"/>
            <w:tcBorders>
              <w:top w:val="nil"/>
              <w:left w:val="nil"/>
              <w:bottom w:val="single" w:color="auto" w:sz="4" w:space="0"/>
              <w:right w:val="single" w:color="auto" w:sz="4" w:space="0"/>
            </w:tcBorders>
            <w:vAlign w:val="center"/>
          </w:tcPr>
          <w:p w14:paraId="4DA81EA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w:t>
            </w:r>
            <w:r>
              <w:rPr>
                <w:rFonts w:ascii="宋体" w:hAnsi="宋体" w:eastAsia="宋体" w:cs="宋体"/>
                <w:kern w:val="0"/>
                <w:sz w:val="24"/>
                <w:szCs w:val="24"/>
              </w:rPr>
              <w:t>2</w:t>
            </w:r>
            <w:r>
              <w:rPr>
                <w:rFonts w:hint="eastAsia" w:ascii="宋体" w:hAnsi="宋体" w:eastAsia="宋体" w:cs="宋体"/>
                <w:kern w:val="0"/>
                <w:sz w:val="24"/>
                <w:szCs w:val="24"/>
              </w:rPr>
              <w:t>1-2022</w:t>
            </w:r>
          </w:p>
        </w:tc>
        <w:tc>
          <w:tcPr>
            <w:tcW w:w="1276" w:type="dxa"/>
            <w:tcBorders>
              <w:top w:val="nil"/>
              <w:left w:val="nil"/>
              <w:bottom w:val="single" w:color="auto" w:sz="4" w:space="0"/>
              <w:right w:val="single" w:color="auto" w:sz="4" w:space="0"/>
            </w:tcBorders>
            <w:vAlign w:val="center"/>
          </w:tcPr>
          <w:p w14:paraId="45AD84C0">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1.96</w:t>
            </w:r>
          </w:p>
        </w:tc>
        <w:tc>
          <w:tcPr>
            <w:tcW w:w="1134" w:type="dxa"/>
            <w:tcBorders>
              <w:top w:val="nil"/>
              <w:left w:val="nil"/>
              <w:bottom w:val="single" w:color="auto" w:sz="4" w:space="0"/>
              <w:right w:val="single" w:color="auto" w:sz="4" w:space="0"/>
            </w:tcBorders>
            <w:vAlign w:val="center"/>
          </w:tcPr>
          <w:p w14:paraId="2CCA928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建设中</w:t>
            </w:r>
          </w:p>
        </w:tc>
        <w:tc>
          <w:tcPr>
            <w:tcW w:w="850" w:type="dxa"/>
            <w:tcBorders>
              <w:top w:val="nil"/>
              <w:left w:val="nil"/>
              <w:bottom w:val="single" w:color="auto" w:sz="4" w:space="0"/>
              <w:right w:val="single" w:color="auto" w:sz="4" w:space="0"/>
            </w:tcBorders>
            <w:vAlign w:val="center"/>
          </w:tcPr>
          <w:p w14:paraId="72649B56">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第一产业</w:t>
            </w:r>
          </w:p>
        </w:tc>
      </w:tr>
      <w:tr w14:paraId="56EB4E33">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15CE0D50">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8</w:t>
            </w:r>
          </w:p>
        </w:tc>
        <w:tc>
          <w:tcPr>
            <w:tcW w:w="1560" w:type="dxa"/>
            <w:tcBorders>
              <w:top w:val="nil"/>
              <w:left w:val="single" w:color="auto" w:sz="4" w:space="0"/>
              <w:bottom w:val="single" w:color="auto" w:sz="4" w:space="0"/>
              <w:right w:val="single" w:color="auto" w:sz="4" w:space="0"/>
            </w:tcBorders>
            <w:vAlign w:val="center"/>
          </w:tcPr>
          <w:p w14:paraId="1CE16113">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三沅环保冷链物流中心</w:t>
            </w:r>
          </w:p>
        </w:tc>
        <w:tc>
          <w:tcPr>
            <w:tcW w:w="1275" w:type="dxa"/>
            <w:tcBorders>
              <w:top w:val="nil"/>
              <w:left w:val="nil"/>
              <w:bottom w:val="single" w:color="auto" w:sz="4" w:space="0"/>
              <w:right w:val="single" w:color="auto" w:sz="4" w:space="0"/>
            </w:tcBorders>
            <w:vAlign w:val="center"/>
          </w:tcPr>
          <w:p w14:paraId="0D55D36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朝阳凌源经济开发区</w:t>
            </w:r>
          </w:p>
        </w:tc>
        <w:tc>
          <w:tcPr>
            <w:tcW w:w="993" w:type="dxa"/>
            <w:tcBorders>
              <w:top w:val="nil"/>
              <w:left w:val="nil"/>
              <w:bottom w:val="single" w:color="auto" w:sz="4" w:space="0"/>
              <w:right w:val="single" w:color="auto" w:sz="4" w:space="0"/>
            </w:tcBorders>
            <w:vAlign w:val="center"/>
          </w:tcPr>
          <w:p w14:paraId="309C8E9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0116B463">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规划面积50亩，目前三沅环保正在销售鲜花和农产品（黄瓜、青椒、鲜切瓜），因此准备发展冷链物流，正在申报三沅环保冷链物流中心项目，主要用于自用，后期也可开放服务于外部客户。</w:t>
            </w:r>
          </w:p>
        </w:tc>
        <w:tc>
          <w:tcPr>
            <w:tcW w:w="1417" w:type="dxa"/>
            <w:tcBorders>
              <w:top w:val="nil"/>
              <w:left w:val="nil"/>
              <w:bottom w:val="single" w:color="auto" w:sz="4" w:space="0"/>
              <w:right w:val="single" w:color="auto" w:sz="4" w:space="0"/>
            </w:tcBorders>
            <w:vAlign w:val="center"/>
          </w:tcPr>
          <w:p w14:paraId="5F12EDAA">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2020-2021</w:t>
            </w:r>
          </w:p>
        </w:tc>
        <w:tc>
          <w:tcPr>
            <w:tcW w:w="1276" w:type="dxa"/>
            <w:tcBorders>
              <w:top w:val="nil"/>
              <w:left w:val="nil"/>
              <w:bottom w:val="single" w:color="auto" w:sz="4" w:space="0"/>
              <w:right w:val="single" w:color="auto" w:sz="4" w:space="0"/>
            </w:tcBorders>
            <w:vAlign w:val="center"/>
          </w:tcPr>
          <w:p w14:paraId="7434795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1134" w:type="dxa"/>
            <w:tcBorders>
              <w:top w:val="nil"/>
              <w:left w:val="nil"/>
              <w:bottom w:val="single" w:color="auto" w:sz="4" w:space="0"/>
              <w:right w:val="single" w:color="auto" w:sz="4" w:space="0"/>
            </w:tcBorders>
            <w:vAlign w:val="center"/>
          </w:tcPr>
          <w:p w14:paraId="1C1FB0B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建设中</w:t>
            </w:r>
          </w:p>
        </w:tc>
        <w:tc>
          <w:tcPr>
            <w:tcW w:w="850" w:type="dxa"/>
            <w:tcBorders>
              <w:top w:val="nil"/>
              <w:left w:val="nil"/>
              <w:bottom w:val="single" w:color="auto" w:sz="4" w:space="0"/>
              <w:right w:val="single" w:color="auto" w:sz="4" w:space="0"/>
            </w:tcBorders>
            <w:vAlign w:val="center"/>
          </w:tcPr>
          <w:p w14:paraId="06CBE3B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第一产业</w:t>
            </w:r>
          </w:p>
        </w:tc>
      </w:tr>
      <w:tr w14:paraId="0FA82819">
        <w:tblPrEx>
          <w:tblCellMar>
            <w:top w:w="0" w:type="dxa"/>
            <w:left w:w="108" w:type="dxa"/>
            <w:bottom w:w="0" w:type="dxa"/>
            <w:right w:w="108" w:type="dxa"/>
          </w:tblCellMar>
        </w:tblPrEx>
        <w:trPr>
          <w:trHeight w:val="1382"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27BB1148">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9</w:t>
            </w:r>
          </w:p>
        </w:tc>
        <w:tc>
          <w:tcPr>
            <w:tcW w:w="1560" w:type="dxa"/>
            <w:tcBorders>
              <w:top w:val="single" w:color="auto" w:sz="4" w:space="0"/>
              <w:left w:val="single" w:color="auto" w:sz="4" w:space="0"/>
              <w:bottom w:val="single" w:color="auto" w:sz="4" w:space="0"/>
              <w:right w:val="single" w:color="auto" w:sz="4" w:space="0"/>
            </w:tcBorders>
            <w:vAlign w:val="center"/>
          </w:tcPr>
          <w:p w14:paraId="4E92B173">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辽宁天采高新技术产业综合体项目</w:t>
            </w:r>
          </w:p>
        </w:tc>
        <w:tc>
          <w:tcPr>
            <w:tcW w:w="1275" w:type="dxa"/>
            <w:tcBorders>
              <w:top w:val="single" w:color="auto" w:sz="4" w:space="0"/>
              <w:left w:val="nil"/>
              <w:bottom w:val="single" w:color="auto" w:sz="4" w:space="0"/>
              <w:right w:val="single" w:color="auto" w:sz="4" w:space="0"/>
            </w:tcBorders>
            <w:vAlign w:val="center"/>
          </w:tcPr>
          <w:p w14:paraId="6CAE6EC1">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凌源市小城子镇杨大营子村</w:t>
            </w:r>
          </w:p>
        </w:tc>
        <w:tc>
          <w:tcPr>
            <w:tcW w:w="993" w:type="dxa"/>
            <w:tcBorders>
              <w:top w:val="single" w:color="auto" w:sz="4" w:space="0"/>
              <w:left w:val="nil"/>
              <w:bottom w:val="single" w:color="auto" w:sz="4" w:space="0"/>
              <w:right w:val="single" w:color="auto" w:sz="4" w:space="0"/>
            </w:tcBorders>
            <w:vAlign w:val="center"/>
          </w:tcPr>
          <w:p w14:paraId="7ADBC41E">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single" w:color="auto" w:sz="4" w:space="0"/>
              <w:left w:val="nil"/>
              <w:bottom w:val="single" w:color="auto" w:sz="4" w:space="0"/>
              <w:right w:val="single" w:color="auto" w:sz="4" w:space="0"/>
            </w:tcBorders>
            <w:vAlign w:val="center"/>
          </w:tcPr>
          <w:p w14:paraId="5BFFA337">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开发建设“天采数字”垂直互联网电商平台，在原天采楼基础上改扩建大数据展示大厅及网红基地；建设 “天采快运”体系，包括改扩建西诺（凌源）花卉球根中心使用功能、新建占两公顷天采资材储运集散中心、购置50辆冷藏运输车；“天采测试”项目。新建4个座塑料联栋温室，每个温室占地5000平方米，改建1个中国百合测试中心温室和一个绿墙生产测试温室，各占地5000平方米；“天采示范”项目。新建占地1公顷异球形温室一座，建成集产品应用场景展示、生态休闲旅游观光、在线销售为主的花卉outlets；利用林地及区间余地建设示范花海；新建天采科研中心楼一座（占地700平方米，四层），除组培室和育种实验室建设外，凌源花卉产业联盟秘书处、品牌建设推广中心、大学生创业孵化中心、辽宁农业职业技术学院花卉产业分院等功能都会在这座办公楼实现；建设新品种育种扩繁示范基地100亩；</w:t>
            </w:r>
          </w:p>
          <w:p w14:paraId="7925599B">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新建建筑面积1公顷高标准现代化玻璃温室一座，建成全国第一座“绿墙植物工厂”。</w:t>
            </w:r>
          </w:p>
        </w:tc>
        <w:tc>
          <w:tcPr>
            <w:tcW w:w="1417" w:type="dxa"/>
            <w:tcBorders>
              <w:top w:val="single" w:color="auto" w:sz="4" w:space="0"/>
              <w:left w:val="nil"/>
              <w:bottom w:val="single" w:color="auto" w:sz="4" w:space="0"/>
              <w:right w:val="single" w:color="auto" w:sz="4" w:space="0"/>
            </w:tcBorders>
            <w:vAlign w:val="center"/>
          </w:tcPr>
          <w:p w14:paraId="28EB8D57">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w:t>
            </w:r>
          </w:p>
        </w:tc>
        <w:tc>
          <w:tcPr>
            <w:tcW w:w="1276" w:type="dxa"/>
            <w:tcBorders>
              <w:top w:val="single" w:color="auto" w:sz="4" w:space="0"/>
              <w:left w:val="nil"/>
              <w:bottom w:val="single" w:color="auto" w:sz="4" w:space="0"/>
              <w:right w:val="single" w:color="auto" w:sz="4" w:space="0"/>
            </w:tcBorders>
            <w:vAlign w:val="center"/>
          </w:tcPr>
          <w:p w14:paraId="6F9A0A29">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134" w:type="dxa"/>
            <w:tcBorders>
              <w:top w:val="single" w:color="auto" w:sz="4" w:space="0"/>
              <w:left w:val="nil"/>
              <w:bottom w:val="single" w:color="auto" w:sz="4" w:space="0"/>
              <w:right w:val="single" w:color="auto" w:sz="4" w:space="0"/>
            </w:tcBorders>
            <w:vAlign w:val="center"/>
          </w:tcPr>
          <w:p w14:paraId="0384B2A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建设中</w:t>
            </w:r>
          </w:p>
        </w:tc>
        <w:tc>
          <w:tcPr>
            <w:tcW w:w="850" w:type="dxa"/>
            <w:tcBorders>
              <w:top w:val="single" w:color="auto" w:sz="4" w:space="0"/>
              <w:left w:val="nil"/>
              <w:bottom w:val="single" w:color="auto" w:sz="4" w:space="0"/>
              <w:right w:val="single" w:color="auto" w:sz="4" w:space="0"/>
            </w:tcBorders>
            <w:vAlign w:val="center"/>
          </w:tcPr>
          <w:p w14:paraId="14C61F36">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第一产业</w:t>
            </w:r>
          </w:p>
        </w:tc>
      </w:tr>
      <w:tr w14:paraId="3E5F3C2B">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67FF30A3">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10</w:t>
            </w:r>
          </w:p>
        </w:tc>
        <w:tc>
          <w:tcPr>
            <w:tcW w:w="1560" w:type="dxa"/>
            <w:tcBorders>
              <w:top w:val="nil"/>
              <w:left w:val="single" w:color="auto" w:sz="4" w:space="0"/>
              <w:bottom w:val="single" w:color="auto" w:sz="4" w:space="0"/>
              <w:right w:val="single" w:color="auto" w:sz="4" w:space="0"/>
            </w:tcBorders>
            <w:vAlign w:val="center"/>
          </w:tcPr>
          <w:p w14:paraId="43F9CD3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田间地头预冷设施</w:t>
            </w:r>
          </w:p>
        </w:tc>
        <w:tc>
          <w:tcPr>
            <w:tcW w:w="1275" w:type="dxa"/>
            <w:tcBorders>
              <w:top w:val="nil"/>
              <w:left w:val="nil"/>
              <w:bottom w:val="single" w:color="auto" w:sz="4" w:space="0"/>
              <w:right w:val="single" w:color="auto" w:sz="4" w:space="0"/>
            </w:tcBorders>
            <w:vAlign w:val="center"/>
          </w:tcPr>
          <w:p w14:paraId="61433F7A">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凌源市</w:t>
            </w:r>
          </w:p>
        </w:tc>
        <w:tc>
          <w:tcPr>
            <w:tcW w:w="993" w:type="dxa"/>
            <w:tcBorders>
              <w:top w:val="nil"/>
              <w:left w:val="nil"/>
              <w:bottom w:val="single" w:color="auto" w:sz="4" w:space="0"/>
              <w:right w:val="single" w:color="auto" w:sz="4" w:space="0"/>
            </w:tcBorders>
            <w:vAlign w:val="center"/>
          </w:tcPr>
          <w:p w14:paraId="6BE70C80">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19D77AE5">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落实冷链设施农机补贴政策，建设100个左右乡镇产地田间地头预冷仓储保鲜点。</w:t>
            </w:r>
          </w:p>
        </w:tc>
        <w:tc>
          <w:tcPr>
            <w:tcW w:w="1417" w:type="dxa"/>
            <w:tcBorders>
              <w:top w:val="nil"/>
              <w:left w:val="nil"/>
              <w:bottom w:val="single" w:color="auto" w:sz="4" w:space="0"/>
              <w:right w:val="single" w:color="auto" w:sz="4" w:space="0"/>
            </w:tcBorders>
            <w:vAlign w:val="center"/>
          </w:tcPr>
          <w:p w14:paraId="7A926859">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w:t>
            </w:r>
            <w:r>
              <w:rPr>
                <w:rFonts w:ascii="宋体" w:hAnsi="宋体" w:eastAsia="宋体" w:cs="宋体"/>
                <w:kern w:val="0"/>
                <w:sz w:val="24"/>
                <w:szCs w:val="24"/>
              </w:rPr>
              <w:t>3</w:t>
            </w:r>
          </w:p>
        </w:tc>
        <w:tc>
          <w:tcPr>
            <w:tcW w:w="1276" w:type="dxa"/>
            <w:tcBorders>
              <w:top w:val="nil"/>
              <w:left w:val="nil"/>
              <w:bottom w:val="single" w:color="auto" w:sz="4" w:space="0"/>
              <w:right w:val="single" w:color="auto" w:sz="4" w:space="0"/>
            </w:tcBorders>
            <w:vAlign w:val="center"/>
          </w:tcPr>
          <w:p w14:paraId="5DBA114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0</w:t>
            </w:r>
            <w:r>
              <w:rPr>
                <w:rFonts w:ascii="宋体" w:hAnsi="宋体" w:eastAsia="宋体" w:cs="宋体"/>
                <w:kern w:val="0"/>
                <w:sz w:val="24"/>
                <w:szCs w:val="24"/>
              </w:rPr>
              <w:t>.2</w:t>
            </w:r>
          </w:p>
        </w:tc>
        <w:tc>
          <w:tcPr>
            <w:tcW w:w="1134" w:type="dxa"/>
            <w:tcBorders>
              <w:top w:val="nil"/>
              <w:left w:val="nil"/>
              <w:bottom w:val="single" w:color="auto" w:sz="4" w:space="0"/>
              <w:right w:val="single" w:color="auto" w:sz="4" w:space="0"/>
            </w:tcBorders>
            <w:vAlign w:val="center"/>
          </w:tcPr>
          <w:p w14:paraId="4635767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nil"/>
              <w:left w:val="nil"/>
              <w:bottom w:val="single" w:color="auto" w:sz="4" w:space="0"/>
              <w:right w:val="single" w:color="auto" w:sz="4" w:space="0"/>
            </w:tcBorders>
            <w:vAlign w:val="center"/>
          </w:tcPr>
          <w:p w14:paraId="0C0F348A">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第一产业</w:t>
            </w:r>
          </w:p>
        </w:tc>
      </w:tr>
      <w:tr w14:paraId="00F9644F">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4A56F16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11</w:t>
            </w:r>
          </w:p>
        </w:tc>
        <w:tc>
          <w:tcPr>
            <w:tcW w:w="1560" w:type="dxa"/>
            <w:tcBorders>
              <w:top w:val="nil"/>
              <w:left w:val="single" w:color="auto" w:sz="4" w:space="0"/>
              <w:bottom w:val="single" w:color="auto" w:sz="4" w:space="0"/>
              <w:right w:val="single" w:color="auto" w:sz="4" w:space="0"/>
            </w:tcBorders>
            <w:vAlign w:val="center"/>
          </w:tcPr>
          <w:p w14:paraId="04779A18">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朝阳致远金融物流港</w:t>
            </w:r>
          </w:p>
        </w:tc>
        <w:tc>
          <w:tcPr>
            <w:tcW w:w="1275" w:type="dxa"/>
            <w:tcBorders>
              <w:top w:val="nil"/>
              <w:left w:val="nil"/>
              <w:bottom w:val="single" w:color="auto" w:sz="4" w:space="0"/>
              <w:right w:val="single" w:color="auto" w:sz="4" w:space="0"/>
            </w:tcBorders>
            <w:vAlign w:val="center"/>
          </w:tcPr>
          <w:p w14:paraId="7B5F3B7E">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朝阳凌源经济开发区</w:t>
            </w:r>
          </w:p>
        </w:tc>
        <w:tc>
          <w:tcPr>
            <w:tcW w:w="993" w:type="dxa"/>
            <w:tcBorders>
              <w:top w:val="nil"/>
              <w:left w:val="nil"/>
              <w:bottom w:val="single" w:color="auto" w:sz="4" w:space="0"/>
              <w:right w:val="single" w:color="auto" w:sz="4" w:space="0"/>
            </w:tcBorders>
            <w:vAlign w:val="center"/>
          </w:tcPr>
          <w:p w14:paraId="0F7A5A7F">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扩建</w:t>
            </w:r>
          </w:p>
        </w:tc>
        <w:tc>
          <w:tcPr>
            <w:tcW w:w="5103" w:type="dxa"/>
            <w:tcBorders>
              <w:top w:val="nil"/>
              <w:left w:val="nil"/>
              <w:bottom w:val="single" w:color="auto" w:sz="4" w:space="0"/>
              <w:right w:val="single" w:color="auto" w:sz="4" w:space="0"/>
            </w:tcBorders>
            <w:vAlign w:val="center"/>
          </w:tcPr>
          <w:p w14:paraId="63EE6837">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位于经济开发区内，规划面积</w:t>
            </w:r>
            <w:r>
              <w:rPr>
                <w:rFonts w:ascii="宋体" w:hAnsi="宋体" w:eastAsia="宋体" w:cs="宋体"/>
                <w:kern w:val="0"/>
                <w:sz w:val="24"/>
                <w:szCs w:val="24"/>
              </w:rPr>
              <w:t>12</w:t>
            </w:r>
            <w:r>
              <w:rPr>
                <w:rFonts w:hint="eastAsia" w:ascii="宋体" w:hAnsi="宋体" w:eastAsia="宋体" w:cs="宋体"/>
                <w:kern w:val="0"/>
                <w:sz w:val="24"/>
                <w:szCs w:val="24"/>
              </w:rPr>
              <w:t>28亩，其中一期规划建设728亩，二期预留5</w:t>
            </w:r>
            <w:r>
              <w:rPr>
                <w:rFonts w:ascii="宋体" w:hAnsi="宋体" w:eastAsia="宋体" w:cs="宋体"/>
                <w:kern w:val="0"/>
                <w:sz w:val="24"/>
                <w:szCs w:val="24"/>
              </w:rPr>
              <w:t>00</w:t>
            </w:r>
            <w:r>
              <w:rPr>
                <w:rFonts w:hint="eastAsia" w:ascii="宋体" w:hAnsi="宋体" w:eastAsia="宋体" w:cs="宋体"/>
                <w:kern w:val="0"/>
                <w:sz w:val="24"/>
                <w:szCs w:val="24"/>
              </w:rPr>
              <w:t>亩建设公铁联运物流园，以及矿石原材料物流区、供应链金融物流区、钢贸物流区、标准化仓储区、智能公路港区、公铁联运园区、电商物流区、城市配送区、综合商务配套园等。</w:t>
            </w:r>
          </w:p>
        </w:tc>
        <w:tc>
          <w:tcPr>
            <w:tcW w:w="1417" w:type="dxa"/>
            <w:tcBorders>
              <w:top w:val="nil"/>
              <w:left w:val="nil"/>
              <w:bottom w:val="single" w:color="auto" w:sz="4" w:space="0"/>
              <w:right w:val="single" w:color="auto" w:sz="4" w:space="0"/>
            </w:tcBorders>
            <w:vAlign w:val="center"/>
          </w:tcPr>
          <w:p w14:paraId="4C20FB0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2021-2025</w:t>
            </w:r>
          </w:p>
        </w:tc>
        <w:tc>
          <w:tcPr>
            <w:tcW w:w="1276" w:type="dxa"/>
            <w:tcBorders>
              <w:top w:val="nil"/>
              <w:left w:val="nil"/>
              <w:bottom w:val="single" w:color="auto" w:sz="4" w:space="0"/>
              <w:right w:val="single" w:color="auto" w:sz="4" w:space="0"/>
            </w:tcBorders>
            <w:vAlign w:val="center"/>
          </w:tcPr>
          <w:p w14:paraId="284ABE04">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31.6</w:t>
            </w:r>
          </w:p>
        </w:tc>
        <w:tc>
          <w:tcPr>
            <w:tcW w:w="1134" w:type="dxa"/>
            <w:tcBorders>
              <w:top w:val="nil"/>
              <w:left w:val="nil"/>
              <w:bottom w:val="single" w:color="auto" w:sz="4" w:space="0"/>
              <w:right w:val="single" w:color="auto" w:sz="4" w:space="0"/>
            </w:tcBorders>
            <w:vAlign w:val="center"/>
          </w:tcPr>
          <w:p w14:paraId="56687911">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建设中</w:t>
            </w:r>
          </w:p>
        </w:tc>
        <w:tc>
          <w:tcPr>
            <w:tcW w:w="850" w:type="dxa"/>
            <w:tcBorders>
              <w:top w:val="nil"/>
              <w:left w:val="nil"/>
              <w:bottom w:val="single" w:color="auto" w:sz="4" w:space="0"/>
              <w:right w:val="single" w:color="auto" w:sz="4" w:space="0"/>
            </w:tcBorders>
            <w:vAlign w:val="center"/>
          </w:tcPr>
          <w:p w14:paraId="200C1EC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第二产业</w:t>
            </w:r>
          </w:p>
        </w:tc>
      </w:tr>
      <w:tr w14:paraId="5BA6862C">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25B6BC2F">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w:t>
            </w:r>
            <w:r>
              <w:rPr>
                <w:rFonts w:ascii="宋体" w:hAnsi="宋体" w:eastAsia="宋体" w:cs="宋体"/>
                <w:kern w:val="0"/>
                <w:sz w:val="24"/>
                <w:szCs w:val="24"/>
              </w:rPr>
              <w:t>2</w:t>
            </w:r>
          </w:p>
        </w:tc>
        <w:tc>
          <w:tcPr>
            <w:tcW w:w="1560" w:type="dxa"/>
            <w:tcBorders>
              <w:top w:val="nil"/>
              <w:left w:val="single" w:color="auto" w:sz="4" w:space="0"/>
              <w:bottom w:val="single" w:color="auto" w:sz="4" w:space="0"/>
              <w:right w:val="single" w:color="auto" w:sz="4" w:space="0"/>
            </w:tcBorders>
            <w:vAlign w:val="center"/>
          </w:tcPr>
          <w:p w14:paraId="6E5E2F0A">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朝阳凌源非金属新材料产业园区物流园</w:t>
            </w:r>
          </w:p>
        </w:tc>
        <w:tc>
          <w:tcPr>
            <w:tcW w:w="1275" w:type="dxa"/>
            <w:tcBorders>
              <w:top w:val="nil"/>
              <w:left w:val="nil"/>
              <w:bottom w:val="single" w:color="auto" w:sz="4" w:space="0"/>
              <w:right w:val="single" w:color="auto" w:sz="4" w:space="0"/>
            </w:tcBorders>
            <w:vAlign w:val="center"/>
          </w:tcPr>
          <w:p w14:paraId="2E3F75EA">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三家子</w:t>
            </w:r>
          </w:p>
        </w:tc>
        <w:tc>
          <w:tcPr>
            <w:tcW w:w="993" w:type="dxa"/>
            <w:tcBorders>
              <w:top w:val="nil"/>
              <w:left w:val="nil"/>
              <w:bottom w:val="single" w:color="auto" w:sz="4" w:space="0"/>
              <w:right w:val="single" w:color="auto" w:sz="4" w:space="0"/>
            </w:tcBorders>
            <w:vAlign w:val="center"/>
          </w:tcPr>
          <w:p w14:paraId="539B5F68">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0AA80AFA">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位于三家子乡，临近魏塔铁路线，是朝阳凌源经济开发区南部非金属新材料产业园的主物流枢纽，规划面积约2400亩，其中一期建设1500亩，二期预留900亩，主要建设智慧物流园、陆港相关基础设施、多式联运枢纽等。</w:t>
            </w:r>
          </w:p>
        </w:tc>
        <w:tc>
          <w:tcPr>
            <w:tcW w:w="1417" w:type="dxa"/>
            <w:tcBorders>
              <w:top w:val="nil"/>
              <w:left w:val="nil"/>
              <w:bottom w:val="single" w:color="auto" w:sz="4" w:space="0"/>
              <w:right w:val="single" w:color="auto" w:sz="4" w:space="0"/>
            </w:tcBorders>
            <w:vAlign w:val="center"/>
          </w:tcPr>
          <w:p w14:paraId="6BB9C566">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2021-2025</w:t>
            </w:r>
          </w:p>
        </w:tc>
        <w:tc>
          <w:tcPr>
            <w:tcW w:w="1276" w:type="dxa"/>
            <w:tcBorders>
              <w:top w:val="nil"/>
              <w:left w:val="nil"/>
              <w:bottom w:val="single" w:color="auto" w:sz="4" w:space="0"/>
              <w:right w:val="single" w:color="auto" w:sz="4" w:space="0"/>
            </w:tcBorders>
            <w:vAlign w:val="center"/>
          </w:tcPr>
          <w:p w14:paraId="50D6DD2E">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30</w:t>
            </w:r>
          </w:p>
        </w:tc>
        <w:tc>
          <w:tcPr>
            <w:tcW w:w="1134" w:type="dxa"/>
            <w:tcBorders>
              <w:top w:val="nil"/>
              <w:left w:val="nil"/>
              <w:bottom w:val="single" w:color="auto" w:sz="4" w:space="0"/>
              <w:right w:val="single" w:color="auto" w:sz="4" w:space="0"/>
            </w:tcBorders>
            <w:vAlign w:val="center"/>
          </w:tcPr>
          <w:p w14:paraId="5DF002C1">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nil"/>
              <w:left w:val="nil"/>
              <w:bottom w:val="single" w:color="auto" w:sz="4" w:space="0"/>
              <w:right w:val="single" w:color="auto" w:sz="4" w:space="0"/>
            </w:tcBorders>
            <w:vAlign w:val="center"/>
          </w:tcPr>
          <w:p w14:paraId="624CEF6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第二产业</w:t>
            </w:r>
          </w:p>
        </w:tc>
      </w:tr>
      <w:tr w14:paraId="386F4A7B">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1E761A9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w:t>
            </w:r>
            <w:r>
              <w:rPr>
                <w:rFonts w:ascii="宋体" w:hAnsi="宋体" w:eastAsia="宋体" w:cs="宋体"/>
                <w:kern w:val="0"/>
                <w:sz w:val="24"/>
                <w:szCs w:val="24"/>
              </w:rPr>
              <w:t>3</w:t>
            </w:r>
          </w:p>
        </w:tc>
        <w:tc>
          <w:tcPr>
            <w:tcW w:w="1560" w:type="dxa"/>
            <w:tcBorders>
              <w:top w:val="nil"/>
              <w:left w:val="single" w:color="auto" w:sz="4" w:space="0"/>
              <w:bottom w:val="single" w:color="auto" w:sz="4" w:space="0"/>
              <w:right w:val="single" w:color="auto" w:sz="4" w:space="0"/>
            </w:tcBorders>
            <w:vAlign w:val="center"/>
          </w:tcPr>
          <w:p w14:paraId="33E67C61">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开发区铁路专用线场站</w:t>
            </w:r>
          </w:p>
        </w:tc>
        <w:tc>
          <w:tcPr>
            <w:tcW w:w="1275" w:type="dxa"/>
            <w:tcBorders>
              <w:top w:val="nil"/>
              <w:left w:val="nil"/>
              <w:bottom w:val="single" w:color="auto" w:sz="4" w:space="0"/>
              <w:right w:val="single" w:color="auto" w:sz="4" w:space="0"/>
            </w:tcBorders>
            <w:vAlign w:val="center"/>
          </w:tcPr>
          <w:p w14:paraId="2C3E5C32">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朝阳凌源经济开发区内</w:t>
            </w:r>
          </w:p>
        </w:tc>
        <w:tc>
          <w:tcPr>
            <w:tcW w:w="993" w:type="dxa"/>
            <w:tcBorders>
              <w:top w:val="nil"/>
              <w:left w:val="nil"/>
              <w:bottom w:val="single" w:color="auto" w:sz="4" w:space="0"/>
              <w:right w:val="single" w:color="auto" w:sz="4" w:space="0"/>
            </w:tcBorders>
            <w:vAlign w:val="center"/>
          </w:tcPr>
          <w:p w14:paraId="6F63C486">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61774B21">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规划面积500亩，设置股道13条，项目建成后实现年吞吐量1980万吨，主要提供钢铁、玻璃等大宗物料的运输服务。</w:t>
            </w:r>
          </w:p>
        </w:tc>
        <w:tc>
          <w:tcPr>
            <w:tcW w:w="1417" w:type="dxa"/>
            <w:tcBorders>
              <w:top w:val="nil"/>
              <w:left w:val="nil"/>
              <w:bottom w:val="single" w:color="auto" w:sz="4" w:space="0"/>
              <w:right w:val="single" w:color="auto" w:sz="4" w:space="0"/>
            </w:tcBorders>
            <w:vAlign w:val="center"/>
          </w:tcPr>
          <w:p w14:paraId="388A13F8">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2021-2022</w:t>
            </w:r>
          </w:p>
        </w:tc>
        <w:tc>
          <w:tcPr>
            <w:tcW w:w="1276" w:type="dxa"/>
            <w:tcBorders>
              <w:top w:val="nil"/>
              <w:left w:val="nil"/>
              <w:bottom w:val="single" w:color="auto" w:sz="4" w:space="0"/>
              <w:right w:val="single" w:color="auto" w:sz="4" w:space="0"/>
            </w:tcBorders>
            <w:vAlign w:val="center"/>
          </w:tcPr>
          <w:p w14:paraId="242CE8E9">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1134" w:type="dxa"/>
            <w:tcBorders>
              <w:top w:val="nil"/>
              <w:left w:val="nil"/>
              <w:bottom w:val="single" w:color="auto" w:sz="4" w:space="0"/>
              <w:right w:val="single" w:color="auto" w:sz="4" w:space="0"/>
            </w:tcBorders>
            <w:vAlign w:val="center"/>
          </w:tcPr>
          <w:p w14:paraId="69F007F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nil"/>
              <w:left w:val="nil"/>
              <w:bottom w:val="single" w:color="auto" w:sz="4" w:space="0"/>
              <w:right w:val="single" w:color="auto" w:sz="4" w:space="0"/>
            </w:tcBorders>
            <w:vAlign w:val="center"/>
          </w:tcPr>
          <w:p w14:paraId="167DC980">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第二产业</w:t>
            </w:r>
          </w:p>
        </w:tc>
      </w:tr>
      <w:tr w14:paraId="0CFBB9A1">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208914C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w:t>
            </w:r>
            <w:r>
              <w:rPr>
                <w:rFonts w:ascii="宋体" w:hAnsi="宋体" w:eastAsia="宋体" w:cs="宋体"/>
                <w:kern w:val="0"/>
                <w:sz w:val="24"/>
                <w:szCs w:val="24"/>
              </w:rPr>
              <w:t>4</w:t>
            </w:r>
          </w:p>
        </w:tc>
        <w:tc>
          <w:tcPr>
            <w:tcW w:w="1560" w:type="dxa"/>
            <w:tcBorders>
              <w:top w:val="nil"/>
              <w:left w:val="single" w:color="auto" w:sz="4" w:space="0"/>
              <w:bottom w:val="single" w:color="auto" w:sz="4" w:space="0"/>
              <w:right w:val="single" w:color="auto" w:sz="4" w:space="0"/>
            </w:tcBorders>
            <w:vAlign w:val="center"/>
          </w:tcPr>
          <w:p w14:paraId="45EF8DD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凌源市汽车物流产业园</w:t>
            </w:r>
          </w:p>
        </w:tc>
        <w:tc>
          <w:tcPr>
            <w:tcW w:w="1275" w:type="dxa"/>
            <w:tcBorders>
              <w:top w:val="nil"/>
              <w:left w:val="nil"/>
              <w:bottom w:val="single" w:color="auto" w:sz="4" w:space="0"/>
              <w:right w:val="single" w:color="auto" w:sz="4" w:space="0"/>
            </w:tcBorders>
            <w:vAlign w:val="center"/>
          </w:tcPr>
          <w:p w14:paraId="1221E9C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朝阳凌源经济开发区</w:t>
            </w:r>
          </w:p>
        </w:tc>
        <w:tc>
          <w:tcPr>
            <w:tcW w:w="993" w:type="dxa"/>
            <w:tcBorders>
              <w:top w:val="nil"/>
              <w:left w:val="nil"/>
              <w:bottom w:val="single" w:color="auto" w:sz="4" w:space="0"/>
              <w:right w:val="single" w:color="auto" w:sz="4" w:space="0"/>
            </w:tcBorders>
            <w:vAlign w:val="center"/>
          </w:tcPr>
          <w:p w14:paraId="3A12E56A">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01F7F717">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规划面积400亩，主要建设整车物流区、备件物流区、新能源汽车展销区、汽后市场区和综合服务中心，成为凌源市汽车文化综合一体的物流产业园。</w:t>
            </w:r>
          </w:p>
        </w:tc>
        <w:tc>
          <w:tcPr>
            <w:tcW w:w="1417" w:type="dxa"/>
            <w:tcBorders>
              <w:top w:val="nil"/>
              <w:left w:val="nil"/>
              <w:bottom w:val="single" w:color="auto" w:sz="4" w:space="0"/>
              <w:right w:val="single" w:color="auto" w:sz="4" w:space="0"/>
            </w:tcBorders>
            <w:vAlign w:val="center"/>
          </w:tcPr>
          <w:p w14:paraId="20CEF032">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2022-2025</w:t>
            </w:r>
          </w:p>
        </w:tc>
        <w:tc>
          <w:tcPr>
            <w:tcW w:w="1276" w:type="dxa"/>
            <w:tcBorders>
              <w:top w:val="nil"/>
              <w:left w:val="nil"/>
              <w:bottom w:val="single" w:color="auto" w:sz="4" w:space="0"/>
              <w:right w:val="single" w:color="auto" w:sz="4" w:space="0"/>
            </w:tcBorders>
            <w:vAlign w:val="center"/>
          </w:tcPr>
          <w:p w14:paraId="3DE1628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1134" w:type="dxa"/>
            <w:tcBorders>
              <w:top w:val="nil"/>
              <w:left w:val="nil"/>
              <w:bottom w:val="single" w:color="auto" w:sz="4" w:space="0"/>
              <w:right w:val="single" w:color="auto" w:sz="4" w:space="0"/>
            </w:tcBorders>
            <w:vAlign w:val="center"/>
          </w:tcPr>
          <w:p w14:paraId="0A8E37B4">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nil"/>
              <w:left w:val="nil"/>
              <w:bottom w:val="single" w:color="auto" w:sz="4" w:space="0"/>
              <w:right w:val="single" w:color="auto" w:sz="4" w:space="0"/>
            </w:tcBorders>
            <w:vAlign w:val="center"/>
          </w:tcPr>
          <w:p w14:paraId="2E2118D2">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第二产业</w:t>
            </w:r>
          </w:p>
        </w:tc>
      </w:tr>
      <w:tr w14:paraId="1FCA5624">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3D97D0A7">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15</w:t>
            </w:r>
          </w:p>
        </w:tc>
        <w:tc>
          <w:tcPr>
            <w:tcW w:w="1560" w:type="dxa"/>
            <w:tcBorders>
              <w:top w:val="nil"/>
              <w:left w:val="single" w:color="auto" w:sz="4" w:space="0"/>
              <w:bottom w:val="single" w:color="auto" w:sz="4" w:space="0"/>
              <w:right w:val="single" w:color="auto" w:sz="4" w:space="0"/>
            </w:tcBorders>
            <w:vAlign w:val="center"/>
          </w:tcPr>
          <w:p w14:paraId="042C5B1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富源矿业物流中心</w:t>
            </w:r>
          </w:p>
        </w:tc>
        <w:tc>
          <w:tcPr>
            <w:tcW w:w="1275" w:type="dxa"/>
            <w:tcBorders>
              <w:top w:val="nil"/>
              <w:left w:val="nil"/>
              <w:bottom w:val="single" w:color="auto" w:sz="4" w:space="0"/>
              <w:right w:val="single" w:color="auto" w:sz="4" w:space="0"/>
            </w:tcBorders>
            <w:vAlign w:val="center"/>
          </w:tcPr>
          <w:p w14:paraId="34AEE1E3">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四合当</w:t>
            </w:r>
          </w:p>
        </w:tc>
        <w:tc>
          <w:tcPr>
            <w:tcW w:w="993" w:type="dxa"/>
            <w:tcBorders>
              <w:top w:val="nil"/>
              <w:left w:val="nil"/>
              <w:bottom w:val="single" w:color="auto" w:sz="4" w:space="0"/>
              <w:right w:val="single" w:color="auto" w:sz="4" w:space="0"/>
            </w:tcBorders>
            <w:vAlign w:val="center"/>
          </w:tcPr>
          <w:p w14:paraId="341C9037">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46D56426">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规划面积100亩，以北方水泥凌源市富源矿业有限公司拟建设的特种水泥、高品质氧化钙及骨料等重点项目为依托，打造“石灰石资源——基础原材料（水泥、建筑骨料）——绿建部品材料”物流服务链。</w:t>
            </w:r>
          </w:p>
        </w:tc>
        <w:tc>
          <w:tcPr>
            <w:tcW w:w="1417" w:type="dxa"/>
            <w:tcBorders>
              <w:top w:val="nil"/>
              <w:left w:val="nil"/>
              <w:bottom w:val="single" w:color="auto" w:sz="4" w:space="0"/>
              <w:right w:val="single" w:color="auto" w:sz="4" w:space="0"/>
            </w:tcBorders>
            <w:vAlign w:val="center"/>
          </w:tcPr>
          <w:p w14:paraId="036FDB4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2021-2025</w:t>
            </w:r>
          </w:p>
        </w:tc>
        <w:tc>
          <w:tcPr>
            <w:tcW w:w="1276" w:type="dxa"/>
            <w:tcBorders>
              <w:top w:val="nil"/>
              <w:left w:val="nil"/>
              <w:bottom w:val="single" w:color="auto" w:sz="4" w:space="0"/>
              <w:right w:val="single" w:color="auto" w:sz="4" w:space="0"/>
            </w:tcBorders>
            <w:vAlign w:val="center"/>
          </w:tcPr>
          <w:p w14:paraId="753CD61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6.9</w:t>
            </w:r>
          </w:p>
        </w:tc>
        <w:tc>
          <w:tcPr>
            <w:tcW w:w="1134" w:type="dxa"/>
            <w:tcBorders>
              <w:top w:val="nil"/>
              <w:left w:val="nil"/>
              <w:bottom w:val="single" w:color="auto" w:sz="4" w:space="0"/>
              <w:right w:val="single" w:color="auto" w:sz="4" w:space="0"/>
            </w:tcBorders>
            <w:vAlign w:val="center"/>
          </w:tcPr>
          <w:p w14:paraId="39EEF8C4">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建设中</w:t>
            </w:r>
          </w:p>
        </w:tc>
        <w:tc>
          <w:tcPr>
            <w:tcW w:w="850" w:type="dxa"/>
            <w:tcBorders>
              <w:top w:val="nil"/>
              <w:left w:val="nil"/>
              <w:bottom w:val="single" w:color="auto" w:sz="4" w:space="0"/>
              <w:right w:val="single" w:color="auto" w:sz="4" w:space="0"/>
            </w:tcBorders>
            <w:vAlign w:val="center"/>
          </w:tcPr>
          <w:p w14:paraId="461CA29F">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第二产业</w:t>
            </w:r>
          </w:p>
        </w:tc>
      </w:tr>
      <w:tr w14:paraId="0600C9AD">
        <w:tblPrEx>
          <w:tblCellMar>
            <w:top w:w="0" w:type="dxa"/>
            <w:left w:w="108" w:type="dxa"/>
            <w:bottom w:w="0" w:type="dxa"/>
            <w:right w:w="108" w:type="dxa"/>
          </w:tblCellMar>
        </w:tblPrEx>
        <w:trPr>
          <w:trHeight w:val="1382" w:hRule="atLeast"/>
          <w:jc w:val="center"/>
        </w:trPr>
        <w:tc>
          <w:tcPr>
            <w:tcW w:w="562" w:type="dxa"/>
            <w:tcBorders>
              <w:top w:val="nil"/>
              <w:left w:val="single" w:color="auto" w:sz="4" w:space="0"/>
              <w:bottom w:val="single" w:color="auto" w:sz="4" w:space="0"/>
              <w:right w:val="single" w:color="auto" w:sz="4" w:space="0"/>
            </w:tcBorders>
            <w:vAlign w:val="center"/>
          </w:tcPr>
          <w:p w14:paraId="30575BE0">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16</w:t>
            </w:r>
          </w:p>
        </w:tc>
        <w:tc>
          <w:tcPr>
            <w:tcW w:w="1560" w:type="dxa"/>
            <w:tcBorders>
              <w:top w:val="nil"/>
              <w:left w:val="single" w:color="auto" w:sz="4" w:space="0"/>
              <w:bottom w:val="single" w:color="auto" w:sz="4" w:space="0"/>
              <w:right w:val="single" w:color="auto" w:sz="4" w:space="0"/>
            </w:tcBorders>
            <w:vAlign w:val="center"/>
          </w:tcPr>
          <w:p w14:paraId="226C6E14">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北炉-牛营子加工配套物流中心</w:t>
            </w:r>
          </w:p>
        </w:tc>
        <w:tc>
          <w:tcPr>
            <w:tcW w:w="1275" w:type="dxa"/>
            <w:tcBorders>
              <w:top w:val="nil"/>
              <w:left w:val="nil"/>
              <w:bottom w:val="single" w:color="auto" w:sz="4" w:space="0"/>
              <w:right w:val="single" w:color="auto" w:sz="4" w:space="0"/>
            </w:tcBorders>
            <w:vAlign w:val="center"/>
          </w:tcPr>
          <w:p w14:paraId="34C7B69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北炉</w:t>
            </w:r>
          </w:p>
        </w:tc>
        <w:tc>
          <w:tcPr>
            <w:tcW w:w="993" w:type="dxa"/>
            <w:tcBorders>
              <w:top w:val="nil"/>
              <w:left w:val="nil"/>
              <w:bottom w:val="single" w:color="auto" w:sz="4" w:space="0"/>
              <w:right w:val="single" w:color="auto" w:sz="4" w:space="0"/>
            </w:tcBorders>
            <w:vAlign w:val="center"/>
          </w:tcPr>
          <w:p w14:paraId="6CB51AC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nil"/>
              <w:left w:val="nil"/>
              <w:bottom w:val="single" w:color="auto" w:sz="4" w:space="0"/>
              <w:right w:val="single" w:color="auto" w:sz="4" w:space="0"/>
            </w:tcBorders>
            <w:vAlign w:val="center"/>
          </w:tcPr>
          <w:p w14:paraId="7AD0D5D3">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规划面积100亩，依托其资源优势打造凌源市珍珠岩开发物流服务链，服务于珍珠岩矿开采和以珍珠岩为原料的保温板材、无机保温防火砂浆、珍珠岩助滤剂、功能型粉体填料、园艺珍珠岩等项目，以及以珍珠岩保温板材为基板的保温装饰一体板、珍珠岩-硬泡聚氨酯复合保温材料等项目。</w:t>
            </w:r>
          </w:p>
        </w:tc>
        <w:tc>
          <w:tcPr>
            <w:tcW w:w="1417" w:type="dxa"/>
            <w:tcBorders>
              <w:top w:val="nil"/>
              <w:left w:val="nil"/>
              <w:bottom w:val="single" w:color="auto" w:sz="4" w:space="0"/>
              <w:right w:val="single" w:color="auto" w:sz="4" w:space="0"/>
            </w:tcBorders>
            <w:vAlign w:val="center"/>
          </w:tcPr>
          <w:p w14:paraId="38A7ECF9">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2021-2025</w:t>
            </w:r>
          </w:p>
        </w:tc>
        <w:tc>
          <w:tcPr>
            <w:tcW w:w="1276" w:type="dxa"/>
            <w:tcBorders>
              <w:top w:val="nil"/>
              <w:left w:val="nil"/>
              <w:bottom w:val="single" w:color="auto" w:sz="4" w:space="0"/>
              <w:right w:val="single" w:color="auto" w:sz="4" w:space="0"/>
            </w:tcBorders>
            <w:vAlign w:val="center"/>
          </w:tcPr>
          <w:p w14:paraId="1D3AE6E6">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1.8</w:t>
            </w:r>
          </w:p>
        </w:tc>
        <w:tc>
          <w:tcPr>
            <w:tcW w:w="1134" w:type="dxa"/>
            <w:tcBorders>
              <w:top w:val="nil"/>
              <w:left w:val="nil"/>
              <w:bottom w:val="single" w:color="auto" w:sz="4" w:space="0"/>
              <w:right w:val="single" w:color="auto" w:sz="4" w:space="0"/>
            </w:tcBorders>
            <w:vAlign w:val="center"/>
          </w:tcPr>
          <w:p w14:paraId="77B8C23E">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nil"/>
              <w:left w:val="nil"/>
              <w:bottom w:val="single" w:color="auto" w:sz="4" w:space="0"/>
              <w:right w:val="single" w:color="auto" w:sz="4" w:space="0"/>
            </w:tcBorders>
            <w:vAlign w:val="center"/>
          </w:tcPr>
          <w:p w14:paraId="796A776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第二产业</w:t>
            </w:r>
          </w:p>
        </w:tc>
      </w:tr>
      <w:tr w14:paraId="20D153FC">
        <w:tblPrEx>
          <w:tblCellMar>
            <w:top w:w="0" w:type="dxa"/>
            <w:left w:w="108" w:type="dxa"/>
            <w:bottom w:w="0" w:type="dxa"/>
            <w:right w:w="108" w:type="dxa"/>
          </w:tblCellMar>
        </w:tblPrEx>
        <w:trPr>
          <w:trHeight w:val="1382"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7459CC8">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17</w:t>
            </w:r>
          </w:p>
        </w:tc>
        <w:tc>
          <w:tcPr>
            <w:tcW w:w="1560" w:type="dxa"/>
            <w:tcBorders>
              <w:top w:val="single" w:color="auto" w:sz="4" w:space="0"/>
              <w:left w:val="single" w:color="auto" w:sz="4" w:space="0"/>
              <w:bottom w:val="single" w:color="auto" w:sz="4" w:space="0"/>
              <w:right w:val="single" w:color="auto" w:sz="4" w:space="0"/>
            </w:tcBorders>
            <w:vAlign w:val="center"/>
          </w:tcPr>
          <w:p w14:paraId="749C8190">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三十家子加工配套物流中心</w:t>
            </w:r>
          </w:p>
        </w:tc>
        <w:tc>
          <w:tcPr>
            <w:tcW w:w="1275" w:type="dxa"/>
            <w:tcBorders>
              <w:top w:val="single" w:color="auto" w:sz="4" w:space="0"/>
              <w:left w:val="nil"/>
              <w:bottom w:val="single" w:color="auto" w:sz="4" w:space="0"/>
              <w:right w:val="single" w:color="auto" w:sz="4" w:space="0"/>
            </w:tcBorders>
            <w:vAlign w:val="center"/>
          </w:tcPr>
          <w:p w14:paraId="33237A82">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三十家子</w:t>
            </w:r>
          </w:p>
        </w:tc>
        <w:tc>
          <w:tcPr>
            <w:tcW w:w="993" w:type="dxa"/>
            <w:tcBorders>
              <w:top w:val="single" w:color="auto" w:sz="4" w:space="0"/>
              <w:left w:val="nil"/>
              <w:bottom w:val="single" w:color="auto" w:sz="4" w:space="0"/>
              <w:right w:val="single" w:color="auto" w:sz="4" w:space="0"/>
            </w:tcBorders>
            <w:vAlign w:val="center"/>
          </w:tcPr>
          <w:p w14:paraId="731F972E">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single" w:color="auto" w:sz="4" w:space="0"/>
              <w:left w:val="nil"/>
              <w:bottom w:val="single" w:color="auto" w:sz="4" w:space="0"/>
              <w:right w:val="single" w:color="auto" w:sz="4" w:space="0"/>
            </w:tcBorders>
            <w:vAlign w:val="center"/>
          </w:tcPr>
          <w:p w14:paraId="1DF7A444">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规划面积100亩，依托其资源和土地优势，构筑“普通级——高纯级——精品级”硅石开发物流服务链，服务于新型覆膜砂等常规产品项目，空心玻璃微珠及其复合材料等精品项目，以及由高纯工业硅衍生的半导体晶体硅、有机硅等高技术产品项目。</w:t>
            </w:r>
          </w:p>
        </w:tc>
        <w:tc>
          <w:tcPr>
            <w:tcW w:w="1417" w:type="dxa"/>
            <w:tcBorders>
              <w:top w:val="single" w:color="auto" w:sz="4" w:space="0"/>
              <w:left w:val="nil"/>
              <w:bottom w:val="single" w:color="auto" w:sz="4" w:space="0"/>
              <w:right w:val="single" w:color="auto" w:sz="4" w:space="0"/>
            </w:tcBorders>
            <w:vAlign w:val="center"/>
          </w:tcPr>
          <w:p w14:paraId="4065958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2021-2025</w:t>
            </w:r>
          </w:p>
        </w:tc>
        <w:tc>
          <w:tcPr>
            <w:tcW w:w="1276" w:type="dxa"/>
            <w:tcBorders>
              <w:top w:val="single" w:color="auto" w:sz="4" w:space="0"/>
              <w:left w:val="nil"/>
              <w:bottom w:val="single" w:color="auto" w:sz="4" w:space="0"/>
              <w:right w:val="single" w:color="auto" w:sz="4" w:space="0"/>
            </w:tcBorders>
            <w:vAlign w:val="center"/>
          </w:tcPr>
          <w:p w14:paraId="14271BB1">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1.8</w:t>
            </w:r>
          </w:p>
        </w:tc>
        <w:tc>
          <w:tcPr>
            <w:tcW w:w="1134" w:type="dxa"/>
            <w:tcBorders>
              <w:top w:val="single" w:color="auto" w:sz="4" w:space="0"/>
              <w:left w:val="nil"/>
              <w:bottom w:val="single" w:color="auto" w:sz="4" w:space="0"/>
              <w:right w:val="single" w:color="auto" w:sz="4" w:space="0"/>
            </w:tcBorders>
            <w:vAlign w:val="center"/>
          </w:tcPr>
          <w:p w14:paraId="3B5E0422">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single" w:color="auto" w:sz="4" w:space="0"/>
              <w:left w:val="nil"/>
              <w:bottom w:val="single" w:color="auto" w:sz="4" w:space="0"/>
              <w:right w:val="single" w:color="auto" w:sz="4" w:space="0"/>
            </w:tcBorders>
            <w:vAlign w:val="center"/>
          </w:tcPr>
          <w:p w14:paraId="5922492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第二产业</w:t>
            </w:r>
          </w:p>
        </w:tc>
      </w:tr>
      <w:tr w14:paraId="71423B13">
        <w:tblPrEx>
          <w:tblCellMar>
            <w:top w:w="0" w:type="dxa"/>
            <w:left w:w="108" w:type="dxa"/>
            <w:bottom w:w="0" w:type="dxa"/>
            <w:right w:w="108" w:type="dxa"/>
          </w:tblCellMar>
        </w:tblPrEx>
        <w:trPr>
          <w:trHeight w:val="1382"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198FB6E7">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18</w:t>
            </w:r>
          </w:p>
        </w:tc>
        <w:tc>
          <w:tcPr>
            <w:tcW w:w="1560" w:type="dxa"/>
            <w:tcBorders>
              <w:top w:val="single" w:color="auto" w:sz="4" w:space="0"/>
              <w:left w:val="single" w:color="auto" w:sz="4" w:space="0"/>
              <w:bottom w:val="single" w:color="auto" w:sz="4" w:space="0"/>
              <w:right w:val="single" w:color="auto" w:sz="4" w:space="0"/>
            </w:tcBorders>
            <w:vAlign w:val="center"/>
          </w:tcPr>
          <w:p w14:paraId="396872E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杨杖子物流转运中心</w:t>
            </w:r>
          </w:p>
        </w:tc>
        <w:tc>
          <w:tcPr>
            <w:tcW w:w="1275" w:type="dxa"/>
            <w:tcBorders>
              <w:top w:val="single" w:color="auto" w:sz="4" w:space="0"/>
              <w:left w:val="nil"/>
              <w:bottom w:val="single" w:color="auto" w:sz="4" w:space="0"/>
              <w:right w:val="single" w:color="auto" w:sz="4" w:space="0"/>
            </w:tcBorders>
            <w:vAlign w:val="center"/>
          </w:tcPr>
          <w:p w14:paraId="770D6148">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杨杖子</w:t>
            </w:r>
          </w:p>
        </w:tc>
        <w:tc>
          <w:tcPr>
            <w:tcW w:w="993" w:type="dxa"/>
            <w:tcBorders>
              <w:top w:val="single" w:color="auto" w:sz="4" w:space="0"/>
              <w:left w:val="nil"/>
              <w:bottom w:val="single" w:color="auto" w:sz="4" w:space="0"/>
              <w:right w:val="single" w:color="auto" w:sz="4" w:space="0"/>
            </w:tcBorders>
            <w:vAlign w:val="center"/>
          </w:tcPr>
          <w:p w14:paraId="575A0509">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改造</w:t>
            </w:r>
          </w:p>
        </w:tc>
        <w:tc>
          <w:tcPr>
            <w:tcW w:w="5103" w:type="dxa"/>
            <w:tcBorders>
              <w:top w:val="single" w:color="auto" w:sz="4" w:space="0"/>
              <w:left w:val="nil"/>
              <w:bottom w:val="single" w:color="auto" w:sz="4" w:space="0"/>
              <w:right w:val="single" w:color="auto" w:sz="4" w:space="0"/>
            </w:tcBorders>
            <w:vAlign w:val="center"/>
          </w:tcPr>
          <w:p w14:paraId="33800A1B">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规划面积50亩，依托凌源市建材产业园区，重点发展以硅石资源、珍珠岩和白云石资源等主导产业为配套的杨杖子物流转运中心，打造建材及生活物资配套物流转运中心。</w:t>
            </w:r>
          </w:p>
        </w:tc>
        <w:tc>
          <w:tcPr>
            <w:tcW w:w="1417" w:type="dxa"/>
            <w:tcBorders>
              <w:top w:val="single" w:color="auto" w:sz="4" w:space="0"/>
              <w:left w:val="nil"/>
              <w:bottom w:val="single" w:color="auto" w:sz="4" w:space="0"/>
              <w:right w:val="single" w:color="auto" w:sz="4" w:space="0"/>
            </w:tcBorders>
            <w:vAlign w:val="center"/>
          </w:tcPr>
          <w:p w14:paraId="52106D7F">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2021-2025</w:t>
            </w:r>
          </w:p>
        </w:tc>
        <w:tc>
          <w:tcPr>
            <w:tcW w:w="1276" w:type="dxa"/>
            <w:tcBorders>
              <w:top w:val="single" w:color="auto" w:sz="4" w:space="0"/>
              <w:left w:val="nil"/>
              <w:bottom w:val="single" w:color="auto" w:sz="4" w:space="0"/>
              <w:right w:val="single" w:color="auto" w:sz="4" w:space="0"/>
            </w:tcBorders>
            <w:vAlign w:val="center"/>
          </w:tcPr>
          <w:p w14:paraId="5B458A1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0.6</w:t>
            </w:r>
          </w:p>
        </w:tc>
        <w:tc>
          <w:tcPr>
            <w:tcW w:w="1134" w:type="dxa"/>
            <w:tcBorders>
              <w:top w:val="single" w:color="auto" w:sz="4" w:space="0"/>
              <w:left w:val="nil"/>
              <w:bottom w:val="single" w:color="auto" w:sz="4" w:space="0"/>
              <w:right w:val="single" w:color="auto" w:sz="4" w:space="0"/>
            </w:tcBorders>
            <w:vAlign w:val="center"/>
          </w:tcPr>
          <w:p w14:paraId="15D0405F">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single" w:color="auto" w:sz="4" w:space="0"/>
              <w:left w:val="nil"/>
              <w:bottom w:val="single" w:color="auto" w:sz="4" w:space="0"/>
              <w:right w:val="single" w:color="auto" w:sz="4" w:space="0"/>
            </w:tcBorders>
            <w:vAlign w:val="center"/>
          </w:tcPr>
          <w:p w14:paraId="72CA8D54">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第二产业</w:t>
            </w:r>
          </w:p>
        </w:tc>
      </w:tr>
      <w:tr w14:paraId="7BBE8B6A">
        <w:tblPrEx>
          <w:tblCellMar>
            <w:top w:w="0" w:type="dxa"/>
            <w:left w:w="108" w:type="dxa"/>
            <w:bottom w:w="0" w:type="dxa"/>
            <w:right w:w="108" w:type="dxa"/>
          </w:tblCellMar>
        </w:tblPrEx>
        <w:trPr>
          <w:trHeight w:val="1382"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14E13B72">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19</w:t>
            </w:r>
          </w:p>
        </w:tc>
        <w:tc>
          <w:tcPr>
            <w:tcW w:w="1560" w:type="dxa"/>
            <w:tcBorders>
              <w:top w:val="single" w:color="auto" w:sz="4" w:space="0"/>
              <w:left w:val="single" w:color="auto" w:sz="4" w:space="0"/>
              <w:bottom w:val="single" w:color="auto" w:sz="4" w:space="0"/>
              <w:right w:val="single" w:color="auto" w:sz="4" w:space="0"/>
            </w:tcBorders>
            <w:vAlign w:val="center"/>
          </w:tcPr>
          <w:p w14:paraId="1FB23B7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刀尔登物流转运中心</w:t>
            </w:r>
          </w:p>
        </w:tc>
        <w:tc>
          <w:tcPr>
            <w:tcW w:w="1275" w:type="dxa"/>
            <w:tcBorders>
              <w:top w:val="single" w:color="auto" w:sz="4" w:space="0"/>
              <w:left w:val="nil"/>
              <w:bottom w:val="single" w:color="auto" w:sz="4" w:space="0"/>
              <w:right w:val="single" w:color="auto" w:sz="4" w:space="0"/>
            </w:tcBorders>
            <w:vAlign w:val="center"/>
          </w:tcPr>
          <w:p w14:paraId="13A0F14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刀尔登</w:t>
            </w:r>
          </w:p>
        </w:tc>
        <w:tc>
          <w:tcPr>
            <w:tcW w:w="993" w:type="dxa"/>
            <w:tcBorders>
              <w:top w:val="single" w:color="auto" w:sz="4" w:space="0"/>
              <w:left w:val="nil"/>
              <w:bottom w:val="single" w:color="auto" w:sz="4" w:space="0"/>
              <w:right w:val="single" w:color="auto" w:sz="4" w:space="0"/>
            </w:tcBorders>
            <w:vAlign w:val="center"/>
          </w:tcPr>
          <w:p w14:paraId="20559DA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改造</w:t>
            </w:r>
          </w:p>
        </w:tc>
        <w:tc>
          <w:tcPr>
            <w:tcW w:w="5103" w:type="dxa"/>
            <w:tcBorders>
              <w:top w:val="single" w:color="auto" w:sz="4" w:space="0"/>
              <w:left w:val="nil"/>
              <w:bottom w:val="single" w:color="auto" w:sz="4" w:space="0"/>
              <w:right w:val="single" w:color="auto" w:sz="4" w:space="0"/>
            </w:tcBorders>
            <w:vAlign w:val="center"/>
          </w:tcPr>
          <w:p w14:paraId="0F8D7CCA">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规划面积50亩，利用原四七五浮法玻璃厂和刀尔登热电厂铁路专用线，整合改造此两处铁路货场，建设矿产资源铁路物流转运中心，重点服务于周边的矿产资源及农副产品运输。</w:t>
            </w:r>
          </w:p>
        </w:tc>
        <w:tc>
          <w:tcPr>
            <w:tcW w:w="1417" w:type="dxa"/>
            <w:tcBorders>
              <w:top w:val="single" w:color="auto" w:sz="4" w:space="0"/>
              <w:left w:val="nil"/>
              <w:bottom w:val="single" w:color="auto" w:sz="4" w:space="0"/>
              <w:right w:val="single" w:color="auto" w:sz="4" w:space="0"/>
            </w:tcBorders>
            <w:vAlign w:val="center"/>
          </w:tcPr>
          <w:p w14:paraId="41F90D8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2021-2025</w:t>
            </w:r>
          </w:p>
        </w:tc>
        <w:tc>
          <w:tcPr>
            <w:tcW w:w="1276" w:type="dxa"/>
            <w:tcBorders>
              <w:top w:val="single" w:color="auto" w:sz="4" w:space="0"/>
              <w:left w:val="nil"/>
              <w:bottom w:val="single" w:color="auto" w:sz="4" w:space="0"/>
              <w:right w:val="single" w:color="auto" w:sz="4" w:space="0"/>
            </w:tcBorders>
            <w:vAlign w:val="center"/>
          </w:tcPr>
          <w:p w14:paraId="0A89AE98">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0.6</w:t>
            </w:r>
          </w:p>
        </w:tc>
        <w:tc>
          <w:tcPr>
            <w:tcW w:w="1134" w:type="dxa"/>
            <w:tcBorders>
              <w:top w:val="single" w:color="auto" w:sz="4" w:space="0"/>
              <w:left w:val="nil"/>
              <w:bottom w:val="single" w:color="auto" w:sz="4" w:space="0"/>
              <w:right w:val="single" w:color="auto" w:sz="4" w:space="0"/>
            </w:tcBorders>
            <w:vAlign w:val="center"/>
          </w:tcPr>
          <w:p w14:paraId="5EFBC4E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single" w:color="auto" w:sz="4" w:space="0"/>
              <w:left w:val="nil"/>
              <w:bottom w:val="single" w:color="auto" w:sz="4" w:space="0"/>
              <w:right w:val="single" w:color="auto" w:sz="4" w:space="0"/>
            </w:tcBorders>
            <w:vAlign w:val="center"/>
          </w:tcPr>
          <w:p w14:paraId="1C278B0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第二产业</w:t>
            </w:r>
          </w:p>
        </w:tc>
      </w:tr>
      <w:tr w14:paraId="057F4681">
        <w:tblPrEx>
          <w:tblCellMar>
            <w:top w:w="0" w:type="dxa"/>
            <w:left w:w="108" w:type="dxa"/>
            <w:bottom w:w="0" w:type="dxa"/>
            <w:right w:w="108" w:type="dxa"/>
          </w:tblCellMar>
        </w:tblPrEx>
        <w:trPr>
          <w:trHeight w:val="1382"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57F7611C">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20</w:t>
            </w:r>
          </w:p>
        </w:tc>
        <w:tc>
          <w:tcPr>
            <w:tcW w:w="1560" w:type="dxa"/>
            <w:tcBorders>
              <w:top w:val="single" w:color="auto" w:sz="4" w:space="0"/>
              <w:left w:val="single" w:color="auto" w:sz="4" w:space="0"/>
              <w:bottom w:val="single" w:color="auto" w:sz="4" w:space="0"/>
              <w:right w:val="single" w:color="auto" w:sz="4" w:space="0"/>
            </w:tcBorders>
            <w:vAlign w:val="center"/>
          </w:tcPr>
          <w:p w14:paraId="485555E6">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浙江物产铁海联运班列</w:t>
            </w:r>
          </w:p>
        </w:tc>
        <w:tc>
          <w:tcPr>
            <w:tcW w:w="1275" w:type="dxa"/>
            <w:tcBorders>
              <w:top w:val="single" w:color="auto" w:sz="4" w:space="0"/>
              <w:left w:val="nil"/>
              <w:bottom w:val="single" w:color="auto" w:sz="4" w:space="0"/>
              <w:right w:val="single" w:color="auto" w:sz="4" w:space="0"/>
            </w:tcBorders>
            <w:vAlign w:val="center"/>
          </w:tcPr>
          <w:p w14:paraId="0CCD338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凌钢集团</w:t>
            </w:r>
          </w:p>
        </w:tc>
        <w:tc>
          <w:tcPr>
            <w:tcW w:w="993" w:type="dxa"/>
            <w:tcBorders>
              <w:top w:val="single" w:color="auto" w:sz="4" w:space="0"/>
              <w:left w:val="nil"/>
              <w:bottom w:val="single" w:color="auto" w:sz="4" w:space="0"/>
              <w:right w:val="single" w:color="auto" w:sz="4" w:space="0"/>
            </w:tcBorders>
            <w:vAlign w:val="center"/>
          </w:tcPr>
          <w:p w14:paraId="373E3C6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single" w:color="auto" w:sz="4" w:space="0"/>
              <w:left w:val="nil"/>
              <w:bottom w:val="single" w:color="auto" w:sz="4" w:space="0"/>
              <w:right w:val="single" w:color="auto" w:sz="4" w:space="0"/>
            </w:tcBorders>
            <w:vAlign w:val="center"/>
          </w:tcPr>
          <w:p w14:paraId="69A0E388">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浙江物产集团计划利用葫芦岛港作为大宗物资班轮母港，开通东北地区连接东南沿海的近海海运班轮航线。该公司拟联合朝阳致远金融物流港，开通凌源至葫芦岛港的铁路班列，形成铁海联运线路，为凌源市及辽冀蒙结合部的大宗物资进出提供多式联运服务。据测算，每吨可节约运费20-30元，降本增效作用十分显著。</w:t>
            </w:r>
          </w:p>
        </w:tc>
        <w:tc>
          <w:tcPr>
            <w:tcW w:w="1417" w:type="dxa"/>
            <w:tcBorders>
              <w:top w:val="single" w:color="auto" w:sz="4" w:space="0"/>
              <w:left w:val="nil"/>
              <w:bottom w:val="single" w:color="auto" w:sz="4" w:space="0"/>
              <w:right w:val="single" w:color="auto" w:sz="4" w:space="0"/>
            </w:tcBorders>
            <w:vAlign w:val="center"/>
          </w:tcPr>
          <w:p w14:paraId="5C45D29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2021-2025</w:t>
            </w:r>
          </w:p>
        </w:tc>
        <w:tc>
          <w:tcPr>
            <w:tcW w:w="1276" w:type="dxa"/>
            <w:tcBorders>
              <w:top w:val="single" w:color="auto" w:sz="4" w:space="0"/>
              <w:left w:val="nil"/>
              <w:bottom w:val="single" w:color="auto" w:sz="4" w:space="0"/>
              <w:right w:val="single" w:color="auto" w:sz="4" w:space="0"/>
            </w:tcBorders>
            <w:vAlign w:val="center"/>
          </w:tcPr>
          <w:p w14:paraId="7DADB4B0">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0.</w:t>
            </w:r>
            <w:r>
              <w:rPr>
                <w:rFonts w:ascii="宋体" w:hAnsi="宋体" w:eastAsia="宋体" w:cs="宋体"/>
                <w:kern w:val="0"/>
                <w:sz w:val="24"/>
                <w:szCs w:val="24"/>
              </w:rPr>
              <w:t>5</w:t>
            </w:r>
          </w:p>
        </w:tc>
        <w:tc>
          <w:tcPr>
            <w:tcW w:w="1134" w:type="dxa"/>
            <w:tcBorders>
              <w:top w:val="single" w:color="auto" w:sz="4" w:space="0"/>
              <w:left w:val="nil"/>
              <w:bottom w:val="single" w:color="auto" w:sz="4" w:space="0"/>
              <w:right w:val="single" w:color="auto" w:sz="4" w:space="0"/>
            </w:tcBorders>
            <w:vAlign w:val="center"/>
          </w:tcPr>
          <w:p w14:paraId="0BF9B41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single" w:color="auto" w:sz="4" w:space="0"/>
              <w:left w:val="nil"/>
              <w:bottom w:val="single" w:color="auto" w:sz="4" w:space="0"/>
              <w:right w:val="single" w:color="auto" w:sz="4" w:space="0"/>
            </w:tcBorders>
            <w:vAlign w:val="center"/>
          </w:tcPr>
          <w:p w14:paraId="1929BB94">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第二产业</w:t>
            </w:r>
          </w:p>
        </w:tc>
      </w:tr>
      <w:tr w14:paraId="66A9EEC9">
        <w:tblPrEx>
          <w:tblCellMar>
            <w:top w:w="0" w:type="dxa"/>
            <w:left w:w="108" w:type="dxa"/>
            <w:bottom w:w="0" w:type="dxa"/>
            <w:right w:w="108" w:type="dxa"/>
          </w:tblCellMar>
        </w:tblPrEx>
        <w:trPr>
          <w:trHeight w:val="1382"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7EC07C68">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21</w:t>
            </w:r>
          </w:p>
        </w:tc>
        <w:tc>
          <w:tcPr>
            <w:tcW w:w="1560" w:type="dxa"/>
            <w:tcBorders>
              <w:top w:val="single" w:color="auto" w:sz="4" w:space="0"/>
              <w:left w:val="single" w:color="auto" w:sz="4" w:space="0"/>
              <w:bottom w:val="single" w:color="auto" w:sz="4" w:space="0"/>
              <w:right w:val="single" w:color="auto" w:sz="4" w:space="0"/>
            </w:tcBorders>
            <w:vAlign w:val="center"/>
          </w:tcPr>
          <w:p w14:paraId="39718ECD">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辽冀蒙商贸物流园</w:t>
            </w:r>
          </w:p>
        </w:tc>
        <w:tc>
          <w:tcPr>
            <w:tcW w:w="1275" w:type="dxa"/>
            <w:tcBorders>
              <w:top w:val="single" w:color="auto" w:sz="4" w:space="0"/>
              <w:left w:val="nil"/>
              <w:bottom w:val="single" w:color="auto" w:sz="4" w:space="0"/>
              <w:right w:val="single" w:color="auto" w:sz="4" w:space="0"/>
            </w:tcBorders>
            <w:vAlign w:val="center"/>
          </w:tcPr>
          <w:p w14:paraId="54803366">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凌源市区东部长深高速出口处</w:t>
            </w:r>
          </w:p>
        </w:tc>
        <w:tc>
          <w:tcPr>
            <w:tcW w:w="993" w:type="dxa"/>
            <w:tcBorders>
              <w:top w:val="single" w:color="auto" w:sz="4" w:space="0"/>
              <w:left w:val="nil"/>
              <w:bottom w:val="single" w:color="auto" w:sz="4" w:space="0"/>
              <w:right w:val="single" w:color="auto" w:sz="4" w:space="0"/>
            </w:tcBorders>
            <w:vAlign w:val="center"/>
          </w:tcPr>
          <w:p w14:paraId="5540C398">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single" w:color="auto" w:sz="4" w:space="0"/>
              <w:left w:val="nil"/>
              <w:bottom w:val="single" w:color="auto" w:sz="4" w:space="0"/>
              <w:right w:val="single" w:color="auto" w:sz="4" w:space="0"/>
            </w:tcBorders>
            <w:vAlign w:val="center"/>
          </w:tcPr>
          <w:p w14:paraId="309C7B81">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项目规划占地面积815亩，包含商业用地、物流用地等。项目规划建有智慧物流仓储共配中心，凌源及周边特色商品线下购物、展示中心，净菜加工中心，农产品（花卉）初加工产业基地，凌源冻品集散基地，凌源农产品冷链物流基地，品牌和电商（含跨境电商）公共服务中心，凌源产教融合人才培训基地，凌源返乡青年创业孵化基地，供应链金融服务中心及商业配套和生活服务设施等。</w:t>
            </w:r>
          </w:p>
        </w:tc>
        <w:tc>
          <w:tcPr>
            <w:tcW w:w="1417" w:type="dxa"/>
            <w:tcBorders>
              <w:top w:val="single" w:color="auto" w:sz="4" w:space="0"/>
              <w:left w:val="nil"/>
              <w:bottom w:val="single" w:color="auto" w:sz="4" w:space="0"/>
              <w:right w:val="single" w:color="auto" w:sz="4" w:space="0"/>
            </w:tcBorders>
            <w:vAlign w:val="center"/>
          </w:tcPr>
          <w:p w14:paraId="7E3AE32B">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2023-2025</w:t>
            </w:r>
          </w:p>
        </w:tc>
        <w:tc>
          <w:tcPr>
            <w:tcW w:w="1276" w:type="dxa"/>
            <w:tcBorders>
              <w:top w:val="single" w:color="auto" w:sz="4" w:space="0"/>
              <w:left w:val="nil"/>
              <w:bottom w:val="single" w:color="auto" w:sz="4" w:space="0"/>
              <w:right w:val="single" w:color="auto" w:sz="4" w:space="0"/>
            </w:tcBorders>
            <w:vAlign w:val="center"/>
          </w:tcPr>
          <w:p w14:paraId="3429EA9F">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w:t>
            </w:r>
            <w:r>
              <w:rPr>
                <w:rFonts w:ascii="宋体" w:hAnsi="宋体" w:eastAsia="宋体" w:cs="宋体"/>
                <w:kern w:val="0"/>
                <w:sz w:val="24"/>
                <w:szCs w:val="24"/>
              </w:rPr>
              <w:t>0</w:t>
            </w:r>
            <w:r>
              <w:rPr>
                <w:rFonts w:hint="eastAsia" w:ascii="宋体" w:hAnsi="宋体" w:eastAsia="宋体" w:cs="宋体"/>
                <w:kern w:val="0"/>
                <w:sz w:val="24"/>
                <w:szCs w:val="24"/>
              </w:rPr>
              <w:t>亿</w:t>
            </w:r>
          </w:p>
        </w:tc>
        <w:tc>
          <w:tcPr>
            <w:tcW w:w="1134" w:type="dxa"/>
            <w:tcBorders>
              <w:top w:val="single" w:color="auto" w:sz="4" w:space="0"/>
              <w:left w:val="nil"/>
              <w:bottom w:val="single" w:color="auto" w:sz="4" w:space="0"/>
              <w:right w:val="single" w:color="auto" w:sz="4" w:space="0"/>
            </w:tcBorders>
            <w:vAlign w:val="center"/>
          </w:tcPr>
          <w:p w14:paraId="471AB54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single" w:color="auto" w:sz="4" w:space="0"/>
              <w:left w:val="nil"/>
              <w:bottom w:val="single" w:color="auto" w:sz="4" w:space="0"/>
              <w:right w:val="single" w:color="auto" w:sz="4" w:space="0"/>
            </w:tcBorders>
            <w:vAlign w:val="center"/>
          </w:tcPr>
          <w:p w14:paraId="3CD1EB7A">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第三产业</w:t>
            </w:r>
          </w:p>
        </w:tc>
      </w:tr>
      <w:tr w14:paraId="130A36B6">
        <w:tblPrEx>
          <w:tblCellMar>
            <w:top w:w="0" w:type="dxa"/>
            <w:left w:w="108" w:type="dxa"/>
            <w:bottom w:w="0" w:type="dxa"/>
            <w:right w:w="108" w:type="dxa"/>
          </w:tblCellMar>
        </w:tblPrEx>
        <w:trPr>
          <w:trHeight w:val="1382"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203A8E7B">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22</w:t>
            </w:r>
          </w:p>
        </w:tc>
        <w:tc>
          <w:tcPr>
            <w:tcW w:w="1560" w:type="dxa"/>
            <w:tcBorders>
              <w:top w:val="single" w:color="auto" w:sz="4" w:space="0"/>
              <w:left w:val="single" w:color="auto" w:sz="4" w:space="0"/>
              <w:bottom w:val="single" w:color="auto" w:sz="4" w:space="0"/>
              <w:right w:val="single" w:color="auto" w:sz="4" w:space="0"/>
            </w:tcBorders>
            <w:vAlign w:val="center"/>
          </w:tcPr>
          <w:p w14:paraId="0178C906">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乡镇综合物流服务站</w:t>
            </w:r>
          </w:p>
        </w:tc>
        <w:tc>
          <w:tcPr>
            <w:tcW w:w="1275" w:type="dxa"/>
            <w:tcBorders>
              <w:top w:val="single" w:color="auto" w:sz="4" w:space="0"/>
              <w:left w:val="nil"/>
              <w:bottom w:val="single" w:color="auto" w:sz="4" w:space="0"/>
              <w:right w:val="single" w:color="auto" w:sz="4" w:space="0"/>
            </w:tcBorders>
            <w:vAlign w:val="center"/>
          </w:tcPr>
          <w:p w14:paraId="11C49179">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凌源市</w:t>
            </w:r>
          </w:p>
        </w:tc>
        <w:tc>
          <w:tcPr>
            <w:tcW w:w="993" w:type="dxa"/>
            <w:tcBorders>
              <w:top w:val="single" w:color="auto" w:sz="4" w:space="0"/>
              <w:left w:val="nil"/>
              <w:bottom w:val="single" w:color="auto" w:sz="4" w:space="0"/>
              <w:right w:val="single" w:color="auto" w:sz="4" w:space="0"/>
            </w:tcBorders>
            <w:vAlign w:val="center"/>
          </w:tcPr>
          <w:p w14:paraId="3D0D7B77">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single" w:color="auto" w:sz="4" w:space="0"/>
              <w:left w:val="nil"/>
              <w:bottom w:val="single" w:color="auto" w:sz="4" w:space="0"/>
              <w:right w:val="single" w:color="auto" w:sz="4" w:space="0"/>
            </w:tcBorders>
            <w:vAlign w:val="center"/>
          </w:tcPr>
          <w:p w14:paraId="49466586">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在小城子、宋杖子、北炉、松岭子、四合当、三家子、佛爷洞、刀尔登、前进、三十家子等乡镇建设8-10个左右的电商快递及城乡共配二级网络中心项目，每个规划面积在2-3亩之间，主要建设标准仓库、快递及快运分拨中心、农村共同配送中心、增值服务区等。</w:t>
            </w:r>
          </w:p>
        </w:tc>
        <w:tc>
          <w:tcPr>
            <w:tcW w:w="1417" w:type="dxa"/>
            <w:tcBorders>
              <w:top w:val="single" w:color="auto" w:sz="4" w:space="0"/>
              <w:left w:val="nil"/>
              <w:bottom w:val="single" w:color="auto" w:sz="4" w:space="0"/>
              <w:right w:val="single" w:color="auto" w:sz="4" w:space="0"/>
            </w:tcBorders>
            <w:vAlign w:val="center"/>
          </w:tcPr>
          <w:p w14:paraId="2CB1AD62">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w:t>
            </w:r>
            <w:r>
              <w:rPr>
                <w:rFonts w:ascii="宋体" w:hAnsi="宋体" w:eastAsia="宋体" w:cs="宋体"/>
                <w:kern w:val="0"/>
                <w:sz w:val="24"/>
                <w:szCs w:val="24"/>
              </w:rPr>
              <w:t>3</w:t>
            </w:r>
          </w:p>
        </w:tc>
        <w:tc>
          <w:tcPr>
            <w:tcW w:w="1276" w:type="dxa"/>
            <w:tcBorders>
              <w:top w:val="single" w:color="auto" w:sz="4" w:space="0"/>
              <w:left w:val="nil"/>
              <w:bottom w:val="single" w:color="auto" w:sz="4" w:space="0"/>
              <w:right w:val="single" w:color="auto" w:sz="4" w:space="0"/>
            </w:tcBorders>
            <w:vAlign w:val="center"/>
          </w:tcPr>
          <w:p w14:paraId="37554B10">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134" w:type="dxa"/>
            <w:tcBorders>
              <w:top w:val="single" w:color="auto" w:sz="4" w:space="0"/>
              <w:left w:val="nil"/>
              <w:bottom w:val="single" w:color="auto" w:sz="4" w:space="0"/>
              <w:right w:val="single" w:color="auto" w:sz="4" w:space="0"/>
            </w:tcBorders>
            <w:vAlign w:val="center"/>
          </w:tcPr>
          <w:p w14:paraId="5E2D8312">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single" w:color="auto" w:sz="4" w:space="0"/>
              <w:left w:val="nil"/>
              <w:bottom w:val="single" w:color="auto" w:sz="4" w:space="0"/>
              <w:right w:val="single" w:color="auto" w:sz="4" w:space="0"/>
            </w:tcBorders>
            <w:vAlign w:val="center"/>
          </w:tcPr>
          <w:p w14:paraId="23AADFF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第三产业</w:t>
            </w:r>
          </w:p>
        </w:tc>
      </w:tr>
      <w:tr w14:paraId="49880570">
        <w:tblPrEx>
          <w:tblCellMar>
            <w:top w:w="0" w:type="dxa"/>
            <w:left w:w="108" w:type="dxa"/>
            <w:bottom w:w="0" w:type="dxa"/>
            <w:right w:w="108" w:type="dxa"/>
          </w:tblCellMar>
        </w:tblPrEx>
        <w:trPr>
          <w:trHeight w:val="1382"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09E1B08C">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23</w:t>
            </w:r>
          </w:p>
        </w:tc>
        <w:tc>
          <w:tcPr>
            <w:tcW w:w="1560" w:type="dxa"/>
            <w:tcBorders>
              <w:top w:val="single" w:color="auto" w:sz="4" w:space="0"/>
              <w:left w:val="single" w:color="auto" w:sz="4" w:space="0"/>
              <w:bottom w:val="single" w:color="auto" w:sz="4" w:space="0"/>
              <w:right w:val="single" w:color="auto" w:sz="4" w:space="0"/>
            </w:tcBorders>
            <w:vAlign w:val="center"/>
          </w:tcPr>
          <w:p w14:paraId="323EA8D4">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建制村综合物流服务点</w:t>
            </w:r>
          </w:p>
        </w:tc>
        <w:tc>
          <w:tcPr>
            <w:tcW w:w="1275" w:type="dxa"/>
            <w:tcBorders>
              <w:top w:val="single" w:color="auto" w:sz="4" w:space="0"/>
              <w:left w:val="nil"/>
              <w:bottom w:val="single" w:color="auto" w:sz="4" w:space="0"/>
              <w:right w:val="single" w:color="auto" w:sz="4" w:space="0"/>
            </w:tcBorders>
            <w:vAlign w:val="center"/>
          </w:tcPr>
          <w:p w14:paraId="28DF88CF">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凌源市</w:t>
            </w:r>
          </w:p>
        </w:tc>
        <w:tc>
          <w:tcPr>
            <w:tcW w:w="993" w:type="dxa"/>
            <w:tcBorders>
              <w:top w:val="single" w:color="auto" w:sz="4" w:space="0"/>
              <w:left w:val="nil"/>
              <w:bottom w:val="single" w:color="auto" w:sz="4" w:space="0"/>
              <w:right w:val="single" w:color="auto" w:sz="4" w:space="0"/>
            </w:tcBorders>
            <w:vAlign w:val="center"/>
          </w:tcPr>
          <w:p w14:paraId="22904518">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新建</w:t>
            </w:r>
          </w:p>
        </w:tc>
        <w:tc>
          <w:tcPr>
            <w:tcW w:w="5103" w:type="dxa"/>
            <w:tcBorders>
              <w:top w:val="single" w:color="auto" w:sz="4" w:space="0"/>
              <w:left w:val="nil"/>
              <w:bottom w:val="single" w:color="auto" w:sz="4" w:space="0"/>
              <w:right w:val="single" w:color="auto" w:sz="4" w:space="0"/>
            </w:tcBorders>
            <w:vAlign w:val="center"/>
          </w:tcPr>
          <w:p w14:paraId="13B75FAC">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在重点村规划布局约100个建制村综合物流服务点，占地面积50～100㎡，主要提供零担和快递货物中转配送、农产品电商发货服务、农资暂存配送服务等。</w:t>
            </w:r>
          </w:p>
        </w:tc>
        <w:tc>
          <w:tcPr>
            <w:tcW w:w="1417" w:type="dxa"/>
            <w:tcBorders>
              <w:top w:val="single" w:color="auto" w:sz="4" w:space="0"/>
              <w:left w:val="nil"/>
              <w:bottom w:val="single" w:color="auto" w:sz="4" w:space="0"/>
              <w:right w:val="single" w:color="auto" w:sz="4" w:space="0"/>
            </w:tcBorders>
            <w:vAlign w:val="center"/>
          </w:tcPr>
          <w:p w14:paraId="7CDDF491">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w:t>
            </w:r>
            <w:r>
              <w:rPr>
                <w:rFonts w:ascii="宋体" w:hAnsi="宋体" w:eastAsia="宋体" w:cs="宋体"/>
                <w:kern w:val="0"/>
                <w:sz w:val="24"/>
                <w:szCs w:val="24"/>
              </w:rPr>
              <w:t>3</w:t>
            </w:r>
          </w:p>
        </w:tc>
        <w:tc>
          <w:tcPr>
            <w:tcW w:w="1276" w:type="dxa"/>
            <w:tcBorders>
              <w:top w:val="single" w:color="auto" w:sz="4" w:space="0"/>
              <w:left w:val="nil"/>
              <w:bottom w:val="single" w:color="auto" w:sz="4" w:space="0"/>
              <w:right w:val="single" w:color="auto" w:sz="4" w:space="0"/>
            </w:tcBorders>
            <w:vAlign w:val="center"/>
          </w:tcPr>
          <w:p w14:paraId="69FC4985">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2</w:t>
            </w:r>
          </w:p>
        </w:tc>
        <w:tc>
          <w:tcPr>
            <w:tcW w:w="1134" w:type="dxa"/>
            <w:tcBorders>
              <w:top w:val="single" w:color="auto" w:sz="4" w:space="0"/>
              <w:left w:val="nil"/>
              <w:bottom w:val="single" w:color="auto" w:sz="4" w:space="0"/>
              <w:right w:val="single" w:color="auto" w:sz="4" w:space="0"/>
            </w:tcBorders>
            <w:vAlign w:val="center"/>
          </w:tcPr>
          <w:p w14:paraId="0E9D746C">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single" w:color="auto" w:sz="4" w:space="0"/>
              <w:left w:val="nil"/>
              <w:bottom w:val="single" w:color="auto" w:sz="4" w:space="0"/>
              <w:right w:val="single" w:color="auto" w:sz="4" w:space="0"/>
            </w:tcBorders>
            <w:vAlign w:val="center"/>
          </w:tcPr>
          <w:p w14:paraId="0493B5F0">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第三产业</w:t>
            </w:r>
          </w:p>
        </w:tc>
      </w:tr>
      <w:tr w14:paraId="15E32795">
        <w:tblPrEx>
          <w:tblCellMar>
            <w:top w:w="0" w:type="dxa"/>
            <w:left w:w="108" w:type="dxa"/>
            <w:bottom w:w="0" w:type="dxa"/>
            <w:right w:w="108" w:type="dxa"/>
          </w:tblCellMar>
        </w:tblPrEx>
        <w:trPr>
          <w:trHeight w:val="1382"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024567FE">
            <w:pPr>
              <w:widowControl/>
              <w:tabs>
                <w:tab w:val="left" w:pos="1985"/>
              </w:tabs>
              <w:spacing w:line="360" w:lineRule="auto"/>
              <w:jc w:val="center"/>
              <w:rPr>
                <w:rFonts w:ascii="宋体" w:hAnsi="宋体" w:eastAsia="宋体" w:cs="宋体"/>
                <w:kern w:val="0"/>
                <w:sz w:val="24"/>
                <w:szCs w:val="24"/>
              </w:rPr>
            </w:pPr>
            <w:r>
              <w:rPr>
                <w:rFonts w:ascii="宋体" w:hAnsi="宋体" w:eastAsia="宋体" w:cs="宋体"/>
                <w:kern w:val="0"/>
                <w:sz w:val="24"/>
                <w:szCs w:val="24"/>
              </w:rPr>
              <w:t>24</w:t>
            </w:r>
          </w:p>
        </w:tc>
        <w:tc>
          <w:tcPr>
            <w:tcW w:w="1560" w:type="dxa"/>
            <w:tcBorders>
              <w:top w:val="single" w:color="auto" w:sz="4" w:space="0"/>
              <w:left w:val="single" w:color="auto" w:sz="4" w:space="0"/>
              <w:bottom w:val="single" w:color="auto" w:sz="4" w:space="0"/>
              <w:right w:val="single" w:color="auto" w:sz="4" w:space="0"/>
            </w:tcBorders>
            <w:vAlign w:val="center"/>
          </w:tcPr>
          <w:p w14:paraId="3BB327A2">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凌源市应急物流中心</w:t>
            </w:r>
          </w:p>
        </w:tc>
        <w:tc>
          <w:tcPr>
            <w:tcW w:w="1275" w:type="dxa"/>
            <w:tcBorders>
              <w:top w:val="single" w:color="auto" w:sz="4" w:space="0"/>
              <w:left w:val="nil"/>
              <w:bottom w:val="single" w:color="auto" w:sz="4" w:space="0"/>
              <w:right w:val="single" w:color="auto" w:sz="4" w:space="0"/>
            </w:tcBorders>
            <w:vAlign w:val="center"/>
          </w:tcPr>
          <w:p w14:paraId="630439B5">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北炉</w:t>
            </w:r>
          </w:p>
        </w:tc>
        <w:tc>
          <w:tcPr>
            <w:tcW w:w="993" w:type="dxa"/>
            <w:tcBorders>
              <w:top w:val="single" w:color="auto" w:sz="4" w:space="0"/>
              <w:left w:val="nil"/>
              <w:bottom w:val="single" w:color="auto" w:sz="4" w:space="0"/>
              <w:right w:val="single" w:color="auto" w:sz="4" w:space="0"/>
            </w:tcBorders>
            <w:vAlign w:val="center"/>
          </w:tcPr>
          <w:p w14:paraId="3426CD04">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扩建</w:t>
            </w:r>
          </w:p>
        </w:tc>
        <w:tc>
          <w:tcPr>
            <w:tcW w:w="5103" w:type="dxa"/>
            <w:tcBorders>
              <w:top w:val="single" w:color="auto" w:sz="4" w:space="0"/>
              <w:left w:val="nil"/>
              <w:bottom w:val="single" w:color="auto" w:sz="4" w:space="0"/>
              <w:right w:val="single" w:color="auto" w:sz="4" w:space="0"/>
            </w:tcBorders>
            <w:vAlign w:val="center"/>
          </w:tcPr>
          <w:p w14:paraId="762DC9D3">
            <w:pPr>
              <w:widowControl/>
              <w:tabs>
                <w:tab w:val="left" w:pos="1985"/>
              </w:tabs>
              <w:spacing w:line="360" w:lineRule="auto"/>
              <w:rPr>
                <w:rFonts w:ascii="宋体" w:hAnsi="宋体" w:eastAsia="宋体" w:cs="宋体"/>
                <w:kern w:val="0"/>
                <w:sz w:val="24"/>
                <w:szCs w:val="24"/>
              </w:rPr>
            </w:pPr>
            <w:r>
              <w:rPr>
                <w:rFonts w:hint="eastAsia" w:ascii="宋体" w:hAnsi="宋体" w:eastAsia="宋体" w:cs="宋体"/>
                <w:kern w:val="0"/>
                <w:sz w:val="24"/>
                <w:szCs w:val="24"/>
              </w:rPr>
              <w:t>目前凌源市应急储备仓库约960平米，未来考虑规划面积55亩，主要存放救灾物资，如救生衣、发电机等，用于凌源市应急物资仓储管理和发放。</w:t>
            </w:r>
          </w:p>
        </w:tc>
        <w:tc>
          <w:tcPr>
            <w:tcW w:w="1417" w:type="dxa"/>
            <w:tcBorders>
              <w:top w:val="single" w:color="auto" w:sz="4" w:space="0"/>
              <w:left w:val="nil"/>
              <w:bottom w:val="single" w:color="auto" w:sz="4" w:space="0"/>
              <w:right w:val="single" w:color="auto" w:sz="4" w:space="0"/>
            </w:tcBorders>
            <w:vAlign w:val="center"/>
          </w:tcPr>
          <w:p w14:paraId="55A496E4">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2021-2022</w:t>
            </w:r>
          </w:p>
        </w:tc>
        <w:tc>
          <w:tcPr>
            <w:tcW w:w="1276" w:type="dxa"/>
            <w:tcBorders>
              <w:top w:val="single" w:color="auto" w:sz="4" w:space="0"/>
              <w:left w:val="nil"/>
              <w:bottom w:val="single" w:color="auto" w:sz="4" w:space="0"/>
              <w:right w:val="single" w:color="auto" w:sz="4" w:space="0"/>
            </w:tcBorders>
            <w:vAlign w:val="center"/>
          </w:tcPr>
          <w:p w14:paraId="263D90C1">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0.2</w:t>
            </w:r>
          </w:p>
        </w:tc>
        <w:tc>
          <w:tcPr>
            <w:tcW w:w="1134" w:type="dxa"/>
            <w:tcBorders>
              <w:top w:val="single" w:color="auto" w:sz="4" w:space="0"/>
              <w:left w:val="nil"/>
              <w:bottom w:val="single" w:color="auto" w:sz="4" w:space="0"/>
              <w:right w:val="single" w:color="auto" w:sz="4" w:space="0"/>
            </w:tcBorders>
            <w:vAlign w:val="center"/>
          </w:tcPr>
          <w:p w14:paraId="22E7137B">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规划中</w:t>
            </w:r>
          </w:p>
        </w:tc>
        <w:tc>
          <w:tcPr>
            <w:tcW w:w="850" w:type="dxa"/>
            <w:tcBorders>
              <w:top w:val="single" w:color="auto" w:sz="4" w:space="0"/>
              <w:left w:val="nil"/>
              <w:bottom w:val="single" w:color="auto" w:sz="4" w:space="0"/>
              <w:right w:val="single" w:color="auto" w:sz="4" w:space="0"/>
            </w:tcBorders>
            <w:vAlign w:val="center"/>
          </w:tcPr>
          <w:p w14:paraId="67398CF1">
            <w:pPr>
              <w:widowControl/>
              <w:tabs>
                <w:tab w:val="left" w:pos="1985"/>
              </w:tabs>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第三产业</w:t>
            </w:r>
          </w:p>
        </w:tc>
      </w:tr>
    </w:tbl>
    <w:p w14:paraId="0CA13F9A">
      <w:pPr>
        <w:pStyle w:val="13"/>
      </w:pPr>
      <w:bookmarkStart w:id="248" w:name="_Toc79498035"/>
      <w:bookmarkStart w:id="249" w:name="_Toc46506119"/>
      <w:bookmarkStart w:id="250" w:name="_Toc59307968"/>
    </w:p>
    <w:p w14:paraId="3F08944B">
      <w:pPr>
        <w:pStyle w:val="2"/>
        <w:rPr>
          <w:kern w:val="44"/>
          <w:sz w:val="44"/>
          <w:szCs w:val="44"/>
        </w:rPr>
      </w:pPr>
      <w:r>
        <w:br w:type="page"/>
      </w:r>
    </w:p>
    <w:p w14:paraId="4672470F">
      <w:pPr>
        <w:pStyle w:val="3"/>
        <w:spacing w:line="360" w:lineRule="auto"/>
        <w:jc w:val="center"/>
        <w:rPr>
          <w:rFonts w:ascii="黑体" w:hAnsi="黑体" w:eastAsia="黑体"/>
        </w:rPr>
      </w:pPr>
      <w:r>
        <w:rPr>
          <w:rFonts w:hint="eastAsia" w:ascii="黑体" w:hAnsi="黑体" w:eastAsia="黑体"/>
        </w:rPr>
        <w:t>附表二：凌源市现代物流业招商指引表</w:t>
      </w:r>
      <w:bookmarkEnd w:id="248"/>
    </w:p>
    <w:tbl>
      <w:tblPr>
        <w:tblStyle w:val="72"/>
        <w:tblpPr w:leftFromText="180" w:rightFromText="180" w:vertAnchor="text" w:tblpXSpec="center" w:tblpY="1"/>
        <w:tblOverlap w:val="never"/>
        <w:tblW w:w="14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851"/>
        <w:gridCol w:w="1701"/>
        <w:gridCol w:w="992"/>
        <w:gridCol w:w="4111"/>
        <w:gridCol w:w="992"/>
        <w:gridCol w:w="5108"/>
      </w:tblGrid>
      <w:tr w14:paraId="433B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blHeader/>
        </w:trPr>
        <w:tc>
          <w:tcPr>
            <w:tcW w:w="562" w:type="dxa"/>
            <w:shd w:val="clear" w:color="auto" w:fill="BDD6EE" w:themeFill="accent1" w:themeFillTint="66"/>
            <w:vAlign w:val="center"/>
          </w:tcPr>
          <w:p w14:paraId="291CF2AD">
            <w:pPr>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t>序号</w:t>
            </w:r>
          </w:p>
        </w:tc>
        <w:tc>
          <w:tcPr>
            <w:tcW w:w="851" w:type="dxa"/>
            <w:shd w:val="clear" w:color="auto" w:fill="BDD6EE" w:themeFill="accent1" w:themeFillTint="66"/>
            <w:vAlign w:val="center"/>
          </w:tcPr>
          <w:p w14:paraId="5696A3B9">
            <w:pPr>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t>企业</w:t>
            </w:r>
          </w:p>
          <w:p w14:paraId="6C13D7FB">
            <w:pPr>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t>类型</w:t>
            </w:r>
          </w:p>
        </w:tc>
        <w:tc>
          <w:tcPr>
            <w:tcW w:w="1701" w:type="dxa"/>
            <w:shd w:val="clear" w:color="auto" w:fill="BDD6EE" w:themeFill="accent1" w:themeFillTint="66"/>
            <w:vAlign w:val="center"/>
          </w:tcPr>
          <w:p w14:paraId="5051A7FA">
            <w:pPr>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t>企业名称</w:t>
            </w:r>
          </w:p>
        </w:tc>
        <w:tc>
          <w:tcPr>
            <w:tcW w:w="992" w:type="dxa"/>
            <w:shd w:val="clear" w:color="auto" w:fill="BDD6EE" w:themeFill="accent1" w:themeFillTint="66"/>
            <w:vAlign w:val="center"/>
          </w:tcPr>
          <w:p w14:paraId="67A5FBF5">
            <w:pPr>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t>注册地</w:t>
            </w:r>
          </w:p>
        </w:tc>
        <w:tc>
          <w:tcPr>
            <w:tcW w:w="4111" w:type="dxa"/>
            <w:shd w:val="clear" w:color="auto" w:fill="BDD6EE" w:themeFill="accent1" w:themeFillTint="66"/>
            <w:vAlign w:val="center"/>
          </w:tcPr>
          <w:p w14:paraId="65BFD38C">
            <w:pPr>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t>主营业务</w:t>
            </w:r>
          </w:p>
        </w:tc>
        <w:tc>
          <w:tcPr>
            <w:tcW w:w="992" w:type="dxa"/>
            <w:shd w:val="clear" w:color="auto" w:fill="BDD6EE" w:themeFill="accent1" w:themeFillTint="66"/>
            <w:vAlign w:val="center"/>
          </w:tcPr>
          <w:p w14:paraId="1BF3E100">
            <w:pPr>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t>注册</w:t>
            </w:r>
          </w:p>
          <w:p w14:paraId="0B239122">
            <w:pPr>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t>资本金</w:t>
            </w:r>
          </w:p>
        </w:tc>
        <w:tc>
          <w:tcPr>
            <w:tcW w:w="5108" w:type="dxa"/>
            <w:shd w:val="clear" w:color="auto" w:fill="BDD6EE" w:themeFill="accent1" w:themeFillTint="66"/>
            <w:vAlign w:val="center"/>
          </w:tcPr>
          <w:p w14:paraId="6E836EB6">
            <w:pPr>
              <w:jc w:val="center"/>
              <w:rPr>
                <w:rFonts w:ascii="宋体" w:hAnsi="宋体" w:eastAsia="宋体" w:cs="Times New Roman"/>
                <w:b/>
                <w:bCs/>
                <w:kern w:val="0"/>
                <w:sz w:val="24"/>
                <w:szCs w:val="24"/>
              </w:rPr>
            </w:pPr>
            <w:r>
              <w:rPr>
                <w:rFonts w:hint="eastAsia" w:ascii="宋体" w:hAnsi="宋体" w:eastAsia="宋体" w:cs="Times New Roman"/>
                <w:b/>
                <w:bCs/>
                <w:kern w:val="0"/>
                <w:sz w:val="24"/>
                <w:szCs w:val="24"/>
              </w:rPr>
              <w:t>网络布局/运营实绩</w:t>
            </w:r>
          </w:p>
        </w:tc>
      </w:tr>
      <w:tr w14:paraId="2464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4E4D1829">
            <w:pPr>
              <w:jc w:val="center"/>
              <w:rPr>
                <w:rFonts w:ascii="宋体" w:hAnsi="宋体" w:eastAsia="宋体" w:cs="Times New Roman"/>
                <w:kern w:val="0"/>
                <w:sz w:val="24"/>
                <w:szCs w:val="24"/>
              </w:rPr>
            </w:pPr>
            <w:r>
              <w:rPr>
                <w:rFonts w:hint="eastAsia" w:ascii="宋体" w:hAnsi="宋体" w:eastAsia="宋体" w:cs="Times New Roman"/>
                <w:kern w:val="0"/>
                <w:sz w:val="24"/>
                <w:szCs w:val="24"/>
              </w:rPr>
              <w:t>1</w:t>
            </w:r>
          </w:p>
        </w:tc>
        <w:tc>
          <w:tcPr>
            <w:tcW w:w="851" w:type="dxa"/>
            <w:vMerge w:val="restart"/>
            <w:vAlign w:val="center"/>
          </w:tcPr>
          <w:p w14:paraId="7EA4CC3C">
            <w:pPr>
              <w:rPr>
                <w:rFonts w:ascii="宋体" w:hAnsi="宋体" w:eastAsia="宋体" w:cs="Times New Roman"/>
                <w:kern w:val="0"/>
                <w:sz w:val="24"/>
                <w:szCs w:val="24"/>
              </w:rPr>
            </w:pPr>
            <w:r>
              <w:rPr>
                <w:rFonts w:hint="eastAsia" w:ascii="宋体" w:hAnsi="宋体" w:eastAsia="宋体" w:cs="Times New Roman"/>
                <w:kern w:val="0"/>
                <w:sz w:val="24"/>
                <w:szCs w:val="24"/>
              </w:rPr>
              <w:t>多式联运企业</w:t>
            </w:r>
          </w:p>
        </w:tc>
        <w:tc>
          <w:tcPr>
            <w:tcW w:w="1701" w:type="dxa"/>
            <w:vAlign w:val="center"/>
          </w:tcPr>
          <w:p w14:paraId="133C16DB">
            <w:pPr>
              <w:rPr>
                <w:rFonts w:ascii="宋体" w:hAnsi="宋体" w:eastAsia="宋体" w:cs="Times New Roman"/>
                <w:kern w:val="0"/>
                <w:sz w:val="24"/>
                <w:szCs w:val="24"/>
              </w:rPr>
            </w:pPr>
            <w:r>
              <w:rPr>
                <w:rFonts w:hint="eastAsia" w:ascii="宋体" w:hAnsi="宋体" w:eastAsia="宋体" w:cs="Times New Roman"/>
                <w:kern w:val="0"/>
                <w:sz w:val="24"/>
                <w:szCs w:val="24"/>
              </w:rPr>
              <w:t>中铁联合国际集装箱有限公司</w:t>
            </w:r>
          </w:p>
        </w:tc>
        <w:tc>
          <w:tcPr>
            <w:tcW w:w="992" w:type="dxa"/>
            <w:vAlign w:val="center"/>
          </w:tcPr>
          <w:p w14:paraId="0345892F">
            <w:pPr>
              <w:rPr>
                <w:rFonts w:ascii="宋体" w:hAnsi="宋体" w:eastAsia="宋体" w:cs="Times New Roman"/>
                <w:kern w:val="0"/>
                <w:sz w:val="24"/>
                <w:szCs w:val="24"/>
              </w:rPr>
            </w:pPr>
            <w:r>
              <w:rPr>
                <w:rFonts w:hint="eastAsia" w:ascii="宋体" w:hAnsi="宋体" w:eastAsia="宋体" w:cs="Times New Roman"/>
                <w:kern w:val="0"/>
                <w:sz w:val="24"/>
                <w:szCs w:val="24"/>
              </w:rPr>
              <w:t>北京</w:t>
            </w:r>
          </w:p>
        </w:tc>
        <w:tc>
          <w:tcPr>
            <w:tcW w:w="4111" w:type="dxa"/>
            <w:vAlign w:val="center"/>
          </w:tcPr>
          <w:p w14:paraId="1DAC7757">
            <w:pPr>
              <w:rPr>
                <w:rFonts w:ascii="宋体" w:hAnsi="宋体" w:eastAsia="宋体"/>
                <w:sz w:val="24"/>
                <w:szCs w:val="24"/>
              </w:rPr>
            </w:pPr>
            <w:r>
              <w:rPr>
                <w:rFonts w:ascii="宋体" w:hAnsi="宋体" w:eastAsia="宋体" w:cs="Times New Roman"/>
                <w:kern w:val="0"/>
                <w:sz w:val="24"/>
                <w:szCs w:val="24"/>
              </w:rPr>
              <w:t>铁路集装箱物流</w:t>
            </w:r>
            <w:r>
              <w:rPr>
                <w:rFonts w:hint="eastAsia" w:ascii="宋体" w:hAnsi="宋体" w:eastAsia="宋体" w:cs="Times New Roman"/>
                <w:kern w:val="0"/>
                <w:sz w:val="24"/>
                <w:szCs w:val="24"/>
              </w:rPr>
              <w:t>。</w:t>
            </w:r>
          </w:p>
        </w:tc>
        <w:tc>
          <w:tcPr>
            <w:tcW w:w="992" w:type="dxa"/>
            <w:vAlign w:val="center"/>
          </w:tcPr>
          <w:p w14:paraId="7C6AFEF9">
            <w:pPr>
              <w:widowControl/>
              <w:wordWrap w:val="0"/>
              <w:spacing w:line="405" w:lineRule="atLeast"/>
              <w:jc w:val="center"/>
              <w:rPr>
                <w:rFonts w:ascii="宋体" w:hAnsi="宋体" w:eastAsia="宋体" w:cs="宋体"/>
                <w:color w:val="333333"/>
                <w:kern w:val="0"/>
                <w:sz w:val="24"/>
                <w:szCs w:val="24"/>
              </w:rPr>
            </w:pPr>
            <w:r>
              <w:rPr>
                <w:rFonts w:ascii="宋体" w:hAnsi="宋体" w:eastAsia="宋体" w:cs="Times New Roman"/>
                <w:kern w:val="0"/>
                <w:sz w:val="24"/>
                <w:szCs w:val="24"/>
              </w:rPr>
              <w:t>42亿元</w:t>
            </w:r>
          </w:p>
        </w:tc>
        <w:tc>
          <w:tcPr>
            <w:tcW w:w="5108" w:type="dxa"/>
            <w:vAlign w:val="center"/>
          </w:tcPr>
          <w:p w14:paraId="2FC49A68">
            <w:pPr>
              <w:rPr>
                <w:rFonts w:ascii="宋体" w:hAnsi="宋体" w:eastAsia="宋体" w:cs="Times New Roman"/>
                <w:kern w:val="0"/>
                <w:sz w:val="24"/>
                <w:szCs w:val="24"/>
              </w:rPr>
            </w:pPr>
            <w:r>
              <w:rPr>
                <w:rFonts w:ascii="宋体" w:hAnsi="宋体" w:eastAsia="宋体" w:cs="Times New Roman"/>
                <w:kern w:val="0"/>
                <w:sz w:val="24"/>
                <w:szCs w:val="24"/>
              </w:rPr>
              <w:t>承担18个铁路集装箱中心站的建设和运营，已建成的9个中心站分别为</w:t>
            </w:r>
            <w:r>
              <w:fldChar w:fldCharType="begin"/>
            </w:r>
            <w:r>
              <w:instrText xml:space="preserve"> HYPERLINK "https://baike.baidu.com/item/%E4%B8%8A%E6%B5%B7" \t "_blank" </w:instrText>
            </w:r>
            <w:r>
              <w:fldChar w:fldCharType="separate"/>
            </w:r>
            <w:r>
              <w:rPr>
                <w:rFonts w:ascii="宋体" w:hAnsi="宋体" w:eastAsia="宋体" w:cs="Times New Roman"/>
                <w:kern w:val="0"/>
                <w:sz w:val="24"/>
                <w:szCs w:val="24"/>
              </w:rPr>
              <w:t>上海</w:t>
            </w:r>
            <w:r>
              <w:rPr>
                <w:rFonts w:ascii="宋体" w:hAnsi="宋体" w:eastAsia="宋体" w:cs="Times New Roman"/>
                <w:kern w:val="0"/>
                <w:sz w:val="24"/>
                <w:szCs w:val="24"/>
              </w:rPr>
              <w:fldChar w:fldCharType="end"/>
            </w:r>
            <w:r>
              <w:rPr>
                <w:rFonts w:ascii="宋体" w:hAnsi="宋体" w:eastAsia="宋体" w:cs="Times New Roman"/>
                <w:kern w:val="0"/>
                <w:sz w:val="24"/>
                <w:szCs w:val="24"/>
              </w:rPr>
              <w:t>、</w:t>
            </w:r>
            <w:r>
              <w:fldChar w:fldCharType="begin"/>
            </w:r>
            <w:r>
              <w:instrText xml:space="preserve"> HYPERLINK "https://baike.baidu.com/item/%E6%98%86%E6%98%8E" \t "_blank" </w:instrText>
            </w:r>
            <w:r>
              <w:fldChar w:fldCharType="separate"/>
            </w:r>
            <w:r>
              <w:rPr>
                <w:rFonts w:ascii="宋体" w:hAnsi="宋体" w:eastAsia="宋体" w:cs="Times New Roman"/>
                <w:kern w:val="0"/>
                <w:sz w:val="24"/>
                <w:szCs w:val="24"/>
              </w:rPr>
              <w:t>昆明</w:t>
            </w:r>
            <w:r>
              <w:rPr>
                <w:rFonts w:ascii="宋体" w:hAnsi="宋体" w:eastAsia="宋体" w:cs="Times New Roman"/>
                <w:kern w:val="0"/>
                <w:sz w:val="24"/>
                <w:szCs w:val="24"/>
              </w:rPr>
              <w:fldChar w:fldCharType="end"/>
            </w:r>
            <w:r>
              <w:rPr>
                <w:rFonts w:ascii="宋体" w:hAnsi="宋体" w:eastAsia="宋体" w:cs="Times New Roman"/>
                <w:kern w:val="0"/>
                <w:sz w:val="24"/>
                <w:szCs w:val="24"/>
              </w:rPr>
              <w:t>、</w:t>
            </w:r>
            <w:r>
              <w:fldChar w:fldCharType="begin"/>
            </w:r>
            <w:r>
              <w:instrText xml:space="preserve"> HYPERLINK "https://baike.baidu.com/item/%E9%87%8D%E5%BA%86" \t "_blank" </w:instrText>
            </w:r>
            <w:r>
              <w:fldChar w:fldCharType="separate"/>
            </w:r>
            <w:r>
              <w:rPr>
                <w:rFonts w:ascii="宋体" w:hAnsi="宋体" w:eastAsia="宋体" w:cs="Times New Roman"/>
                <w:kern w:val="0"/>
                <w:sz w:val="24"/>
                <w:szCs w:val="24"/>
              </w:rPr>
              <w:t>重庆</w:t>
            </w:r>
            <w:r>
              <w:rPr>
                <w:rFonts w:ascii="宋体" w:hAnsi="宋体" w:eastAsia="宋体" w:cs="Times New Roman"/>
                <w:kern w:val="0"/>
                <w:sz w:val="24"/>
                <w:szCs w:val="24"/>
              </w:rPr>
              <w:fldChar w:fldCharType="end"/>
            </w:r>
            <w:r>
              <w:rPr>
                <w:rFonts w:ascii="宋体" w:hAnsi="宋体" w:eastAsia="宋体" w:cs="Times New Roman"/>
                <w:kern w:val="0"/>
                <w:sz w:val="24"/>
                <w:szCs w:val="24"/>
              </w:rPr>
              <w:t>、</w:t>
            </w:r>
            <w:r>
              <w:fldChar w:fldCharType="begin"/>
            </w:r>
            <w:r>
              <w:instrText xml:space="preserve"> HYPERLINK "https://baike.baidu.com/item/%E6%88%90%E9%83%BD" \t "_blank" </w:instrText>
            </w:r>
            <w:r>
              <w:fldChar w:fldCharType="separate"/>
            </w:r>
            <w:r>
              <w:rPr>
                <w:rFonts w:ascii="宋体" w:hAnsi="宋体" w:eastAsia="宋体" w:cs="Times New Roman"/>
                <w:kern w:val="0"/>
                <w:sz w:val="24"/>
                <w:szCs w:val="24"/>
              </w:rPr>
              <w:t>成都</w:t>
            </w:r>
            <w:r>
              <w:rPr>
                <w:rFonts w:ascii="宋体" w:hAnsi="宋体" w:eastAsia="宋体" w:cs="Times New Roman"/>
                <w:kern w:val="0"/>
                <w:sz w:val="24"/>
                <w:szCs w:val="24"/>
              </w:rPr>
              <w:fldChar w:fldCharType="end"/>
            </w:r>
            <w:r>
              <w:rPr>
                <w:rFonts w:ascii="宋体" w:hAnsi="宋体" w:eastAsia="宋体" w:cs="Times New Roman"/>
                <w:kern w:val="0"/>
                <w:sz w:val="24"/>
                <w:szCs w:val="24"/>
              </w:rPr>
              <w:t>、</w:t>
            </w:r>
            <w:r>
              <w:fldChar w:fldCharType="begin"/>
            </w:r>
            <w:r>
              <w:instrText xml:space="preserve"> HYPERLINK "https://baike.baidu.com/item/%E9%83%91%E5%B7%9E" \t "_blank" </w:instrText>
            </w:r>
            <w:r>
              <w:fldChar w:fldCharType="separate"/>
            </w:r>
            <w:r>
              <w:rPr>
                <w:rFonts w:ascii="宋体" w:hAnsi="宋体" w:eastAsia="宋体" w:cs="Times New Roman"/>
                <w:kern w:val="0"/>
                <w:sz w:val="24"/>
                <w:szCs w:val="24"/>
              </w:rPr>
              <w:t>郑州</w:t>
            </w:r>
            <w:r>
              <w:rPr>
                <w:rFonts w:ascii="宋体" w:hAnsi="宋体" w:eastAsia="宋体" w:cs="Times New Roman"/>
                <w:kern w:val="0"/>
                <w:sz w:val="24"/>
                <w:szCs w:val="24"/>
              </w:rPr>
              <w:fldChar w:fldCharType="end"/>
            </w:r>
            <w:r>
              <w:rPr>
                <w:rFonts w:ascii="宋体" w:hAnsi="宋体" w:eastAsia="宋体" w:cs="Times New Roman"/>
                <w:kern w:val="0"/>
                <w:sz w:val="24"/>
                <w:szCs w:val="24"/>
              </w:rPr>
              <w:t>、</w:t>
            </w:r>
            <w:r>
              <w:fldChar w:fldCharType="begin"/>
            </w:r>
            <w:r>
              <w:instrText xml:space="preserve"> HYPERLINK "https://baike.baidu.com/item/%E5%A4%A7%E8%BF%9E" \t "_blank" </w:instrText>
            </w:r>
            <w:r>
              <w:fldChar w:fldCharType="separate"/>
            </w:r>
            <w:r>
              <w:rPr>
                <w:rFonts w:ascii="宋体" w:hAnsi="宋体" w:eastAsia="宋体" w:cs="Times New Roman"/>
                <w:kern w:val="0"/>
                <w:sz w:val="24"/>
                <w:szCs w:val="24"/>
              </w:rPr>
              <w:t>大连</w:t>
            </w:r>
            <w:r>
              <w:rPr>
                <w:rFonts w:ascii="宋体" w:hAnsi="宋体" w:eastAsia="宋体" w:cs="Times New Roman"/>
                <w:kern w:val="0"/>
                <w:sz w:val="24"/>
                <w:szCs w:val="24"/>
              </w:rPr>
              <w:fldChar w:fldCharType="end"/>
            </w:r>
            <w:r>
              <w:rPr>
                <w:rFonts w:ascii="宋体" w:hAnsi="宋体" w:eastAsia="宋体" w:cs="Times New Roman"/>
                <w:kern w:val="0"/>
                <w:sz w:val="24"/>
                <w:szCs w:val="24"/>
              </w:rPr>
              <w:t>、</w:t>
            </w:r>
            <w:r>
              <w:fldChar w:fldCharType="begin"/>
            </w:r>
            <w:r>
              <w:instrText xml:space="preserve"> HYPERLINK "https://baike.baidu.com/item/%E9%9D%92%E5%B2%9B" \t "_blank" </w:instrText>
            </w:r>
            <w:r>
              <w:fldChar w:fldCharType="separate"/>
            </w:r>
            <w:r>
              <w:rPr>
                <w:rFonts w:ascii="宋体" w:hAnsi="宋体" w:eastAsia="宋体" w:cs="Times New Roman"/>
                <w:kern w:val="0"/>
                <w:sz w:val="24"/>
                <w:szCs w:val="24"/>
              </w:rPr>
              <w:t>青岛</w:t>
            </w:r>
            <w:r>
              <w:rPr>
                <w:rFonts w:ascii="宋体" w:hAnsi="宋体" w:eastAsia="宋体" w:cs="Times New Roman"/>
                <w:kern w:val="0"/>
                <w:sz w:val="24"/>
                <w:szCs w:val="24"/>
              </w:rPr>
              <w:fldChar w:fldCharType="end"/>
            </w:r>
            <w:r>
              <w:rPr>
                <w:rFonts w:ascii="宋体" w:hAnsi="宋体" w:eastAsia="宋体" w:cs="Times New Roman"/>
                <w:kern w:val="0"/>
                <w:sz w:val="24"/>
                <w:szCs w:val="24"/>
              </w:rPr>
              <w:t>、</w:t>
            </w:r>
            <w:r>
              <w:fldChar w:fldCharType="begin"/>
            </w:r>
            <w:r>
              <w:instrText xml:space="preserve"> HYPERLINK "https://baike.baidu.com/item/%E6%AD%A6%E6%B1%89" \t "_blank" </w:instrText>
            </w:r>
            <w:r>
              <w:fldChar w:fldCharType="separate"/>
            </w:r>
            <w:r>
              <w:rPr>
                <w:rFonts w:ascii="宋体" w:hAnsi="宋体" w:eastAsia="宋体" w:cs="Times New Roman"/>
                <w:kern w:val="0"/>
                <w:sz w:val="24"/>
                <w:szCs w:val="24"/>
              </w:rPr>
              <w:t>武汉</w:t>
            </w:r>
            <w:r>
              <w:rPr>
                <w:rFonts w:ascii="宋体" w:hAnsi="宋体" w:eastAsia="宋体" w:cs="Times New Roman"/>
                <w:kern w:val="0"/>
                <w:sz w:val="24"/>
                <w:szCs w:val="24"/>
              </w:rPr>
              <w:fldChar w:fldCharType="end"/>
            </w:r>
            <w:r>
              <w:rPr>
                <w:rFonts w:ascii="宋体" w:hAnsi="宋体" w:eastAsia="宋体" w:cs="Times New Roman"/>
                <w:kern w:val="0"/>
                <w:sz w:val="24"/>
                <w:szCs w:val="24"/>
              </w:rPr>
              <w:t>、</w:t>
            </w:r>
            <w:r>
              <w:fldChar w:fldCharType="begin"/>
            </w:r>
            <w:r>
              <w:instrText xml:space="preserve"> HYPERLINK "https://baike.baidu.com/item/%E8%A5%BF%E5%AE%89" \t "_blank" </w:instrText>
            </w:r>
            <w:r>
              <w:fldChar w:fldCharType="separate"/>
            </w:r>
            <w:r>
              <w:rPr>
                <w:rFonts w:ascii="宋体" w:hAnsi="宋体" w:eastAsia="宋体" w:cs="Times New Roman"/>
                <w:kern w:val="0"/>
                <w:sz w:val="24"/>
                <w:szCs w:val="24"/>
              </w:rPr>
              <w:t>西安</w:t>
            </w:r>
            <w:r>
              <w:rPr>
                <w:rFonts w:ascii="宋体" w:hAnsi="宋体" w:eastAsia="宋体" w:cs="Times New Roman"/>
                <w:kern w:val="0"/>
                <w:sz w:val="24"/>
                <w:szCs w:val="24"/>
              </w:rPr>
              <w:fldChar w:fldCharType="end"/>
            </w:r>
            <w:r>
              <w:rPr>
                <w:rFonts w:ascii="宋体" w:hAnsi="宋体" w:eastAsia="宋体" w:cs="Times New Roman"/>
                <w:kern w:val="0"/>
                <w:sz w:val="24"/>
                <w:szCs w:val="24"/>
              </w:rPr>
              <w:t>铁路集装箱中心站，初步形成了铁路集装箱铁路运输网络。</w:t>
            </w:r>
          </w:p>
        </w:tc>
      </w:tr>
      <w:tr w14:paraId="73312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39442AF8">
            <w:pPr>
              <w:jc w:val="center"/>
              <w:rPr>
                <w:rFonts w:ascii="宋体" w:hAnsi="宋体" w:eastAsia="宋体" w:cs="Times New Roman"/>
                <w:kern w:val="0"/>
                <w:sz w:val="24"/>
                <w:szCs w:val="24"/>
              </w:rPr>
            </w:pPr>
            <w:r>
              <w:rPr>
                <w:rFonts w:hint="eastAsia" w:ascii="宋体" w:hAnsi="宋体" w:eastAsia="宋体" w:cs="Times New Roman"/>
                <w:kern w:val="0"/>
                <w:sz w:val="24"/>
                <w:szCs w:val="24"/>
              </w:rPr>
              <w:t>2</w:t>
            </w:r>
          </w:p>
        </w:tc>
        <w:tc>
          <w:tcPr>
            <w:tcW w:w="851" w:type="dxa"/>
            <w:vMerge w:val="continue"/>
            <w:vAlign w:val="center"/>
          </w:tcPr>
          <w:p w14:paraId="073148EF">
            <w:pPr>
              <w:rPr>
                <w:rFonts w:ascii="宋体" w:hAnsi="宋体" w:eastAsia="宋体" w:cs="Times New Roman"/>
                <w:kern w:val="0"/>
                <w:sz w:val="24"/>
                <w:szCs w:val="24"/>
              </w:rPr>
            </w:pPr>
          </w:p>
        </w:tc>
        <w:tc>
          <w:tcPr>
            <w:tcW w:w="1701" w:type="dxa"/>
            <w:vAlign w:val="center"/>
          </w:tcPr>
          <w:p w14:paraId="08C7AE54">
            <w:pPr>
              <w:rPr>
                <w:rFonts w:ascii="宋体" w:hAnsi="宋体" w:eastAsia="宋体" w:cs="Times New Roman"/>
                <w:kern w:val="0"/>
                <w:sz w:val="24"/>
                <w:szCs w:val="24"/>
              </w:rPr>
            </w:pPr>
            <w:r>
              <w:rPr>
                <w:rFonts w:hint="eastAsia" w:ascii="宋体" w:hAnsi="宋体" w:eastAsia="宋体" w:cs="Times New Roman"/>
                <w:kern w:val="0"/>
                <w:sz w:val="24"/>
                <w:szCs w:val="24"/>
              </w:rPr>
              <w:t>中远海集团有限公司</w:t>
            </w:r>
          </w:p>
        </w:tc>
        <w:tc>
          <w:tcPr>
            <w:tcW w:w="992" w:type="dxa"/>
            <w:vAlign w:val="center"/>
          </w:tcPr>
          <w:p w14:paraId="6F777426">
            <w:pPr>
              <w:rPr>
                <w:rFonts w:ascii="宋体" w:hAnsi="宋体" w:eastAsia="宋体" w:cs="Times New Roman"/>
                <w:kern w:val="0"/>
                <w:sz w:val="24"/>
                <w:szCs w:val="24"/>
              </w:rPr>
            </w:pPr>
            <w:r>
              <w:rPr>
                <w:rFonts w:hint="eastAsia" w:ascii="宋体" w:hAnsi="宋体" w:eastAsia="宋体" w:cs="Times New Roman"/>
                <w:kern w:val="0"/>
                <w:sz w:val="24"/>
                <w:szCs w:val="24"/>
              </w:rPr>
              <w:t>上海</w:t>
            </w:r>
          </w:p>
        </w:tc>
        <w:tc>
          <w:tcPr>
            <w:tcW w:w="4111" w:type="dxa"/>
            <w:vAlign w:val="center"/>
          </w:tcPr>
          <w:p w14:paraId="54AFD961">
            <w:pPr>
              <w:rPr>
                <w:rFonts w:ascii="宋体" w:hAnsi="宋体" w:eastAsia="宋体" w:cs="Times New Roman"/>
                <w:kern w:val="0"/>
                <w:sz w:val="24"/>
                <w:szCs w:val="24"/>
              </w:rPr>
            </w:pPr>
            <w:r>
              <w:rPr>
                <w:rFonts w:ascii="宋体" w:hAnsi="宋体" w:eastAsia="宋体" w:cs="Times New Roman"/>
                <w:kern w:val="0"/>
                <w:sz w:val="24"/>
                <w:szCs w:val="24"/>
              </w:rPr>
              <w:t>集装箱、道路运输车辆、能源化工及食品装备、海洋工程、重型卡车、物流服务、空港设备等</w:t>
            </w:r>
          </w:p>
        </w:tc>
        <w:tc>
          <w:tcPr>
            <w:tcW w:w="992" w:type="dxa"/>
            <w:vAlign w:val="center"/>
          </w:tcPr>
          <w:p w14:paraId="6CDE12E9">
            <w:pPr>
              <w:jc w:val="center"/>
              <w:rPr>
                <w:rFonts w:ascii="宋体" w:hAnsi="宋体" w:eastAsia="宋体" w:cs="Times New Roman"/>
                <w:kern w:val="0"/>
                <w:sz w:val="24"/>
                <w:szCs w:val="24"/>
              </w:rPr>
            </w:pPr>
            <w:r>
              <w:rPr>
                <w:rFonts w:hint="eastAsia" w:ascii="宋体" w:hAnsi="宋体" w:eastAsia="宋体" w:cs="Times New Roman"/>
                <w:kern w:val="0"/>
                <w:sz w:val="24"/>
                <w:szCs w:val="24"/>
              </w:rPr>
              <w:t>110亿元</w:t>
            </w:r>
          </w:p>
        </w:tc>
        <w:tc>
          <w:tcPr>
            <w:tcW w:w="5108" w:type="dxa"/>
            <w:vAlign w:val="center"/>
          </w:tcPr>
          <w:p w14:paraId="1E886FAE">
            <w:pPr>
              <w:rPr>
                <w:rFonts w:ascii="宋体" w:hAnsi="宋体" w:eastAsia="宋体" w:cs="Times New Roman"/>
                <w:kern w:val="0"/>
                <w:sz w:val="24"/>
                <w:szCs w:val="24"/>
              </w:rPr>
            </w:pPr>
            <w:r>
              <w:rPr>
                <w:rFonts w:hint="eastAsia" w:ascii="宋体" w:hAnsi="宋体" w:eastAsia="宋体" w:cs="Times New Roman"/>
                <w:kern w:val="0"/>
                <w:sz w:val="24"/>
                <w:szCs w:val="24"/>
              </w:rPr>
              <w:t>362条航线，在全球约100个国家和地区的329个港口挂靠。</w:t>
            </w:r>
          </w:p>
        </w:tc>
      </w:tr>
      <w:tr w14:paraId="1F1A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3F2EB58A">
            <w:pPr>
              <w:jc w:val="center"/>
              <w:rPr>
                <w:rFonts w:ascii="宋体" w:hAnsi="宋体" w:eastAsia="宋体" w:cs="Times New Roman"/>
                <w:kern w:val="0"/>
                <w:sz w:val="24"/>
                <w:szCs w:val="24"/>
              </w:rPr>
            </w:pPr>
            <w:r>
              <w:rPr>
                <w:rFonts w:hint="eastAsia" w:ascii="宋体" w:hAnsi="宋体" w:eastAsia="宋体" w:cs="Times New Roman"/>
                <w:kern w:val="0"/>
                <w:sz w:val="24"/>
                <w:szCs w:val="24"/>
              </w:rPr>
              <w:t>3</w:t>
            </w:r>
          </w:p>
        </w:tc>
        <w:tc>
          <w:tcPr>
            <w:tcW w:w="851" w:type="dxa"/>
            <w:vMerge w:val="continue"/>
            <w:vAlign w:val="center"/>
          </w:tcPr>
          <w:p w14:paraId="7DF741C6">
            <w:pPr>
              <w:rPr>
                <w:rFonts w:ascii="宋体" w:hAnsi="宋体" w:eastAsia="宋体" w:cs="Times New Roman"/>
                <w:kern w:val="0"/>
                <w:sz w:val="24"/>
                <w:szCs w:val="24"/>
              </w:rPr>
            </w:pPr>
          </w:p>
        </w:tc>
        <w:tc>
          <w:tcPr>
            <w:tcW w:w="1701" w:type="dxa"/>
            <w:vAlign w:val="center"/>
          </w:tcPr>
          <w:p w14:paraId="11A3568C">
            <w:pPr>
              <w:rPr>
                <w:rFonts w:ascii="宋体" w:hAnsi="宋体" w:eastAsia="宋体" w:cs="Times New Roman"/>
                <w:kern w:val="0"/>
                <w:sz w:val="24"/>
                <w:szCs w:val="24"/>
              </w:rPr>
            </w:pPr>
            <w:r>
              <w:rPr>
                <w:rFonts w:hint="eastAsia" w:ascii="宋体" w:hAnsi="宋体" w:eastAsia="宋体" w:cs="Times New Roman"/>
                <w:kern w:val="0"/>
                <w:sz w:val="24"/>
                <w:szCs w:val="24"/>
              </w:rPr>
              <w:t>中国外运股份有限公司</w:t>
            </w:r>
          </w:p>
        </w:tc>
        <w:tc>
          <w:tcPr>
            <w:tcW w:w="992" w:type="dxa"/>
            <w:vAlign w:val="center"/>
          </w:tcPr>
          <w:p w14:paraId="423BF806">
            <w:pPr>
              <w:rPr>
                <w:rFonts w:ascii="宋体" w:hAnsi="宋体" w:eastAsia="宋体" w:cs="Times New Roman"/>
                <w:kern w:val="0"/>
                <w:sz w:val="24"/>
                <w:szCs w:val="24"/>
              </w:rPr>
            </w:pPr>
            <w:r>
              <w:rPr>
                <w:rFonts w:hint="eastAsia" w:ascii="宋体" w:hAnsi="宋体" w:eastAsia="宋体" w:cs="Times New Roman"/>
                <w:kern w:val="0"/>
                <w:sz w:val="24"/>
                <w:szCs w:val="24"/>
              </w:rPr>
              <w:t>北京</w:t>
            </w:r>
          </w:p>
        </w:tc>
        <w:tc>
          <w:tcPr>
            <w:tcW w:w="4111" w:type="dxa"/>
            <w:vAlign w:val="center"/>
          </w:tcPr>
          <w:p w14:paraId="11A6DCBE">
            <w:pPr>
              <w:rPr>
                <w:rFonts w:ascii="宋体" w:hAnsi="宋体" w:eastAsia="宋体" w:cs="Times New Roman"/>
                <w:kern w:val="0"/>
                <w:sz w:val="24"/>
                <w:szCs w:val="24"/>
              </w:rPr>
            </w:pPr>
            <w:r>
              <w:rPr>
                <w:rFonts w:ascii="宋体" w:hAnsi="宋体" w:eastAsia="宋体" w:cs="Times New Roman"/>
                <w:kern w:val="0"/>
                <w:sz w:val="24"/>
                <w:szCs w:val="24"/>
              </w:rPr>
              <w:t>无船承运业务；普通货运；国际快递</w:t>
            </w:r>
            <w:r>
              <w:rPr>
                <w:rFonts w:hint="eastAsia" w:ascii="宋体" w:hAnsi="宋体" w:eastAsia="宋体" w:cs="Times New Roman"/>
                <w:kern w:val="0"/>
                <w:sz w:val="24"/>
                <w:szCs w:val="24"/>
              </w:rPr>
              <w:t>；</w:t>
            </w:r>
            <w:r>
              <w:rPr>
                <w:rFonts w:ascii="宋体" w:hAnsi="宋体" w:eastAsia="宋体" w:cs="Times New Roman"/>
                <w:kern w:val="0"/>
                <w:sz w:val="24"/>
                <w:szCs w:val="24"/>
              </w:rPr>
              <w:t>国内水路运</w:t>
            </w:r>
          </w:p>
        </w:tc>
        <w:tc>
          <w:tcPr>
            <w:tcW w:w="992" w:type="dxa"/>
            <w:vAlign w:val="center"/>
          </w:tcPr>
          <w:p w14:paraId="496F2157">
            <w:pPr>
              <w:jc w:val="center"/>
              <w:rPr>
                <w:rFonts w:ascii="宋体" w:hAnsi="宋体" w:eastAsia="宋体" w:cs="Times New Roman"/>
                <w:kern w:val="0"/>
                <w:sz w:val="24"/>
                <w:szCs w:val="24"/>
              </w:rPr>
            </w:pPr>
            <w:r>
              <w:rPr>
                <w:rFonts w:hint="eastAsia" w:ascii="宋体" w:hAnsi="宋体" w:eastAsia="宋体" w:cs="Times New Roman"/>
                <w:kern w:val="0"/>
                <w:sz w:val="24"/>
                <w:szCs w:val="24"/>
              </w:rPr>
              <w:t>74亿元</w:t>
            </w:r>
          </w:p>
        </w:tc>
        <w:tc>
          <w:tcPr>
            <w:tcW w:w="5108" w:type="dxa"/>
            <w:vAlign w:val="center"/>
          </w:tcPr>
          <w:p w14:paraId="475EE8E9">
            <w:pPr>
              <w:rPr>
                <w:rFonts w:ascii="宋体" w:hAnsi="宋体" w:eastAsia="宋体" w:cs="Times New Roman"/>
                <w:kern w:val="0"/>
                <w:sz w:val="24"/>
                <w:szCs w:val="24"/>
              </w:rPr>
            </w:pPr>
            <w:r>
              <w:rPr>
                <w:rFonts w:ascii="宋体" w:hAnsi="宋体" w:eastAsia="宋体" w:cs="Times New Roman"/>
                <w:kern w:val="0"/>
                <w:sz w:val="24"/>
                <w:szCs w:val="24"/>
              </w:rPr>
              <w:t>服务网络覆盖中国所有省份及地区，海外网络覆盖亚洲、非洲、美洲、欧洲等区域和地区</w:t>
            </w:r>
          </w:p>
        </w:tc>
      </w:tr>
      <w:tr w14:paraId="106D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4729AE07">
            <w:pPr>
              <w:jc w:val="center"/>
              <w:rPr>
                <w:rFonts w:ascii="宋体" w:hAnsi="宋体" w:eastAsia="宋体" w:cs="Times New Roman"/>
                <w:kern w:val="0"/>
                <w:sz w:val="24"/>
                <w:szCs w:val="24"/>
              </w:rPr>
            </w:pPr>
            <w:r>
              <w:rPr>
                <w:rFonts w:hint="eastAsia" w:ascii="宋体" w:hAnsi="宋体" w:eastAsia="宋体" w:cs="Times New Roman"/>
                <w:kern w:val="0"/>
                <w:sz w:val="24"/>
                <w:szCs w:val="24"/>
              </w:rPr>
              <w:t>4</w:t>
            </w:r>
          </w:p>
        </w:tc>
        <w:tc>
          <w:tcPr>
            <w:tcW w:w="851" w:type="dxa"/>
            <w:vAlign w:val="center"/>
          </w:tcPr>
          <w:p w14:paraId="250614BE">
            <w:pPr>
              <w:rPr>
                <w:rFonts w:ascii="宋体" w:hAnsi="宋体" w:eastAsia="宋体" w:cs="Times New Roman"/>
                <w:kern w:val="0"/>
                <w:sz w:val="24"/>
                <w:szCs w:val="24"/>
              </w:rPr>
            </w:pPr>
          </w:p>
        </w:tc>
        <w:tc>
          <w:tcPr>
            <w:tcW w:w="1701" w:type="dxa"/>
            <w:vAlign w:val="center"/>
          </w:tcPr>
          <w:p w14:paraId="75567A76">
            <w:pPr>
              <w:rPr>
                <w:rFonts w:ascii="宋体" w:hAnsi="宋体" w:eastAsia="宋体" w:cs="Times New Roman"/>
                <w:kern w:val="0"/>
                <w:sz w:val="24"/>
                <w:szCs w:val="24"/>
              </w:rPr>
            </w:pPr>
            <w:r>
              <w:rPr>
                <w:rFonts w:hint="eastAsia" w:ascii="宋体" w:hAnsi="宋体" w:eastAsia="宋体" w:cs="Times New Roman"/>
                <w:kern w:val="0"/>
                <w:sz w:val="24"/>
                <w:szCs w:val="24"/>
              </w:rPr>
              <w:t>中国邮政速递物流股份有限公司</w:t>
            </w:r>
          </w:p>
        </w:tc>
        <w:tc>
          <w:tcPr>
            <w:tcW w:w="992" w:type="dxa"/>
            <w:vAlign w:val="center"/>
          </w:tcPr>
          <w:p w14:paraId="11A4FEFA">
            <w:pPr>
              <w:rPr>
                <w:rFonts w:ascii="宋体" w:hAnsi="宋体" w:eastAsia="宋体" w:cs="Times New Roman"/>
                <w:kern w:val="0"/>
                <w:sz w:val="24"/>
                <w:szCs w:val="24"/>
              </w:rPr>
            </w:pPr>
            <w:r>
              <w:rPr>
                <w:rFonts w:hint="eastAsia" w:ascii="宋体" w:hAnsi="宋体" w:eastAsia="宋体" w:cs="Times New Roman"/>
                <w:kern w:val="0"/>
                <w:sz w:val="24"/>
                <w:szCs w:val="24"/>
              </w:rPr>
              <w:t>北京</w:t>
            </w:r>
          </w:p>
        </w:tc>
        <w:tc>
          <w:tcPr>
            <w:tcW w:w="4111" w:type="dxa"/>
            <w:vAlign w:val="center"/>
          </w:tcPr>
          <w:p w14:paraId="01D664E9">
            <w:pPr>
              <w:rPr>
                <w:rFonts w:ascii="宋体" w:hAnsi="宋体" w:eastAsia="宋体" w:cs="Arial"/>
                <w:color w:val="333333"/>
                <w:kern w:val="0"/>
                <w:sz w:val="24"/>
                <w:szCs w:val="24"/>
                <w:shd w:val="clear" w:color="auto" w:fill="FAFAFA"/>
              </w:rPr>
            </w:pPr>
            <w:r>
              <w:rPr>
                <w:rFonts w:hint="eastAsia" w:ascii="宋体" w:hAnsi="宋体" w:eastAsia="宋体" w:cs="Times New Roman"/>
                <w:kern w:val="0"/>
                <w:sz w:val="24"/>
                <w:szCs w:val="24"/>
              </w:rPr>
              <w:t>主要经营国内速递、国际速递、合同物流等业务，国内、国际速递服务涵盖卓越、标准和经济不同时限水平和代收货款等增值服务。</w:t>
            </w:r>
          </w:p>
        </w:tc>
        <w:tc>
          <w:tcPr>
            <w:tcW w:w="992" w:type="dxa"/>
            <w:vAlign w:val="center"/>
          </w:tcPr>
          <w:p w14:paraId="18E9F8F1">
            <w:pPr>
              <w:jc w:val="center"/>
              <w:rPr>
                <w:rFonts w:ascii="宋体" w:hAnsi="宋体" w:eastAsia="宋体" w:cs="Times New Roman"/>
                <w:kern w:val="0"/>
                <w:sz w:val="24"/>
                <w:szCs w:val="24"/>
              </w:rPr>
            </w:pPr>
            <w:r>
              <w:rPr>
                <w:rFonts w:ascii="宋体" w:hAnsi="宋体" w:eastAsia="宋体" w:cs="Times New Roman"/>
                <w:kern w:val="0"/>
                <w:sz w:val="24"/>
                <w:szCs w:val="24"/>
              </w:rPr>
              <w:t>8</w:t>
            </w:r>
            <w:r>
              <w:rPr>
                <w:rFonts w:hint="eastAsia" w:ascii="宋体" w:hAnsi="宋体" w:eastAsia="宋体" w:cs="Times New Roman"/>
                <w:kern w:val="0"/>
                <w:sz w:val="24"/>
                <w:szCs w:val="24"/>
              </w:rPr>
              <w:t>0亿元</w:t>
            </w:r>
          </w:p>
        </w:tc>
        <w:tc>
          <w:tcPr>
            <w:tcW w:w="5108" w:type="dxa"/>
            <w:vAlign w:val="center"/>
          </w:tcPr>
          <w:p w14:paraId="62FFF52A">
            <w:pPr>
              <w:rPr>
                <w:rFonts w:ascii="宋体" w:hAnsi="宋体" w:eastAsia="宋体" w:cs="Times New Roman"/>
                <w:kern w:val="0"/>
                <w:sz w:val="24"/>
                <w:szCs w:val="24"/>
              </w:rPr>
            </w:pPr>
            <w:r>
              <w:rPr>
                <w:rFonts w:hint="eastAsia" w:ascii="宋体" w:hAnsi="宋体" w:eastAsia="宋体" w:cs="Times New Roman"/>
                <w:kern w:val="0"/>
                <w:sz w:val="24"/>
                <w:szCs w:val="24"/>
              </w:rPr>
              <w:t>中国邮政速递物流在国内31个省（自治区、直辖市）设立分支机构，并拥有中国邮政航空有限责任公司、中邮物流有限责任公司等子公司。截止2018年底，业务范围遍及全国31个省（自治区、直辖市）的所有市县乡（镇），通达包括港、澳、台地区在内的全球200余个国家和地区，自营营业网点超过5千个。</w:t>
            </w:r>
          </w:p>
        </w:tc>
      </w:tr>
      <w:tr w14:paraId="0E08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4B0728F4">
            <w:pPr>
              <w:jc w:val="center"/>
              <w:rPr>
                <w:rFonts w:ascii="宋体" w:hAnsi="宋体" w:eastAsia="宋体" w:cs="Times New Roman"/>
                <w:kern w:val="0"/>
                <w:sz w:val="24"/>
                <w:szCs w:val="24"/>
              </w:rPr>
            </w:pPr>
            <w:r>
              <w:rPr>
                <w:rFonts w:ascii="宋体" w:hAnsi="宋体" w:eastAsia="宋体" w:cs="Times New Roman"/>
                <w:kern w:val="0"/>
                <w:sz w:val="24"/>
                <w:szCs w:val="24"/>
              </w:rPr>
              <w:t>5</w:t>
            </w:r>
          </w:p>
        </w:tc>
        <w:tc>
          <w:tcPr>
            <w:tcW w:w="851" w:type="dxa"/>
            <w:vMerge w:val="restart"/>
            <w:vAlign w:val="center"/>
          </w:tcPr>
          <w:p w14:paraId="6CBAFE04">
            <w:pPr>
              <w:rPr>
                <w:rFonts w:ascii="宋体" w:hAnsi="宋体" w:eastAsia="宋体" w:cs="Times New Roman"/>
                <w:kern w:val="0"/>
                <w:sz w:val="24"/>
                <w:szCs w:val="24"/>
              </w:rPr>
            </w:pPr>
            <w:r>
              <w:rPr>
                <w:rFonts w:hint="eastAsia" w:ascii="宋体" w:hAnsi="宋体" w:eastAsia="宋体" w:cs="Times New Roman"/>
                <w:kern w:val="0"/>
                <w:sz w:val="24"/>
                <w:szCs w:val="24"/>
              </w:rPr>
              <w:t>供应链</w:t>
            </w:r>
          </w:p>
          <w:p w14:paraId="5CAFD670">
            <w:pPr>
              <w:rPr>
                <w:rFonts w:ascii="宋体" w:hAnsi="宋体" w:eastAsia="宋体" w:cs="Times New Roman"/>
                <w:kern w:val="0"/>
                <w:sz w:val="24"/>
                <w:szCs w:val="24"/>
              </w:rPr>
            </w:pPr>
            <w:r>
              <w:rPr>
                <w:rFonts w:hint="eastAsia" w:ascii="宋体" w:hAnsi="宋体" w:eastAsia="宋体" w:cs="Times New Roman"/>
                <w:kern w:val="0"/>
                <w:sz w:val="24"/>
                <w:szCs w:val="24"/>
              </w:rPr>
              <w:t>物流企业</w:t>
            </w:r>
          </w:p>
        </w:tc>
        <w:tc>
          <w:tcPr>
            <w:tcW w:w="1701" w:type="dxa"/>
            <w:vAlign w:val="center"/>
          </w:tcPr>
          <w:p w14:paraId="60C2719C">
            <w:pPr>
              <w:rPr>
                <w:rFonts w:ascii="宋体" w:hAnsi="宋体" w:eastAsia="宋体" w:cs="Times New Roman"/>
                <w:kern w:val="0"/>
                <w:sz w:val="24"/>
                <w:szCs w:val="24"/>
              </w:rPr>
            </w:pPr>
            <w:r>
              <w:rPr>
                <w:rFonts w:hint="eastAsia" w:ascii="宋体" w:hAnsi="宋体" w:eastAsia="宋体" w:cs="Times New Roman"/>
                <w:kern w:val="0"/>
                <w:sz w:val="24"/>
                <w:szCs w:val="24"/>
              </w:rPr>
              <w:t>浙江物产集团</w:t>
            </w:r>
          </w:p>
        </w:tc>
        <w:tc>
          <w:tcPr>
            <w:tcW w:w="992" w:type="dxa"/>
            <w:vAlign w:val="center"/>
          </w:tcPr>
          <w:p w14:paraId="1E8D4F3B">
            <w:pPr>
              <w:rPr>
                <w:rFonts w:ascii="宋体" w:hAnsi="宋体" w:eastAsia="宋体" w:cs="Times New Roman"/>
                <w:kern w:val="0"/>
                <w:sz w:val="24"/>
                <w:szCs w:val="24"/>
              </w:rPr>
            </w:pPr>
            <w:r>
              <w:rPr>
                <w:rFonts w:hint="eastAsia" w:ascii="宋体" w:hAnsi="宋体" w:eastAsia="宋体" w:cs="Times New Roman"/>
                <w:kern w:val="0"/>
                <w:sz w:val="24"/>
                <w:szCs w:val="24"/>
              </w:rPr>
              <w:t>杭州</w:t>
            </w:r>
          </w:p>
        </w:tc>
        <w:tc>
          <w:tcPr>
            <w:tcW w:w="4111" w:type="dxa"/>
            <w:vAlign w:val="center"/>
          </w:tcPr>
          <w:p w14:paraId="2E2550F1">
            <w:pPr>
              <w:rPr>
                <w:rFonts w:ascii="宋体" w:hAnsi="宋体" w:eastAsia="宋体" w:cs="Times New Roman"/>
                <w:kern w:val="0"/>
                <w:sz w:val="24"/>
                <w:szCs w:val="24"/>
              </w:rPr>
            </w:pPr>
            <w:r>
              <w:rPr>
                <w:rFonts w:hint="eastAsia" w:ascii="宋体" w:hAnsi="宋体" w:eastAsia="宋体" w:cs="Times New Roman"/>
                <w:kern w:val="0"/>
                <w:sz w:val="24"/>
                <w:szCs w:val="24"/>
              </w:rPr>
              <w:t>金属材料、汽车业务、能源供应、国际贸易、化工产品、现代物流、供应链金融</w:t>
            </w:r>
          </w:p>
        </w:tc>
        <w:tc>
          <w:tcPr>
            <w:tcW w:w="992" w:type="dxa"/>
            <w:vAlign w:val="center"/>
          </w:tcPr>
          <w:p w14:paraId="689F0477">
            <w:pPr>
              <w:jc w:val="center"/>
              <w:rPr>
                <w:rFonts w:ascii="宋体" w:hAnsi="宋体" w:eastAsia="宋体" w:cs="Times New Roman"/>
                <w:kern w:val="0"/>
                <w:sz w:val="24"/>
                <w:szCs w:val="24"/>
              </w:rPr>
            </w:pPr>
            <w:r>
              <w:rPr>
                <w:rFonts w:hint="eastAsia" w:ascii="宋体" w:hAnsi="宋体" w:eastAsia="宋体" w:cs="Times New Roman"/>
                <w:kern w:val="0"/>
                <w:sz w:val="24"/>
                <w:szCs w:val="24"/>
              </w:rPr>
              <w:t>3.5亿元</w:t>
            </w:r>
          </w:p>
        </w:tc>
        <w:tc>
          <w:tcPr>
            <w:tcW w:w="5108" w:type="dxa"/>
            <w:vAlign w:val="center"/>
          </w:tcPr>
          <w:p w14:paraId="377B3E0B">
            <w:pPr>
              <w:rPr>
                <w:rFonts w:ascii="宋体" w:hAnsi="宋体" w:eastAsia="宋体" w:cs="Times New Roman"/>
                <w:kern w:val="0"/>
                <w:sz w:val="24"/>
                <w:szCs w:val="24"/>
              </w:rPr>
            </w:pPr>
            <w:r>
              <w:rPr>
                <w:rFonts w:ascii="宋体" w:hAnsi="宋体" w:eastAsia="宋体" w:cs="Times New Roman"/>
                <w:kern w:val="0"/>
                <w:sz w:val="24"/>
                <w:szCs w:val="24"/>
              </w:rPr>
              <w:t>浙江物产集团</w:t>
            </w:r>
            <w:r>
              <w:rPr>
                <w:rFonts w:hint="eastAsia" w:ascii="宋体" w:hAnsi="宋体" w:eastAsia="宋体" w:cs="Times New Roman"/>
                <w:kern w:val="0"/>
                <w:sz w:val="24"/>
                <w:szCs w:val="24"/>
              </w:rPr>
              <w:t>已</w:t>
            </w:r>
            <w:r>
              <w:rPr>
                <w:rFonts w:ascii="宋体" w:hAnsi="宋体" w:eastAsia="宋体" w:cs="Times New Roman"/>
                <w:kern w:val="0"/>
                <w:sz w:val="24"/>
                <w:szCs w:val="24"/>
              </w:rPr>
              <w:t>建立起一个基于强大分销网络、物流配送能力和信息处理能力，立足浙江、辐射长三角、布点全国主要经济区、连通世界的分销服务体系</w:t>
            </w:r>
            <w:r>
              <w:rPr>
                <w:rFonts w:hint="eastAsia" w:ascii="宋体" w:hAnsi="宋体" w:eastAsia="宋体" w:cs="Times New Roman"/>
                <w:kern w:val="0"/>
                <w:sz w:val="24"/>
                <w:szCs w:val="24"/>
              </w:rPr>
              <w:t>。</w:t>
            </w:r>
          </w:p>
        </w:tc>
      </w:tr>
      <w:tr w14:paraId="14F2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65DA48A5">
            <w:pPr>
              <w:jc w:val="center"/>
              <w:rPr>
                <w:rFonts w:ascii="宋体" w:hAnsi="宋体" w:eastAsia="宋体" w:cs="Times New Roman"/>
                <w:kern w:val="0"/>
                <w:sz w:val="24"/>
                <w:szCs w:val="24"/>
              </w:rPr>
            </w:pPr>
            <w:r>
              <w:rPr>
                <w:rFonts w:ascii="宋体" w:hAnsi="宋体" w:eastAsia="宋体" w:cs="Times New Roman"/>
                <w:kern w:val="0"/>
                <w:sz w:val="24"/>
                <w:szCs w:val="24"/>
              </w:rPr>
              <w:t>6</w:t>
            </w:r>
          </w:p>
        </w:tc>
        <w:tc>
          <w:tcPr>
            <w:tcW w:w="851" w:type="dxa"/>
            <w:vMerge w:val="continue"/>
            <w:vAlign w:val="center"/>
          </w:tcPr>
          <w:p w14:paraId="0221C3F4">
            <w:pPr>
              <w:rPr>
                <w:rFonts w:ascii="宋体" w:hAnsi="宋体" w:eastAsia="宋体" w:cs="Times New Roman"/>
                <w:kern w:val="0"/>
                <w:sz w:val="24"/>
                <w:szCs w:val="24"/>
              </w:rPr>
            </w:pPr>
          </w:p>
        </w:tc>
        <w:tc>
          <w:tcPr>
            <w:tcW w:w="1701" w:type="dxa"/>
            <w:vAlign w:val="center"/>
          </w:tcPr>
          <w:p w14:paraId="64670B3B">
            <w:pPr>
              <w:rPr>
                <w:rFonts w:ascii="宋体" w:hAnsi="宋体" w:eastAsia="宋体" w:cs="Times New Roman"/>
                <w:kern w:val="0"/>
                <w:sz w:val="24"/>
                <w:szCs w:val="24"/>
              </w:rPr>
            </w:pPr>
            <w:r>
              <w:rPr>
                <w:rFonts w:hint="eastAsia" w:ascii="宋体" w:hAnsi="宋体" w:eastAsia="宋体" w:cs="Times New Roman"/>
                <w:kern w:val="0"/>
                <w:sz w:val="24"/>
                <w:szCs w:val="24"/>
              </w:rPr>
              <w:t>湖南一力</w:t>
            </w:r>
            <w:r>
              <w:rPr>
                <w:rFonts w:ascii="宋体" w:hAnsi="宋体" w:eastAsia="宋体" w:cs="Times New Roman"/>
                <w:kern w:val="0"/>
                <w:sz w:val="24"/>
                <w:szCs w:val="24"/>
              </w:rPr>
              <w:t>股份有限公司</w:t>
            </w:r>
          </w:p>
        </w:tc>
        <w:tc>
          <w:tcPr>
            <w:tcW w:w="992" w:type="dxa"/>
            <w:vAlign w:val="center"/>
          </w:tcPr>
          <w:p w14:paraId="6026BAFD">
            <w:pPr>
              <w:rPr>
                <w:rFonts w:ascii="宋体" w:hAnsi="宋体" w:eastAsia="宋体" w:cs="Times New Roman"/>
                <w:kern w:val="0"/>
                <w:sz w:val="24"/>
                <w:szCs w:val="24"/>
              </w:rPr>
            </w:pPr>
            <w:r>
              <w:rPr>
                <w:rFonts w:hint="eastAsia" w:ascii="宋体" w:hAnsi="宋体" w:eastAsia="宋体" w:cs="Times New Roman"/>
                <w:kern w:val="0"/>
                <w:sz w:val="24"/>
                <w:szCs w:val="24"/>
              </w:rPr>
              <w:t>长沙</w:t>
            </w:r>
          </w:p>
        </w:tc>
        <w:tc>
          <w:tcPr>
            <w:tcW w:w="4111" w:type="dxa"/>
            <w:vAlign w:val="center"/>
          </w:tcPr>
          <w:p w14:paraId="48E0639C">
            <w:pPr>
              <w:rPr>
                <w:rFonts w:ascii="宋体" w:hAnsi="宋体" w:eastAsia="宋体" w:cs="Times New Roman"/>
                <w:kern w:val="0"/>
                <w:sz w:val="24"/>
                <w:szCs w:val="24"/>
              </w:rPr>
            </w:pPr>
            <w:r>
              <w:rPr>
                <w:rFonts w:ascii="宋体" w:hAnsi="宋体" w:eastAsia="宋体" w:cs="Times New Roman"/>
                <w:kern w:val="0"/>
                <w:sz w:val="24"/>
                <w:szCs w:val="24"/>
              </w:rPr>
              <w:t>现代物流、</w:t>
            </w:r>
            <w:r>
              <w:rPr>
                <w:rFonts w:hint="eastAsia" w:ascii="宋体" w:hAnsi="宋体" w:eastAsia="宋体" w:cs="Times New Roman"/>
                <w:kern w:val="0"/>
                <w:sz w:val="24"/>
                <w:szCs w:val="24"/>
              </w:rPr>
              <w:t>物流</w:t>
            </w:r>
            <w:r>
              <w:rPr>
                <w:rFonts w:ascii="宋体" w:hAnsi="宋体" w:eastAsia="宋体" w:cs="Times New Roman"/>
                <w:kern w:val="0"/>
                <w:sz w:val="24"/>
                <w:szCs w:val="24"/>
              </w:rPr>
              <w:t>地产开发、</w:t>
            </w:r>
            <w:r>
              <w:rPr>
                <w:rFonts w:hint="eastAsia" w:ascii="宋体" w:hAnsi="宋体" w:eastAsia="宋体" w:cs="Times New Roman"/>
                <w:kern w:val="0"/>
                <w:sz w:val="24"/>
                <w:szCs w:val="24"/>
              </w:rPr>
              <w:t>钢铁产品</w:t>
            </w:r>
            <w:r>
              <w:rPr>
                <w:rFonts w:ascii="宋体" w:hAnsi="宋体" w:eastAsia="宋体" w:cs="Times New Roman"/>
                <w:kern w:val="0"/>
                <w:sz w:val="24"/>
                <w:szCs w:val="24"/>
              </w:rPr>
              <w:t>贸易、</w:t>
            </w:r>
            <w:r>
              <w:rPr>
                <w:rFonts w:hint="eastAsia" w:ascii="宋体" w:hAnsi="宋体" w:eastAsia="宋体" w:cs="Times New Roman"/>
                <w:kern w:val="0"/>
                <w:sz w:val="24"/>
                <w:szCs w:val="24"/>
              </w:rPr>
              <w:t>钢铁供应链管理</w:t>
            </w:r>
            <w:r>
              <w:rPr>
                <w:rFonts w:ascii="宋体" w:hAnsi="宋体" w:eastAsia="宋体" w:cs="Times New Roman"/>
                <w:kern w:val="0"/>
                <w:sz w:val="24"/>
                <w:szCs w:val="24"/>
              </w:rPr>
              <w:t>、物业管理</w:t>
            </w:r>
          </w:p>
        </w:tc>
        <w:tc>
          <w:tcPr>
            <w:tcW w:w="992" w:type="dxa"/>
            <w:vAlign w:val="center"/>
          </w:tcPr>
          <w:p w14:paraId="635A407F">
            <w:pPr>
              <w:jc w:val="center"/>
              <w:rPr>
                <w:rFonts w:ascii="宋体" w:hAnsi="宋体" w:eastAsia="宋体" w:cs="Times New Roman"/>
                <w:kern w:val="0"/>
                <w:sz w:val="24"/>
                <w:szCs w:val="24"/>
              </w:rPr>
            </w:pPr>
            <w:r>
              <w:rPr>
                <w:rFonts w:hint="eastAsia" w:ascii="宋体" w:hAnsi="宋体" w:eastAsia="宋体" w:cs="Times New Roman"/>
                <w:kern w:val="0"/>
                <w:sz w:val="24"/>
                <w:szCs w:val="24"/>
              </w:rPr>
              <w:t>3.68亿元</w:t>
            </w:r>
          </w:p>
        </w:tc>
        <w:tc>
          <w:tcPr>
            <w:tcW w:w="5108" w:type="dxa"/>
            <w:vAlign w:val="center"/>
          </w:tcPr>
          <w:p w14:paraId="18692666">
            <w:pPr>
              <w:rPr>
                <w:rFonts w:ascii="宋体" w:hAnsi="宋体" w:eastAsia="宋体" w:cs="Times New Roman"/>
                <w:kern w:val="0"/>
                <w:sz w:val="24"/>
                <w:szCs w:val="24"/>
              </w:rPr>
            </w:pPr>
            <w:r>
              <w:rPr>
                <w:rFonts w:ascii="宋体" w:hAnsi="宋体" w:eastAsia="宋体" w:cs="Times New Roman"/>
                <w:kern w:val="0"/>
                <w:sz w:val="24"/>
                <w:szCs w:val="24"/>
              </w:rPr>
              <w:t>立足长沙，分别在苏州、武汉、岳阳等地投资兴建物流园区，倾力打造现代物流新体系，积极构建华东、中南“大流通、大平台、大发展”的现代物流新格局</w:t>
            </w:r>
            <w:r>
              <w:rPr>
                <w:rFonts w:hint="eastAsia" w:ascii="宋体" w:hAnsi="宋体" w:eastAsia="宋体" w:cs="Times New Roman"/>
                <w:kern w:val="0"/>
                <w:sz w:val="24"/>
                <w:szCs w:val="24"/>
              </w:rPr>
              <w:t>。</w:t>
            </w:r>
          </w:p>
        </w:tc>
      </w:tr>
      <w:tr w14:paraId="4E54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443633B6">
            <w:pPr>
              <w:jc w:val="center"/>
              <w:rPr>
                <w:rFonts w:ascii="宋体" w:hAnsi="宋体" w:eastAsia="宋体" w:cs="Times New Roman"/>
                <w:kern w:val="0"/>
                <w:sz w:val="24"/>
                <w:szCs w:val="24"/>
              </w:rPr>
            </w:pPr>
            <w:r>
              <w:rPr>
                <w:rFonts w:ascii="宋体" w:hAnsi="宋体" w:eastAsia="宋体" w:cs="Times New Roman"/>
                <w:kern w:val="0"/>
                <w:sz w:val="24"/>
                <w:szCs w:val="24"/>
              </w:rPr>
              <w:t>7</w:t>
            </w:r>
          </w:p>
        </w:tc>
        <w:tc>
          <w:tcPr>
            <w:tcW w:w="851" w:type="dxa"/>
            <w:vMerge w:val="continue"/>
            <w:vAlign w:val="center"/>
          </w:tcPr>
          <w:p w14:paraId="6E6AB172">
            <w:pPr>
              <w:rPr>
                <w:rFonts w:ascii="宋体" w:hAnsi="宋体" w:eastAsia="宋体" w:cs="Times New Roman"/>
                <w:kern w:val="0"/>
                <w:sz w:val="24"/>
                <w:szCs w:val="24"/>
              </w:rPr>
            </w:pPr>
          </w:p>
        </w:tc>
        <w:tc>
          <w:tcPr>
            <w:tcW w:w="1701" w:type="dxa"/>
            <w:vAlign w:val="center"/>
          </w:tcPr>
          <w:p w14:paraId="0E264493">
            <w:pPr>
              <w:rPr>
                <w:rFonts w:ascii="宋体" w:hAnsi="宋体" w:eastAsia="宋体" w:cs="Times New Roman"/>
                <w:kern w:val="0"/>
                <w:sz w:val="24"/>
                <w:szCs w:val="24"/>
              </w:rPr>
            </w:pPr>
            <w:r>
              <w:rPr>
                <w:rFonts w:hint="eastAsia" w:ascii="宋体" w:hAnsi="宋体" w:eastAsia="宋体" w:cs="Times New Roman"/>
                <w:kern w:val="0"/>
                <w:sz w:val="24"/>
                <w:szCs w:val="24"/>
              </w:rPr>
              <w:t>中商北斗供应链管理集团有限公司</w:t>
            </w:r>
          </w:p>
        </w:tc>
        <w:tc>
          <w:tcPr>
            <w:tcW w:w="992" w:type="dxa"/>
            <w:vAlign w:val="center"/>
          </w:tcPr>
          <w:p w14:paraId="6D216D14">
            <w:pPr>
              <w:rPr>
                <w:rFonts w:ascii="宋体" w:hAnsi="宋体" w:eastAsia="宋体" w:cs="Times New Roman"/>
                <w:kern w:val="0"/>
                <w:sz w:val="24"/>
                <w:szCs w:val="24"/>
              </w:rPr>
            </w:pPr>
            <w:r>
              <w:rPr>
                <w:rFonts w:hint="eastAsia" w:ascii="宋体" w:hAnsi="宋体" w:eastAsia="宋体" w:cs="Times New Roman"/>
                <w:kern w:val="0"/>
                <w:sz w:val="24"/>
                <w:szCs w:val="24"/>
              </w:rPr>
              <w:t>北京市</w:t>
            </w:r>
          </w:p>
        </w:tc>
        <w:tc>
          <w:tcPr>
            <w:tcW w:w="4111" w:type="dxa"/>
            <w:vAlign w:val="center"/>
          </w:tcPr>
          <w:p w14:paraId="36628284">
            <w:pPr>
              <w:rPr>
                <w:rFonts w:ascii="宋体" w:hAnsi="宋体" w:eastAsia="宋体" w:cs="Times New Roman"/>
                <w:kern w:val="0"/>
                <w:sz w:val="24"/>
                <w:szCs w:val="24"/>
              </w:rPr>
            </w:pPr>
            <w:r>
              <w:rPr>
                <w:rFonts w:ascii="宋体" w:hAnsi="宋体" w:eastAsia="宋体" w:cs="Times New Roman"/>
                <w:kern w:val="0"/>
                <w:sz w:val="24"/>
                <w:szCs w:val="24"/>
              </w:rPr>
              <w:t>供应链管理；投资管理；资产管理；</w:t>
            </w:r>
          </w:p>
        </w:tc>
        <w:tc>
          <w:tcPr>
            <w:tcW w:w="992" w:type="dxa"/>
            <w:vAlign w:val="center"/>
          </w:tcPr>
          <w:p w14:paraId="7C35CB4E">
            <w:pPr>
              <w:jc w:val="center"/>
              <w:rPr>
                <w:rFonts w:ascii="宋体" w:hAnsi="宋体" w:eastAsia="宋体" w:cs="Times New Roman"/>
                <w:kern w:val="0"/>
                <w:sz w:val="24"/>
                <w:szCs w:val="24"/>
              </w:rPr>
            </w:pPr>
            <w:r>
              <w:rPr>
                <w:rFonts w:hint="eastAsia" w:ascii="宋体" w:hAnsi="宋体" w:eastAsia="宋体" w:cs="Times New Roman"/>
                <w:kern w:val="0"/>
                <w:sz w:val="24"/>
                <w:szCs w:val="24"/>
              </w:rPr>
              <w:t>--</w:t>
            </w:r>
          </w:p>
        </w:tc>
        <w:tc>
          <w:tcPr>
            <w:tcW w:w="5108" w:type="dxa"/>
            <w:vAlign w:val="center"/>
          </w:tcPr>
          <w:p w14:paraId="36C568DF">
            <w:pPr>
              <w:rPr>
                <w:rFonts w:ascii="宋体" w:hAnsi="宋体" w:eastAsia="宋体" w:cs="Times New Roman"/>
                <w:kern w:val="0"/>
                <w:sz w:val="24"/>
                <w:szCs w:val="24"/>
              </w:rPr>
            </w:pPr>
            <w:r>
              <w:rPr>
                <w:rFonts w:hint="eastAsia" w:ascii="宋体" w:hAnsi="宋体" w:eastAsia="宋体" w:cs="Times New Roman"/>
                <w:kern w:val="0"/>
                <w:sz w:val="24"/>
                <w:szCs w:val="24"/>
              </w:rPr>
              <w:t>业务覆盖华南、华中、华东、华北、东北、西南地区等六大核心区域</w:t>
            </w:r>
          </w:p>
        </w:tc>
      </w:tr>
      <w:tr w14:paraId="0C7D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2DB2F1B3">
            <w:pPr>
              <w:jc w:val="center"/>
              <w:rPr>
                <w:rFonts w:ascii="宋体" w:hAnsi="宋体" w:eastAsia="宋体" w:cs="Times New Roman"/>
                <w:kern w:val="0"/>
                <w:sz w:val="24"/>
                <w:szCs w:val="24"/>
              </w:rPr>
            </w:pPr>
            <w:r>
              <w:rPr>
                <w:rFonts w:ascii="宋体" w:hAnsi="宋体" w:eastAsia="宋体" w:cs="Times New Roman"/>
                <w:kern w:val="0"/>
                <w:sz w:val="24"/>
                <w:szCs w:val="24"/>
              </w:rPr>
              <w:t>8</w:t>
            </w:r>
          </w:p>
        </w:tc>
        <w:tc>
          <w:tcPr>
            <w:tcW w:w="851" w:type="dxa"/>
            <w:vAlign w:val="center"/>
          </w:tcPr>
          <w:p w14:paraId="44EF2B08">
            <w:pPr>
              <w:rPr>
                <w:rFonts w:ascii="宋体" w:hAnsi="宋体" w:eastAsia="宋体" w:cs="Times New Roman"/>
                <w:kern w:val="0"/>
                <w:sz w:val="24"/>
                <w:szCs w:val="24"/>
              </w:rPr>
            </w:pPr>
            <w:r>
              <w:rPr>
                <w:rFonts w:hint="eastAsia" w:ascii="宋体" w:hAnsi="宋体" w:eastAsia="宋体" w:cs="Times New Roman"/>
                <w:kern w:val="0"/>
                <w:sz w:val="24"/>
                <w:szCs w:val="24"/>
              </w:rPr>
              <w:t>智慧物流</w:t>
            </w:r>
          </w:p>
        </w:tc>
        <w:tc>
          <w:tcPr>
            <w:tcW w:w="1701" w:type="dxa"/>
            <w:vAlign w:val="center"/>
          </w:tcPr>
          <w:p w14:paraId="2652A4EE">
            <w:pPr>
              <w:rPr>
                <w:rFonts w:ascii="宋体" w:hAnsi="宋体" w:eastAsia="宋体" w:cs="Times New Roman"/>
                <w:kern w:val="0"/>
                <w:sz w:val="24"/>
                <w:szCs w:val="24"/>
              </w:rPr>
            </w:pPr>
            <w:r>
              <w:rPr>
                <w:rFonts w:hint="eastAsia" w:ascii="宋体" w:hAnsi="宋体" w:eastAsia="宋体" w:cs="Times New Roman"/>
                <w:kern w:val="0"/>
                <w:sz w:val="24"/>
                <w:szCs w:val="24"/>
              </w:rPr>
              <w:t>G7</w:t>
            </w:r>
          </w:p>
        </w:tc>
        <w:tc>
          <w:tcPr>
            <w:tcW w:w="992" w:type="dxa"/>
            <w:vAlign w:val="center"/>
          </w:tcPr>
          <w:p w14:paraId="4B8DFBD4">
            <w:pPr>
              <w:rPr>
                <w:rFonts w:ascii="宋体" w:hAnsi="宋体" w:eastAsia="宋体" w:cs="Times New Roman"/>
                <w:kern w:val="0"/>
                <w:sz w:val="24"/>
                <w:szCs w:val="24"/>
              </w:rPr>
            </w:pPr>
            <w:r>
              <w:rPr>
                <w:rFonts w:hint="eastAsia" w:ascii="宋体" w:hAnsi="宋体" w:eastAsia="宋体" w:cs="Times New Roman"/>
                <w:kern w:val="0"/>
                <w:sz w:val="24"/>
                <w:szCs w:val="24"/>
              </w:rPr>
              <w:t>北京</w:t>
            </w:r>
          </w:p>
        </w:tc>
        <w:tc>
          <w:tcPr>
            <w:tcW w:w="4111" w:type="dxa"/>
            <w:vAlign w:val="center"/>
          </w:tcPr>
          <w:p w14:paraId="2102C4CA">
            <w:pPr>
              <w:rPr>
                <w:rFonts w:ascii="宋体" w:hAnsi="宋体" w:eastAsia="宋体" w:cs="Times New Roman"/>
                <w:kern w:val="0"/>
                <w:sz w:val="24"/>
                <w:szCs w:val="24"/>
              </w:rPr>
            </w:pPr>
            <w:r>
              <w:rPr>
                <w:rFonts w:ascii="宋体" w:hAnsi="宋体" w:eastAsia="宋体" w:cs="Times New Roman"/>
                <w:kern w:val="0"/>
                <w:sz w:val="24"/>
                <w:szCs w:val="24"/>
              </w:rPr>
              <w:t>物联网+AI赋能</w:t>
            </w:r>
            <w:r>
              <w:rPr>
                <w:rFonts w:hint="eastAsia" w:ascii="宋体" w:hAnsi="宋体" w:eastAsia="宋体" w:cs="Times New Roman"/>
                <w:kern w:val="0"/>
                <w:sz w:val="24"/>
                <w:szCs w:val="24"/>
              </w:rPr>
              <w:t>，</w:t>
            </w:r>
            <w:r>
              <w:rPr>
                <w:rFonts w:ascii="宋体" w:hAnsi="宋体" w:eastAsia="宋体" w:cs="Times New Roman"/>
                <w:kern w:val="0"/>
                <w:sz w:val="24"/>
                <w:szCs w:val="24"/>
              </w:rPr>
              <w:t>帮助物流企业在效率、成本、安全管理上进行智能化全面升级</w:t>
            </w:r>
            <w:r>
              <w:rPr>
                <w:rFonts w:hint="eastAsia" w:ascii="宋体" w:hAnsi="宋体" w:eastAsia="宋体" w:cs="Times New Roman"/>
                <w:kern w:val="0"/>
                <w:sz w:val="24"/>
                <w:szCs w:val="24"/>
              </w:rPr>
              <w:t>。</w:t>
            </w:r>
          </w:p>
        </w:tc>
        <w:tc>
          <w:tcPr>
            <w:tcW w:w="992" w:type="dxa"/>
            <w:vAlign w:val="center"/>
          </w:tcPr>
          <w:p w14:paraId="02444BE2">
            <w:pPr>
              <w:jc w:val="center"/>
              <w:rPr>
                <w:rFonts w:ascii="宋体" w:hAnsi="宋体" w:eastAsia="宋体" w:cs="Times New Roman"/>
                <w:kern w:val="0"/>
                <w:sz w:val="24"/>
                <w:szCs w:val="24"/>
              </w:rPr>
            </w:pPr>
            <w:r>
              <w:rPr>
                <w:rFonts w:hint="eastAsia" w:ascii="宋体" w:hAnsi="宋体" w:eastAsia="宋体" w:cs="Times New Roman"/>
                <w:kern w:val="0"/>
                <w:sz w:val="24"/>
                <w:szCs w:val="24"/>
              </w:rPr>
              <w:t>--</w:t>
            </w:r>
          </w:p>
        </w:tc>
        <w:tc>
          <w:tcPr>
            <w:tcW w:w="5108" w:type="dxa"/>
            <w:vAlign w:val="center"/>
          </w:tcPr>
          <w:p w14:paraId="111FD00E">
            <w:pPr>
              <w:rPr>
                <w:rFonts w:ascii="宋体" w:hAnsi="宋体" w:eastAsia="宋体" w:cs="Times New Roman"/>
                <w:kern w:val="0"/>
                <w:sz w:val="24"/>
                <w:szCs w:val="24"/>
              </w:rPr>
            </w:pPr>
            <w:r>
              <w:rPr>
                <w:rFonts w:hint="eastAsia" w:ascii="宋体" w:hAnsi="宋体" w:eastAsia="宋体" w:cs="Arial"/>
                <w:color w:val="333333"/>
                <w:kern w:val="0"/>
                <w:sz w:val="24"/>
                <w:szCs w:val="24"/>
                <w:shd w:val="clear" w:color="auto" w:fill="FFFFFF"/>
              </w:rPr>
              <w:t>成都、上海、广州设有研发中心及解决方案中心，业务覆盖全国及周边亚洲国家</w:t>
            </w:r>
          </w:p>
        </w:tc>
      </w:tr>
      <w:tr w14:paraId="3B1F1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434BC6D8">
            <w:pPr>
              <w:jc w:val="center"/>
              <w:rPr>
                <w:rFonts w:ascii="宋体" w:hAnsi="宋体" w:eastAsia="宋体" w:cs="Times New Roman"/>
                <w:kern w:val="0"/>
                <w:sz w:val="24"/>
                <w:szCs w:val="24"/>
              </w:rPr>
            </w:pPr>
            <w:r>
              <w:rPr>
                <w:rFonts w:ascii="宋体" w:hAnsi="宋体" w:eastAsia="宋体" w:cs="Times New Roman"/>
                <w:kern w:val="0"/>
                <w:sz w:val="24"/>
                <w:szCs w:val="24"/>
              </w:rPr>
              <w:t>9</w:t>
            </w:r>
          </w:p>
        </w:tc>
        <w:tc>
          <w:tcPr>
            <w:tcW w:w="851" w:type="dxa"/>
            <w:vMerge w:val="restart"/>
            <w:vAlign w:val="center"/>
          </w:tcPr>
          <w:p w14:paraId="4D18355E">
            <w:pPr>
              <w:rPr>
                <w:rFonts w:ascii="宋体" w:hAnsi="宋体" w:eastAsia="宋体" w:cs="Times New Roman"/>
                <w:kern w:val="0"/>
                <w:sz w:val="24"/>
                <w:szCs w:val="24"/>
              </w:rPr>
            </w:pPr>
          </w:p>
          <w:p w14:paraId="34C43C61">
            <w:pPr>
              <w:rPr>
                <w:rFonts w:ascii="宋体" w:hAnsi="宋体" w:eastAsia="宋体" w:cs="Times New Roman"/>
                <w:kern w:val="0"/>
                <w:sz w:val="24"/>
                <w:szCs w:val="24"/>
              </w:rPr>
            </w:pPr>
          </w:p>
          <w:p w14:paraId="674D17EC">
            <w:pPr>
              <w:rPr>
                <w:rFonts w:ascii="宋体" w:hAnsi="宋体" w:eastAsia="宋体" w:cs="Times New Roman"/>
                <w:kern w:val="0"/>
                <w:sz w:val="24"/>
                <w:szCs w:val="24"/>
              </w:rPr>
            </w:pPr>
          </w:p>
          <w:p w14:paraId="139BABE7">
            <w:pPr>
              <w:rPr>
                <w:rFonts w:ascii="宋体" w:hAnsi="宋体" w:eastAsia="宋体" w:cs="Times New Roman"/>
                <w:kern w:val="0"/>
                <w:sz w:val="24"/>
                <w:szCs w:val="24"/>
              </w:rPr>
            </w:pPr>
          </w:p>
          <w:p w14:paraId="561E775C">
            <w:pPr>
              <w:rPr>
                <w:rFonts w:ascii="宋体" w:hAnsi="宋体" w:eastAsia="宋体" w:cs="Times New Roman"/>
                <w:kern w:val="0"/>
                <w:sz w:val="24"/>
                <w:szCs w:val="24"/>
              </w:rPr>
            </w:pPr>
          </w:p>
          <w:p w14:paraId="69D5F855">
            <w:pPr>
              <w:rPr>
                <w:rFonts w:ascii="宋体" w:hAnsi="宋体" w:eastAsia="宋体" w:cs="Times New Roman"/>
                <w:kern w:val="0"/>
                <w:sz w:val="24"/>
                <w:szCs w:val="24"/>
              </w:rPr>
            </w:pPr>
          </w:p>
          <w:p w14:paraId="50A4D501">
            <w:pPr>
              <w:rPr>
                <w:rFonts w:ascii="宋体" w:hAnsi="宋体" w:eastAsia="宋体" w:cs="Times New Roman"/>
                <w:kern w:val="0"/>
                <w:sz w:val="24"/>
                <w:szCs w:val="24"/>
              </w:rPr>
            </w:pPr>
          </w:p>
          <w:p w14:paraId="5E8C786E">
            <w:pPr>
              <w:rPr>
                <w:rFonts w:ascii="宋体" w:hAnsi="宋体" w:eastAsia="宋体" w:cs="Times New Roman"/>
                <w:kern w:val="0"/>
                <w:sz w:val="24"/>
                <w:szCs w:val="24"/>
              </w:rPr>
            </w:pPr>
          </w:p>
          <w:p w14:paraId="4DF4F179">
            <w:pPr>
              <w:rPr>
                <w:rFonts w:ascii="宋体" w:hAnsi="宋体" w:eastAsia="宋体" w:cs="Times New Roman"/>
                <w:kern w:val="0"/>
                <w:sz w:val="24"/>
                <w:szCs w:val="24"/>
              </w:rPr>
            </w:pPr>
          </w:p>
          <w:p w14:paraId="48E07CCF">
            <w:pPr>
              <w:rPr>
                <w:rFonts w:ascii="宋体" w:hAnsi="宋体" w:eastAsia="宋体" w:cs="Times New Roman"/>
                <w:kern w:val="0"/>
                <w:sz w:val="24"/>
                <w:szCs w:val="24"/>
              </w:rPr>
            </w:pPr>
          </w:p>
          <w:p w14:paraId="6720E079">
            <w:pPr>
              <w:rPr>
                <w:rFonts w:ascii="宋体" w:hAnsi="宋体" w:eastAsia="宋体" w:cs="Times New Roman"/>
                <w:kern w:val="0"/>
                <w:sz w:val="24"/>
                <w:szCs w:val="24"/>
              </w:rPr>
            </w:pPr>
          </w:p>
          <w:p w14:paraId="73506289">
            <w:pPr>
              <w:rPr>
                <w:rFonts w:ascii="宋体" w:hAnsi="宋体" w:eastAsia="宋体" w:cs="Times New Roman"/>
                <w:kern w:val="0"/>
                <w:sz w:val="24"/>
                <w:szCs w:val="24"/>
              </w:rPr>
            </w:pPr>
          </w:p>
          <w:p w14:paraId="6DE12724">
            <w:pPr>
              <w:rPr>
                <w:rFonts w:ascii="宋体" w:hAnsi="宋体" w:eastAsia="宋体" w:cs="Times New Roman"/>
                <w:kern w:val="0"/>
                <w:sz w:val="24"/>
                <w:szCs w:val="24"/>
              </w:rPr>
            </w:pPr>
          </w:p>
          <w:p w14:paraId="71A77634">
            <w:pPr>
              <w:rPr>
                <w:rFonts w:ascii="宋体" w:hAnsi="宋体" w:eastAsia="宋体" w:cs="Times New Roman"/>
                <w:kern w:val="0"/>
                <w:sz w:val="24"/>
                <w:szCs w:val="24"/>
              </w:rPr>
            </w:pPr>
          </w:p>
          <w:p w14:paraId="406E98E9">
            <w:pPr>
              <w:rPr>
                <w:rFonts w:ascii="宋体" w:hAnsi="宋体" w:eastAsia="宋体" w:cs="Times New Roman"/>
                <w:kern w:val="0"/>
                <w:sz w:val="24"/>
                <w:szCs w:val="24"/>
              </w:rPr>
            </w:pPr>
          </w:p>
          <w:p w14:paraId="6DECEB66">
            <w:pPr>
              <w:rPr>
                <w:rFonts w:ascii="宋体" w:hAnsi="宋体" w:eastAsia="宋体" w:cs="Times New Roman"/>
                <w:kern w:val="0"/>
                <w:sz w:val="24"/>
                <w:szCs w:val="24"/>
              </w:rPr>
            </w:pPr>
          </w:p>
          <w:p w14:paraId="350F9035">
            <w:pPr>
              <w:rPr>
                <w:rFonts w:ascii="宋体" w:hAnsi="宋体" w:eastAsia="宋体" w:cs="Times New Roman"/>
                <w:kern w:val="0"/>
                <w:sz w:val="24"/>
                <w:szCs w:val="24"/>
              </w:rPr>
            </w:pPr>
          </w:p>
          <w:p w14:paraId="311C0750">
            <w:pPr>
              <w:rPr>
                <w:rFonts w:ascii="宋体" w:hAnsi="宋体" w:eastAsia="宋体" w:cs="Times New Roman"/>
                <w:kern w:val="0"/>
                <w:sz w:val="24"/>
                <w:szCs w:val="24"/>
              </w:rPr>
            </w:pPr>
          </w:p>
          <w:p w14:paraId="1B515B89">
            <w:pPr>
              <w:rPr>
                <w:rFonts w:ascii="宋体" w:hAnsi="宋体" w:eastAsia="宋体" w:cs="Times New Roman"/>
                <w:kern w:val="0"/>
                <w:sz w:val="24"/>
                <w:szCs w:val="24"/>
              </w:rPr>
            </w:pPr>
          </w:p>
          <w:p w14:paraId="1B315796">
            <w:pPr>
              <w:rPr>
                <w:rFonts w:ascii="宋体" w:hAnsi="宋体" w:eastAsia="宋体" w:cs="Times New Roman"/>
                <w:kern w:val="0"/>
                <w:sz w:val="24"/>
                <w:szCs w:val="24"/>
              </w:rPr>
            </w:pPr>
            <w:r>
              <w:rPr>
                <w:rFonts w:hint="eastAsia" w:ascii="宋体" w:hAnsi="宋体" w:eastAsia="宋体" w:cs="Times New Roman"/>
                <w:kern w:val="0"/>
                <w:sz w:val="24"/>
                <w:szCs w:val="24"/>
              </w:rPr>
              <w:t>冷链物流相关企业</w:t>
            </w:r>
          </w:p>
        </w:tc>
        <w:tc>
          <w:tcPr>
            <w:tcW w:w="1701" w:type="dxa"/>
            <w:vAlign w:val="center"/>
          </w:tcPr>
          <w:p w14:paraId="4EF9CD8A">
            <w:pPr>
              <w:rPr>
                <w:rFonts w:ascii="宋体" w:hAnsi="宋体" w:eastAsia="宋体" w:cs="Times New Roman"/>
                <w:kern w:val="0"/>
                <w:sz w:val="24"/>
                <w:szCs w:val="24"/>
              </w:rPr>
            </w:pPr>
            <w:r>
              <w:rPr>
                <w:rFonts w:hint="eastAsia" w:ascii="宋体" w:hAnsi="宋体" w:eastAsia="宋体" w:cs="Times New Roman"/>
                <w:kern w:val="0"/>
                <w:sz w:val="24"/>
                <w:szCs w:val="24"/>
              </w:rPr>
              <w:t>中外运冷链物流有限公司</w:t>
            </w:r>
          </w:p>
        </w:tc>
        <w:tc>
          <w:tcPr>
            <w:tcW w:w="992" w:type="dxa"/>
            <w:vAlign w:val="center"/>
          </w:tcPr>
          <w:p w14:paraId="604EFBE0">
            <w:pPr>
              <w:rPr>
                <w:rFonts w:ascii="宋体" w:hAnsi="宋体" w:eastAsia="宋体" w:cs="Times New Roman"/>
                <w:kern w:val="0"/>
                <w:sz w:val="24"/>
                <w:szCs w:val="24"/>
              </w:rPr>
            </w:pPr>
            <w:r>
              <w:rPr>
                <w:rFonts w:hint="eastAsia" w:ascii="宋体" w:hAnsi="宋体" w:eastAsia="宋体" w:cs="Times New Roman"/>
                <w:kern w:val="0"/>
                <w:sz w:val="24"/>
                <w:szCs w:val="24"/>
              </w:rPr>
              <w:t>上海市</w:t>
            </w:r>
          </w:p>
        </w:tc>
        <w:tc>
          <w:tcPr>
            <w:tcW w:w="4111" w:type="dxa"/>
            <w:vAlign w:val="center"/>
          </w:tcPr>
          <w:p w14:paraId="5121AAEC">
            <w:pPr>
              <w:rPr>
                <w:rFonts w:ascii="宋体" w:hAnsi="宋体" w:eastAsia="宋体" w:cs="Times New Roman"/>
                <w:kern w:val="0"/>
                <w:sz w:val="24"/>
                <w:szCs w:val="24"/>
              </w:rPr>
            </w:pPr>
            <w:r>
              <w:rPr>
                <w:rFonts w:hint="eastAsia" w:ascii="宋体" w:hAnsi="宋体" w:eastAsia="宋体" w:cs="Times New Roman"/>
                <w:kern w:val="0"/>
                <w:sz w:val="24"/>
                <w:szCs w:val="24"/>
              </w:rPr>
              <w:t>冷链板块投资、管理、运营的统一平台。</w:t>
            </w:r>
          </w:p>
        </w:tc>
        <w:tc>
          <w:tcPr>
            <w:tcW w:w="992" w:type="dxa"/>
            <w:vAlign w:val="center"/>
          </w:tcPr>
          <w:p w14:paraId="13A704D1">
            <w:pPr>
              <w:jc w:val="center"/>
              <w:rPr>
                <w:rFonts w:ascii="宋体" w:hAnsi="宋体" w:eastAsia="宋体" w:cs="Times New Roman"/>
                <w:kern w:val="0"/>
                <w:sz w:val="24"/>
                <w:szCs w:val="24"/>
              </w:rPr>
            </w:pPr>
            <w:r>
              <w:rPr>
                <w:rFonts w:hint="eastAsia" w:ascii="宋体" w:hAnsi="宋体" w:eastAsia="宋体" w:cs="Times New Roman"/>
                <w:kern w:val="0"/>
                <w:sz w:val="24"/>
                <w:szCs w:val="24"/>
              </w:rPr>
              <w:t>3亿</w:t>
            </w:r>
          </w:p>
        </w:tc>
        <w:tc>
          <w:tcPr>
            <w:tcW w:w="5108" w:type="dxa"/>
            <w:vAlign w:val="center"/>
          </w:tcPr>
          <w:p w14:paraId="09707AAE">
            <w:pPr>
              <w:rPr>
                <w:rFonts w:ascii="宋体" w:hAnsi="宋体" w:eastAsia="宋体" w:cs="Times New Roman"/>
                <w:kern w:val="0"/>
                <w:sz w:val="24"/>
                <w:szCs w:val="24"/>
              </w:rPr>
            </w:pPr>
            <w:r>
              <w:rPr>
                <w:rFonts w:hint="eastAsia" w:ascii="宋体" w:hAnsi="宋体" w:eastAsia="宋体" w:cs="Times New Roman"/>
                <w:kern w:val="0"/>
                <w:sz w:val="24"/>
                <w:szCs w:val="24"/>
              </w:rPr>
              <w:t>已在全国20多个城市展开布局.</w:t>
            </w:r>
          </w:p>
        </w:tc>
      </w:tr>
      <w:tr w14:paraId="1B5F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324AF1E3">
            <w:pPr>
              <w:jc w:val="center"/>
              <w:rPr>
                <w:rFonts w:ascii="宋体" w:hAnsi="宋体" w:eastAsia="宋体" w:cs="Times New Roman"/>
                <w:kern w:val="0"/>
                <w:sz w:val="24"/>
                <w:szCs w:val="24"/>
              </w:rPr>
            </w:pPr>
            <w:r>
              <w:rPr>
                <w:rFonts w:ascii="宋体" w:hAnsi="宋体" w:eastAsia="宋体" w:cs="Times New Roman"/>
                <w:kern w:val="0"/>
                <w:sz w:val="24"/>
                <w:szCs w:val="24"/>
              </w:rPr>
              <w:t>10</w:t>
            </w:r>
          </w:p>
        </w:tc>
        <w:tc>
          <w:tcPr>
            <w:tcW w:w="851" w:type="dxa"/>
            <w:vMerge w:val="continue"/>
            <w:vAlign w:val="center"/>
          </w:tcPr>
          <w:p w14:paraId="002E6610">
            <w:pPr>
              <w:rPr>
                <w:rFonts w:ascii="宋体" w:hAnsi="宋体" w:eastAsia="宋体" w:cs="Times New Roman"/>
                <w:kern w:val="0"/>
                <w:sz w:val="24"/>
                <w:szCs w:val="24"/>
              </w:rPr>
            </w:pPr>
          </w:p>
        </w:tc>
        <w:tc>
          <w:tcPr>
            <w:tcW w:w="1701" w:type="dxa"/>
            <w:vAlign w:val="center"/>
          </w:tcPr>
          <w:p w14:paraId="0F0E2A10">
            <w:pPr>
              <w:rPr>
                <w:rFonts w:ascii="宋体" w:hAnsi="宋体" w:eastAsia="宋体" w:cs="Times New Roman"/>
                <w:kern w:val="0"/>
                <w:sz w:val="24"/>
                <w:szCs w:val="24"/>
              </w:rPr>
            </w:pPr>
            <w:r>
              <w:rPr>
                <w:rFonts w:hint="eastAsia" w:ascii="宋体" w:hAnsi="宋体" w:eastAsia="宋体" w:cs="Times New Roman"/>
                <w:kern w:val="0"/>
                <w:sz w:val="24"/>
                <w:szCs w:val="24"/>
              </w:rPr>
              <w:t>CJ</w:t>
            </w:r>
            <w:r>
              <w:rPr>
                <w:rFonts w:ascii="宋体" w:hAnsi="宋体" w:eastAsia="宋体" w:cs="Times New Roman"/>
                <w:kern w:val="0"/>
                <w:sz w:val="24"/>
                <w:szCs w:val="24"/>
              </w:rPr>
              <w:t>荣庆物流有限公司</w:t>
            </w:r>
          </w:p>
        </w:tc>
        <w:tc>
          <w:tcPr>
            <w:tcW w:w="992" w:type="dxa"/>
            <w:vAlign w:val="center"/>
          </w:tcPr>
          <w:p w14:paraId="2D706EC6">
            <w:pPr>
              <w:rPr>
                <w:rFonts w:ascii="宋体" w:hAnsi="宋体" w:eastAsia="宋体" w:cs="Times New Roman"/>
                <w:kern w:val="0"/>
                <w:sz w:val="24"/>
                <w:szCs w:val="24"/>
              </w:rPr>
            </w:pPr>
            <w:r>
              <w:rPr>
                <w:rFonts w:hint="eastAsia" w:ascii="宋体" w:hAnsi="宋体" w:eastAsia="宋体" w:cs="Times New Roman"/>
                <w:kern w:val="0"/>
                <w:sz w:val="24"/>
                <w:szCs w:val="24"/>
              </w:rPr>
              <w:t>上海市</w:t>
            </w:r>
          </w:p>
        </w:tc>
        <w:tc>
          <w:tcPr>
            <w:tcW w:w="4111" w:type="dxa"/>
            <w:vAlign w:val="center"/>
          </w:tcPr>
          <w:p w14:paraId="4D56644C">
            <w:pPr>
              <w:rPr>
                <w:rFonts w:ascii="宋体" w:hAnsi="宋体" w:eastAsia="宋体" w:cs="Times New Roman"/>
                <w:kern w:val="0"/>
                <w:sz w:val="24"/>
                <w:szCs w:val="24"/>
              </w:rPr>
            </w:pPr>
            <w:r>
              <w:rPr>
                <w:rFonts w:ascii="宋体" w:hAnsi="宋体" w:eastAsia="宋体" w:cs="Times New Roman"/>
                <w:kern w:val="0"/>
                <w:sz w:val="24"/>
                <w:szCs w:val="24"/>
              </w:rPr>
              <w:t>以冷链物流为业务核心，集物流配送、仓储、包装、驾驶员培训、汽配供应、汽车维修、保鲜冷藏箱生产、蔬菜食品冷藏加工为一体</w:t>
            </w:r>
            <w:r>
              <w:rPr>
                <w:rFonts w:hint="eastAsia" w:ascii="宋体" w:hAnsi="宋体" w:eastAsia="宋体" w:cs="Times New Roman"/>
                <w:kern w:val="0"/>
                <w:sz w:val="24"/>
                <w:szCs w:val="24"/>
              </w:rPr>
              <w:t>。</w:t>
            </w:r>
          </w:p>
        </w:tc>
        <w:tc>
          <w:tcPr>
            <w:tcW w:w="992" w:type="dxa"/>
            <w:vAlign w:val="center"/>
          </w:tcPr>
          <w:p w14:paraId="065296C6">
            <w:pPr>
              <w:jc w:val="center"/>
              <w:rPr>
                <w:rFonts w:ascii="宋体" w:hAnsi="宋体" w:eastAsia="宋体" w:cs="Times New Roman"/>
                <w:kern w:val="0"/>
                <w:sz w:val="24"/>
                <w:szCs w:val="24"/>
              </w:rPr>
            </w:pPr>
            <w:r>
              <w:rPr>
                <w:rFonts w:hint="eastAsia" w:ascii="宋体" w:hAnsi="宋体" w:eastAsia="宋体" w:cs="Times New Roman"/>
                <w:kern w:val="0"/>
                <w:sz w:val="24"/>
                <w:szCs w:val="24"/>
              </w:rPr>
              <w:t>3.2亿元</w:t>
            </w:r>
          </w:p>
        </w:tc>
        <w:tc>
          <w:tcPr>
            <w:tcW w:w="5108" w:type="dxa"/>
            <w:vAlign w:val="center"/>
          </w:tcPr>
          <w:p w14:paraId="296ED145">
            <w:pPr>
              <w:rPr>
                <w:rFonts w:ascii="宋体" w:hAnsi="宋体" w:eastAsia="宋体" w:cs="Times New Roman"/>
                <w:kern w:val="0"/>
                <w:sz w:val="24"/>
                <w:szCs w:val="24"/>
              </w:rPr>
            </w:pPr>
            <w:r>
              <w:rPr>
                <w:rFonts w:ascii="宋体" w:hAnsi="宋体" w:eastAsia="宋体" w:cs="Times New Roman"/>
                <w:kern w:val="0"/>
                <w:sz w:val="24"/>
                <w:szCs w:val="24"/>
              </w:rPr>
              <w:t>分别在北京、广州、济南、武汉、南京、杭州、天津设立货运中心，发展成以上海为中心，辐射全国各大中城市的公路运输网络。</w:t>
            </w:r>
          </w:p>
        </w:tc>
      </w:tr>
      <w:tr w14:paraId="4516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275F293F">
            <w:pPr>
              <w:jc w:val="center"/>
              <w:rPr>
                <w:rFonts w:ascii="宋体" w:hAnsi="宋体" w:eastAsia="宋体" w:cs="Times New Roman"/>
                <w:kern w:val="0"/>
                <w:sz w:val="24"/>
                <w:szCs w:val="24"/>
              </w:rPr>
            </w:pPr>
            <w:r>
              <w:rPr>
                <w:rFonts w:hint="eastAsia" w:ascii="宋体" w:hAnsi="宋体" w:eastAsia="宋体" w:cs="Times New Roman"/>
                <w:kern w:val="0"/>
                <w:sz w:val="24"/>
                <w:szCs w:val="24"/>
              </w:rPr>
              <w:t>1</w:t>
            </w:r>
            <w:r>
              <w:rPr>
                <w:rFonts w:ascii="宋体" w:hAnsi="宋体" w:eastAsia="宋体" w:cs="Times New Roman"/>
                <w:kern w:val="0"/>
                <w:sz w:val="24"/>
                <w:szCs w:val="24"/>
              </w:rPr>
              <w:t>1</w:t>
            </w:r>
          </w:p>
        </w:tc>
        <w:tc>
          <w:tcPr>
            <w:tcW w:w="851" w:type="dxa"/>
            <w:vMerge w:val="continue"/>
            <w:vAlign w:val="center"/>
          </w:tcPr>
          <w:p w14:paraId="08BE0DC9">
            <w:pPr>
              <w:rPr>
                <w:rFonts w:ascii="宋体" w:hAnsi="宋体" w:eastAsia="宋体" w:cs="Times New Roman"/>
                <w:kern w:val="0"/>
                <w:sz w:val="24"/>
                <w:szCs w:val="24"/>
              </w:rPr>
            </w:pPr>
          </w:p>
        </w:tc>
        <w:tc>
          <w:tcPr>
            <w:tcW w:w="1701" w:type="dxa"/>
            <w:vAlign w:val="center"/>
          </w:tcPr>
          <w:p w14:paraId="7E239ED3">
            <w:pPr>
              <w:rPr>
                <w:rFonts w:ascii="宋体" w:hAnsi="宋体" w:eastAsia="宋体" w:cs="Times New Roman"/>
                <w:kern w:val="0"/>
                <w:sz w:val="24"/>
                <w:szCs w:val="24"/>
              </w:rPr>
            </w:pPr>
            <w:r>
              <w:rPr>
                <w:rFonts w:hint="eastAsia" w:ascii="宋体" w:hAnsi="宋体" w:eastAsia="宋体" w:cs="Times New Roman"/>
                <w:kern w:val="0"/>
                <w:sz w:val="24"/>
                <w:szCs w:val="24"/>
              </w:rPr>
              <w:t>上海郑明企业有限公司</w:t>
            </w:r>
          </w:p>
        </w:tc>
        <w:tc>
          <w:tcPr>
            <w:tcW w:w="992" w:type="dxa"/>
            <w:vAlign w:val="center"/>
          </w:tcPr>
          <w:p w14:paraId="3790F771">
            <w:pPr>
              <w:rPr>
                <w:rFonts w:ascii="宋体" w:hAnsi="宋体" w:eastAsia="宋体" w:cs="Times New Roman"/>
                <w:kern w:val="0"/>
                <w:sz w:val="24"/>
                <w:szCs w:val="24"/>
              </w:rPr>
            </w:pPr>
            <w:r>
              <w:rPr>
                <w:rFonts w:hint="eastAsia" w:ascii="宋体" w:hAnsi="宋体" w:eastAsia="宋体" w:cs="Times New Roman"/>
                <w:kern w:val="0"/>
                <w:sz w:val="24"/>
                <w:szCs w:val="24"/>
              </w:rPr>
              <w:t>上海市</w:t>
            </w:r>
          </w:p>
        </w:tc>
        <w:tc>
          <w:tcPr>
            <w:tcW w:w="4111" w:type="dxa"/>
            <w:vAlign w:val="center"/>
          </w:tcPr>
          <w:p w14:paraId="4F718E61">
            <w:pPr>
              <w:rPr>
                <w:rFonts w:ascii="宋体" w:hAnsi="宋体" w:eastAsia="宋体" w:cs="Times New Roman"/>
                <w:kern w:val="0"/>
                <w:sz w:val="24"/>
                <w:szCs w:val="24"/>
              </w:rPr>
            </w:pPr>
            <w:r>
              <w:rPr>
                <w:rFonts w:ascii="宋体" w:hAnsi="宋体" w:eastAsia="宋体" w:cs="Arial"/>
                <w:color w:val="000000"/>
                <w:kern w:val="0"/>
                <w:sz w:val="24"/>
                <w:szCs w:val="24"/>
                <w:shd w:val="clear" w:color="auto" w:fill="FFFFFF"/>
              </w:rPr>
              <w:t>普通货物（社会货物）运输、</w:t>
            </w:r>
            <w:r>
              <w:fldChar w:fldCharType="begin"/>
            </w:r>
            <w:r>
              <w:instrText xml:space="preserve"> HYPERLINK "https://baike.sogou.com/lemma/ShowInnerLink.htm?lemmaId=29153857&amp;ss_c=ssc.citiao.link" \t "https://baike.sogou.com/_blank" </w:instrText>
            </w:r>
            <w:r>
              <w:fldChar w:fldCharType="separate"/>
            </w:r>
            <w:r>
              <w:rPr>
                <w:rFonts w:ascii="宋体" w:hAnsi="宋体" w:eastAsia="宋体" w:cs="Arial"/>
                <w:color w:val="000000"/>
                <w:kern w:val="0"/>
                <w:sz w:val="24"/>
                <w:szCs w:val="24"/>
                <w:shd w:val="clear" w:color="auto" w:fill="FFFFFF"/>
              </w:rPr>
              <w:t>冷链运输</w:t>
            </w:r>
            <w:r>
              <w:rPr>
                <w:rFonts w:ascii="宋体" w:hAnsi="宋体" w:eastAsia="宋体" w:cs="Arial"/>
                <w:color w:val="000000"/>
                <w:kern w:val="0"/>
                <w:sz w:val="24"/>
                <w:szCs w:val="24"/>
                <w:shd w:val="clear" w:color="auto" w:fill="FFFFFF"/>
              </w:rPr>
              <w:fldChar w:fldCharType="end"/>
            </w:r>
            <w:r>
              <w:rPr>
                <w:rFonts w:ascii="宋体" w:hAnsi="宋体" w:eastAsia="宋体" w:cs="Arial"/>
                <w:color w:val="000000"/>
                <w:kern w:val="0"/>
                <w:sz w:val="24"/>
                <w:szCs w:val="24"/>
                <w:shd w:val="clear" w:color="auto" w:fill="FFFFFF"/>
              </w:rPr>
              <w:t>、省际</w:t>
            </w:r>
            <w:r>
              <w:fldChar w:fldCharType="begin"/>
            </w:r>
            <w:r>
              <w:instrText xml:space="preserve"> HYPERLINK "https://baike.sogou.com/lemma/ShowInnerLink.htm?lemmaId=63611173&amp;ss_c=ssc.citiao.link" \t "https://baike.sogou.com/_blank" </w:instrText>
            </w:r>
            <w:r>
              <w:fldChar w:fldCharType="separate"/>
            </w:r>
            <w:r>
              <w:rPr>
                <w:rFonts w:ascii="宋体" w:hAnsi="宋体" w:eastAsia="宋体" w:cs="Arial"/>
                <w:color w:val="000000"/>
                <w:kern w:val="0"/>
                <w:sz w:val="24"/>
                <w:szCs w:val="24"/>
                <w:shd w:val="clear" w:color="auto" w:fill="FFFFFF"/>
              </w:rPr>
              <w:t>道路旅客运输</w:t>
            </w:r>
            <w:r>
              <w:rPr>
                <w:rFonts w:ascii="宋体" w:hAnsi="宋体" w:eastAsia="宋体" w:cs="Arial"/>
                <w:color w:val="000000"/>
                <w:kern w:val="0"/>
                <w:sz w:val="24"/>
                <w:szCs w:val="24"/>
                <w:shd w:val="clear" w:color="auto" w:fill="FFFFFF"/>
              </w:rPr>
              <w:fldChar w:fldCharType="end"/>
            </w:r>
            <w:r>
              <w:rPr>
                <w:rFonts w:ascii="宋体" w:hAnsi="宋体" w:eastAsia="宋体" w:cs="Arial"/>
                <w:color w:val="000000"/>
                <w:kern w:val="0"/>
                <w:sz w:val="24"/>
                <w:szCs w:val="24"/>
                <w:shd w:val="clear" w:color="auto" w:fill="FFFFFF"/>
              </w:rPr>
              <w:t>、货运代理</w:t>
            </w:r>
            <w:r>
              <w:rPr>
                <w:rFonts w:hint="eastAsia" w:ascii="宋体" w:hAnsi="宋体" w:eastAsia="宋体" w:cs="Arial"/>
                <w:color w:val="000000"/>
                <w:kern w:val="0"/>
                <w:sz w:val="24"/>
                <w:szCs w:val="24"/>
                <w:shd w:val="clear" w:color="auto" w:fill="FFFFFF"/>
              </w:rPr>
              <w:t>。</w:t>
            </w:r>
          </w:p>
        </w:tc>
        <w:tc>
          <w:tcPr>
            <w:tcW w:w="992" w:type="dxa"/>
            <w:vAlign w:val="center"/>
          </w:tcPr>
          <w:p w14:paraId="52700165">
            <w:pPr>
              <w:jc w:val="center"/>
              <w:rPr>
                <w:rFonts w:ascii="宋体" w:hAnsi="宋体" w:eastAsia="宋体" w:cs="Times New Roman"/>
                <w:kern w:val="0"/>
                <w:sz w:val="24"/>
                <w:szCs w:val="24"/>
              </w:rPr>
            </w:pPr>
            <w:r>
              <w:rPr>
                <w:rFonts w:hint="eastAsia" w:ascii="宋体" w:hAnsi="宋体" w:eastAsia="宋体" w:cs="Times New Roman"/>
                <w:kern w:val="0"/>
                <w:sz w:val="24"/>
                <w:szCs w:val="24"/>
              </w:rPr>
              <w:t>--</w:t>
            </w:r>
          </w:p>
        </w:tc>
        <w:tc>
          <w:tcPr>
            <w:tcW w:w="5108" w:type="dxa"/>
            <w:vAlign w:val="center"/>
          </w:tcPr>
          <w:p w14:paraId="2DF25795">
            <w:pPr>
              <w:rPr>
                <w:rFonts w:ascii="宋体" w:hAnsi="宋体" w:eastAsia="宋体" w:cs="Times New Roman"/>
                <w:kern w:val="0"/>
                <w:sz w:val="24"/>
                <w:szCs w:val="24"/>
              </w:rPr>
            </w:pPr>
            <w:r>
              <w:rPr>
                <w:rFonts w:hint="eastAsia" w:ascii="宋体" w:hAnsi="宋体" w:eastAsia="宋体" w:cs="Times New Roman"/>
                <w:kern w:val="0"/>
                <w:sz w:val="24"/>
                <w:szCs w:val="24"/>
              </w:rPr>
              <w:t>在全国已成立分公司40家，网络覆盖全国90%的重要城市。</w:t>
            </w:r>
          </w:p>
        </w:tc>
      </w:tr>
      <w:tr w14:paraId="2527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16877F80">
            <w:pPr>
              <w:jc w:val="center"/>
              <w:rPr>
                <w:rFonts w:ascii="宋体" w:hAnsi="宋体" w:eastAsia="宋体" w:cs="Times New Roman"/>
                <w:kern w:val="0"/>
                <w:sz w:val="24"/>
                <w:szCs w:val="24"/>
              </w:rPr>
            </w:pPr>
            <w:r>
              <w:rPr>
                <w:rFonts w:hint="eastAsia" w:ascii="宋体" w:hAnsi="宋体" w:eastAsia="宋体" w:cs="Times New Roman"/>
                <w:kern w:val="0"/>
                <w:sz w:val="24"/>
                <w:szCs w:val="24"/>
              </w:rPr>
              <w:t>1</w:t>
            </w:r>
            <w:r>
              <w:rPr>
                <w:rFonts w:ascii="宋体" w:hAnsi="宋体" w:eastAsia="宋体" w:cs="Times New Roman"/>
                <w:kern w:val="0"/>
                <w:sz w:val="24"/>
                <w:szCs w:val="24"/>
              </w:rPr>
              <w:t>2</w:t>
            </w:r>
          </w:p>
        </w:tc>
        <w:tc>
          <w:tcPr>
            <w:tcW w:w="851" w:type="dxa"/>
            <w:vMerge w:val="continue"/>
            <w:vAlign w:val="center"/>
          </w:tcPr>
          <w:p w14:paraId="673315FB">
            <w:pPr>
              <w:rPr>
                <w:rFonts w:ascii="宋体" w:hAnsi="宋体" w:eastAsia="宋体" w:cs="Times New Roman"/>
                <w:kern w:val="0"/>
                <w:sz w:val="24"/>
                <w:szCs w:val="24"/>
              </w:rPr>
            </w:pPr>
          </w:p>
        </w:tc>
        <w:tc>
          <w:tcPr>
            <w:tcW w:w="1701" w:type="dxa"/>
            <w:vAlign w:val="center"/>
          </w:tcPr>
          <w:p w14:paraId="2DDF3F23">
            <w:pPr>
              <w:rPr>
                <w:rFonts w:ascii="宋体" w:hAnsi="宋体" w:eastAsia="宋体" w:cs="Arial"/>
                <w:color w:val="333333"/>
                <w:kern w:val="0"/>
                <w:sz w:val="24"/>
                <w:szCs w:val="24"/>
                <w:shd w:val="clear" w:color="auto" w:fill="FFFFFF"/>
              </w:rPr>
            </w:pPr>
            <w:r>
              <w:rPr>
                <w:rFonts w:hint="eastAsia" w:ascii="宋体" w:hAnsi="宋体" w:eastAsia="宋体" w:cs="Arial"/>
                <w:color w:val="000000"/>
                <w:kern w:val="0"/>
                <w:sz w:val="24"/>
                <w:szCs w:val="24"/>
                <w:shd w:val="clear" w:color="auto" w:fill="FFFFFF"/>
              </w:rPr>
              <w:t>北京市新发地农产品股份有限公司</w:t>
            </w:r>
          </w:p>
        </w:tc>
        <w:tc>
          <w:tcPr>
            <w:tcW w:w="992" w:type="dxa"/>
            <w:vAlign w:val="center"/>
          </w:tcPr>
          <w:p w14:paraId="6885EC57">
            <w:pPr>
              <w:rPr>
                <w:rFonts w:ascii="宋体" w:hAnsi="宋体" w:eastAsia="宋体" w:cs="Times New Roman"/>
                <w:kern w:val="0"/>
                <w:sz w:val="24"/>
                <w:szCs w:val="24"/>
              </w:rPr>
            </w:pPr>
            <w:r>
              <w:rPr>
                <w:rFonts w:hint="eastAsia" w:ascii="宋体" w:hAnsi="宋体" w:eastAsia="宋体" w:cs="Times New Roman"/>
                <w:kern w:val="0"/>
                <w:sz w:val="24"/>
                <w:szCs w:val="24"/>
              </w:rPr>
              <w:t>北京</w:t>
            </w:r>
          </w:p>
        </w:tc>
        <w:tc>
          <w:tcPr>
            <w:tcW w:w="4111" w:type="dxa"/>
            <w:vAlign w:val="center"/>
          </w:tcPr>
          <w:p w14:paraId="74C8C282">
            <w:pPr>
              <w:rPr>
                <w:rFonts w:ascii="宋体" w:hAnsi="宋体" w:eastAsia="宋体" w:cs="Arial"/>
                <w:color w:val="000000"/>
                <w:kern w:val="0"/>
                <w:sz w:val="24"/>
                <w:szCs w:val="24"/>
                <w:shd w:val="clear" w:color="auto" w:fill="FFFFFF"/>
              </w:rPr>
            </w:pPr>
            <w:r>
              <w:rPr>
                <w:rFonts w:hint="eastAsia" w:ascii="宋体" w:hAnsi="宋体" w:eastAsia="宋体" w:cs="Arial"/>
                <w:color w:val="000000"/>
                <w:kern w:val="0"/>
                <w:sz w:val="24"/>
                <w:szCs w:val="24"/>
                <w:shd w:val="clear" w:color="auto" w:fill="FFFFFF"/>
              </w:rPr>
              <w:t>主要经营蔬菜、果品、肉类、种子、粮油、水产、副食、调料、禽蛋、茶叶等农副产品，是一处以蔬菜、果品、肉类批发为龙头的国家级农产品中心批发市场。</w:t>
            </w:r>
          </w:p>
        </w:tc>
        <w:tc>
          <w:tcPr>
            <w:tcW w:w="992" w:type="dxa"/>
            <w:vAlign w:val="center"/>
          </w:tcPr>
          <w:p w14:paraId="54DAED8F">
            <w:pPr>
              <w:jc w:val="center"/>
              <w:rPr>
                <w:rFonts w:ascii="宋体" w:hAnsi="宋体" w:eastAsia="宋体" w:cs="Arial"/>
                <w:color w:val="333333"/>
                <w:kern w:val="0"/>
                <w:sz w:val="24"/>
                <w:szCs w:val="24"/>
                <w:shd w:val="clear" w:color="auto" w:fill="FFFFFF"/>
              </w:rPr>
            </w:pPr>
            <w:r>
              <w:rPr>
                <w:rFonts w:ascii="宋体" w:hAnsi="宋体" w:eastAsia="宋体" w:cs="Arial"/>
                <w:color w:val="000000"/>
                <w:kern w:val="0"/>
                <w:sz w:val="24"/>
                <w:szCs w:val="24"/>
                <w:shd w:val="clear" w:color="auto" w:fill="FFFFFF"/>
              </w:rPr>
              <w:t>0</w:t>
            </w:r>
            <w:r>
              <w:rPr>
                <w:rFonts w:hint="eastAsia" w:ascii="宋体" w:hAnsi="宋体" w:eastAsia="宋体" w:cs="Arial"/>
                <w:color w:val="000000"/>
                <w:kern w:val="0"/>
                <w:sz w:val="24"/>
                <w:szCs w:val="24"/>
                <w:shd w:val="clear" w:color="auto" w:fill="FFFFFF"/>
              </w:rPr>
              <w:t>.</w:t>
            </w:r>
            <w:r>
              <w:rPr>
                <w:rFonts w:ascii="宋体" w:hAnsi="宋体" w:eastAsia="宋体" w:cs="Arial"/>
                <w:color w:val="000000"/>
                <w:kern w:val="0"/>
                <w:sz w:val="24"/>
                <w:szCs w:val="24"/>
                <w:shd w:val="clear" w:color="auto" w:fill="FFFFFF"/>
              </w:rPr>
              <w:t>6</w:t>
            </w:r>
            <w:r>
              <w:rPr>
                <w:rFonts w:hint="eastAsia" w:ascii="宋体" w:hAnsi="宋体" w:eastAsia="宋体" w:cs="Arial"/>
                <w:color w:val="000000"/>
                <w:kern w:val="0"/>
                <w:sz w:val="24"/>
                <w:szCs w:val="24"/>
                <w:shd w:val="clear" w:color="auto" w:fill="FFFFFF"/>
              </w:rPr>
              <w:t>亿元</w:t>
            </w:r>
          </w:p>
        </w:tc>
        <w:tc>
          <w:tcPr>
            <w:tcW w:w="5108" w:type="dxa"/>
            <w:vAlign w:val="center"/>
          </w:tcPr>
          <w:p w14:paraId="6DD87C5C">
            <w:pPr>
              <w:rPr>
                <w:rFonts w:ascii="宋体" w:hAnsi="宋体" w:eastAsia="宋体" w:cs="Times New Roman"/>
                <w:kern w:val="0"/>
                <w:sz w:val="24"/>
                <w:szCs w:val="24"/>
              </w:rPr>
            </w:pPr>
            <w:r>
              <w:rPr>
                <w:rFonts w:hint="eastAsia" w:ascii="宋体" w:hAnsi="宋体" w:eastAsia="宋体" w:cs="Times New Roman"/>
                <w:kern w:val="0"/>
                <w:sz w:val="24"/>
                <w:szCs w:val="24"/>
              </w:rPr>
              <w:t>已在全国农产品主产区投资建设了14家分市场和300多万亩基地,在北京市区内建立了150多家便民菜店。</w:t>
            </w:r>
          </w:p>
        </w:tc>
      </w:tr>
      <w:tr w14:paraId="305D9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021BE565">
            <w:pPr>
              <w:jc w:val="center"/>
              <w:rPr>
                <w:rFonts w:ascii="宋体" w:hAnsi="宋体" w:eastAsia="宋体" w:cs="Times New Roman"/>
                <w:kern w:val="0"/>
                <w:sz w:val="24"/>
                <w:szCs w:val="24"/>
              </w:rPr>
            </w:pPr>
            <w:r>
              <w:rPr>
                <w:rFonts w:hint="eastAsia" w:ascii="宋体" w:hAnsi="宋体" w:eastAsia="宋体" w:cs="Times New Roman"/>
                <w:kern w:val="0"/>
                <w:sz w:val="24"/>
                <w:szCs w:val="24"/>
              </w:rPr>
              <w:t>1</w:t>
            </w:r>
            <w:r>
              <w:rPr>
                <w:rFonts w:ascii="宋体" w:hAnsi="宋体" w:eastAsia="宋体" w:cs="Times New Roman"/>
                <w:kern w:val="0"/>
                <w:sz w:val="24"/>
                <w:szCs w:val="24"/>
              </w:rPr>
              <w:t>3</w:t>
            </w:r>
          </w:p>
        </w:tc>
        <w:tc>
          <w:tcPr>
            <w:tcW w:w="851" w:type="dxa"/>
            <w:vMerge w:val="continue"/>
            <w:vAlign w:val="center"/>
          </w:tcPr>
          <w:p w14:paraId="033BF9E9">
            <w:pPr>
              <w:rPr>
                <w:rFonts w:ascii="宋体" w:hAnsi="宋体" w:eastAsia="宋体" w:cs="Times New Roman"/>
                <w:kern w:val="0"/>
                <w:sz w:val="24"/>
                <w:szCs w:val="24"/>
              </w:rPr>
            </w:pPr>
          </w:p>
        </w:tc>
        <w:tc>
          <w:tcPr>
            <w:tcW w:w="1701" w:type="dxa"/>
            <w:vAlign w:val="center"/>
          </w:tcPr>
          <w:p w14:paraId="2EEF0530">
            <w:pPr>
              <w:rPr>
                <w:rFonts w:ascii="宋体" w:hAnsi="宋体" w:eastAsia="宋体" w:cs="Arial"/>
                <w:color w:val="333333"/>
                <w:kern w:val="0"/>
                <w:sz w:val="24"/>
                <w:szCs w:val="24"/>
                <w:shd w:val="clear" w:color="auto" w:fill="FFFFFF"/>
              </w:rPr>
            </w:pPr>
            <w:r>
              <w:rPr>
                <w:rFonts w:hint="eastAsia" w:ascii="宋体" w:hAnsi="宋体" w:eastAsia="宋体" w:cs="Arial"/>
                <w:color w:val="000000"/>
                <w:kern w:val="0"/>
                <w:sz w:val="24"/>
                <w:szCs w:val="24"/>
                <w:shd w:val="clear" w:color="auto" w:fill="FFFFFF"/>
              </w:rPr>
              <w:t>山东寿光蔬菜批发市场有限公司</w:t>
            </w:r>
          </w:p>
        </w:tc>
        <w:tc>
          <w:tcPr>
            <w:tcW w:w="992" w:type="dxa"/>
            <w:vAlign w:val="center"/>
          </w:tcPr>
          <w:p w14:paraId="22A6CCFD">
            <w:pPr>
              <w:rPr>
                <w:rFonts w:ascii="宋体" w:hAnsi="宋体" w:eastAsia="宋体" w:cs="Times New Roman"/>
                <w:kern w:val="0"/>
                <w:sz w:val="24"/>
                <w:szCs w:val="24"/>
              </w:rPr>
            </w:pPr>
            <w:r>
              <w:rPr>
                <w:rFonts w:hint="eastAsia" w:ascii="宋体" w:hAnsi="宋体" w:eastAsia="宋体" w:cs="Times New Roman"/>
                <w:kern w:val="0"/>
                <w:sz w:val="24"/>
                <w:szCs w:val="24"/>
              </w:rPr>
              <w:t>山东省寿光市</w:t>
            </w:r>
          </w:p>
        </w:tc>
        <w:tc>
          <w:tcPr>
            <w:tcW w:w="4111" w:type="dxa"/>
            <w:vAlign w:val="center"/>
          </w:tcPr>
          <w:p w14:paraId="7412CDD7">
            <w:pPr>
              <w:rPr>
                <w:rFonts w:ascii="宋体" w:hAnsi="宋体" w:eastAsia="宋体" w:cs="Arial"/>
                <w:color w:val="000000"/>
                <w:kern w:val="0"/>
                <w:sz w:val="24"/>
                <w:szCs w:val="24"/>
                <w:shd w:val="clear" w:color="auto" w:fill="FFFFFF"/>
              </w:rPr>
            </w:pPr>
            <w:r>
              <w:rPr>
                <w:rFonts w:hint="eastAsia" w:ascii="宋体" w:hAnsi="宋体" w:eastAsia="宋体" w:cs="Arial"/>
                <w:color w:val="000000"/>
                <w:kern w:val="0"/>
                <w:sz w:val="24"/>
                <w:szCs w:val="24"/>
                <w:shd w:val="clear" w:color="auto" w:fill="FFFFFF"/>
              </w:rPr>
              <w:t>主营农产品批发市场及配套设施的开发、租赁、销售、经营。</w:t>
            </w:r>
          </w:p>
        </w:tc>
        <w:tc>
          <w:tcPr>
            <w:tcW w:w="992" w:type="dxa"/>
            <w:vAlign w:val="center"/>
          </w:tcPr>
          <w:p w14:paraId="106F9955">
            <w:pPr>
              <w:jc w:val="center"/>
              <w:rPr>
                <w:rFonts w:ascii="宋体" w:hAnsi="宋体" w:eastAsia="宋体" w:cs="Arial"/>
                <w:color w:val="333333"/>
                <w:kern w:val="0"/>
                <w:sz w:val="24"/>
                <w:szCs w:val="24"/>
                <w:shd w:val="clear" w:color="auto" w:fill="FFFFFF"/>
              </w:rPr>
            </w:pPr>
            <w:r>
              <w:rPr>
                <w:rFonts w:ascii="宋体" w:hAnsi="宋体" w:eastAsia="宋体" w:cs="Arial"/>
                <w:color w:val="000000"/>
                <w:kern w:val="0"/>
                <w:sz w:val="24"/>
                <w:szCs w:val="24"/>
                <w:shd w:val="clear" w:color="auto" w:fill="FFFFFF"/>
              </w:rPr>
              <w:t>6.5</w:t>
            </w:r>
            <w:r>
              <w:rPr>
                <w:rFonts w:hint="eastAsia" w:ascii="宋体" w:hAnsi="宋体" w:eastAsia="宋体" w:cs="Arial"/>
                <w:color w:val="000000"/>
                <w:kern w:val="0"/>
                <w:sz w:val="24"/>
                <w:szCs w:val="24"/>
                <w:shd w:val="clear" w:color="auto" w:fill="FFFFFF"/>
              </w:rPr>
              <w:t>亿元</w:t>
            </w:r>
          </w:p>
        </w:tc>
        <w:tc>
          <w:tcPr>
            <w:tcW w:w="5108" w:type="dxa"/>
            <w:vAlign w:val="center"/>
          </w:tcPr>
          <w:p w14:paraId="245A1ED5">
            <w:pPr>
              <w:rPr>
                <w:rFonts w:ascii="宋体" w:hAnsi="宋体" w:eastAsia="宋体" w:cs="Times New Roman"/>
                <w:kern w:val="0"/>
                <w:sz w:val="24"/>
                <w:szCs w:val="24"/>
              </w:rPr>
            </w:pPr>
            <w:r>
              <w:rPr>
                <w:rFonts w:hint="eastAsia" w:ascii="宋体" w:hAnsi="宋体" w:eastAsia="宋体" w:cs="Times New Roman"/>
                <w:kern w:val="0"/>
                <w:sz w:val="24"/>
                <w:szCs w:val="24"/>
              </w:rPr>
              <w:t>园区可辐射全国20多个省、市、自治区，并出口日、韩、俄等10多个国家和地区。</w:t>
            </w:r>
          </w:p>
        </w:tc>
      </w:tr>
      <w:tr w14:paraId="09F6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11E09327">
            <w:pPr>
              <w:jc w:val="center"/>
              <w:rPr>
                <w:rFonts w:ascii="宋体" w:hAnsi="宋体" w:eastAsia="宋体" w:cs="Times New Roman"/>
                <w:kern w:val="0"/>
                <w:sz w:val="24"/>
                <w:szCs w:val="24"/>
              </w:rPr>
            </w:pPr>
            <w:r>
              <w:rPr>
                <w:rFonts w:hint="eastAsia" w:ascii="宋体" w:hAnsi="宋体" w:eastAsia="宋体" w:cs="Times New Roman"/>
                <w:kern w:val="0"/>
                <w:sz w:val="24"/>
                <w:szCs w:val="24"/>
              </w:rPr>
              <w:t>1</w:t>
            </w:r>
            <w:r>
              <w:rPr>
                <w:rFonts w:ascii="宋体" w:hAnsi="宋体" w:eastAsia="宋体" w:cs="Times New Roman"/>
                <w:kern w:val="0"/>
                <w:sz w:val="24"/>
                <w:szCs w:val="24"/>
              </w:rPr>
              <w:t>4</w:t>
            </w:r>
          </w:p>
        </w:tc>
        <w:tc>
          <w:tcPr>
            <w:tcW w:w="851" w:type="dxa"/>
            <w:vMerge w:val="continue"/>
            <w:vAlign w:val="center"/>
          </w:tcPr>
          <w:p w14:paraId="6F79F351">
            <w:pPr>
              <w:rPr>
                <w:rFonts w:ascii="宋体" w:hAnsi="宋体" w:eastAsia="宋体" w:cs="Times New Roman"/>
                <w:kern w:val="0"/>
                <w:sz w:val="24"/>
                <w:szCs w:val="24"/>
              </w:rPr>
            </w:pPr>
          </w:p>
        </w:tc>
        <w:tc>
          <w:tcPr>
            <w:tcW w:w="1701" w:type="dxa"/>
            <w:vAlign w:val="center"/>
          </w:tcPr>
          <w:p w14:paraId="34785473">
            <w:pPr>
              <w:rPr>
                <w:rFonts w:ascii="宋体" w:hAnsi="宋体" w:eastAsia="宋体" w:cs="Arial"/>
                <w:color w:val="333333"/>
                <w:kern w:val="0"/>
                <w:sz w:val="24"/>
                <w:szCs w:val="24"/>
                <w:shd w:val="clear" w:color="auto" w:fill="FFFFFF"/>
              </w:rPr>
            </w:pPr>
            <w:r>
              <w:rPr>
                <w:rFonts w:hint="eastAsia" w:ascii="宋体" w:hAnsi="宋体" w:eastAsia="宋体" w:cs="Arial"/>
                <w:color w:val="000000"/>
                <w:kern w:val="0"/>
                <w:sz w:val="24"/>
                <w:szCs w:val="24"/>
                <w:shd w:val="clear" w:color="auto" w:fill="FFFFFF"/>
              </w:rPr>
              <w:t>河南万邦国际农产品物流股份有限公司</w:t>
            </w:r>
          </w:p>
        </w:tc>
        <w:tc>
          <w:tcPr>
            <w:tcW w:w="992" w:type="dxa"/>
            <w:vAlign w:val="center"/>
          </w:tcPr>
          <w:p w14:paraId="074C9A85">
            <w:pPr>
              <w:rPr>
                <w:rFonts w:ascii="宋体" w:hAnsi="宋体" w:eastAsia="宋体" w:cs="Times New Roman"/>
                <w:kern w:val="0"/>
                <w:sz w:val="24"/>
                <w:szCs w:val="24"/>
              </w:rPr>
            </w:pPr>
            <w:r>
              <w:rPr>
                <w:rFonts w:hint="eastAsia" w:ascii="宋体" w:hAnsi="宋体" w:eastAsia="宋体" w:cs="Times New Roman"/>
                <w:kern w:val="0"/>
                <w:sz w:val="24"/>
                <w:szCs w:val="24"/>
              </w:rPr>
              <w:t>河南中牟县</w:t>
            </w:r>
          </w:p>
        </w:tc>
        <w:tc>
          <w:tcPr>
            <w:tcW w:w="4111" w:type="dxa"/>
            <w:vAlign w:val="center"/>
          </w:tcPr>
          <w:p w14:paraId="20D09285">
            <w:pPr>
              <w:rPr>
                <w:rFonts w:ascii="宋体" w:hAnsi="宋体" w:eastAsia="宋体" w:cs="Arial"/>
                <w:color w:val="000000"/>
                <w:kern w:val="0"/>
                <w:sz w:val="24"/>
                <w:szCs w:val="24"/>
                <w:shd w:val="clear" w:color="auto" w:fill="FFFFFF"/>
              </w:rPr>
            </w:pPr>
            <w:r>
              <w:rPr>
                <w:rFonts w:hint="eastAsia" w:ascii="宋体" w:hAnsi="宋体" w:eastAsia="宋体" w:cs="Arial"/>
                <w:color w:val="000000"/>
                <w:kern w:val="0"/>
                <w:sz w:val="24"/>
                <w:szCs w:val="24"/>
                <w:shd w:val="clear" w:color="auto" w:fill="FFFFFF"/>
              </w:rPr>
              <w:t>主营业务涵盖农产品批发市场运营、冷链物流、生鲜电商、连锁商超、高效生态农业、进出口贸易、生鲜供应链及“一带一路”境外农业示范区等农业全产业链建设与运营。</w:t>
            </w:r>
          </w:p>
        </w:tc>
        <w:tc>
          <w:tcPr>
            <w:tcW w:w="992" w:type="dxa"/>
            <w:vAlign w:val="center"/>
          </w:tcPr>
          <w:p w14:paraId="7C91C69D">
            <w:pPr>
              <w:jc w:val="center"/>
              <w:rPr>
                <w:rFonts w:ascii="宋体" w:hAnsi="宋体" w:eastAsia="宋体" w:cs="Arial"/>
                <w:color w:val="333333"/>
                <w:kern w:val="0"/>
                <w:sz w:val="24"/>
                <w:szCs w:val="24"/>
                <w:shd w:val="clear" w:color="auto" w:fill="FFFFFF"/>
              </w:rPr>
            </w:pPr>
            <w:r>
              <w:rPr>
                <w:rFonts w:ascii="宋体" w:hAnsi="宋体" w:eastAsia="宋体" w:cs="Arial"/>
                <w:color w:val="000000"/>
                <w:kern w:val="0"/>
                <w:sz w:val="24"/>
                <w:szCs w:val="24"/>
                <w:shd w:val="clear" w:color="auto" w:fill="FFFFFF"/>
              </w:rPr>
              <w:t>1</w:t>
            </w:r>
            <w:r>
              <w:rPr>
                <w:rFonts w:hint="eastAsia" w:ascii="宋体" w:hAnsi="宋体" w:eastAsia="宋体" w:cs="Arial"/>
                <w:color w:val="000000"/>
                <w:kern w:val="0"/>
                <w:sz w:val="24"/>
                <w:szCs w:val="24"/>
                <w:shd w:val="clear" w:color="auto" w:fill="FFFFFF"/>
              </w:rPr>
              <w:t>.</w:t>
            </w:r>
            <w:r>
              <w:rPr>
                <w:rFonts w:ascii="宋体" w:hAnsi="宋体" w:eastAsia="宋体" w:cs="Arial"/>
                <w:color w:val="000000"/>
                <w:kern w:val="0"/>
                <w:sz w:val="24"/>
                <w:szCs w:val="24"/>
                <w:shd w:val="clear" w:color="auto" w:fill="FFFFFF"/>
              </w:rPr>
              <w:t>5</w:t>
            </w:r>
            <w:r>
              <w:rPr>
                <w:rFonts w:hint="eastAsia" w:ascii="宋体" w:hAnsi="宋体" w:eastAsia="宋体" w:cs="Arial"/>
                <w:color w:val="000000"/>
                <w:kern w:val="0"/>
                <w:sz w:val="24"/>
                <w:szCs w:val="24"/>
                <w:shd w:val="clear" w:color="auto" w:fill="FFFFFF"/>
              </w:rPr>
              <w:t>亿元</w:t>
            </w:r>
          </w:p>
        </w:tc>
        <w:tc>
          <w:tcPr>
            <w:tcW w:w="5108" w:type="dxa"/>
            <w:vAlign w:val="center"/>
          </w:tcPr>
          <w:p w14:paraId="7F7D6E1E">
            <w:pPr>
              <w:rPr>
                <w:rFonts w:ascii="宋体" w:hAnsi="宋体" w:eastAsia="宋体" w:cs="Times New Roman"/>
                <w:kern w:val="0"/>
                <w:sz w:val="24"/>
                <w:szCs w:val="24"/>
              </w:rPr>
            </w:pPr>
            <w:r>
              <w:rPr>
                <w:rFonts w:hint="eastAsia" w:ascii="宋体" w:hAnsi="宋体" w:eastAsia="宋体" w:cs="Times New Roman"/>
                <w:kern w:val="0"/>
                <w:sz w:val="24"/>
                <w:szCs w:val="24"/>
              </w:rPr>
              <w:t>主要布局于河南省内，在中牟县项目的基础上，已与洛阳、鹤壁、信阳、南阳、柘城等县市签约，计划投资建设农产品冷链物流园区项目。</w:t>
            </w:r>
          </w:p>
        </w:tc>
      </w:tr>
      <w:tr w14:paraId="74E0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4C45573B">
            <w:pPr>
              <w:jc w:val="center"/>
              <w:rPr>
                <w:rFonts w:ascii="宋体" w:hAnsi="宋体" w:eastAsia="宋体" w:cs="Times New Roman"/>
                <w:kern w:val="0"/>
                <w:sz w:val="24"/>
                <w:szCs w:val="24"/>
              </w:rPr>
            </w:pPr>
            <w:r>
              <w:rPr>
                <w:rFonts w:hint="eastAsia" w:ascii="宋体" w:hAnsi="宋体" w:eastAsia="宋体" w:cs="Times New Roman"/>
                <w:kern w:val="0"/>
                <w:sz w:val="24"/>
                <w:szCs w:val="24"/>
              </w:rPr>
              <w:t>1</w:t>
            </w:r>
            <w:r>
              <w:rPr>
                <w:rFonts w:ascii="宋体" w:hAnsi="宋体" w:eastAsia="宋体" w:cs="Times New Roman"/>
                <w:kern w:val="0"/>
                <w:sz w:val="24"/>
                <w:szCs w:val="24"/>
              </w:rPr>
              <w:t>5</w:t>
            </w:r>
          </w:p>
        </w:tc>
        <w:tc>
          <w:tcPr>
            <w:tcW w:w="851" w:type="dxa"/>
            <w:vMerge w:val="continue"/>
            <w:vAlign w:val="center"/>
          </w:tcPr>
          <w:p w14:paraId="1B304A67">
            <w:pPr>
              <w:rPr>
                <w:rFonts w:ascii="宋体" w:hAnsi="宋体" w:eastAsia="宋体" w:cs="Times New Roman"/>
                <w:kern w:val="0"/>
                <w:sz w:val="24"/>
                <w:szCs w:val="24"/>
              </w:rPr>
            </w:pPr>
          </w:p>
        </w:tc>
        <w:tc>
          <w:tcPr>
            <w:tcW w:w="1701" w:type="dxa"/>
            <w:vAlign w:val="center"/>
          </w:tcPr>
          <w:p w14:paraId="26A30E56">
            <w:pPr>
              <w:rPr>
                <w:rFonts w:ascii="宋体" w:hAnsi="宋体" w:eastAsia="宋体" w:cs="Arial"/>
                <w:color w:val="333333"/>
                <w:kern w:val="0"/>
                <w:sz w:val="24"/>
                <w:szCs w:val="24"/>
                <w:shd w:val="clear" w:color="auto" w:fill="FFFFFF"/>
              </w:rPr>
            </w:pPr>
            <w:r>
              <w:rPr>
                <w:rFonts w:hint="eastAsia" w:ascii="宋体" w:hAnsi="宋体" w:eastAsia="宋体" w:cs="Arial"/>
                <w:color w:val="000000"/>
                <w:kern w:val="0"/>
                <w:sz w:val="24"/>
                <w:szCs w:val="24"/>
                <w:shd w:val="clear" w:color="auto" w:fill="FFFFFF"/>
              </w:rPr>
              <w:t>深圳市农产品股份有限公司（深圳海吉星国际农产品物流园）</w:t>
            </w:r>
          </w:p>
        </w:tc>
        <w:tc>
          <w:tcPr>
            <w:tcW w:w="992" w:type="dxa"/>
            <w:vAlign w:val="center"/>
          </w:tcPr>
          <w:p w14:paraId="5869C691">
            <w:pPr>
              <w:rPr>
                <w:rFonts w:ascii="宋体" w:hAnsi="宋体" w:eastAsia="宋体" w:cs="Times New Roman"/>
                <w:kern w:val="0"/>
                <w:sz w:val="24"/>
                <w:szCs w:val="24"/>
              </w:rPr>
            </w:pPr>
            <w:r>
              <w:rPr>
                <w:rFonts w:hint="eastAsia" w:ascii="宋体" w:hAnsi="宋体" w:eastAsia="宋体" w:cs="Times New Roman"/>
                <w:kern w:val="0"/>
                <w:sz w:val="24"/>
                <w:szCs w:val="24"/>
              </w:rPr>
              <w:t>深圳</w:t>
            </w:r>
          </w:p>
        </w:tc>
        <w:tc>
          <w:tcPr>
            <w:tcW w:w="4111" w:type="dxa"/>
            <w:vAlign w:val="center"/>
          </w:tcPr>
          <w:p w14:paraId="6CF393E5">
            <w:pPr>
              <w:rPr>
                <w:rFonts w:ascii="宋体" w:hAnsi="宋体" w:eastAsia="宋体" w:cs="Arial"/>
                <w:color w:val="000000"/>
                <w:kern w:val="0"/>
                <w:sz w:val="24"/>
                <w:szCs w:val="24"/>
                <w:shd w:val="clear" w:color="auto" w:fill="FFFFFF"/>
              </w:rPr>
            </w:pPr>
            <w:r>
              <w:rPr>
                <w:rFonts w:hint="eastAsia" w:ascii="宋体" w:hAnsi="宋体" w:eastAsia="宋体" w:cs="Arial"/>
                <w:color w:val="000000"/>
                <w:kern w:val="0"/>
                <w:sz w:val="24"/>
                <w:szCs w:val="24"/>
                <w:shd w:val="clear" w:color="auto" w:fill="FFFFFF"/>
              </w:rPr>
              <w:t>以投资、开发、建设、经营和管理农产品批发市场为核心业务，以现代标准化农业规模生产种植、冷链物流、食品仓储、城市厨房配送、食品供应链服务为补充。</w:t>
            </w:r>
          </w:p>
        </w:tc>
        <w:tc>
          <w:tcPr>
            <w:tcW w:w="992" w:type="dxa"/>
            <w:vAlign w:val="center"/>
          </w:tcPr>
          <w:p w14:paraId="577DB59F">
            <w:pPr>
              <w:jc w:val="center"/>
              <w:rPr>
                <w:rFonts w:ascii="宋体" w:hAnsi="宋体" w:eastAsia="宋体" w:cs="Arial"/>
                <w:color w:val="333333"/>
                <w:kern w:val="0"/>
                <w:sz w:val="24"/>
                <w:szCs w:val="24"/>
                <w:shd w:val="clear" w:color="auto" w:fill="FFFFFF"/>
              </w:rPr>
            </w:pPr>
            <w:r>
              <w:rPr>
                <w:rFonts w:hint="eastAsia" w:ascii="宋体" w:hAnsi="宋体" w:eastAsia="宋体" w:cs="Arial"/>
                <w:color w:val="000000"/>
                <w:kern w:val="0"/>
                <w:sz w:val="24"/>
                <w:szCs w:val="24"/>
                <w:shd w:val="clear" w:color="auto" w:fill="FFFFFF"/>
              </w:rPr>
              <w:t>16</w:t>
            </w:r>
            <w:r>
              <w:rPr>
                <w:rFonts w:ascii="宋体" w:hAnsi="宋体" w:eastAsia="宋体" w:cs="Arial"/>
                <w:color w:val="000000"/>
                <w:kern w:val="0"/>
                <w:sz w:val="24"/>
                <w:szCs w:val="24"/>
                <w:shd w:val="clear" w:color="auto" w:fill="FFFFFF"/>
              </w:rPr>
              <w:t>.</w:t>
            </w:r>
            <w:r>
              <w:rPr>
                <w:rFonts w:hint="eastAsia" w:ascii="宋体" w:hAnsi="宋体" w:eastAsia="宋体" w:cs="Arial"/>
                <w:color w:val="000000"/>
                <w:kern w:val="0"/>
                <w:sz w:val="24"/>
                <w:szCs w:val="24"/>
                <w:shd w:val="clear" w:color="auto" w:fill="FFFFFF"/>
              </w:rPr>
              <w:t>9亿元</w:t>
            </w:r>
          </w:p>
        </w:tc>
        <w:tc>
          <w:tcPr>
            <w:tcW w:w="5108" w:type="dxa"/>
            <w:vAlign w:val="center"/>
          </w:tcPr>
          <w:p w14:paraId="0CAD714D">
            <w:pPr>
              <w:rPr>
                <w:rFonts w:ascii="宋体" w:hAnsi="宋体" w:eastAsia="宋体" w:cs="Times New Roman"/>
                <w:kern w:val="0"/>
                <w:sz w:val="24"/>
                <w:szCs w:val="24"/>
              </w:rPr>
            </w:pPr>
            <w:r>
              <w:rPr>
                <w:rFonts w:hint="eastAsia" w:ascii="宋体" w:hAnsi="宋体" w:eastAsia="宋体" w:cs="Times New Roman"/>
                <w:kern w:val="0"/>
                <w:sz w:val="24"/>
                <w:szCs w:val="24"/>
              </w:rPr>
              <w:t>在深圳、北京、上海等24个大中城市经营管理了35家综合批发市场和网上交易市场。</w:t>
            </w:r>
          </w:p>
        </w:tc>
      </w:tr>
      <w:tr w14:paraId="5C94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5D74F9DA">
            <w:pPr>
              <w:jc w:val="center"/>
              <w:rPr>
                <w:rFonts w:ascii="宋体" w:hAnsi="宋体" w:eastAsia="宋体" w:cs="Times New Roman"/>
                <w:kern w:val="0"/>
                <w:sz w:val="24"/>
                <w:szCs w:val="24"/>
              </w:rPr>
            </w:pPr>
            <w:r>
              <w:rPr>
                <w:rFonts w:hint="eastAsia" w:ascii="宋体" w:hAnsi="宋体" w:eastAsia="宋体" w:cs="Times New Roman"/>
                <w:kern w:val="0"/>
                <w:sz w:val="24"/>
                <w:szCs w:val="24"/>
              </w:rPr>
              <w:t>1</w:t>
            </w:r>
            <w:r>
              <w:rPr>
                <w:rFonts w:ascii="宋体" w:hAnsi="宋体" w:eastAsia="宋体" w:cs="Times New Roman"/>
                <w:kern w:val="0"/>
                <w:sz w:val="24"/>
                <w:szCs w:val="24"/>
              </w:rPr>
              <w:t>6</w:t>
            </w:r>
          </w:p>
        </w:tc>
        <w:tc>
          <w:tcPr>
            <w:tcW w:w="851" w:type="dxa"/>
            <w:vMerge w:val="continue"/>
            <w:vAlign w:val="center"/>
          </w:tcPr>
          <w:p w14:paraId="6BA1FBFB">
            <w:pPr>
              <w:rPr>
                <w:rFonts w:ascii="宋体" w:hAnsi="宋体" w:eastAsia="宋体" w:cs="Times New Roman"/>
                <w:kern w:val="0"/>
                <w:sz w:val="24"/>
                <w:szCs w:val="24"/>
              </w:rPr>
            </w:pPr>
          </w:p>
        </w:tc>
        <w:tc>
          <w:tcPr>
            <w:tcW w:w="1701" w:type="dxa"/>
            <w:vAlign w:val="center"/>
          </w:tcPr>
          <w:p w14:paraId="404CB994">
            <w:pPr>
              <w:rPr>
                <w:rFonts w:ascii="宋体" w:hAnsi="宋体" w:eastAsia="宋体" w:cs="Arial"/>
                <w:color w:val="333333"/>
                <w:kern w:val="0"/>
                <w:sz w:val="24"/>
                <w:szCs w:val="24"/>
                <w:shd w:val="clear" w:color="auto" w:fill="FFFFFF"/>
              </w:rPr>
            </w:pPr>
            <w:r>
              <w:rPr>
                <w:rFonts w:hint="eastAsia" w:ascii="宋体" w:hAnsi="宋体" w:eastAsia="宋体" w:cs="Arial"/>
                <w:color w:val="000000"/>
                <w:kern w:val="0"/>
                <w:sz w:val="24"/>
                <w:szCs w:val="24"/>
                <w:shd w:val="clear" w:color="auto" w:fill="FFFFFF"/>
              </w:rPr>
              <w:t>北京顺鑫控股集团有限公司</w:t>
            </w:r>
          </w:p>
        </w:tc>
        <w:tc>
          <w:tcPr>
            <w:tcW w:w="992" w:type="dxa"/>
            <w:vAlign w:val="center"/>
          </w:tcPr>
          <w:p w14:paraId="5A784419">
            <w:pPr>
              <w:rPr>
                <w:rFonts w:ascii="宋体" w:hAnsi="宋体" w:eastAsia="宋体" w:cs="Times New Roman"/>
                <w:kern w:val="0"/>
                <w:sz w:val="24"/>
                <w:szCs w:val="24"/>
              </w:rPr>
            </w:pPr>
            <w:r>
              <w:rPr>
                <w:rFonts w:hint="eastAsia" w:ascii="宋体" w:hAnsi="宋体" w:eastAsia="宋体" w:cs="Times New Roman"/>
                <w:kern w:val="0"/>
                <w:sz w:val="24"/>
                <w:szCs w:val="24"/>
              </w:rPr>
              <w:t>北京</w:t>
            </w:r>
          </w:p>
        </w:tc>
        <w:tc>
          <w:tcPr>
            <w:tcW w:w="4111" w:type="dxa"/>
            <w:vAlign w:val="center"/>
          </w:tcPr>
          <w:p w14:paraId="52D94B0C">
            <w:pPr>
              <w:rPr>
                <w:rFonts w:ascii="宋体" w:hAnsi="宋体" w:eastAsia="宋体" w:cs="Arial"/>
                <w:color w:val="000000"/>
                <w:kern w:val="0"/>
                <w:sz w:val="24"/>
                <w:szCs w:val="24"/>
                <w:shd w:val="clear" w:color="auto" w:fill="FFFFFF"/>
              </w:rPr>
            </w:pPr>
            <w:r>
              <w:rPr>
                <w:rFonts w:hint="eastAsia" w:ascii="宋体" w:hAnsi="宋体" w:eastAsia="宋体" w:cs="Arial"/>
                <w:color w:val="000000"/>
                <w:kern w:val="0"/>
                <w:sz w:val="24"/>
                <w:szCs w:val="24"/>
                <w:shd w:val="clear" w:color="auto" w:fill="FFFFFF"/>
              </w:rPr>
              <w:t>主营粮食作物、经济作物、蔬菜、瓜果、果树种植、加工与销售；白酒生产与销售；肉食品加工与销售；农业技术开发、技术服务等。</w:t>
            </w:r>
          </w:p>
        </w:tc>
        <w:tc>
          <w:tcPr>
            <w:tcW w:w="992" w:type="dxa"/>
            <w:vAlign w:val="center"/>
          </w:tcPr>
          <w:p w14:paraId="7520EEA3">
            <w:pPr>
              <w:jc w:val="center"/>
              <w:rPr>
                <w:rFonts w:ascii="宋体" w:hAnsi="宋体" w:eastAsia="宋体" w:cs="Arial"/>
                <w:color w:val="333333"/>
                <w:kern w:val="0"/>
                <w:sz w:val="24"/>
                <w:szCs w:val="24"/>
                <w:shd w:val="clear" w:color="auto" w:fill="FFFFFF"/>
              </w:rPr>
            </w:pPr>
            <w:r>
              <w:rPr>
                <w:rFonts w:ascii="宋体" w:hAnsi="宋体" w:eastAsia="宋体" w:cs="Arial"/>
                <w:color w:val="000000"/>
                <w:kern w:val="0"/>
                <w:sz w:val="24"/>
                <w:szCs w:val="24"/>
                <w:shd w:val="clear" w:color="auto" w:fill="FFFFFF"/>
              </w:rPr>
              <w:t>8</w:t>
            </w:r>
            <w:r>
              <w:rPr>
                <w:rFonts w:hint="eastAsia" w:ascii="宋体" w:hAnsi="宋体" w:eastAsia="宋体" w:cs="Arial"/>
                <w:color w:val="000000"/>
                <w:kern w:val="0"/>
                <w:sz w:val="24"/>
                <w:szCs w:val="24"/>
                <w:shd w:val="clear" w:color="auto" w:fill="FFFFFF"/>
              </w:rPr>
              <w:t>.</w:t>
            </w:r>
            <w:r>
              <w:rPr>
                <w:rFonts w:ascii="宋体" w:hAnsi="宋体" w:eastAsia="宋体" w:cs="Arial"/>
                <w:color w:val="000000"/>
                <w:kern w:val="0"/>
                <w:sz w:val="24"/>
                <w:szCs w:val="24"/>
                <w:shd w:val="clear" w:color="auto" w:fill="FFFFFF"/>
              </w:rPr>
              <w:t>5</w:t>
            </w:r>
            <w:r>
              <w:rPr>
                <w:rFonts w:hint="eastAsia" w:ascii="宋体" w:hAnsi="宋体" w:eastAsia="宋体" w:cs="Arial"/>
                <w:color w:val="000000"/>
                <w:kern w:val="0"/>
                <w:sz w:val="24"/>
                <w:szCs w:val="24"/>
                <w:shd w:val="clear" w:color="auto" w:fill="FFFFFF"/>
              </w:rPr>
              <w:t>亿元</w:t>
            </w:r>
          </w:p>
        </w:tc>
        <w:tc>
          <w:tcPr>
            <w:tcW w:w="5108" w:type="dxa"/>
            <w:vAlign w:val="center"/>
          </w:tcPr>
          <w:p w14:paraId="0B6FD6E8">
            <w:pPr>
              <w:rPr>
                <w:rFonts w:ascii="宋体" w:hAnsi="宋体" w:eastAsia="宋体" w:cs="Times New Roman"/>
                <w:kern w:val="0"/>
                <w:sz w:val="24"/>
                <w:szCs w:val="24"/>
              </w:rPr>
            </w:pPr>
            <w:r>
              <w:rPr>
                <w:rFonts w:hint="eastAsia" w:ascii="宋体" w:hAnsi="宋体" w:eastAsia="宋体" w:cs="Times New Roman"/>
                <w:kern w:val="0"/>
                <w:sz w:val="24"/>
                <w:szCs w:val="24"/>
              </w:rPr>
              <w:t>拥有五家分公司、十一家控股子公司。</w:t>
            </w:r>
          </w:p>
        </w:tc>
      </w:tr>
      <w:tr w14:paraId="773E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3F7A0725">
            <w:pPr>
              <w:jc w:val="center"/>
              <w:rPr>
                <w:rFonts w:ascii="宋体" w:hAnsi="宋体" w:eastAsia="宋体" w:cs="Times New Roman"/>
                <w:kern w:val="0"/>
                <w:sz w:val="24"/>
                <w:szCs w:val="24"/>
              </w:rPr>
            </w:pPr>
            <w:r>
              <w:rPr>
                <w:rFonts w:hint="eastAsia" w:ascii="宋体" w:hAnsi="宋体" w:eastAsia="宋体" w:cs="Times New Roman"/>
                <w:kern w:val="0"/>
                <w:sz w:val="24"/>
                <w:szCs w:val="24"/>
              </w:rPr>
              <w:t>1</w:t>
            </w:r>
            <w:r>
              <w:rPr>
                <w:rFonts w:ascii="宋体" w:hAnsi="宋体" w:eastAsia="宋体" w:cs="Times New Roman"/>
                <w:kern w:val="0"/>
                <w:sz w:val="24"/>
                <w:szCs w:val="24"/>
              </w:rPr>
              <w:t>7</w:t>
            </w:r>
          </w:p>
        </w:tc>
        <w:tc>
          <w:tcPr>
            <w:tcW w:w="851" w:type="dxa"/>
            <w:vMerge w:val="continue"/>
            <w:vAlign w:val="center"/>
          </w:tcPr>
          <w:p w14:paraId="4770F2D4">
            <w:pPr>
              <w:rPr>
                <w:rFonts w:ascii="宋体" w:hAnsi="宋体" w:eastAsia="宋体" w:cs="Times New Roman"/>
                <w:kern w:val="0"/>
                <w:sz w:val="24"/>
                <w:szCs w:val="24"/>
              </w:rPr>
            </w:pPr>
          </w:p>
        </w:tc>
        <w:tc>
          <w:tcPr>
            <w:tcW w:w="1701" w:type="dxa"/>
            <w:vAlign w:val="center"/>
          </w:tcPr>
          <w:p w14:paraId="5320876E">
            <w:pPr>
              <w:rPr>
                <w:rFonts w:ascii="宋体" w:hAnsi="宋体" w:eastAsia="宋体" w:cs="Arial"/>
                <w:color w:val="333333"/>
                <w:kern w:val="0"/>
                <w:sz w:val="24"/>
                <w:szCs w:val="24"/>
                <w:shd w:val="clear" w:color="auto" w:fill="FFFFFF"/>
              </w:rPr>
            </w:pPr>
            <w:r>
              <w:rPr>
                <w:rFonts w:hint="eastAsia" w:ascii="宋体" w:hAnsi="宋体" w:eastAsia="宋体" w:cs="Arial"/>
                <w:color w:val="000000"/>
                <w:kern w:val="0"/>
                <w:sz w:val="24"/>
                <w:szCs w:val="24"/>
                <w:shd w:val="clear" w:color="auto" w:fill="FFFFFF"/>
              </w:rPr>
              <w:t>雨润控股集团</w:t>
            </w:r>
          </w:p>
        </w:tc>
        <w:tc>
          <w:tcPr>
            <w:tcW w:w="992" w:type="dxa"/>
            <w:vAlign w:val="center"/>
          </w:tcPr>
          <w:p w14:paraId="21F86DB1">
            <w:pPr>
              <w:rPr>
                <w:rFonts w:ascii="宋体" w:hAnsi="宋体" w:eastAsia="宋体" w:cs="Times New Roman"/>
                <w:kern w:val="0"/>
                <w:sz w:val="24"/>
                <w:szCs w:val="24"/>
              </w:rPr>
            </w:pPr>
            <w:r>
              <w:rPr>
                <w:rFonts w:hint="eastAsia" w:ascii="宋体" w:hAnsi="宋体" w:eastAsia="宋体" w:cs="Times New Roman"/>
                <w:kern w:val="0"/>
                <w:sz w:val="24"/>
                <w:szCs w:val="24"/>
              </w:rPr>
              <w:t>南京</w:t>
            </w:r>
          </w:p>
        </w:tc>
        <w:tc>
          <w:tcPr>
            <w:tcW w:w="4111" w:type="dxa"/>
            <w:vAlign w:val="center"/>
          </w:tcPr>
          <w:p w14:paraId="5294D3E6">
            <w:pPr>
              <w:rPr>
                <w:rFonts w:ascii="宋体" w:hAnsi="宋体" w:eastAsia="宋体" w:cs="Arial"/>
                <w:color w:val="000000"/>
                <w:kern w:val="0"/>
                <w:sz w:val="24"/>
                <w:szCs w:val="24"/>
                <w:shd w:val="clear" w:color="auto" w:fill="FFFFFF"/>
              </w:rPr>
            </w:pPr>
            <w:r>
              <w:rPr>
                <w:rFonts w:hint="eastAsia" w:ascii="宋体" w:hAnsi="宋体" w:eastAsia="宋体" w:cs="Arial"/>
                <w:color w:val="000000"/>
                <w:kern w:val="0"/>
                <w:sz w:val="24"/>
                <w:szCs w:val="24"/>
                <w:shd w:val="clear" w:color="auto" w:fill="FFFFFF"/>
              </w:rPr>
              <w:t>主营业务包括食品、地产、商业、物流、旅游、金融和建筑等七大产业。</w:t>
            </w:r>
          </w:p>
        </w:tc>
        <w:tc>
          <w:tcPr>
            <w:tcW w:w="992" w:type="dxa"/>
            <w:vAlign w:val="center"/>
          </w:tcPr>
          <w:p w14:paraId="32920C07">
            <w:pPr>
              <w:jc w:val="center"/>
              <w:rPr>
                <w:rFonts w:ascii="宋体" w:hAnsi="宋体" w:eastAsia="宋体" w:cs="Arial"/>
                <w:color w:val="333333"/>
                <w:kern w:val="0"/>
                <w:sz w:val="24"/>
                <w:szCs w:val="24"/>
                <w:shd w:val="clear" w:color="auto" w:fill="FFFFFF"/>
              </w:rPr>
            </w:pPr>
            <w:r>
              <w:rPr>
                <w:rFonts w:hint="eastAsia" w:ascii="宋体" w:hAnsi="宋体" w:eastAsia="宋体" w:cs="Arial"/>
                <w:color w:val="333333"/>
                <w:kern w:val="0"/>
                <w:sz w:val="24"/>
                <w:szCs w:val="24"/>
                <w:shd w:val="clear" w:color="auto" w:fill="FFFFFF"/>
              </w:rPr>
              <w:t>--</w:t>
            </w:r>
          </w:p>
        </w:tc>
        <w:tc>
          <w:tcPr>
            <w:tcW w:w="5108" w:type="dxa"/>
            <w:vAlign w:val="center"/>
          </w:tcPr>
          <w:p w14:paraId="27E42A7B">
            <w:pPr>
              <w:rPr>
                <w:rFonts w:ascii="宋体" w:hAnsi="宋体" w:eastAsia="宋体" w:cs="Times New Roman"/>
                <w:kern w:val="0"/>
                <w:sz w:val="24"/>
                <w:szCs w:val="24"/>
              </w:rPr>
            </w:pPr>
            <w:r>
              <w:rPr>
                <w:rFonts w:hint="eastAsia" w:ascii="宋体" w:hAnsi="宋体" w:eastAsia="宋体" w:cs="Times New Roman"/>
                <w:kern w:val="0"/>
                <w:sz w:val="24"/>
                <w:szCs w:val="24"/>
              </w:rPr>
              <w:t>农产品冷链物流方面将按照“333”发展规划，在全国30个省会城市建立雨润农产品全球采购中心、在300个地级市建立雨润农产品物流配送中心、在3000个农产品资源聚集区建立农产品生产示范基地。</w:t>
            </w:r>
          </w:p>
        </w:tc>
      </w:tr>
      <w:tr w14:paraId="7044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346F12B3">
            <w:pPr>
              <w:jc w:val="center"/>
              <w:rPr>
                <w:rFonts w:ascii="宋体" w:hAnsi="宋体" w:eastAsia="宋体" w:cs="Times New Roman"/>
                <w:kern w:val="0"/>
                <w:sz w:val="24"/>
                <w:szCs w:val="24"/>
              </w:rPr>
            </w:pPr>
            <w:r>
              <w:rPr>
                <w:rFonts w:hint="eastAsia" w:ascii="宋体" w:hAnsi="宋体" w:eastAsia="宋体" w:cs="Times New Roman"/>
                <w:kern w:val="0"/>
                <w:sz w:val="24"/>
                <w:szCs w:val="24"/>
              </w:rPr>
              <w:t>1</w:t>
            </w:r>
            <w:r>
              <w:rPr>
                <w:rFonts w:ascii="宋体" w:hAnsi="宋体" w:eastAsia="宋体" w:cs="Times New Roman"/>
                <w:kern w:val="0"/>
                <w:sz w:val="24"/>
                <w:szCs w:val="24"/>
              </w:rPr>
              <w:t>8</w:t>
            </w:r>
          </w:p>
        </w:tc>
        <w:tc>
          <w:tcPr>
            <w:tcW w:w="851" w:type="dxa"/>
            <w:vMerge w:val="continue"/>
            <w:vAlign w:val="center"/>
          </w:tcPr>
          <w:p w14:paraId="242D26FC">
            <w:pPr>
              <w:rPr>
                <w:rFonts w:ascii="宋体" w:hAnsi="宋体" w:eastAsia="宋体" w:cs="Times New Roman"/>
                <w:kern w:val="0"/>
                <w:sz w:val="24"/>
                <w:szCs w:val="24"/>
              </w:rPr>
            </w:pPr>
          </w:p>
        </w:tc>
        <w:tc>
          <w:tcPr>
            <w:tcW w:w="1701" w:type="dxa"/>
            <w:vAlign w:val="center"/>
          </w:tcPr>
          <w:p w14:paraId="733D4FBC">
            <w:pPr>
              <w:rPr>
                <w:rFonts w:ascii="宋体" w:hAnsi="宋体" w:eastAsia="宋体" w:cs="Arial"/>
                <w:color w:val="333333"/>
                <w:kern w:val="0"/>
                <w:sz w:val="24"/>
                <w:szCs w:val="24"/>
                <w:shd w:val="clear" w:color="auto" w:fill="FFFFFF"/>
              </w:rPr>
            </w:pPr>
            <w:r>
              <w:rPr>
                <w:rFonts w:hint="eastAsia" w:ascii="宋体" w:hAnsi="宋体" w:eastAsia="宋体" w:cs="Arial"/>
                <w:color w:val="000000"/>
                <w:kern w:val="0"/>
                <w:sz w:val="24"/>
                <w:szCs w:val="24"/>
                <w:shd w:val="clear" w:color="auto" w:fill="FFFFFF"/>
              </w:rPr>
              <w:t>夏晖集团</w:t>
            </w:r>
          </w:p>
        </w:tc>
        <w:tc>
          <w:tcPr>
            <w:tcW w:w="992" w:type="dxa"/>
            <w:vAlign w:val="center"/>
          </w:tcPr>
          <w:p w14:paraId="1228D65C">
            <w:pPr>
              <w:rPr>
                <w:rFonts w:ascii="宋体" w:hAnsi="宋体" w:eastAsia="宋体" w:cs="Times New Roman"/>
                <w:kern w:val="0"/>
                <w:sz w:val="24"/>
                <w:szCs w:val="24"/>
              </w:rPr>
            </w:pPr>
            <w:r>
              <w:rPr>
                <w:rFonts w:hint="eastAsia" w:ascii="宋体" w:hAnsi="宋体" w:eastAsia="宋体" w:cs="Times New Roman"/>
                <w:kern w:val="0"/>
                <w:sz w:val="24"/>
                <w:szCs w:val="24"/>
              </w:rPr>
              <w:t>美国芝加哥</w:t>
            </w:r>
          </w:p>
        </w:tc>
        <w:tc>
          <w:tcPr>
            <w:tcW w:w="4111" w:type="dxa"/>
            <w:vAlign w:val="center"/>
          </w:tcPr>
          <w:p w14:paraId="43B45306">
            <w:pPr>
              <w:rPr>
                <w:rFonts w:ascii="宋体" w:hAnsi="宋体" w:eastAsia="宋体" w:cs="Arial"/>
                <w:color w:val="000000"/>
                <w:kern w:val="0"/>
                <w:sz w:val="24"/>
                <w:szCs w:val="24"/>
                <w:shd w:val="clear" w:color="auto" w:fill="FFFFFF"/>
              </w:rPr>
            </w:pPr>
            <w:r>
              <w:rPr>
                <w:rFonts w:hint="eastAsia" w:ascii="宋体" w:hAnsi="宋体" w:eastAsia="宋体" w:cs="Arial"/>
                <w:color w:val="000000"/>
                <w:kern w:val="0"/>
                <w:sz w:val="24"/>
                <w:szCs w:val="24"/>
                <w:shd w:val="clear" w:color="auto" w:fill="FFFFFF"/>
              </w:rPr>
              <w:t>主营供应链管理和冷链物流业务。</w:t>
            </w:r>
          </w:p>
        </w:tc>
        <w:tc>
          <w:tcPr>
            <w:tcW w:w="992" w:type="dxa"/>
            <w:vAlign w:val="center"/>
          </w:tcPr>
          <w:p w14:paraId="77E1F195">
            <w:pPr>
              <w:jc w:val="center"/>
              <w:rPr>
                <w:rFonts w:ascii="宋体" w:hAnsi="宋体" w:eastAsia="宋体" w:cs="Arial"/>
                <w:color w:val="333333"/>
                <w:kern w:val="0"/>
                <w:sz w:val="24"/>
                <w:szCs w:val="24"/>
                <w:shd w:val="clear" w:color="auto" w:fill="FFFFFF"/>
              </w:rPr>
            </w:pPr>
            <w:r>
              <w:rPr>
                <w:rFonts w:hint="eastAsia" w:ascii="宋体" w:hAnsi="宋体" w:eastAsia="宋体" w:cs="Arial"/>
                <w:color w:val="333333"/>
                <w:kern w:val="0"/>
                <w:sz w:val="24"/>
                <w:szCs w:val="24"/>
                <w:shd w:val="clear" w:color="auto" w:fill="FFFFFF"/>
              </w:rPr>
              <w:t>--</w:t>
            </w:r>
          </w:p>
        </w:tc>
        <w:tc>
          <w:tcPr>
            <w:tcW w:w="5108" w:type="dxa"/>
            <w:vAlign w:val="center"/>
          </w:tcPr>
          <w:p w14:paraId="31FDCA41">
            <w:pPr>
              <w:rPr>
                <w:rFonts w:ascii="宋体" w:hAnsi="宋体" w:eastAsia="宋体" w:cs="Times New Roman"/>
                <w:kern w:val="0"/>
                <w:sz w:val="24"/>
                <w:szCs w:val="24"/>
              </w:rPr>
            </w:pPr>
            <w:r>
              <w:rPr>
                <w:rFonts w:hint="eastAsia" w:ascii="宋体" w:hAnsi="宋体" w:eastAsia="宋体" w:cs="Times New Roman"/>
                <w:kern w:val="0"/>
                <w:sz w:val="24"/>
                <w:szCs w:val="24"/>
              </w:rPr>
              <w:t>目前在全球44个国家均有业务分布，在美国、欧洲、中国及东南亚地区为8000多家麦当劳餐厅提供高质量的供应链管理服务。在中国有四个物流中心，分别是北京、上海、广州与武汉。</w:t>
            </w:r>
          </w:p>
        </w:tc>
      </w:tr>
      <w:tr w14:paraId="23AA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203CB329">
            <w:pPr>
              <w:jc w:val="center"/>
              <w:rPr>
                <w:rFonts w:ascii="宋体" w:hAnsi="宋体" w:eastAsia="宋体" w:cs="Times New Roman"/>
                <w:kern w:val="0"/>
                <w:sz w:val="24"/>
                <w:szCs w:val="24"/>
              </w:rPr>
            </w:pPr>
            <w:r>
              <w:rPr>
                <w:rFonts w:hint="eastAsia" w:ascii="宋体" w:hAnsi="宋体" w:eastAsia="宋体" w:cs="Times New Roman"/>
                <w:kern w:val="0"/>
                <w:sz w:val="24"/>
                <w:szCs w:val="24"/>
              </w:rPr>
              <w:t>1</w:t>
            </w:r>
            <w:r>
              <w:rPr>
                <w:rFonts w:ascii="宋体" w:hAnsi="宋体" w:eastAsia="宋体" w:cs="Times New Roman"/>
                <w:kern w:val="0"/>
                <w:sz w:val="24"/>
                <w:szCs w:val="24"/>
              </w:rPr>
              <w:t>9</w:t>
            </w:r>
          </w:p>
        </w:tc>
        <w:tc>
          <w:tcPr>
            <w:tcW w:w="851" w:type="dxa"/>
            <w:vMerge w:val="restart"/>
            <w:vAlign w:val="center"/>
          </w:tcPr>
          <w:p w14:paraId="53B1F5D9">
            <w:pPr>
              <w:rPr>
                <w:rFonts w:ascii="宋体" w:hAnsi="宋体" w:eastAsia="宋体" w:cs="Times New Roman"/>
                <w:kern w:val="0"/>
                <w:sz w:val="24"/>
                <w:szCs w:val="24"/>
              </w:rPr>
            </w:pPr>
          </w:p>
          <w:p w14:paraId="6D316A62">
            <w:pPr>
              <w:rPr>
                <w:rFonts w:ascii="宋体" w:hAnsi="宋体" w:eastAsia="宋体" w:cs="Times New Roman"/>
                <w:kern w:val="0"/>
                <w:sz w:val="24"/>
                <w:szCs w:val="24"/>
              </w:rPr>
            </w:pPr>
          </w:p>
          <w:p w14:paraId="1BCB28AA">
            <w:pPr>
              <w:rPr>
                <w:rFonts w:ascii="宋体" w:hAnsi="宋体" w:eastAsia="宋体" w:cs="Times New Roman"/>
                <w:kern w:val="0"/>
                <w:sz w:val="24"/>
                <w:szCs w:val="24"/>
              </w:rPr>
            </w:pPr>
            <w:r>
              <w:rPr>
                <w:rFonts w:hint="eastAsia" w:ascii="宋体" w:hAnsi="宋体" w:eastAsia="宋体" w:cs="Times New Roman"/>
                <w:kern w:val="0"/>
                <w:sz w:val="24"/>
                <w:szCs w:val="24"/>
              </w:rPr>
              <w:t>汽车物流企业</w:t>
            </w:r>
          </w:p>
        </w:tc>
        <w:tc>
          <w:tcPr>
            <w:tcW w:w="1701" w:type="dxa"/>
            <w:vAlign w:val="center"/>
          </w:tcPr>
          <w:p w14:paraId="5BE3CD5C">
            <w:pPr>
              <w:rPr>
                <w:rFonts w:ascii="宋体" w:hAnsi="宋体" w:eastAsia="宋体" w:cs="Arial"/>
                <w:color w:val="333333"/>
                <w:kern w:val="0"/>
                <w:sz w:val="24"/>
                <w:szCs w:val="24"/>
                <w:shd w:val="clear" w:color="auto" w:fill="FFFFFF"/>
              </w:rPr>
            </w:pPr>
            <w:r>
              <w:rPr>
                <w:rFonts w:hint="eastAsia" w:ascii="宋体" w:hAnsi="宋体" w:eastAsia="宋体" w:cs="Arial"/>
                <w:color w:val="000000"/>
                <w:kern w:val="0"/>
                <w:sz w:val="24"/>
                <w:szCs w:val="24"/>
                <w:shd w:val="clear" w:color="auto" w:fill="FFFFFF"/>
              </w:rPr>
              <w:t>上汽安吉物流股份有限公司</w:t>
            </w:r>
          </w:p>
        </w:tc>
        <w:tc>
          <w:tcPr>
            <w:tcW w:w="992" w:type="dxa"/>
            <w:vAlign w:val="center"/>
          </w:tcPr>
          <w:p w14:paraId="4D4A26D3">
            <w:pPr>
              <w:rPr>
                <w:rFonts w:ascii="宋体" w:hAnsi="宋体" w:eastAsia="宋体" w:cs="Times New Roman"/>
                <w:kern w:val="0"/>
                <w:sz w:val="24"/>
                <w:szCs w:val="24"/>
              </w:rPr>
            </w:pPr>
            <w:r>
              <w:rPr>
                <w:rFonts w:hint="eastAsia" w:ascii="宋体" w:hAnsi="宋体" w:eastAsia="宋体" w:cs="Arial"/>
                <w:color w:val="000000"/>
                <w:kern w:val="0"/>
                <w:sz w:val="24"/>
                <w:szCs w:val="24"/>
                <w:shd w:val="clear" w:color="auto" w:fill="FFFFFF"/>
              </w:rPr>
              <w:t>上海</w:t>
            </w:r>
          </w:p>
        </w:tc>
        <w:tc>
          <w:tcPr>
            <w:tcW w:w="4111" w:type="dxa"/>
            <w:vAlign w:val="center"/>
          </w:tcPr>
          <w:p w14:paraId="30C055C7">
            <w:pPr>
              <w:rPr>
                <w:rFonts w:ascii="宋体" w:hAnsi="宋体" w:eastAsia="宋体" w:cs="Arial"/>
                <w:color w:val="000000"/>
                <w:kern w:val="0"/>
                <w:sz w:val="24"/>
                <w:szCs w:val="24"/>
                <w:shd w:val="clear" w:color="auto" w:fill="FFFFFF"/>
              </w:rPr>
            </w:pPr>
            <w:r>
              <w:rPr>
                <w:rFonts w:hint="eastAsia" w:ascii="宋体" w:hAnsi="宋体" w:eastAsia="宋体" w:cs="Arial"/>
                <w:color w:val="000000"/>
                <w:kern w:val="0"/>
                <w:sz w:val="24"/>
                <w:szCs w:val="24"/>
                <w:shd w:val="clear" w:color="auto" w:fill="FFFFFF"/>
              </w:rPr>
              <w:t>主营整车物流、零部件物流、口岸物流、航运物流、商用车及装备物流、快运物流、国际物流、信息技术等业务板块。</w:t>
            </w:r>
          </w:p>
        </w:tc>
        <w:tc>
          <w:tcPr>
            <w:tcW w:w="992" w:type="dxa"/>
            <w:vAlign w:val="center"/>
          </w:tcPr>
          <w:p w14:paraId="5DA78710">
            <w:pPr>
              <w:jc w:val="center"/>
              <w:rPr>
                <w:rFonts w:ascii="宋体" w:hAnsi="宋体" w:eastAsia="宋体" w:cs="Arial"/>
                <w:color w:val="333333"/>
                <w:kern w:val="0"/>
                <w:sz w:val="24"/>
                <w:szCs w:val="24"/>
                <w:shd w:val="clear" w:color="auto" w:fill="FFFFFF"/>
              </w:rPr>
            </w:pPr>
            <w:r>
              <w:rPr>
                <w:rFonts w:ascii="宋体" w:hAnsi="宋体" w:eastAsia="宋体" w:cs="Arial"/>
                <w:color w:val="000000"/>
                <w:kern w:val="0"/>
                <w:sz w:val="24"/>
                <w:szCs w:val="24"/>
                <w:shd w:val="clear" w:color="auto" w:fill="FFFFFF"/>
              </w:rPr>
              <w:t>6</w:t>
            </w:r>
            <w:r>
              <w:rPr>
                <w:rFonts w:hint="eastAsia" w:ascii="宋体" w:hAnsi="宋体" w:eastAsia="宋体" w:cs="Arial"/>
                <w:color w:val="000000"/>
                <w:kern w:val="0"/>
                <w:sz w:val="24"/>
                <w:szCs w:val="24"/>
                <w:shd w:val="clear" w:color="auto" w:fill="FFFFFF"/>
              </w:rPr>
              <w:t>亿元</w:t>
            </w:r>
          </w:p>
        </w:tc>
        <w:tc>
          <w:tcPr>
            <w:tcW w:w="5108" w:type="dxa"/>
            <w:vAlign w:val="center"/>
          </w:tcPr>
          <w:p w14:paraId="7EF54D7F">
            <w:pPr>
              <w:rPr>
                <w:rFonts w:ascii="宋体" w:hAnsi="宋体" w:eastAsia="宋体" w:cs="Arial"/>
                <w:color w:val="000000"/>
                <w:kern w:val="0"/>
                <w:sz w:val="24"/>
                <w:szCs w:val="24"/>
                <w:shd w:val="clear" w:color="auto" w:fill="FFFFFF"/>
              </w:rPr>
            </w:pPr>
            <w:r>
              <w:rPr>
                <w:rFonts w:hint="eastAsia" w:ascii="宋体" w:hAnsi="宋体" w:eastAsia="宋体" w:cs="Arial"/>
                <w:color w:val="000000"/>
                <w:kern w:val="0"/>
                <w:sz w:val="24"/>
                <w:szCs w:val="24"/>
                <w:shd w:val="clear" w:color="auto" w:fill="FFFFFF"/>
              </w:rPr>
              <w:t>配送网络覆盖全国562个城市，为国内外主要主机厂和零部件厂家及6000家4S经销店、6000家维修站提供智能化、一体化、网络化的汽车物流供应链服务，并为5000家4S经销店提供质押监管服务。</w:t>
            </w:r>
          </w:p>
        </w:tc>
      </w:tr>
      <w:tr w14:paraId="0357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70962CD6">
            <w:pPr>
              <w:jc w:val="center"/>
              <w:rPr>
                <w:rFonts w:ascii="宋体" w:hAnsi="宋体" w:eastAsia="宋体" w:cs="Times New Roman"/>
                <w:kern w:val="0"/>
                <w:sz w:val="24"/>
                <w:szCs w:val="24"/>
              </w:rPr>
            </w:pPr>
            <w:r>
              <w:rPr>
                <w:rFonts w:hint="eastAsia" w:ascii="宋体" w:hAnsi="宋体" w:eastAsia="宋体" w:cs="Times New Roman"/>
                <w:kern w:val="0"/>
                <w:sz w:val="24"/>
                <w:szCs w:val="24"/>
              </w:rPr>
              <w:t>2</w:t>
            </w:r>
            <w:r>
              <w:rPr>
                <w:rFonts w:ascii="宋体" w:hAnsi="宋体" w:eastAsia="宋体" w:cs="Times New Roman"/>
                <w:kern w:val="0"/>
                <w:sz w:val="24"/>
                <w:szCs w:val="24"/>
              </w:rPr>
              <w:t>0</w:t>
            </w:r>
          </w:p>
        </w:tc>
        <w:tc>
          <w:tcPr>
            <w:tcW w:w="851" w:type="dxa"/>
            <w:vMerge w:val="continue"/>
            <w:vAlign w:val="center"/>
          </w:tcPr>
          <w:p w14:paraId="4C431091">
            <w:pPr>
              <w:rPr>
                <w:rFonts w:ascii="宋体" w:hAnsi="宋体" w:eastAsia="宋体" w:cs="Times New Roman"/>
                <w:kern w:val="0"/>
                <w:sz w:val="24"/>
                <w:szCs w:val="24"/>
              </w:rPr>
            </w:pPr>
          </w:p>
        </w:tc>
        <w:tc>
          <w:tcPr>
            <w:tcW w:w="1701" w:type="dxa"/>
            <w:vAlign w:val="center"/>
          </w:tcPr>
          <w:p w14:paraId="43DF6A36">
            <w:pPr>
              <w:rPr>
                <w:rFonts w:ascii="宋体" w:hAnsi="宋体" w:eastAsia="宋体" w:cs="Arial"/>
                <w:color w:val="333333"/>
                <w:kern w:val="0"/>
                <w:sz w:val="24"/>
                <w:szCs w:val="24"/>
                <w:shd w:val="clear" w:color="auto" w:fill="FFFFFF"/>
              </w:rPr>
            </w:pPr>
            <w:r>
              <w:rPr>
                <w:rFonts w:hint="eastAsia" w:ascii="宋体" w:hAnsi="宋体" w:eastAsia="宋体" w:cs="Arial"/>
                <w:color w:val="000000"/>
                <w:kern w:val="0"/>
                <w:sz w:val="24"/>
                <w:szCs w:val="24"/>
                <w:shd w:val="clear" w:color="auto" w:fill="FFFFFF"/>
              </w:rPr>
              <w:t>吉林省长久实业集团有限公司</w:t>
            </w:r>
          </w:p>
        </w:tc>
        <w:tc>
          <w:tcPr>
            <w:tcW w:w="992" w:type="dxa"/>
            <w:vAlign w:val="center"/>
          </w:tcPr>
          <w:p w14:paraId="6CFA63CB">
            <w:pPr>
              <w:rPr>
                <w:rFonts w:ascii="宋体" w:hAnsi="宋体" w:eastAsia="宋体" w:cs="Times New Roman"/>
                <w:kern w:val="0"/>
                <w:sz w:val="24"/>
                <w:szCs w:val="24"/>
              </w:rPr>
            </w:pPr>
            <w:r>
              <w:rPr>
                <w:rFonts w:hint="eastAsia" w:ascii="宋体" w:hAnsi="宋体" w:eastAsia="宋体" w:cs="Arial"/>
                <w:color w:val="000000"/>
                <w:kern w:val="0"/>
                <w:sz w:val="24"/>
                <w:szCs w:val="24"/>
                <w:shd w:val="clear" w:color="auto" w:fill="FFFFFF"/>
              </w:rPr>
              <w:t>北京</w:t>
            </w:r>
          </w:p>
        </w:tc>
        <w:tc>
          <w:tcPr>
            <w:tcW w:w="4111" w:type="dxa"/>
            <w:vAlign w:val="center"/>
          </w:tcPr>
          <w:p w14:paraId="5CD35C34">
            <w:pPr>
              <w:rPr>
                <w:rFonts w:ascii="宋体" w:hAnsi="宋体" w:eastAsia="宋体" w:cs="Arial"/>
                <w:color w:val="000000"/>
                <w:kern w:val="0"/>
                <w:sz w:val="24"/>
                <w:szCs w:val="24"/>
                <w:shd w:val="clear" w:color="auto" w:fill="FFFFFF"/>
              </w:rPr>
            </w:pPr>
            <w:r>
              <w:rPr>
                <w:rFonts w:hint="eastAsia" w:ascii="宋体" w:hAnsi="宋体" w:eastAsia="宋体" w:cs="Arial"/>
                <w:color w:val="000000"/>
                <w:kern w:val="0"/>
                <w:sz w:val="24"/>
                <w:szCs w:val="24"/>
                <w:shd w:val="clear" w:color="auto" w:fill="FFFFFF"/>
              </w:rPr>
              <w:t>业务主要涵盖汽车物流、汽车销售与服务、汽车金融、汽车改装、汽配电商等多个板块。</w:t>
            </w:r>
          </w:p>
        </w:tc>
        <w:tc>
          <w:tcPr>
            <w:tcW w:w="992" w:type="dxa"/>
            <w:vAlign w:val="center"/>
          </w:tcPr>
          <w:p w14:paraId="338521AA">
            <w:pPr>
              <w:jc w:val="center"/>
              <w:rPr>
                <w:rFonts w:ascii="宋体" w:hAnsi="宋体" w:eastAsia="宋体" w:cs="Arial"/>
                <w:color w:val="333333"/>
                <w:kern w:val="0"/>
                <w:sz w:val="24"/>
                <w:szCs w:val="24"/>
                <w:shd w:val="clear" w:color="auto" w:fill="FFFFFF"/>
              </w:rPr>
            </w:pPr>
            <w:r>
              <w:rPr>
                <w:rFonts w:ascii="宋体" w:hAnsi="宋体" w:eastAsia="宋体" w:cs="Times New Roman"/>
                <w:kern w:val="0"/>
                <w:sz w:val="24"/>
                <w:szCs w:val="24"/>
              </w:rPr>
              <w:t>0</w:t>
            </w:r>
            <w:r>
              <w:rPr>
                <w:rFonts w:hint="eastAsia" w:ascii="宋体" w:hAnsi="宋体" w:eastAsia="宋体" w:cs="Times New Roman"/>
                <w:kern w:val="0"/>
                <w:sz w:val="24"/>
                <w:szCs w:val="24"/>
              </w:rPr>
              <w:t>.</w:t>
            </w:r>
            <w:r>
              <w:rPr>
                <w:rFonts w:ascii="宋体" w:hAnsi="宋体" w:eastAsia="宋体" w:cs="Times New Roman"/>
                <w:kern w:val="0"/>
                <w:sz w:val="24"/>
                <w:szCs w:val="24"/>
              </w:rPr>
              <w:t>7</w:t>
            </w:r>
            <w:r>
              <w:rPr>
                <w:rFonts w:hint="eastAsia" w:ascii="宋体" w:hAnsi="宋体" w:eastAsia="宋体" w:cs="Times New Roman"/>
                <w:kern w:val="0"/>
                <w:sz w:val="24"/>
                <w:szCs w:val="24"/>
              </w:rPr>
              <w:t>亿元</w:t>
            </w:r>
          </w:p>
        </w:tc>
        <w:tc>
          <w:tcPr>
            <w:tcW w:w="5108" w:type="dxa"/>
            <w:vAlign w:val="center"/>
          </w:tcPr>
          <w:p w14:paraId="15694A61">
            <w:pPr>
              <w:rPr>
                <w:rFonts w:ascii="宋体" w:hAnsi="宋体" w:eastAsia="宋体" w:cs="Times New Roman"/>
                <w:kern w:val="0"/>
                <w:sz w:val="24"/>
                <w:szCs w:val="24"/>
              </w:rPr>
            </w:pPr>
            <w:r>
              <w:rPr>
                <w:rFonts w:hint="eastAsia" w:ascii="宋体" w:hAnsi="宋体" w:eastAsia="宋体" w:cs="Times New Roman"/>
                <w:kern w:val="0"/>
                <w:sz w:val="24"/>
                <w:szCs w:val="24"/>
              </w:rPr>
              <w:t>公司旗下拥有170余家全资、控股分子公司，业务覆盖国内外500余座城市。</w:t>
            </w:r>
          </w:p>
        </w:tc>
      </w:tr>
      <w:tr w14:paraId="0475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44587514">
            <w:pPr>
              <w:jc w:val="center"/>
              <w:rPr>
                <w:rFonts w:ascii="宋体" w:hAnsi="宋体" w:eastAsia="宋体" w:cs="Times New Roman"/>
                <w:kern w:val="0"/>
                <w:sz w:val="24"/>
                <w:szCs w:val="24"/>
              </w:rPr>
            </w:pPr>
            <w:r>
              <w:rPr>
                <w:rFonts w:ascii="宋体" w:hAnsi="宋体" w:eastAsia="宋体" w:cs="Times New Roman"/>
                <w:kern w:val="0"/>
                <w:sz w:val="24"/>
                <w:szCs w:val="24"/>
              </w:rPr>
              <w:t>2</w:t>
            </w:r>
            <w:r>
              <w:rPr>
                <w:rFonts w:hint="eastAsia" w:ascii="宋体" w:hAnsi="宋体" w:eastAsia="宋体" w:cs="Times New Roman"/>
                <w:kern w:val="0"/>
                <w:sz w:val="24"/>
                <w:szCs w:val="24"/>
              </w:rPr>
              <w:t>1</w:t>
            </w:r>
          </w:p>
        </w:tc>
        <w:tc>
          <w:tcPr>
            <w:tcW w:w="851" w:type="dxa"/>
            <w:vMerge w:val="restart"/>
            <w:vAlign w:val="center"/>
          </w:tcPr>
          <w:p w14:paraId="109055C3">
            <w:pPr>
              <w:rPr>
                <w:rFonts w:ascii="宋体" w:hAnsi="宋体" w:eastAsia="宋体" w:cs="Times New Roman"/>
                <w:kern w:val="0"/>
                <w:sz w:val="24"/>
                <w:szCs w:val="24"/>
              </w:rPr>
            </w:pPr>
            <w:r>
              <w:rPr>
                <w:rFonts w:hint="eastAsia" w:ascii="宋体" w:hAnsi="宋体" w:eastAsia="宋体" w:cs="Times New Roman"/>
                <w:kern w:val="0"/>
                <w:sz w:val="24"/>
                <w:szCs w:val="24"/>
              </w:rPr>
              <w:t>物联网物流企业</w:t>
            </w:r>
          </w:p>
        </w:tc>
        <w:tc>
          <w:tcPr>
            <w:tcW w:w="1701" w:type="dxa"/>
            <w:vAlign w:val="center"/>
          </w:tcPr>
          <w:p w14:paraId="0C36D6FC">
            <w:pPr>
              <w:rPr>
                <w:rFonts w:ascii="宋体" w:hAnsi="宋体" w:eastAsia="宋体" w:cs="Arial"/>
                <w:color w:val="333333"/>
                <w:kern w:val="0"/>
                <w:sz w:val="24"/>
                <w:szCs w:val="24"/>
                <w:shd w:val="clear" w:color="auto" w:fill="FFFFFF"/>
              </w:rPr>
            </w:pPr>
            <w:r>
              <w:rPr>
                <w:rFonts w:hint="eastAsia" w:ascii="宋体" w:hAnsi="宋体" w:eastAsia="宋体" w:cs="Arial"/>
                <w:color w:val="000000"/>
                <w:kern w:val="0"/>
                <w:sz w:val="24"/>
                <w:szCs w:val="24"/>
                <w:shd w:val="clear" w:color="auto" w:fill="FFFFFF"/>
              </w:rPr>
              <w:t>日日顺物流</w:t>
            </w:r>
          </w:p>
        </w:tc>
        <w:tc>
          <w:tcPr>
            <w:tcW w:w="992" w:type="dxa"/>
            <w:vAlign w:val="center"/>
          </w:tcPr>
          <w:p w14:paraId="2EE23D6A">
            <w:pPr>
              <w:rPr>
                <w:rFonts w:ascii="宋体" w:hAnsi="宋体" w:eastAsia="宋体" w:cs="Times New Roman"/>
                <w:kern w:val="0"/>
                <w:sz w:val="24"/>
                <w:szCs w:val="24"/>
              </w:rPr>
            </w:pPr>
            <w:r>
              <w:rPr>
                <w:rFonts w:hint="eastAsia" w:ascii="宋体" w:hAnsi="宋体" w:eastAsia="宋体" w:cs="Times New Roman"/>
                <w:kern w:val="0"/>
                <w:sz w:val="24"/>
                <w:szCs w:val="24"/>
              </w:rPr>
              <w:t>青岛</w:t>
            </w:r>
          </w:p>
        </w:tc>
        <w:tc>
          <w:tcPr>
            <w:tcW w:w="4111" w:type="dxa"/>
            <w:vAlign w:val="center"/>
          </w:tcPr>
          <w:p w14:paraId="385AEA5E">
            <w:pPr>
              <w:rPr>
                <w:rFonts w:ascii="宋体" w:hAnsi="宋体" w:eastAsia="宋体" w:cs="Arial"/>
                <w:color w:val="333333"/>
                <w:kern w:val="0"/>
                <w:sz w:val="24"/>
                <w:szCs w:val="24"/>
                <w:shd w:val="clear" w:color="auto" w:fill="FFFFFF"/>
              </w:rPr>
            </w:pPr>
            <w:r>
              <w:rPr>
                <w:rFonts w:hint="eastAsia" w:ascii="宋体" w:hAnsi="宋体" w:eastAsia="宋体" w:cs="Arial"/>
                <w:color w:val="000000"/>
                <w:kern w:val="0"/>
                <w:sz w:val="24"/>
                <w:szCs w:val="24"/>
                <w:shd w:val="clear" w:color="auto" w:fill="FFFFFF"/>
              </w:rPr>
              <w:t>物联网场景物流生态品牌以及居家大件物流领域的引领者。</w:t>
            </w:r>
          </w:p>
        </w:tc>
        <w:tc>
          <w:tcPr>
            <w:tcW w:w="992" w:type="dxa"/>
            <w:vAlign w:val="center"/>
          </w:tcPr>
          <w:p w14:paraId="12DDF058">
            <w:pPr>
              <w:jc w:val="center"/>
              <w:rPr>
                <w:rFonts w:ascii="宋体" w:hAnsi="宋体" w:eastAsia="宋体" w:cs="Arial"/>
                <w:color w:val="333333"/>
                <w:kern w:val="0"/>
                <w:sz w:val="24"/>
                <w:szCs w:val="24"/>
                <w:shd w:val="clear" w:color="auto" w:fill="FFFFFF"/>
              </w:rPr>
            </w:pPr>
            <w:r>
              <w:rPr>
                <w:rFonts w:hint="eastAsia" w:ascii="宋体" w:hAnsi="宋体" w:eastAsia="宋体" w:cs="Arial"/>
                <w:color w:val="333333"/>
                <w:kern w:val="0"/>
                <w:sz w:val="24"/>
                <w:szCs w:val="24"/>
                <w:shd w:val="clear" w:color="auto" w:fill="FFFFFF"/>
              </w:rPr>
              <w:t>0.9亿美</w:t>
            </w:r>
            <w:r>
              <w:rPr>
                <w:rFonts w:ascii="宋体" w:hAnsi="宋体" w:eastAsia="宋体" w:cs="Arial"/>
                <w:color w:val="333333"/>
                <w:kern w:val="0"/>
                <w:sz w:val="24"/>
                <w:szCs w:val="24"/>
                <w:shd w:val="clear" w:color="auto" w:fill="FFFFFF"/>
              </w:rPr>
              <w:t>元</w:t>
            </w:r>
          </w:p>
        </w:tc>
        <w:tc>
          <w:tcPr>
            <w:tcW w:w="5108" w:type="dxa"/>
            <w:vAlign w:val="center"/>
          </w:tcPr>
          <w:p w14:paraId="675A0B6D">
            <w:pPr>
              <w:rPr>
                <w:rFonts w:ascii="宋体" w:hAnsi="宋体" w:eastAsia="宋体" w:cs="Arial"/>
                <w:color w:val="333333"/>
                <w:kern w:val="0"/>
                <w:sz w:val="24"/>
                <w:szCs w:val="24"/>
                <w:shd w:val="clear" w:color="auto" w:fill="FFFFFF"/>
              </w:rPr>
            </w:pPr>
            <w:r>
              <w:rPr>
                <w:rFonts w:hint="eastAsia" w:ascii="宋体" w:hAnsi="宋体" w:eastAsia="宋体" w:cs="Times New Roman"/>
                <w:kern w:val="0"/>
                <w:sz w:val="24"/>
                <w:szCs w:val="24"/>
              </w:rPr>
              <w:t>已建立起辐射全国的分布式三级云仓网络，拥有15大发运基地、136个智慧物流仓、</w:t>
            </w:r>
            <w:r>
              <w:rPr>
                <w:rFonts w:ascii="宋体" w:hAnsi="宋体" w:eastAsia="宋体" w:cs="Calibri"/>
                <w:kern w:val="0"/>
                <w:sz w:val="24"/>
                <w:szCs w:val="24"/>
              </w:rPr>
              <w:t> </w:t>
            </w:r>
            <w:r>
              <w:rPr>
                <w:rFonts w:hint="eastAsia" w:ascii="宋体" w:hAnsi="宋体" w:eastAsia="宋体" w:cs="Times New Roman"/>
                <w:kern w:val="0"/>
                <w:sz w:val="24"/>
                <w:szCs w:val="24"/>
              </w:rPr>
              <w:t>6000多家微仓，总仓储面积达600万㎡以上；在全国规划3300多条班车循环专线，10万辆车小微、20万服务兵，为全国2915个区县提供“按约送达，送装同步”的服务。</w:t>
            </w:r>
          </w:p>
        </w:tc>
      </w:tr>
      <w:tr w14:paraId="712F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2088B915">
            <w:pPr>
              <w:jc w:val="center"/>
              <w:rPr>
                <w:rFonts w:ascii="宋体" w:hAnsi="宋体" w:eastAsia="宋体" w:cs="Times New Roman"/>
                <w:kern w:val="0"/>
                <w:sz w:val="24"/>
                <w:szCs w:val="24"/>
              </w:rPr>
            </w:pPr>
            <w:r>
              <w:rPr>
                <w:rFonts w:ascii="宋体" w:hAnsi="宋体" w:eastAsia="宋体" w:cs="Times New Roman"/>
                <w:kern w:val="0"/>
                <w:sz w:val="24"/>
                <w:szCs w:val="24"/>
              </w:rPr>
              <w:t>2</w:t>
            </w:r>
            <w:r>
              <w:rPr>
                <w:rFonts w:hint="eastAsia" w:ascii="宋体" w:hAnsi="宋体" w:eastAsia="宋体" w:cs="Times New Roman"/>
                <w:kern w:val="0"/>
                <w:sz w:val="24"/>
                <w:szCs w:val="24"/>
              </w:rPr>
              <w:t>2</w:t>
            </w:r>
          </w:p>
        </w:tc>
        <w:tc>
          <w:tcPr>
            <w:tcW w:w="851" w:type="dxa"/>
            <w:vMerge w:val="continue"/>
            <w:vAlign w:val="center"/>
          </w:tcPr>
          <w:p w14:paraId="38312722">
            <w:pPr>
              <w:rPr>
                <w:rFonts w:ascii="宋体" w:hAnsi="宋体" w:eastAsia="宋体" w:cs="Times New Roman"/>
                <w:kern w:val="0"/>
                <w:sz w:val="24"/>
                <w:szCs w:val="24"/>
              </w:rPr>
            </w:pPr>
          </w:p>
        </w:tc>
        <w:tc>
          <w:tcPr>
            <w:tcW w:w="1701" w:type="dxa"/>
            <w:vAlign w:val="center"/>
          </w:tcPr>
          <w:p w14:paraId="50B70849">
            <w:pPr>
              <w:rPr>
                <w:rFonts w:ascii="宋体" w:hAnsi="宋体" w:eastAsia="宋体" w:cs="Arial"/>
                <w:color w:val="333333"/>
                <w:kern w:val="0"/>
                <w:sz w:val="24"/>
                <w:szCs w:val="24"/>
                <w:shd w:val="clear" w:color="auto" w:fill="FFFFFF"/>
              </w:rPr>
            </w:pPr>
            <w:r>
              <w:rPr>
                <w:rFonts w:hint="eastAsia" w:ascii="宋体" w:hAnsi="宋体" w:eastAsia="宋体" w:cs="Arial"/>
                <w:color w:val="000000"/>
                <w:kern w:val="0"/>
                <w:sz w:val="24"/>
                <w:szCs w:val="24"/>
                <w:shd w:val="clear" w:color="auto" w:fill="FFFFFF"/>
              </w:rPr>
              <w:t>壹米滴答供应链集团</w:t>
            </w:r>
          </w:p>
        </w:tc>
        <w:tc>
          <w:tcPr>
            <w:tcW w:w="992" w:type="dxa"/>
            <w:vAlign w:val="center"/>
          </w:tcPr>
          <w:p w14:paraId="18C5B68F">
            <w:pPr>
              <w:rPr>
                <w:rFonts w:ascii="宋体" w:hAnsi="宋体" w:eastAsia="宋体" w:cs="Times New Roman"/>
                <w:kern w:val="0"/>
                <w:sz w:val="24"/>
                <w:szCs w:val="24"/>
              </w:rPr>
            </w:pPr>
            <w:r>
              <w:rPr>
                <w:rFonts w:hint="eastAsia" w:ascii="宋体" w:hAnsi="宋体" w:eastAsia="宋体" w:cs="Times New Roman"/>
                <w:kern w:val="0"/>
                <w:sz w:val="24"/>
                <w:szCs w:val="24"/>
              </w:rPr>
              <w:t>西安</w:t>
            </w:r>
          </w:p>
        </w:tc>
        <w:tc>
          <w:tcPr>
            <w:tcW w:w="4111" w:type="dxa"/>
            <w:vAlign w:val="center"/>
          </w:tcPr>
          <w:p w14:paraId="73F93DD9">
            <w:pPr>
              <w:rPr>
                <w:rFonts w:ascii="宋体" w:hAnsi="宋体" w:eastAsia="宋体" w:cs="Arial"/>
                <w:color w:val="333333"/>
                <w:kern w:val="0"/>
                <w:sz w:val="24"/>
                <w:szCs w:val="24"/>
                <w:shd w:val="clear" w:color="auto" w:fill="FFFFFF"/>
              </w:rPr>
            </w:pPr>
            <w:r>
              <w:rPr>
                <w:rFonts w:hint="eastAsia" w:ascii="宋体" w:hAnsi="宋体" w:eastAsia="宋体" w:cs="Arial"/>
                <w:color w:val="333333"/>
                <w:kern w:val="0"/>
                <w:sz w:val="24"/>
                <w:szCs w:val="24"/>
                <w:shd w:val="clear" w:color="auto" w:fill="FFFFFF"/>
              </w:rPr>
              <w:t>快运</w:t>
            </w:r>
            <w:r>
              <w:rPr>
                <w:rFonts w:ascii="宋体" w:hAnsi="宋体" w:eastAsia="宋体" w:cs="Arial"/>
                <w:color w:val="333333"/>
                <w:kern w:val="0"/>
                <w:sz w:val="24"/>
                <w:szCs w:val="24"/>
                <w:shd w:val="clear" w:color="auto" w:fill="FFFFFF"/>
              </w:rPr>
              <w:t>快递</w:t>
            </w:r>
            <w:r>
              <w:rPr>
                <w:rFonts w:hint="eastAsia" w:ascii="宋体" w:hAnsi="宋体" w:eastAsia="宋体" w:cs="Arial"/>
                <w:color w:val="333333"/>
                <w:kern w:val="0"/>
                <w:sz w:val="24"/>
                <w:szCs w:val="24"/>
                <w:shd w:val="clear" w:color="auto" w:fill="FFFFFF"/>
              </w:rPr>
              <w:t>业务。</w:t>
            </w:r>
          </w:p>
        </w:tc>
        <w:tc>
          <w:tcPr>
            <w:tcW w:w="992" w:type="dxa"/>
            <w:vAlign w:val="center"/>
          </w:tcPr>
          <w:p w14:paraId="3BC6ACFC">
            <w:pPr>
              <w:jc w:val="center"/>
              <w:rPr>
                <w:rFonts w:ascii="宋体" w:hAnsi="宋体" w:eastAsia="宋体" w:cs="Arial"/>
                <w:color w:val="333333"/>
                <w:kern w:val="0"/>
                <w:sz w:val="24"/>
                <w:szCs w:val="24"/>
                <w:shd w:val="clear" w:color="auto" w:fill="FFFFFF"/>
              </w:rPr>
            </w:pPr>
            <w:r>
              <w:rPr>
                <w:rFonts w:hint="eastAsia" w:ascii="宋体" w:hAnsi="宋体" w:eastAsia="宋体" w:cs="Arial"/>
                <w:color w:val="333333"/>
                <w:kern w:val="0"/>
                <w:sz w:val="24"/>
                <w:szCs w:val="24"/>
                <w:shd w:val="clear" w:color="auto" w:fill="FFFFFF"/>
              </w:rPr>
              <w:t>--</w:t>
            </w:r>
          </w:p>
        </w:tc>
        <w:tc>
          <w:tcPr>
            <w:tcW w:w="5108" w:type="dxa"/>
            <w:vAlign w:val="center"/>
          </w:tcPr>
          <w:p w14:paraId="4FE722D4">
            <w:pPr>
              <w:rPr>
                <w:rFonts w:ascii="宋体" w:hAnsi="宋体" w:eastAsia="宋体" w:cs="Arial"/>
                <w:color w:val="333333"/>
                <w:kern w:val="0"/>
                <w:sz w:val="24"/>
                <w:szCs w:val="24"/>
                <w:shd w:val="clear" w:color="auto" w:fill="FFFFFF"/>
              </w:rPr>
            </w:pPr>
            <w:r>
              <w:rPr>
                <w:rFonts w:ascii="宋体" w:hAnsi="宋体" w:eastAsia="宋体" w:cs="Times New Roman"/>
                <w:kern w:val="0"/>
                <w:sz w:val="24"/>
                <w:szCs w:val="24"/>
              </w:rPr>
              <w:t>已经覆盖全国31个省份（自营省区24个、成员省区7个），并可通达港台，现有网点12000多家、分拨中心近200个，是全国拥有干支线数量和货量均多于其他同行的零担物流网络平台。</w:t>
            </w:r>
          </w:p>
        </w:tc>
      </w:tr>
      <w:tr w14:paraId="2C14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0" w:hRule="atLeast"/>
        </w:trPr>
        <w:tc>
          <w:tcPr>
            <w:tcW w:w="562" w:type="dxa"/>
            <w:vAlign w:val="center"/>
          </w:tcPr>
          <w:p w14:paraId="568AB0D4">
            <w:pPr>
              <w:jc w:val="center"/>
              <w:rPr>
                <w:rFonts w:ascii="宋体" w:hAnsi="宋体" w:eastAsia="宋体" w:cs="Times New Roman"/>
                <w:kern w:val="0"/>
                <w:sz w:val="24"/>
                <w:szCs w:val="24"/>
              </w:rPr>
            </w:pPr>
            <w:r>
              <w:rPr>
                <w:rFonts w:ascii="宋体" w:hAnsi="宋体" w:eastAsia="宋体" w:cs="Times New Roman"/>
                <w:kern w:val="0"/>
                <w:sz w:val="24"/>
                <w:szCs w:val="24"/>
              </w:rPr>
              <w:t>2</w:t>
            </w:r>
            <w:r>
              <w:rPr>
                <w:rFonts w:hint="eastAsia" w:ascii="宋体" w:hAnsi="宋体" w:eastAsia="宋体" w:cs="Times New Roman"/>
                <w:kern w:val="0"/>
                <w:sz w:val="24"/>
                <w:szCs w:val="24"/>
              </w:rPr>
              <w:t>3</w:t>
            </w:r>
          </w:p>
        </w:tc>
        <w:tc>
          <w:tcPr>
            <w:tcW w:w="851" w:type="dxa"/>
            <w:vAlign w:val="center"/>
          </w:tcPr>
          <w:p w14:paraId="21AE8C29">
            <w:pPr>
              <w:rPr>
                <w:rFonts w:ascii="宋体" w:hAnsi="宋体" w:eastAsia="宋体" w:cs="Times New Roman"/>
                <w:kern w:val="0"/>
                <w:sz w:val="24"/>
                <w:szCs w:val="24"/>
              </w:rPr>
            </w:pPr>
            <w:r>
              <w:rPr>
                <w:rFonts w:hint="eastAsia" w:ascii="宋体" w:hAnsi="宋体" w:eastAsia="宋体" w:cs="Times New Roman"/>
                <w:kern w:val="0"/>
                <w:sz w:val="24"/>
                <w:szCs w:val="24"/>
              </w:rPr>
              <w:t>大宗商品交易平台</w:t>
            </w:r>
          </w:p>
        </w:tc>
        <w:tc>
          <w:tcPr>
            <w:tcW w:w="1701" w:type="dxa"/>
            <w:vAlign w:val="center"/>
          </w:tcPr>
          <w:p w14:paraId="4043BDE3">
            <w:pPr>
              <w:rPr>
                <w:rFonts w:ascii="宋体" w:hAnsi="宋体" w:eastAsia="宋体" w:cs="Arial"/>
                <w:color w:val="333333"/>
                <w:kern w:val="0"/>
                <w:sz w:val="24"/>
                <w:szCs w:val="24"/>
                <w:shd w:val="clear" w:color="auto" w:fill="FFFFFF"/>
              </w:rPr>
            </w:pPr>
            <w:r>
              <w:rPr>
                <w:rFonts w:hint="eastAsia" w:ascii="宋体" w:hAnsi="宋体" w:eastAsia="宋体" w:cs="Times New Roman"/>
                <w:kern w:val="0"/>
                <w:sz w:val="24"/>
                <w:szCs w:val="24"/>
              </w:rPr>
              <w:t>日照大宗商品交易中心</w:t>
            </w:r>
          </w:p>
        </w:tc>
        <w:tc>
          <w:tcPr>
            <w:tcW w:w="992" w:type="dxa"/>
            <w:vAlign w:val="center"/>
          </w:tcPr>
          <w:p w14:paraId="01D881C3">
            <w:pPr>
              <w:rPr>
                <w:rFonts w:ascii="宋体" w:hAnsi="宋体" w:eastAsia="宋体" w:cs="Times New Roman"/>
                <w:kern w:val="0"/>
                <w:sz w:val="24"/>
                <w:szCs w:val="24"/>
              </w:rPr>
            </w:pPr>
            <w:r>
              <w:rPr>
                <w:rFonts w:hint="eastAsia" w:ascii="宋体" w:hAnsi="宋体" w:eastAsia="宋体" w:cs="Times New Roman"/>
                <w:kern w:val="0"/>
                <w:sz w:val="24"/>
                <w:szCs w:val="24"/>
              </w:rPr>
              <w:t>日照</w:t>
            </w:r>
          </w:p>
        </w:tc>
        <w:tc>
          <w:tcPr>
            <w:tcW w:w="4111" w:type="dxa"/>
            <w:vAlign w:val="center"/>
          </w:tcPr>
          <w:p w14:paraId="69F6D693">
            <w:pPr>
              <w:rPr>
                <w:rFonts w:ascii="宋体" w:hAnsi="宋体" w:eastAsia="宋体" w:cs="Arial"/>
                <w:color w:val="333333"/>
                <w:kern w:val="0"/>
                <w:sz w:val="24"/>
                <w:szCs w:val="24"/>
                <w:shd w:val="clear" w:color="auto" w:fill="FFFFFF"/>
              </w:rPr>
            </w:pPr>
            <w:r>
              <w:rPr>
                <w:rFonts w:hint="eastAsia" w:ascii="宋体" w:hAnsi="宋体" w:eastAsia="宋体" w:cs="Times New Roman"/>
                <w:kern w:val="0"/>
                <w:sz w:val="24"/>
                <w:szCs w:val="24"/>
              </w:rPr>
              <w:t>山东港口集团下属企业，</w:t>
            </w:r>
            <w:r>
              <w:rPr>
                <w:rFonts w:ascii="宋体" w:hAnsi="宋体" w:eastAsia="宋体" w:cs="Times New Roman"/>
                <w:kern w:val="0"/>
                <w:sz w:val="24"/>
                <w:szCs w:val="24"/>
              </w:rPr>
              <w:t>经山东省地方金融监督管理局批复运营。按照“以大宗商品交易为核心，电子商务、产业供应链金融、风险管理等融合发展”的业务发展模式，打造大宗商品智慧供应链管理服务平台，为客户提供大宗商品交易结算、产业供应链金融、风险管理、信用保险、资讯等综合增值服务。 </w:t>
            </w:r>
            <w:r>
              <w:rPr>
                <w:rFonts w:ascii="宋体" w:hAnsi="宋体" w:eastAsia="宋体" w:cs="Calibri"/>
                <w:color w:val="333333"/>
                <w:kern w:val="0"/>
                <w:sz w:val="24"/>
                <w:szCs w:val="24"/>
                <w:shd w:val="clear" w:color="auto" w:fill="FFFFFF"/>
              </w:rPr>
              <w:t> </w:t>
            </w:r>
          </w:p>
          <w:p w14:paraId="3D92C336">
            <w:pPr>
              <w:rPr>
                <w:rFonts w:ascii="宋体" w:hAnsi="宋体" w:eastAsia="宋体" w:cs="Arial"/>
                <w:color w:val="333333"/>
                <w:kern w:val="0"/>
                <w:sz w:val="24"/>
                <w:szCs w:val="24"/>
                <w:shd w:val="clear" w:color="auto" w:fill="FFFFFF"/>
              </w:rPr>
            </w:pPr>
          </w:p>
        </w:tc>
        <w:tc>
          <w:tcPr>
            <w:tcW w:w="992" w:type="dxa"/>
            <w:vAlign w:val="center"/>
          </w:tcPr>
          <w:p w14:paraId="4257B81F">
            <w:pPr>
              <w:jc w:val="center"/>
              <w:rPr>
                <w:rFonts w:ascii="宋体" w:hAnsi="宋体" w:eastAsia="宋体" w:cs="Arial"/>
                <w:color w:val="333333"/>
                <w:kern w:val="0"/>
                <w:sz w:val="24"/>
                <w:szCs w:val="24"/>
                <w:shd w:val="clear" w:color="auto" w:fill="FFFFFF"/>
              </w:rPr>
            </w:pPr>
            <w:r>
              <w:rPr>
                <w:rFonts w:hint="eastAsia" w:ascii="宋体" w:hAnsi="宋体" w:eastAsia="宋体" w:cs="Times New Roman"/>
                <w:kern w:val="0"/>
                <w:sz w:val="24"/>
                <w:szCs w:val="24"/>
              </w:rPr>
              <w:t>3亿元</w:t>
            </w:r>
          </w:p>
        </w:tc>
        <w:tc>
          <w:tcPr>
            <w:tcW w:w="5108" w:type="dxa"/>
            <w:vAlign w:val="center"/>
          </w:tcPr>
          <w:p w14:paraId="3A3F5E5F">
            <w:pPr>
              <w:rPr>
                <w:rFonts w:ascii="宋体" w:hAnsi="宋体" w:eastAsia="宋体" w:cs="Times New Roman"/>
                <w:kern w:val="0"/>
                <w:sz w:val="24"/>
                <w:szCs w:val="24"/>
              </w:rPr>
            </w:pPr>
            <w:r>
              <w:rPr>
                <w:rFonts w:ascii="宋体" w:hAnsi="宋体" w:eastAsia="宋体" w:cs="Times New Roman"/>
                <w:kern w:val="0"/>
                <w:sz w:val="24"/>
                <w:szCs w:val="24"/>
              </w:rPr>
              <w:t>截至目前，日照大商中心逐步构建完善了黑色冶金产业链、大豆压榨产业链以及援疆农副产品板块和化工板块。自主创新的调期交易模式，填补了国内此类市场空白，在全国大宗商品领域产生较大影响。</w:t>
            </w:r>
          </w:p>
        </w:tc>
      </w:tr>
      <w:tr w14:paraId="2CAC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1BF241AF">
            <w:pPr>
              <w:jc w:val="center"/>
              <w:rPr>
                <w:rFonts w:ascii="宋体" w:hAnsi="宋体" w:eastAsia="宋体" w:cs="Times New Roman"/>
                <w:kern w:val="0"/>
                <w:sz w:val="24"/>
                <w:szCs w:val="24"/>
              </w:rPr>
            </w:pPr>
            <w:r>
              <w:rPr>
                <w:rFonts w:hint="eastAsia" w:ascii="宋体" w:hAnsi="宋体" w:eastAsia="宋体" w:cs="Times New Roman"/>
                <w:kern w:val="0"/>
                <w:sz w:val="24"/>
                <w:szCs w:val="24"/>
              </w:rPr>
              <w:t>2</w:t>
            </w:r>
            <w:r>
              <w:rPr>
                <w:rFonts w:ascii="宋体" w:hAnsi="宋体" w:eastAsia="宋体" w:cs="Times New Roman"/>
                <w:kern w:val="0"/>
                <w:sz w:val="24"/>
                <w:szCs w:val="24"/>
              </w:rPr>
              <w:t>4</w:t>
            </w:r>
          </w:p>
        </w:tc>
        <w:tc>
          <w:tcPr>
            <w:tcW w:w="851" w:type="dxa"/>
            <w:vMerge w:val="restart"/>
            <w:vAlign w:val="center"/>
          </w:tcPr>
          <w:p w14:paraId="37CEA2C7">
            <w:pPr>
              <w:rPr>
                <w:rFonts w:ascii="宋体" w:hAnsi="宋体" w:eastAsia="宋体" w:cs="Times New Roman"/>
                <w:kern w:val="0"/>
                <w:sz w:val="24"/>
                <w:szCs w:val="24"/>
              </w:rPr>
            </w:pPr>
            <w:r>
              <w:rPr>
                <w:rFonts w:hint="eastAsia" w:ascii="宋体" w:hAnsi="宋体" w:eastAsia="宋体" w:cs="Times New Roman"/>
                <w:kern w:val="0"/>
                <w:sz w:val="24"/>
                <w:szCs w:val="24"/>
              </w:rPr>
              <w:t>冷链信息平台</w:t>
            </w:r>
          </w:p>
        </w:tc>
        <w:tc>
          <w:tcPr>
            <w:tcW w:w="1701" w:type="dxa"/>
            <w:vAlign w:val="center"/>
          </w:tcPr>
          <w:p w14:paraId="0D477BB8">
            <w:pPr>
              <w:rPr>
                <w:rFonts w:ascii="宋体" w:hAnsi="宋体" w:eastAsia="宋体" w:cs="Arial"/>
                <w:color w:val="333333"/>
                <w:kern w:val="0"/>
                <w:sz w:val="24"/>
                <w:szCs w:val="24"/>
                <w:shd w:val="clear" w:color="auto" w:fill="FFFFFF"/>
              </w:rPr>
            </w:pPr>
            <w:r>
              <w:rPr>
                <w:rFonts w:hint="eastAsia" w:ascii="宋体" w:hAnsi="宋体" w:eastAsia="宋体" w:cs="Times New Roman"/>
                <w:kern w:val="0"/>
                <w:sz w:val="24"/>
                <w:szCs w:val="24"/>
              </w:rPr>
              <w:t>e冷链</w:t>
            </w:r>
          </w:p>
        </w:tc>
        <w:tc>
          <w:tcPr>
            <w:tcW w:w="992" w:type="dxa"/>
            <w:vAlign w:val="center"/>
          </w:tcPr>
          <w:p w14:paraId="0A620A01">
            <w:pPr>
              <w:rPr>
                <w:rFonts w:ascii="宋体" w:hAnsi="宋体" w:eastAsia="宋体" w:cs="Times New Roman"/>
                <w:kern w:val="0"/>
                <w:sz w:val="24"/>
                <w:szCs w:val="24"/>
              </w:rPr>
            </w:pPr>
            <w:r>
              <w:rPr>
                <w:rFonts w:hint="eastAsia" w:ascii="宋体" w:hAnsi="宋体" w:eastAsia="宋体" w:cs="Times New Roman"/>
                <w:kern w:val="0"/>
                <w:sz w:val="24"/>
                <w:szCs w:val="24"/>
              </w:rPr>
              <w:t>广州</w:t>
            </w:r>
          </w:p>
        </w:tc>
        <w:tc>
          <w:tcPr>
            <w:tcW w:w="4111" w:type="dxa"/>
            <w:vAlign w:val="center"/>
          </w:tcPr>
          <w:p w14:paraId="6E2678C4">
            <w:pPr>
              <w:rPr>
                <w:rFonts w:ascii="宋体" w:hAnsi="宋体" w:eastAsia="宋体" w:cs="Arial"/>
                <w:color w:val="333333"/>
                <w:kern w:val="0"/>
                <w:sz w:val="24"/>
                <w:szCs w:val="24"/>
                <w:shd w:val="clear" w:color="auto" w:fill="FFFFFF"/>
              </w:rPr>
            </w:pPr>
            <w:r>
              <w:rPr>
                <w:rFonts w:ascii="宋体" w:hAnsi="宋体" w:eastAsia="宋体" w:cs="Times New Roman"/>
                <w:kern w:val="0"/>
                <w:sz w:val="24"/>
                <w:szCs w:val="24"/>
              </w:rPr>
              <w:t>e冷链是广州市小鲸科技有限公司的核心品牌，</w:t>
            </w:r>
            <w:r>
              <w:rPr>
                <w:rFonts w:hint="eastAsia" w:ascii="宋体" w:hAnsi="宋体" w:eastAsia="宋体" w:cs="Times New Roman"/>
                <w:kern w:val="0"/>
                <w:sz w:val="24"/>
                <w:szCs w:val="24"/>
              </w:rPr>
              <w:t>公司在冷链物流运输供应链领域精耕细作，形成了强大的供应链资源整合、解决方案设计及执行能力，提供包括：冷链物流信息平台、实名交易、第三方担保交易、零售交易、集合采购、分销执行，供应链融资，仓储、配送服务，</w:t>
            </w:r>
            <w:r>
              <w:rPr>
                <w:rFonts w:ascii="宋体" w:hAnsi="宋体" w:eastAsia="宋体" w:cs="Times New Roman"/>
                <w:kern w:val="0"/>
                <w:sz w:val="24"/>
                <w:szCs w:val="24"/>
              </w:rPr>
              <w:t>IT信息服务等在内的一体化供应链解决方案</w:t>
            </w:r>
            <w:r>
              <w:rPr>
                <w:rFonts w:hint="eastAsia" w:ascii="宋体" w:hAnsi="宋体" w:eastAsia="宋体" w:cs="Times New Roman"/>
                <w:kern w:val="0"/>
                <w:sz w:val="24"/>
                <w:szCs w:val="24"/>
              </w:rPr>
              <w:t>。</w:t>
            </w:r>
          </w:p>
        </w:tc>
        <w:tc>
          <w:tcPr>
            <w:tcW w:w="992" w:type="dxa"/>
            <w:vAlign w:val="center"/>
          </w:tcPr>
          <w:p w14:paraId="54F3DE14">
            <w:pPr>
              <w:jc w:val="center"/>
              <w:rPr>
                <w:rFonts w:ascii="宋体" w:hAnsi="宋体" w:eastAsia="宋体" w:cs="Arial"/>
                <w:color w:val="333333"/>
                <w:kern w:val="0"/>
                <w:sz w:val="24"/>
                <w:szCs w:val="24"/>
                <w:shd w:val="clear" w:color="auto" w:fill="FFFFFF"/>
              </w:rPr>
            </w:pPr>
          </w:p>
        </w:tc>
        <w:tc>
          <w:tcPr>
            <w:tcW w:w="5108" w:type="dxa"/>
            <w:vAlign w:val="center"/>
          </w:tcPr>
          <w:p w14:paraId="2A9B8E3E">
            <w:pPr>
              <w:rPr>
                <w:rFonts w:ascii="宋体" w:hAnsi="宋体" w:eastAsia="宋体" w:cs="Arial"/>
                <w:color w:val="333333"/>
                <w:kern w:val="0"/>
                <w:sz w:val="24"/>
                <w:szCs w:val="24"/>
                <w:shd w:val="clear" w:color="auto" w:fill="FFFFFF"/>
              </w:rPr>
            </w:pPr>
            <w:r>
              <w:rPr>
                <w:rFonts w:ascii="宋体" w:hAnsi="宋体" w:eastAsia="宋体" w:cs="Times New Roman"/>
                <w:kern w:val="0"/>
                <w:sz w:val="24"/>
                <w:szCs w:val="24"/>
              </w:rPr>
              <w:t>e冷链</w:t>
            </w:r>
            <w:r>
              <w:rPr>
                <w:rFonts w:hint="eastAsia" w:ascii="宋体" w:hAnsi="宋体" w:eastAsia="宋体" w:cs="Times New Roman"/>
                <w:kern w:val="0"/>
                <w:sz w:val="24"/>
                <w:szCs w:val="24"/>
              </w:rPr>
              <w:t>智慧冷链物流大数据平台</w:t>
            </w:r>
            <w:r>
              <w:rPr>
                <w:rFonts w:ascii="宋体" w:hAnsi="宋体" w:eastAsia="宋体" w:cs="Times New Roman"/>
                <w:kern w:val="0"/>
                <w:sz w:val="24"/>
                <w:szCs w:val="24"/>
              </w:rPr>
              <w:t>,</w:t>
            </w:r>
            <w:r>
              <w:rPr>
                <w:rFonts w:hint="eastAsia" w:ascii="宋体" w:hAnsi="宋体" w:eastAsia="宋体" w:cs="Times New Roman"/>
                <w:kern w:val="0"/>
                <w:sz w:val="24"/>
                <w:szCs w:val="24"/>
              </w:rPr>
              <w:t>致力于中国最大的冷链物流信息平台</w:t>
            </w:r>
            <w:r>
              <w:rPr>
                <w:rFonts w:ascii="宋体" w:hAnsi="宋体" w:eastAsia="宋体" w:cs="Times New Roman"/>
                <w:kern w:val="0"/>
                <w:sz w:val="24"/>
                <w:szCs w:val="24"/>
              </w:rPr>
              <w:t>,</w:t>
            </w:r>
            <w:r>
              <w:rPr>
                <w:rFonts w:hint="eastAsia" w:ascii="宋体" w:hAnsi="宋体" w:eastAsia="宋体" w:cs="Times New Roman"/>
                <w:kern w:val="0"/>
                <w:sz w:val="24"/>
                <w:szCs w:val="24"/>
              </w:rPr>
              <w:t>为个人</w:t>
            </w:r>
            <w:r>
              <w:rPr>
                <w:rFonts w:ascii="宋体" w:hAnsi="宋体" w:eastAsia="宋体" w:cs="Times New Roman"/>
                <w:kern w:val="0"/>
                <w:sz w:val="24"/>
                <w:szCs w:val="24"/>
              </w:rPr>
              <w:t>/</w:t>
            </w:r>
            <w:r>
              <w:rPr>
                <w:rFonts w:hint="eastAsia" w:ascii="宋体" w:hAnsi="宋体" w:eastAsia="宋体" w:cs="Times New Roman"/>
                <w:kern w:val="0"/>
                <w:sz w:val="24"/>
                <w:szCs w:val="24"/>
              </w:rPr>
              <w:t>企业</w:t>
            </w:r>
            <w:r>
              <w:rPr>
                <w:rFonts w:ascii="宋体" w:hAnsi="宋体" w:eastAsia="宋体" w:cs="Times New Roman"/>
                <w:kern w:val="0"/>
                <w:sz w:val="24"/>
                <w:szCs w:val="24"/>
              </w:rPr>
              <w:t>/</w:t>
            </w:r>
            <w:r>
              <w:rPr>
                <w:rFonts w:hint="eastAsia" w:ascii="宋体" w:hAnsi="宋体" w:eastAsia="宋体" w:cs="Times New Roman"/>
                <w:kern w:val="0"/>
                <w:sz w:val="24"/>
                <w:szCs w:val="24"/>
              </w:rPr>
              <w:t>机构提供优质高效的冷链物流信息交易服务</w:t>
            </w:r>
            <w:r>
              <w:rPr>
                <w:rFonts w:ascii="宋体" w:hAnsi="宋体" w:eastAsia="宋体" w:cs="Times New Roman"/>
                <w:kern w:val="0"/>
                <w:sz w:val="24"/>
                <w:szCs w:val="24"/>
              </w:rPr>
              <w:t>,</w:t>
            </w:r>
            <w:r>
              <w:rPr>
                <w:rFonts w:hint="eastAsia" w:ascii="宋体" w:hAnsi="宋体" w:eastAsia="宋体" w:cs="Times New Roman"/>
                <w:kern w:val="0"/>
                <w:sz w:val="24"/>
                <w:szCs w:val="24"/>
              </w:rPr>
              <w:t>为冷藏车主带来更多的冷链快递、冷链运输和冷链配送服务客户，实现人与货、运力与客户之间的实时连接，通过大数据智能分析，帮助不同类型客户定制与升级冷链物流模式，进化服务效率.</w:t>
            </w:r>
          </w:p>
        </w:tc>
      </w:tr>
      <w:tr w14:paraId="19C9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62" w:type="dxa"/>
            <w:vAlign w:val="center"/>
          </w:tcPr>
          <w:p w14:paraId="7676D5FC">
            <w:pPr>
              <w:jc w:val="center"/>
              <w:rPr>
                <w:rFonts w:ascii="宋体" w:hAnsi="宋体" w:eastAsia="宋体" w:cs="Times New Roman"/>
                <w:kern w:val="0"/>
                <w:sz w:val="24"/>
                <w:szCs w:val="24"/>
              </w:rPr>
            </w:pPr>
            <w:r>
              <w:rPr>
                <w:rFonts w:hint="eastAsia" w:ascii="宋体" w:hAnsi="宋体" w:eastAsia="宋体" w:cs="Times New Roman"/>
                <w:kern w:val="0"/>
                <w:sz w:val="24"/>
                <w:szCs w:val="24"/>
              </w:rPr>
              <w:t>2</w:t>
            </w:r>
            <w:r>
              <w:rPr>
                <w:rFonts w:ascii="宋体" w:hAnsi="宋体" w:eastAsia="宋体" w:cs="Times New Roman"/>
                <w:kern w:val="0"/>
                <w:sz w:val="24"/>
                <w:szCs w:val="24"/>
              </w:rPr>
              <w:t>5</w:t>
            </w:r>
          </w:p>
        </w:tc>
        <w:tc>
          <w:tcPr>
            <w:tcW w:w="851" w:type="dxa"/>
            <w:vMerge w:val="continue"/>
            <w:vAlign w:val="center"/>
          </w:tcPr>
          <w:p w14:paraId="47FC1816">
            <w:pPr>
              <w:rPr>
                <w:rFonts w:ascii="宋体" w:hAnsi="宋体" w:eastAsia="宋体" w:cs="Times New Roman"/>
                <w:kern w:val="0"/>
                <w:sz w:val="24"/>
                <w:szCs w:val="24"/>
              </w:rPr>
            </w:pPr>
          </w:p>
        </w:tc>
        <w:tc>
          <w:tcPr>
            <w:tcW w:w="1701" w:type="dxa"/>
            <w:vAlign w:val="center"/>
          </w:tcPr>
          <w:p w14:paraId="2D34E16E">
            <w:pPr>
              <w:rPr>
                <w:rFonts w:ascii="宋体" w:hAnsi="宋体" w:eastAsia="宋体" w:cs="Arial"/>
                <w:color w:val="333333"/>
                <w:kern w:val="0"/>
                <w:sz w:val="24"/>
                <w:szCs w:val="24"/>
                <w:shd w:val="clear" w:color="auto" w:fill="FFFFFF"/>
              </w:rPr>
            </w:pPr>
            <w:r>
              <w:rPr>
                <w:rFonts w:hint="eastAsia" w:ascii="宋体" w:hAnsi="宋体" w:eastAsia="宋体" w:cs="Times New Roman"/>
                <w:kern w:val="0"/>
                <w:sz w:val="24"/>
                <w:szCs w:val="24"/>
              </w:rPr>
              <w:t>冷链马甲</w:t>
            </w:r>
          </w:p>
        </w:tc>
        <w:tc>
          <w:tcPr>
            <w:tcW w:w="992" w:type="dxa"/>
            <w:vAlign w:val="center"/>
          </w:tcPr>
          <w:p w14:paraId="60B8FFD7">
            <w:pPr>
              <w:rPr>
                <w:rFonts w:ascii="宋体" w:hAnsi="宋体" w:eastAsia="宋体" w:cs="Times New Roman"/>
                <w:kern w:val="0"/>
                <w:sz w:val="24"/>
                <w:szCs w:val="24"/>
              </w:rPr>
            </w:pPr>
            <w:r>
              <w:rPr>
                <w:rFonts w:hint="eastAsia" w:ascii="宋体" w:hAnsi="宋体" w:eastAsia="宋体" w:cs="Times New Roman"/>
                <w:kern w:val="0"/>
                <w:sz w:val="24"/>
                <w:szCs w:val="24"/>
              </w:rPr>
              <w:t>郑州</w:t>
            </w:r>
          </w:p>
        </w:tc>
        <w:tc>
          <w:tcPr>
            <w:tcW w:w="4111" w:type="dxa"/>
            <w:vAlign w:val="center"/>
          </w:tcPr>
          <w:p w14:paraId="343BD4DD">
            <w:pPr>
              <w:rPr>
                <w:rFonts w:ascii="宋体" w:hAnsi="宋体" w:eastAsia="宋体" w:cs="Arial"/>
                <w:color w:val="333333"/>
                <w:kern w:val="0"/>
                <w:sz w:val="24"/>
                <w:szCs w:val="24"/>
                <w:shd w:val="clear" w:color="auto" w:fill="FFFFFF"/>
              </w:rPr>
            </w:pPr>
            <w:r>
              <w:rPr>
                <w:rFonts w:hint="eastAsia" w:ascii="宋体" w:hAnsi="宋体" w:eastAsia="宋体" w:cs="Times New Roman"/>
                <w:kern w:val="0"/>
                <w:sz w:val="24"/>
                <w:szCs w:val="24"/>
              </w:rPr>
              <w:t>冷链马甲是郑州金色马甲电子商务有限公司旗下的冷链物流行业公共信息服务平台，提供冷链无车承运人、冷链信息发布、冷链物流资源交易、车库联网技术、物流在线支付、供应链金融、物流保险、冷链物流行情指数发布等服务。</w:t>
            </w:r>
          </w:p>
        </w:tc>
        <w:tc>
          <w:tcPr>
            <w:tcW w:w="992" w:type="dxa"/>
            <w:vAlign w:val="center"/>
          </w:tcPr>
          <w:p w14:paraId="7662027D">
            <w:pPr>
              <w:jc w:val="center"/>
              <w:rPr>
                <w:rFonts w:ascii="宋体" w:hAnsi="宋体" w:eastAsia="宋体" w:cs="Times New Roman"/>
                <w:kern w:val="0"/>
                <w:sz w:val="24"/>
                <w:szCs w:val="24"/>
              </w:rPr>
            </w:pPr>
            <w:r>
              <w:rPr>
                <w:rFonts w:hint="eastAsia" w:ascii="宋体" w:hAnsi="宋体" w:eastAsia="宋体" w:cs="Times New Roman"/>
                <w:kern w:val="0"/>
                <w:sz w:val="24"/>
                <w:szCs w:val="24"/>
              </w:rPr>
              <w:t>6</w:t>
            </w:r>
            <w:r>
              <w:rPr>
                <w:rFonts w:ascii="宋体" w:hAnsi="宋体" w:eastAsia="宋体" w:cs="Times New Roman"/>
                <w:kern w:val="0"/>
                <w:sz w:val="24"/>
                <w:szCs w:val="24"/>
              </w:rPr>
              <w:t>66.67</w:t>
            </w:r>
            <w:r>
              <w:rPr>
                <w:rFonts w:hint="eastAsia" w:ascii="宋体" w:hAnsi="宋体" w:eastAsia="宋体" w:cs="Times New Roman"/>
                <w:kern w:val="0"/>
                <w:sz w:val="24"/>
                <w:szCs w:val="24"/>
              </w:rPr>
              <w:t>万元</w:t>
            </w:r>
          </w:p>
        </w:tc>
        <w:tc>
          <w:tcPr>
            <w:tcW w:w="5108" w:type="dxa"/>
            <w:vAlign w:val="center"/>
          </w:tcPr>
          <w:p w14:paraId="79284AC7">
            <w:pPr>
              <w:rPr>
                <w:rFonts w:ascii="宋体" w:hAnsi="宋体" w:eastAsia="宋体" w:cs="Times New Roman"/>
                <w:kern w:val="0"/>
                <w:sz w:val="24"/>
                <w:szCs w:val="24"/>
              </w:rPr>
            </w:pPr>
            <w:r>
              <w:rPr>
                <w:rFonts w:hint="eastAsia" w:ascii="宋体" w:hAnsi="宋体" w:eastAsia="宋体" w:cs="Times New Roman"/>
                <w:kern w:val="0"/>
                <w:sz w:val="24"/>
                <w:szCs w:val="24"/>
              </w:rPr>
              <w:t>平台注册车辆</w:t>
            </w:r>
            <w:r>
              <w:rPr>
                <w:rFonts w:ascii="宋体" w:hAnsi="宋体" w:eastAsia="宋体" w:cs="Times New Roman"/>
                <w:kern w:val="0"/>
                <w:sz w:val="24"/>
                <w:szCs w:val="24"/>
              </w:rPr>
              <w:t>3.8</w:t>
            </w:r>
            <w:r>
              <w:rPr>
                <w:rFonts w:hint="eastAsia" w:ascii="宋体" w:hAnsi="宋体" w:eastAsia="宋体" w:cs="Times New Roman"/>
                <w:kern w:val="0"/>
                <w:sz w:val="24"/>
                <w:szCs w:val="24"/>
              </w:rPr>
              <w:t>万辆，占全国冷藏车总量的</w:t>
            </w:r>
            <w:r>
              <w:rPr>
                <w:rFonts w:ascii="宋体" w:hAnsi="宋体" w:eastAsia="宋体" w:cs="Times New Roman"/>
                <w:kern w:val="0"/>
                <w:sz w:val="24"/>
                <w:szCs w:val="24"/>
              </w:rPr>
              <w:t>30%</w:t>
            </w:r>
            <w:r>
              <w:rPr>
                <w:rFonts w:hint="eastAsia" w:ascii="宋体" w:hAnsi="宋体" w:eastAsia="宋体" w:cs="Times New Roman"/>
                <w:kern w:val="0"/>
                <w:sz w:val="24"/>
                <w:szCs w:val="24"/>
              </w:rPr>
              <w:t>；冷库</w:t>
            </w:r>
            <w:r>
              <w:rPr>
                <w:rFonts w:ascii="宋体" w:hAnsi="宋体" w:eastAsia="宋体" w:cs="Times New Roman"/>
                <w:kern w:val="0"/>
                <w:sz w:val="24"/>
                <w:szCs w:val="24"/>
              </w:rPr>
              <w:t>1960</w:t>
            </w:r>
            <w:r>
              <w:rPr>
                <w:rFonts w:hint="eastAsia" w:ascii="宋体" w:hAnsi="宋体" w:eastAsia="宋体" w:cs="Times New Roman"/>
                <w:kern w:val="0"/>
                <w:sz w:val="24"/>
                <w:szCs w:val="24"/>
              </w:rPr>
              <w:t>万立方米，占全国冷库总量的</w:t>
            </w:r>
            <w:r>
              <w:rPr>
                <w:rFonts w:ascii="宋体" w:hAnsi="宋体" w:eastAsia="宋体" w:cs="Times New Roman"/>
                <w:kern w:val="0"/>
                <w:sz w:val="24"/>
                <w:szCs w:val="24"/>
              </w:rPr>
              <w:t>20%</w:t>
            </w:r>
            <w:r>
              <w:rPr>
                <w:rFonts w:hint="eastAsia" w:ascii="宋体" w:hAnsi="宋体" w:eastAsia="宋体" w:cs="Times New Roman"/>
                <w:kern w:val="0"/>
                <w:sz w:val="24"/>
                <w:szCs w:val="24"/>
              </w:rPr>
              <w:t>。入选首批国家级骨干物流信息平台试点名单。</w:t>
            </w:r>
          </w:p>
        </w:tc>
      </w:tr>
      <w:bookmarkEnd w:id="227"/>
      <w:bookmarkEnd w:id="228"/>
      <w:bookmarkEnd w:id="229"/>
      <w:bookmarkEnd w:id="230"/>
      <w:bookmarkEnd w:id="231"/>
      <w:bookmarkEnd w:id="232"/>
      <w:bookmarkEnd w:id="249"/>
      <w:bookmarkEnd w:id="250"/>
    </w:tbl>
    <w:p w14:paraId="4D046B1E">
      <w:pPr>
        <w:tabs>
          <w:tab w:val="left" w:pos="555"/>
        </w:tabs>
        <w:sectPr>
          <w:pgSz w:w="16838" w:h="11906" w:orient="landscape"/>
          <w:pgMar w:top="1797" w:right="1440" w:bottom="1797" w:left="1440" w:header="851" w:footer="992" w:gutter="0"/>
          <w:cols w:space="425" w:num="1"/>
          <w:docGrid w:linePitch="312" w:charSpace="0"/>
        </w:sectPr>
      </w:pPr>
      <w:r>
        <w:rPr/>
        <w:br w:type="textWrapping" w:clear="all"/>
      </w:r>
    </w:p>
    <w:p w14:paraId="65DC4B70">
      <w:pPr>
        <w:pStyle w:val="3"/>
        <w:spacing w:line="360" w:lineRule="auto"/>
        <w:rPr>
          <w:rFonts w:ascii="黑体" w:hAnsi="黑体" w:eastAsia="黑体"/>
        </w:rPr>
      </w:pPr>
      <w:bookmarkStart w:id="251" w:name="_Toc79498036"/>
      <w:r>
        <w:rPr>
          <w:rFonts w:hint="eastAsia" w:ascii="黑体" w:hAnsi="黑体" w:eastAsia="黑体"/>
        </w:rPr>
        <w:t>附表三：物流企业评估指标表</w:t>
      </w:r>
      <w:bookmarkEnd w:id="251"/>
    </w:p>
    <w:p w14:paraId="1308CA54">
      <w:r>
        <w:drawing>
          <wp:inline distT="0" distB="0" distL="0" distR="0">
            <wp:extent cx="5128895" cy="76885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1"/>
                    <a:srcRect t="1418" b="488"/>
                    <a:stretch>
                      <a:fillRect/>
                    </a:stretch>
                  </pic:blipFill>
                  <pic:spPr>
                    <a:xfrm>
                      <a:off x="0" y="0"/>
                      <a:ext cx="5160949" cy="7736432"/>
                    </a:xfrm>
                    <a:prstGeom prst="rect">
                      <a:avLst/>
                    </a:prstGeom>
                    <a:ln>
                      <a:noFill/>
                    </a:ln>
                  </pic:spPr>
                </pic:pic>
              </a:graphicData>
            </a:graphic>
          </wp:inline>
        </w:drawing>
      </w:r>
    </w:p>
    <w:p w14:paraId="27B9F1B4">
      <w:pPr>
        <w:pStyle w:val="2"/>
        <w:ind w:firstLine="0"/>
      </w:pPr>
    </w:p>
    <w:p w14:paraId="658EF9E4">
      <w:pPr>
        <w:widowControl/>
        <w:jc w:val="left"/>
        <w:rPr>
          <w:rFonts w:ascii="黑体" w:hAnsi="黑体" w:eastAsia="黑体"/>
        </w:rPr>
      </w:pPr>
      <w:r>
        <w:drawing>
          <wp:inline distT="0" distB="0" distL="0" distR="0">
            <wp:extent cx="7362825" cy="5306695"/>
            <wp:effectExtent l="0" t="635" r="889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2"/>
                    <a:stretch>
                      <a:fillRect/>
                    </a:stretch>
                  </pic:blipFill>
                  <pic:spPr>
                    <a:xfrm rot="16200000">
                      <a:off x="0" y="0"/>
                      <a:ext cx="7374352" cy="5314991"/>
                    </a:xfrm>
                    <a:prstGeom prst="rect">
                      <a:avLst/>
                    </a:prstGeom>
                  </pic:spPr>
                </pic:pic>
              </a:graphicData>
            </a:graphic>
          </wp:inline>
        </w:drawing>
      </w:r>
    </w:p>
    <w:p w14:paraId="2586C357"/>
    <w:p w14:paraId="0E5BC287">
      <w:pPr>
        <w:pStyle w:val="2"/>
      </w:pPr>
    </w:p>
    <w:p w14:paraId="1D377667"/>
    <w:p w14:paraId="10508985">
      <w:pPr>
        <w:pStyle w:val="2"/>
      </w:pPr>
    </w:p>
    <w:p w14:paraId="48F04F8E">
      <w:pPr>
        <w:jc w:val="center"/>
      </w:pPr>
      <w:r>
        <w:drawing>
          <wp:inline distT="0" distB="0" distL="0" distR="0">
            <wp:extent cx="6936105" cy="5273675"/>
            <wp:effectExtent l="0" t="6985"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rot="16200000">
                      <a:off x="0" y="0"/>
                      <a:ext cx="6974826" cy="5303136"/>
                    </a:xfrm>
                    <a:prstGeom prst="rect">
                      <a:avLst/>
                    </a:prstGeom>
                  </pic:spPr>
                </pic:pic>
              </a:graphicData>
            </a:graphic>
          </wp:inline>
        </w:drawing>
      </w:r>
    </w:p>
    <w:p w14:paraId="3E5874E1">
      <w:pPr>
        <w:pStyle w:val="2"/>
        <w:jc w:val="left"/>
        <w:sectPr>
          <w:pgSz w:w="11906" w:h="16838"/>
          <w:pgMar w:top="1440" w:right="1797" w:bottom="1440" w:left="1797" w:header="851" w:footer="992" w:gutter="0"/>
          <w:cols w:space="425" w:num="1"/>
          <w:docGrid w:linePitch="312" w:charSpace="0"/>
        </w:sectPr>
      </w:pPr>
    </w:p>
    <w:p w14:paraId="6F4D3CA5">
      <w:pPr>
        <w:pStyle w:val="3"/>
        <w:spacing w:line="360" w:lineRule="auto"/>
        <w:jc w:val="center"/>
        <w:rPr>
          <w:rFonts w:ascii="黑体" w:hAnsi="黑体" w:eastAsia="黑体"/>
        </w:rPr>
      </w:pPr>
      <w:bookmarkStart w:id="252" w:name="_Toc79498037"/>
      <w:r>
        <w:rPr>
          <w:rFonts w:hint="eastAsia" w:ascii="黑体" w:hAnsi="黑体" w:eastAsia="黑体"/>
        </w:rPr>
        <w:t>附表四：关于开展物流企业评估工作的</w:t>
      </w:r>
      <w:r>
        <w:rPr>
          <w:rFonts w:ascii="黑体" w:hAnsi="黑体" w:eastAsia="黑体"/>
        </w:rPr>
        <w:br w:type="textWrapping"/>
      </w:r>
      <w:r>
        <w:rPr>
          <w:rFonts w:hint="eastAsia" w:ascii="黑体" w:hAnsi="黑体" w:eastAsia="黑体"/>
        </w:rPr>
        <w:t>通知（物联评估字〔2020〕16号）</w:t>
      </w:r>
      <w:bookmarkEnd w:id="252"/>
    </w:p>
    <w:p w14:paraId="3EA6675D">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各物流企业、有关单位：</w:t>
      </w:r>
    </w:p>
    <w:p w14:paraId="50ACE3AB">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依据《物流企业分类与评估指标》</w:t>
      </w:r>
      <w:r>
        <w:rPr>
          <w:rFonts w:asciiTheme="minorEastAsia" w:hAnsiTheme="minorEastAsia" w:eastAsiaTheme="minorEastAsia"/>
          <w:sz w:val="28"/>
          <w:szCs w:val="28"/>
        </w:rPr>
        <w:t>(GB/T 19680-2013)</w:t>
      </w:r>
      <w:r>
        <w:rPr>
          <w:rFonts w:hint="eastAsia" w:asciiTheme="minorEastAsia" w:hAnsiTheme="minorEastAsia" w:eastAsiaTheme="minorEastAsia"/>
          <w:sz w:val="28"/>
          <w:szCs w:val="28"/>
        </w:rPr>
        <w:t>、《担保存货第三方管理规范》（</w:t>
      </w:r>
      <w:r>
        <w:rPr>
          <w:rFonts w:asciiTheme="minorEastAsia" w:hAnsiTheme="minorEastAsia" w:eastAsiaTheme="minorEastAsia"/>
          <w:sz w:val="28"/>
          <w:szCs w:val="28"/>
        </w:rPr>
        <w:t>GB/T 31300-2014</w:t>
      </w:r>
      <w:r>
        <w:rPr>
          <w:rFonts w:hint="eastAsia" w:asciiTheme="minorEastAsia" w:hAnsiTheme="minorEastAsia" w:eastAsiaTheme="minorEastAsia"/>
          <w:sz w:val="28"/>
          <w:szCs w:val="28"/>
        </w:rPr>
        <w:t>）、《质押监管企业评估指标》（</w:t>
      </w:r>
      <w:r>
        <w:rPr>
          <w:rFonts w:asciiTheme="minorEastAsia" w:hAnsiTheme="minorEastAsia" w:eastAsiaTheme="minorEastAsia"/>
          <w:sz w:val="28"/>
          <w:szCs w:val="28"/>
        </w:rPr>
        <w:t>SB/T 10979-2013</w:t>
      </w:r>
      <w:r>
        <w:rPr>
          <w:rFonts w:hint="eastAsia" w:asciiTheme="minorEastAsia" w:hAnsiTheme="minorEastAsia" w:eastAsiaTheme="minorEastAsia"/>
          <w:sz w:val="28"/>
          <w:szCs w:val="28"/>
        </w:rPr>
        <w:t>）、《物流企业冷链服务要求与能力评估指标》（</w:t>
      </w:r>
      <w:r>
        <w:rPr>
          <w:rFonts w:asciiTheme="minorEastAsia" w:hAnsiTheme="minorEastAsia" w:eastAsiaTheme="minorEastAsia"/>
          <w:sz w:val="28"/>
          <w:szCs w:val="28"/>
        </w:rPr>
        <w:t>GB/T 31086-2014</w:t>
      </w:r>
      <w:r>
        <w:rPr>
          <w:rFonts w:hint="eastAsia" w:asciiTheme="minorEastAsia" w:hAnsiTheme="minorEastAsia" w:eastAsiaTheme="minorEastAsia"/>
          <w:sz w:val="28"/>
          <w:szCs w:val="28"/>
        </w:rPr>
        <w:t>）国家及行业标准，中国物流与采购联合会按照严格、规范的评估制度和程序，在全国范围内的物流各相关行业和领域，全面推动宣传贯彻国家标准，开展各项物流企业评估工作。请各物流企业积极参与我会随即开展的第三十批</w:t>
      </w:r>
      <w:r>
        <w:rPr>
          <w:rFonts w:asciiTheme="minorEastAsia" w:hAnsiTheme="minorEastAsia" w:eastAsiaTheme="minorEastAsia"/>
          <w:sz w:val="28"/>
          <w:szCs w:val="28"/>
        </w:rPr>
        <w:t>A</w:t>
      </w:r>
      <w:r>
        <w:rPr>
          <w:rFonts w:hint="eastAsia" w:asciiTheme="minorEastAsia" w:hAnsiTheme="minorEastAsia" w:eastAsiaTheme="minorEastAsia"/>
          <w:sz w:val="28"/>
          <w:szCs w:val="28"/>
        </w:rPr>
        <w:t>级物流企业评估、第十三批担保存货管理及质押监管企业评估以及第十批冷链物流企业星级评估工作，共同打造、建立优质的物流企业平台。现将各项物流企业评估工作的有关事项通知如下：</w:t>
      </w:r>
    </w:p>
    <w:p w14:paraId="05182ED2">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一、评估对象</w:t>
      </w:r>
    </w:p>
    <w:p w14:paraId="3513E7AB">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在我国境内注册的各种所有制形式的，实行独立核算、独立承担民事责任的物流企业。</w:t>
      </w:r>
    </w:p>
    <w:p w14:paraId="6455CE29">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二、评估依据</w:t>
      </w:r>
    </w:p>
    <w:p w14:paraId="168572F8">
      <w:pPr>
        <w:pStyle w:val="2"/>
        <w:spacing w:line="360" w:lineRule="auto"/>
        <w:ind w:firstLine="560"/>
        <w:rPr>
          <w:rFonts w:asciiTheme="minorEastAsia" w:hAnsiTheme="minorEastAsia" w:eastAsiaTheme="minorEastAsia"/>
          <w:sz w:val="28"/>
          <w:szCs w:val="28"/>
        </w:rPr>
      </w:pPr>
      <w:r>
        <w:rPr>
          <w:rFonts w:asciiTheme="minorEastAsia" w:hAnsiTheme="minorEastAsia" w:eastAsiaTheme="minorEastAsia"/>
          <w:sz w:val="28"/>
          <w:szCs w:val="28"/>
        </w:rPr>
        <w:t>A</w:t>
      </w:r>
      <w:r>
        <w:rPr>
          <w:rFonts w:hint="eastAsia" w:asciiTheme="minorEastAsia" w:hAnsiTheme="minorEastAsia" w:eastAsiaTheme="minorEastAsia"/>
          <w:sz w:val="28"/>
          <w:szCs w:val="28"/>
        </w:rPr>
        <w:t>级物流企业评估的依据是《物流企业分类与评估指标》（</w:t>
      </w:r>
      <w:r>
        <w:rPr>
          <w:rFonts w:asciiTheme="minorEastAsia" w:hAnsiTheme="minorEastAsia" w:eastAsiaTheme="minorEastAsia"/>
          <w:sz w:val="28"/>
          <w:szCs w:val="28"/>
        </w:rPr>
        <w:t>GB/T 19680-2013</w:t>
      </w:r>
      <w:r>
        <w:rPr>
          <w:rFonts w:hint="eastAsia" w:asciiTheme="minorEastAsia" w:hAnsiTheme="minorEastAsia" w:eastAsiaTheme="minorEastAsia"/>
          <w:sz w:val="28"/>
          <w:szCs w:val="28"/>
        </w:rPr>
        <w:t>）国家标准，担保存货管理及质押监管企业评估的依据是《担保存货第三方管理规范》（</w:t>
      </w:r>
      <w:r>
        <w:rPr>
          <w:rFonts w:asciiTheme="minorEastAsia" w:hAnsiTheme="minorEastAsia" w:eastAsiaTheme="minorEastAsia"/>
          <w:sz w:val="28"/>
          <w:szCs w:val="28"/>
        </w:rPr>
        <w:t>GB/T 31300-2014</w:t>
      </w:r>
      <w:r>
        <w:rPr>
          <w:rFonts w:hint="eastAsia" w:asciiTheme="minorEastAsia" w:hAnsiTheme="minorEastAsia" w:eastAsiaTheme="minorEastAsia"/>
          <w:sz w:val="28"/>
          <w:szCs w:val="28"/>
        </w:rPr>
        <w:t>）国家标准以及《质押监管企业评估指标》（</w:t>
      </w:r>
      <w:r>
        <w:rPr>
          <w:rFonts w:asciiTheme="minorEastAsia" w:hAnsiTheme="minorEastAsia" w:eastAsiaTheme="minorEastAsia"/>
          <w:sz w:val="28"/>
          <w:szCs w:val="28"/>
        </w:rPr>
        <w:t>SB/T 10979-2013</w:t>
      </w:r>
      <w:r>
        <w:rPr>
          <w:rFonts w:hint="eastAsia" w:asciiTheme="minorEastAsia" w:hAnsiTheme="minorEastAsia" w:eastAsiaTheme="minorEastAsia"/>
          <w:sz w:val="28"/>
          <w:szCs w:val="28"/>
        </w:rPr>
        <w:t>）行业标准，冷链物流企业星级评估的依据是《物流企业冷链服务要求与能力评估指标》（</w:t>
      </w:r>
      <w:r>
        <w:rPr>
          <w:rFonts w:asciiTheme="minorEastAsia" w:hAnsiTheme="minorEastAsia" w:eastAsiaTheme="minorEastAsia"/>
          <w:sz w:val="28"/>
          <w:szCs w:val="28"/>
        </w:rPr>
        <w:t>GB/T 31086-2014</w:t>
      </w:r>
      <w:r>
        <w:rPr>
          <w:rFonts w:hint="eastAsia" w:asciiTheme="minorEastAsia" w:hAnsiTheme="minorEastAsia" w:eastAsiaTheme="minorEastAsia"/>
          <w:sz w:val="28"/>
          <w:szCs w:val="28"/>
        </w:rPr>
        <w:t>）国家标准。各标准可向标准出版社或当地质量监督检疫部门指定机构购买，也可向各地方评估办索取。</w:t>
      </w:r>
    </w:p>
    <w:p w14:paraId="28069ACB">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三、评估流程</w:t>
      </w:r>
    </w:p>
    <w:p w14:paraId="18E34834">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自检→申报→审核→现场评估→审定→公示→通告→授牌</w:t>
      </w:r>
    </w:p>
    <w:p w14:paraId="09FBFFE9">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（一）自检。企业对照国家及行业标准进行自检，根据自检结果申报相应评估的类型和等级。</w:t>
      </w:r>
    </w:p>
    <w:p w14:paraId="320C7B9F">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二）申报。中央企业向中国物流与采购联合会物流企业评估工作办公室（以下简称中物联评估办）申请，地方企业向企业注册所在地地方物流企业评估工作办公室（以下简称地方评估办）申请，未设立地方评估办的向中物联评估办提出申请。</w:t>
      </w:r>
    </w:p>
    <w:p w14:paraId="2F8F9F54">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（三）审核。</w:t>
      </w:r>
    </w:p>
    <w:p w14:paraId="3787251E">
      <w:pPr>
        <w:pStyle w:val="2"/>
        <w:spacing w:line="360" w:lineRule="auto"/>
        <w:ind w:firstLine="560"/>
        <w:rPr>
          <w:rFonts w:asciiTheme="minorEastAsia" w:hAnsiTheme="minorEastAsia" w:eastAsiaTheme="minorEastAsia"/>
          <w:sz w:val="28"/>
          <w:szCs w:val="28"/>
        </w:rPr>
      </w:pPr>
      <w:r>
        <w:rPr>
          <w:rFonts w:asciiTheme="minorEastAsia" w:hAnsiTheme="minorEastAsia" w:eastAsiaTheme="minorEastAsia"/>
          <w:sz w:val="28"/>
          <w:szCs w:val="28"/>
        </w:rPr>
        <w:t>1.A</w:t>
      </w:r>
      <w:r>
        <w:rPr>
          <w:rFonts w:hint="eastAsia" w:asciiTheme="minorEastAsia" w:hAnsiTheme="minorEastAsia" w:eastAsiaTheme="minorEastAsia"/>
          <w:sz w:val="28"/>
          <w:szCs w:val="28"/>
        </w:rPr>
        <w:t>级物流企业评估。申请</w:t>
      </w:r>
      <w:r>
        <w:rPr>
          <w:rFonts w:asciiTheme="minorEastAsia" w:hAnsiTheme="minorEastAsia" w:eastAsiaTheme="minorEastAsia"/>
          <w:sz w:val="28"/>
          <w:szCs w:val="28"/>
        </w:rPr>
        <w:t>3A</w:t>
      </w:r>
      <w:r>
        <w:rPr>
          <w:rFonts w:hint="eastAsia" w:asciiTheme="minorEastAsia" w:hAnsiTheme="minorEastAsia" w:eastAsiaTheme="minorEastAsia"/>
          <w:sz w:val="28"/>
          <w:szCs w:val="28"/>
        </w:rPr>
        <w:t>级以上（含</w:t>
      </w:r>
      <w:r>
        <w:rPr>
          <w:rFonts w:asciiTheme="minorEastAsia" w:hAnsiTheme="minorEastAsia" w:eastAsiaTheme="minorEastAsia"/>
          <w:sz w:val="28"/>
          <w:szCs w:val="28"/>
        </w:rPr>
        <w:t>3A</w:t>
      </w:r>
      <w:r>
        <w:rPr>
          <w:rFonts w:hint="eastAsia" w:asciiTheme="minorEastAsia" w:hAnsiTheme="minorEastAsia" w:eastAsiaTheme="minorEastAsia"/>
          <w:sz w:val="28"/>
          <w:szCs w:val="28"/>
        </w:rPr>
        <w:t>）的物流企业，由地方评估办初审，初审通过的，报中物联评估办进行再审。申请</w:t>
      </w:r>
      <w:r>
        <w:rPr>
          <w:rFonts w:asciiTheme="minorEastAsia" w:hAnsiTheme="minorEastAsia" w:eastAsiaTheme="minorEastAsia"/>
          <w:sz w:val="28"/>
          <w:szCs w:val="28"/>
        </w:rPr>
        <w:t>2A</w:t>
      </w:r>
      <w:r>
        <w:rPr>
          <w:rFonts w:hint="eastAsia" w:asciiTheme="minorEastAsia" w:hAnsiTheme="minorEastAsia" w:eastAsiaTheme="minorEastAsia"/>
          <w:sz w:val="28"/>
          <w:szCs w:val="28"/>
        </w:rPr>
        <w:t>级以下（含</w:t>
      </w:r>
      <w:r>
        <w:rPr>
          <w:rFonts w:asciiTheme="minorEastAsia" w:hAnsiTheme="minorEastAsia" w:eastAsiaTheme="minorEastAsia"/>
          <w:sz w:val="28"/>
          <w:szCs w:val="28"/>
        </w:rPr>
        <w:t>2A</w:t>
      </w:r>
      <w:r>
        <w:rPr>
          <w:rFonts w:hint="eastAsia" w:asciiTheme="minorEastAsia" w:hAnsiTheme="minorEastAsia" w:eastAsiaTheme="minorEastAsia"/>
          <w:sz w:val="28"/>
          <w:szCs w:val="28"/>
        </w:rPr>
        <w:t>）的物流企业，由地方评估办直接进行初审。</w:t>
      </w:r>
    </w:p>
    <w:p w14:paraId="7A4A137D">
      <w:pPr>
        <w:pStyle w:val="2"/>
        <w:spacing w:line="360" w:lineRule="auto"/>
        <w:ind w:firstLine="560"/>
        <w:rPr>
          <w:rFonts w:asciiTheme="minorEastAsia" w:hAnsiTheme="minorEastAsia" w:eastAsiaTheme="minorEastAsia"/>
          <w:sz w:val="28"/>
          <w:szCs w:val="28"/>
        </w:rPr>
      </w:pPr>
      <w:r>
        <w:rPr>
          <w:rFonts w:asciiTheme="minorEastAsia" w:hAnsiTheme="minorEastAsia" w:eastAsiaTheme="minorEastAsia"/>
          <w:sz w:val="28"/>
          <w:szCs w:val="28"/>
        </w:rPr>
        <w:t>2.</w:t>
      </w:r>
      <w:r>
        <w:rPr>
          <w:rFonts w:hint="eastAsia" w:asciiTheme="minorEastAsia" w:hAnsiTheme="minorEastAsia" w:eastAsiaTheme="minorEastAsia"/>
          <w:sz w:val="28"/>
          <w:szCs w:val="28"/>
        </w:rPr>
        <w:t>担保存货管理及质押监管企业评估及冷链物流企业星级评估。中物联评估办和地方评估办均可受理企业申报，企业按要求将申报材料报送地方评估办（中物联评估办）初审，地方评估办（中物联评估办）对申报材料进行初步审核后，作出是否受理的决定。对不予受理申请企业，向其说明不予受理的理由。初审通过的申请材料报中物联评估办进行再审。</w:t>
      </w:r>
    </w:p>
    <w:p w14:paraId="0CA8B245">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（四）现场评估。</w:t>
      </w:r>
    </w:p>
    <w:p w14:paraId="265BBB5F">
      <w:pPr>
        <w:pStyle w:val="2"/>
        <w:spacing w:line="360" w:lineRule="auto"/>
        <w:ind w:firstLine="560"/>
        <w:rPr>
          <w:rFonts w:asciiTheme="minorEastAsia" w:hAnsiTheme="minorEastAsia" w:eastAsiaTheme="minorEastAsia"/>
          <w:sz w:val="28"/>
          <w:szCs w:val="28"/>
        </w:rPr>
      </w:pPr>
      <w:r>
        <w:rPr>
          <w:rFonts w:asciiTheme="minorEastAsia" w:hAnsiTheme="minorEastAsia" w:eastAsiaTheme="minorEastAsia"/>
          <w:sz w:val="28"/>
          <w:szCs w:val="28"/>
        </w:rPr>
        <w:t>1.A</w:t>
      </w:r>
      <w:r>
        <w:rPr>
          <w:rFonts w:hint="eastAsia" w:asciiTheme="minorEastAsia" w:hAnsiTheme="minorEastAsia" w:eastAsiaTheme="minorEastAsia"/>
          <w:sz w:val="28"/>
          <w:szCs w:val="28"/>
        </w:rPr>
        <w:t>级物流企业评估。申请</w:t>
      </w:r>
      <w:r>
        <w:rPr>
          <w:rFonts w:asciiTheme="minorEastAsia" w:hAnsiTheme="minorEastAsia" w:eastAsiaTheme="minorEastAsia"/>
          <w:sz w:val="28"/>
          <w:szCs w:val="28"/>
        </w:rPr>
        <w:t>3A</w:t>
      </w:r>
      <w:r>
        <w:rPr>
          <w:rFonts w:hint="eastAsia" w:asciiTheme="minorEastAsia" w:hAnsiTheme="minorEastAsia" w:eastAsiaTheme="minorEastAsia"/>
          <w:sz w:val="28"/>
          <w:szCs w:val="28"/>
        </w:rPr>
        <w:t>级以上（含</w:t>
      </w:r>
      <w:r>
        <w:rPr>
          <w:rFonts w:asciiTheme="minorEastAsia" w:hAnsiTheme="minorEastAsia" w:eastAsiaTheme="minorEastAsia"/>
          <w:sz w:val="28"/>
          <w:szCs w:val="28"/>
        </w:rPr>
        <w:t>3A</w:t>
      </w:r>
      <w:r>
        <w:rPr>
          <w:rFonts w:hint="eastAsia" w:asciiTheme="minorEastAsia" w:hAnsiTheme="minorEastAsia" w:eastAsiaTheme="minorEastAsia"/>
          <w:sz w:val="28"/>
          <w:szCs w:val="28"/>
        </w:rPr>
        <w:t>）的物流企业，由中物联评估办按异地评估原则组成现场评估组进行现场评估；</w:t>
      </w:r>
      <w:r>
        <w:rPr>
          <w:rFonts w:asciiTheme="minorEastAsia" w:hAnsiTheme="minorEastAsia" w:eastAsiaTheme="minorEastAsia"/>
          <w:sz w:val="28"/>
          <w:szCs w:val="28"/>
        </w:rPr>
        <w:t>2A</w:t>
      </w:r>
      <w:r>
        <w:rPr>
          <w:rFonts w:hint="eastAsia" w:asciiTheme="minorEastAsia" w:hAnsiTheme="minorEastAsia" w:eastAsiaTheme="minorEastAsia"/>
          <w:sz w:val="28"/>
          <w:szCs w:val="28"/>
        </w:rPr>
        <w:t>级以下（含</w:t>
      </w:r>
      <w:r>
        <w:rPr>
          <w:rFonts w:asciiTheme="minorEastAsia" w:hAnsiTheme="minorEastAsia" w:eastAsiaTheme="minorEastAsia"/>
          <w:sz w:val="28"/>
          <w:szCs w:val="28"/>
        </w:rPr>
        <w:t>2A</w:t>
      </w:r>
      <w:r>
        <w:rPr>
          <w:rFonts w:hint="eastAsia" w:asciiTheme="minorEastAsia" w:hAnsiTheme="minorEastAsia" w:eastAsiaTheme="minorEastAsia"/>
          <w:sz w:val="28"/>
          <w:szCs w:val="28"/>
        </w:rPr>
        <w:t>）的物流企业，由地方评估办组成现场评估组，进行现场评估。</w:t>
      </w:r>
    </w:p>
    <w:p w14:paraId="511FAF59">
      <w:pPr>
        <w:pStyle w:val="2"/>
        <w:spacing w:line="360" w:lineRule="auto"/>
        <w:ind w:firstLine="560"/>
        <w:rPr>
          <w:rFonts w:asciiTheme="minorEastAsia" w:hAnsiTheme="minorEastAsia" w:eastAsiaTheme="minorEastAsia"/>
          <w:sz w:val="28"/>
          <w:szCs w:val="28"/>
        </w:rPr>
      </w:pPr>
      <w:r>
        <w:rPr>
          <w:rFonts w:asciiTheme="minorEastAsia" w:hAnsiTheme="minorEastAsia" w:eastAsiaTheme="minorEastAsia"/>
          <w:sz w:val="28"/>
          <w:szCs w:val="28"/>
        </w:rPr>
        <w:t>2.</w:t>
      </w:r>
      <w:r>
        <w:rPr>
          <w:rFonts w:hint="eastAsia" w:asciiTheme="minorEastAsia" w:hAnsiTheme="minorEastAsia" w:eastAsiaTheme="minorEastAsia"/>
          <w:sz w:val="28"/>
          <w:szCs w:val="28"/>
        </w:rPr>
        <w:t>担保存货管理及质押监管企业评估及冷链物流企业星级评估。申报这两项评估的所有通过再审的企业申请，均由中物联评估办按异地评估原则组成现场评估组进行现场评估。</w:t>
      </w:r>
    </w:p>
    <w:p w14:paraId="7CE16B21">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（五）审定。</w:t>
      </w:r>
    </w:p>
    <w:p w14:paraId="66B80B09">
      <w:pPr>
        <w:pStyle w:val="2"/>
        <w:spacing w:line="360" w:lineRule="auto"/>
        <w:ind w:firstLine="560"/>
        <w:rPr>
          <w:rFonts w:asciiTheme="minorEastAsia" w:hAnsiTheme="minorEastAsia" w:eastAsiaTheme="minorEastAsia"/>
          <w:sz w:val="28"/>
          <w:szCs w:val="28"/>
        </w:rPr>
      </w:pPr>
      <w:r>
        <w:rPr>
          <w:rFonts w:asciiTheme="minorEastAsia" w:hAnsiTheme="minorEastAsia" w:eastAsiaTheme="minorEastAsia"/>
          <w:sz w:val="28"/>
          <w:szCs w:val="28"/>
        </w:rPr>
        <w:t>1.A</w:t>
      </w:r>
      <w:r>
        <w:rPr>
          <w:rFonts w:hint="eastAsia" w:asciiTheme="minorEastAsia" w:hAnsiTheme="minorEastAsia" w:eastAsiaTheme="minorEastAsia"/>
          <w:sz w:val="28"/>
          <w:szCs w:val="28"/>
        </w:rPr>
        <w:t>级物流企业评估。</w:t>
      </w:r>
      <w:r>
        <w:rPr>
          <w:rFonts w:asciiTheme="minorEastAsia" w:hAnsiTheme="minorEastAsia" w:eastAsiaTheme="minorEastAsia"/>
          <w:sz w:val="28"/>
          <w:szCs w:val="28"/>
        </w:rPr>
        <w:t>3A</w:t>
      </w:r>
      <w:r>
        <w:rPr>
          <w:rFonts w:hint="eastAsia" w:asciiTheme="minorEastAsia" w:hAnsiTheme="minorEastAsia" w:eastAsiaTheme="minorEastAsia"/>
          <w:sz w:val="28"/>
          <w:szCs w:val="28"/>
        </w:rPr>
        <w:t>级以上（含</w:t>
      </w:r>
      <w:r>
        <w:rPr>
          <w:rFonts w:asciiTheme="minorEastAsia" w:hAnsiTheme="minorEastAsia" w:eastAsiaTheme="minorEastAsia"/>
          <w:sz w:val="28"/>
          <w:szCs w:val="28"/>
        </w:rPr>
        <w:t>3A</w:t>
      </w:r>
      <w:r>
        <w:rPr>
          <w:rFonts w:hint="eastAsia" w:asciiTheme="minorEastAsia" w:hAnsiTheme="minorEastAsia" w:eastAsiaTheme="minorEastAsia"/>
          <w:sz w:val="28"/>
          <w:szCs w:val="28"/>
        </w:rPr>
        <w:t>）的物流企业，由中物联评估办提交中物联评估委员会审定；</w:t>
      </w:r>
      <w:r>
        <w:rPr>
          <w:rFonts w:asciiTheme="minorEastAsia" w:hAnsiTheme="minorEastAsia" w:eastAsiaTheme="minorEastAsia"/>
          <w:sz w:val="28"/>
          <w:szCs w:val="28"/>
        </w:rPr>
        <w:t>2A</w:t>
      </w:r>
      <w:r>
        <w:rPr>
          <w:rFonts w:hint="eastAsia" w:asciiTheme="minorEastAsia" w:hAnsiTheme="minorEastAsia" w:eastAsiaTheme="minorEastAsia"/>
          <w:sz w:val="28"/>
          <w:szCs w:val="28"/>
        </w:rPr>
        <w:t>级以下（含</w:t>
      </w:r>
      <w:r>
        <w:rPr>
          <w:rFonts w:asciiTheme="minorEastAsia" w:hAnsiTheme="minorEastAsia" w:eastAsiaTheme="minorEastAsia"/>
          <w:sz w:val="28"/>
          <w:szCs w:val="28"/>
        </w:rPr>
        <w:t>2A</w:t>
      </w:r>
      <w:r>
        <w:rPr>
          <w:rFonts w:hint="eastAsia" w:asciiTheme="minorEastAsia" w:hAnsiTheme="minorEastAsia" w:eastAsiaTheme="minorEastAsia"/>
          <w:sz w:val="28"/>
          <w:szCs w:val="28"/>
        </w:rPr>
        <w:t>）的物流企业，由地方评估办提交地方评估委员会审定，报中物联评估委员会备案。</w:t>
      </w:r>
    </w:p>
    <w:p w14:paraId="46D2A930">
      <w:pPr>
        <w:pStyle w:val="2"/>
        <w:spacing w:line="360" w:lineRule="auto"/>
        <w:ind w:firstLine="560"/>
        <w:rPr>
          <w:rFonts w:asciiTheme="minorEastAsia" w:hAnsiTheme="minorEastAsia" w:eastAsiaTheme="minorEastAsia"/>
          <w:sz w:val="28"/>
          <w:szCs w:val="28"/>
        </w:rPr>
      </w:pPr>
      <w:r>
        <w:rPr>
          <w:rFonts w:asciiTheme="minorEastAsia" w:hAnsiTheme="minorEastAsia" w:eastAsiaTheme="minorEastAsia"/>
          <w:sz w:val="28"/>
          <w:szCs w:val="28"/>
        </w:rPr>
        <w:t>2.</w:t>
      </w:r>
      <w:r>
        <w:rPr>
          <w:rFonts w:hint="eastAsia" w:asciiTheme="minorEastAsia" w:hAnsiTheme="minorEastAsia" w:eastAsiaTheme="minorEastAsia"/>
          <w:sz w:val="28"/>
          <w:szCs w:val="28"/>
        </w:rPr>
        <w:t>担保存货管理及质押监管企业评估及冷链物流企业星级评估。所有完成现场评估的申报材料，最后均由中物联评估办提交中物联评估委员会进行审定。</w:t>
      </w:r>
    </w:p>
    <w:p w14:paraId="24DF5D73">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（六）公示。公示期限为一周。</w:t>
      </w:r>
    </w:p>
    <w:p w14:paraId="265C518F">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（七）通告。中国物流与采购联合会统一发文公布名单，并在相关媒体通告，接受社会监督。</w:t>
      </w:r>
    </w:p>
    <w:p w14:paraId="421B3EEF">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（八）授牌。中国物流与采购联合会统一向获评企业颁发评估等级牌匾及证书。</w:t>
      </w:r>
    </w:p>
    <w:p w14:paraId="7C702D76">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四、申报方式</w:t>
      </w:r>
    </w:p>
    <w:p w14:paraId="17F4D4E6">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（一）</w:t>
      </w:r>
      <w:r>
        <w:rPr>
          <w:rFonts w:asciiTheme="minorEastAsia" w:hAnsiTheme="minorEastAsia" w:eastAsiaTheme="minorEastAsia"/>
          <w:sz w:val="28"/>
          <w:szCs w:val="28"/>
        </w:rPr>
        <w:t>A</w:t>
      </w:r>
      <w:r>
        <w:rPr>
          <w:rFonts w:hint="eastAsia" w:asciiTheme="minorEastAsia" w:hAnsiTheme="minorEastAsia" w:eastAsiaTheme="minorEastAsia"/>
          <w:sz w:val="28"/>
          <w:szCs w:val="28"/>
        </w:rPr>
        <w:t>级物流企业评估。</w:t>
      </w:r>
    </w:p>
    <w:p w14:paraId="36C15E0C">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第三十批</w:t>
      </w:r>
      <w:r>
        <w:rPr>
          <w:rFonts w:asciiTheme="minorEastAsia" w:hAnsiTheme="minorEastAsia" w:eastAsiaTheme="minorEastAsia"/>
          <w:sz w:val="28"/>
          <w:szCs w:val="28"/>
        </w:rPr>
        <w:t>A</w:t>
      </w:r>
      <w:r>
        <w:rPr>
          <w:rFonts w:hint="eastAsia" w:asciiTheme="minorEastAsia" w:hAnsiTheme="minorEastAsia" w:eastAsiaTheme="minorEastAsia"/>
          <w:sz w:val="28"/>
          <w:szCs w:val="28"/>
        </w:rPr>
        <w:t>级物流企业全部实行网上申报，请登录中国物流与采购联合会</w:t>
      </w:r>
      <w:r>
        <w:rPr>
          <w:rFonts w:asciiTheme="minorEastAsia" w:hAnsiTheme="minorEastAsia" w:eastAsiaTheme="minorEastAsia"/>
          <w:sz w:val="28"/>
          <w:szCs w:val="28"/>
        </w:rPr>
        <w:t>A</w:t>
      </w:r>
      <w:r>
        <w:rPr>
          <w:rFonts w:hint="eastAsia" w:asciiTheme="minorEastAsia" w:hAnsiTheme="minorEastAsia" w:eastAsiaTheme="minorEastAsia"/>
          <w:sz w:val="28"/>
          <w:szCs w:val="28"/>
        </w:rPr>
        <w:t>级物流企业网上申报系统（以下简称“</w:t>
      </w:r>
      <w:r>
        <w:rPr>
          <w:rFonts w:asciiTheme="minorEastAsia" w:hAnsiTheme="minorEastAsia" w:eastAsiaTheme="minorEastAsia"/>
          <w:sz w:val="28"/>
          <w:szCs w:val="28"/>
        </w:rPr>
        <w:t>A</w:t>
      </w:r>
      <w:r>
        <w:rPr>
          <w:rFonts w:hint="eastAsia" w:asciiTheme="minorEastAsia" w:hAnsiTheme="minorEastAsia" w:eastAsiaTheme="minorEastAsia"/>
          <w:sz w:val="28"/>
          <w:szCs w:val="28"/>
        </w:rPr>
        <w:t>级企业网上申报系统”，</w:t>
      </w:r>
      <w:r>
        <w:rPr>
          <w:rFonts w:asciiTheme="minorEastAsia" w:hAnsiTheme="minorEastAsia" w:eastAsiaTheme="minorEastAsia"/>
          <w:sz w:val="28"/>
          <w:szCs w:val="28"/>
        </w:rPr>
        <w:t>http://cele.chinawuliu.com.cn</w:t>
      </w:r>
      <w:r>
        <w:rPr>
          <w:rFonts w:hint="eastAsia" w:asciiTheme="minorEastAsia" w:hAnsiTheme="minorEastAsia" w:eastAsiaTheme="minorEastAsia"/>
          <w:sz w:val="28"/>
          <w:szCs w:val="28"/>
        </w:rPr>
        <w:t>）</w:t>
      </w:r>
      <w:r>
        <w:rPr>
          <w:rFonts w:asciiTheme="minorEastAsia" w:hAnsiTheme="minorEastAsia" w:eastAsiaTheme="minorEastAsia"/>
          <w:sz w:val="28"/>
          <w:szCs w:val="28"/>
        </w:rPr>
        <w:t>,</w:t>
      </w:r>
      <w:r>
        <w:rPr>
          <w:rFonts w:hint="eastAsia" w:asciiTheme="minorEastAsia" w:hAnsiTheme="minorEastAsia" w:eastAsiaTheme="minorEastAsia"/>
          <w:sz w:val="28"/>
          <w:szCs w:val="28"/>
        </w:rPr>
        <w:t>按照要求进行注册，待</w:t>
      </w:r>
      <w:r>
        <w:rPr>
          <w:rFonts w:asciiTheme="minorEastAsia" w:hAnsiTheme="minorEastAsia" w:eastAsiaTheme="minorEastAsia"/>
          <w:sz w:val="28"/>
          <w:szCs w:val="28"/>
        </w:rPr>
        <w:t>1-2</w:t>
      </w:r>
      <w:r>
        <w:rPr>
          <w:rFonts w:hint="eastAsia" w:asciiTheme="minorEastAsia" w:hAnsiTheme="minorEastAsia" w:eastAsiaTheme="minorEastAsia"/>
          <w:sz w:val="28"/>
          <w:szCs w:val="28"/>
        </w:rPr>
        <w:t>个工作日后账号审核通过，企业可登陆系统选择好欲申报的级别和类型后发起申请，并上传附表及相关证明材料；同时在网上申报系统中打印《物流企业综合评估申请表》及附表一、二，并在指定的位置签字和加盖公章，报送相关评估办。企业在网上申报系统进行注册时，请统一使用营业执照注册号作为用户名（已办理三证合一的企业，请使用统一社会信用代码的完整数字作为用户名），密码自设。</w:t>
      </w:r>
    </w:p>
    <w:p w14:paraId="7A94BC9D">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（二）担保存货管理及质押监管企业评估。</w:t>
      </w:r>
    </w:p>
    <w:p w14:paraId="36404E2A">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第十三批担保存货管理及质押监管企业评估全部实行网上申报，请登录中国物流与采购联合会担保存货管理及质押监管企业网上申报系统（以下简称“质押监管企业网上申报系统”，</w:t>
      </w:r>
      <w:r>
        <w:rPr>
          <w:rFonts w:asciiTheme="minorEastAsia" w:hAnsiTheme="minorEastAsia" w:eastAsiaTheme="minorEastAsia"/>
          <w:sz w:val="28"/>
          <w:szCs w:val="28"/>
        </w:rPr>
        <w:t>http://sv.chinawuliu.com.cn</w:t>
      </w:r>
      <w:r>
        <w:rPr>
          <w:rFonts w:hint="eastAsia" w:asciiTheme="minorEastAsia" w:hAnsiTheme="minorEastAsia" w:eastAsiaTheme="minorEastAsia"/>
          <w:sz w:val="28"/>
          <w:szCs w:val="28"/>
        </w:rPr>
        <w:t>）</w:t>
      </w:r>
      <w:r>
        <w:rPr>
          <w:rFonts w:asciiTheme="minorEastAsia" w:hAnsiTheme="minorEastAsia" w:eastAsiaTheme="minorEastAsia"/>
          <w:sz w:val="28"/>
          <w:szCs w:val="28"/>
        </w:rPr>
        <w:t>,</w:t>
      </w:r>
      <w:r>
        <w:rPr>
          <w:rFonts w:hint="eastAsia" w:asciiTheme="minorEastAsia" w:hAnsiTheme="minorEastAsia" w:eastAsiaTheme="minorEastAsia"/>
          <w:sz w:val="28"/>
          <w:szCs w:val="28"/>
        </w:rPr>
        <w:t>按照要求注册和发起申请，上传相关证明材料，同时，将一份在指定的位置签字和加盖公章的纸质申请表（申请表模板可在中国物流与采购联合会网站企业评估板块进行下载或向相关评估办索取），报送相关评估办。企业在网上申报系统进行注册时，请统一使用营业执照注册号作为用户名（已办理三证合一的企业，请使用统一社会信用代码的完整数字作为用户名），密码自设。</w:t>
      </w:r>
    </w:p>
    <w:p w14:paraId="0C2624CD">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（三）冷链物流企业星级评估。</w:t>
      </w:r>
    </w:p>
    <w:p w14:paraId="7B64F32D">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第十批冷链物流企业星级评估开始启用网上申报系统，请登录中国物流与采购联合会冷链物流企业星级评估网上申报系统（以下简称“星级冷链物流企业网上申报系统”，</w:t>
      </w:r>
      <w:r>
        <w:rPr>
          <w:rFonts w:asciiTheme="minorEastAsia" w:hAnsiTheme="minorEastAsia" w:eastAsiaTheme="minorEastAsia"/>
          <w:sz w:val="28"/>
          <w:szCs w:val="28"/>
        </w:rPr>
        <w:t>http://ll.chinawuliu.com.cn</w:t>
      </w:r>
      <w:r>
        <w:rPr>
          <w:rFonts w:hint="eastAsia" w:asciiTheme="minorEastAsia" w:hAnsiTheme="minorEastAsia" w:eastAsiaTheme="minorEastAsia"/>
          <w:sz w:val="28"/>
          <w:szCs w:val="28"/>
        </w:rPr>
        <w:t>），按照要求注册账号获批后发起申请，上传相关证明材料，同时，将一份在指定的位置签字和加盖公章的纸质申请表（申请表模板可在中国物流与采购联合会网站企业评估板块进行下载或向相关评估办索取），报送相关评估办。企业在网上申报系统进行注册时，请统一使用营业执照注册号作为用户名（已办理三证合一的企业，请使用统一社会信用代码的完整数字作为用户名），密码自设。</w:t>
      </w:r>
    </w:p>
    <w:p w14:paraId="176515CD">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五、申报时间</w:t>
      </w:r>
    </w:p>
    <w:p w14:paraId="17558554">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本次各项评估工作接受申报截止时间为</w:t>
      </w:r>
      <w:r>
        <w:rPr>
          <w:rFonts w:asciiTheme="minorEastAsia" w:hAnsiTheme="minorEastAsia" w:eastAsiaTheme="minorEastAsia"/>
          <w:sz w:val="28"/>
          <w:szCs w:val="28"/>
        </w:rPr>
        <w:t>2020</w:t>
      </w:r>
      <w:r>
        <w:rPr>
          <w:rFonts w:hint="eastAsia" w:asciiTheme="minorEastAsia" w:hAnsiTheme="minorEastAsia" w:eastAsiaTheme="minorEastAsia"/>
          <w:sz w:val="28"/>
          <w:szCs w:val="28"/>
        </w:rPr>
        <w:t>年</w:t>
      </w:r>
      <w:r>
        <w:rPr>
          <w:rFonts w:asciiTheme="minorEastAsia" w:hAnsiTheme="minorEastAsia" w:eastAsiaTheme="minorEastAsia"/>
          <w:sz w:val="28"/>
          <w:szCs w:val="28"/>
        </w:rPr>
        <w:t>6</w:t>
      </w:r>
      <w:r>
        <w:rPr>
          <w:rFonts w:hint="eastAsia" w:asciiTheme="minorEastAsia" w:hAnsiTheme="minorEastAsia" w:eastAsiaTheme="minorEastAsia"/>
          <w:sz w:val="28"/>
          <w:szCs w:val="28"/>
        </w:rPr>
        <w:t>月</w:t>
      </w:r>
      <w:r>
        <w:rPr>
          <w:rFonts w:asciiTheme="minorEastAsia" w:hAnsiTheme="minorEastAsia" w:eastAsiaTheme="minorEastAsia"/>
          <w:sz w:val="28"/>
          <w:szCs w:val="28"/>
        </w:rPr>
        <w:t>30</w:t>
      </w:r>
      <w:r>
        <w:rPr>
          <w:rFonts w:hint="eastAsia" w:asciiTheme="minorEastAsia" w:hAnsiTheme="minorEastAsia" w:eastAsiaTheme="minorEastAsia"/>
          <w:sz w:val="28"/>
          <w:szCs w:val="28"/>
        </w:rPr>
        <w:t>日（其中</w:t>
      </w:r>
      <w:r>
        <w:rPr>
          <w:rFonts w:asciiTheme="minorEastAsia" w:hAnsiTheme="minorEastAsia" w:eastAsiaTheme="minorEastAsia"/>
          <w:sz w:val="28"/>
          <w:szCs w:val="28"/>
        </w:rPr>
        <w:t>5A</w:t>
      </w:r>
      <w:r>
        <w:rPr>
          <w:rFonts w:hint="eastAsia" w:asciiTheme="minorEastAsia" w:hAnsiTheme="minorEastAsia" w:eastAsiaTheme="minorEastAsia"/>
          <w:sz w:val="28"/>
          <w:szCs w:val="28"/>
        </w:rPr>
        <w:t>级物流企业、</w:t>
      </w:r>
      <w:r>
        <w:rPr>
          <w:rFonts w:asciiTheme="minorEastAsia" w:hAnsiTheme="minorEastAsia" w:eastAsiaTheme="minorEastAsia"/>
          <w:sz w:val="28"/>
          <w:szCs w:val="28"/>
        </w:rPr>
        <w:t>5</w:t>
      </w:r>
      <w:r>
        <w:rPr>
          <w:rFonts w:hint="eastAsia" w:asciiTheme="minorEastAsia" w:hAnsiTheme="minorEastAsia" w:eastAsiaTheme="minorEastAsia"/>
          <w:sz w:val="28"/>
          <w:szCs w:val="28"/>
        </w:rPr>
        <w:t>星级冷链物流企业申报截止时间为</w:t>
      </w:r>
      <w:r>
        <w:rPr>
          <w:rFonts w:asciiTheme="minorEastAsia" w:hAnsiTheme="minorEastAsia" w:eastAsiaTheme="minorEastAsia"/>
          <w:sz w:val="28"/>
          <w:szCs w:val="28"/>
        </w:rPr>
        <w:t>2020</w:t>
      </w:r>
      <w:r>
        <w:rPr>
          <w:rFonts w:hint="eastAsia" w:asciiTheme="minorEastAsia" w:hAnsiTheme="minorEastAsia" w:eastAsiaTheme="minorEastAsia"/>
          <w:sz w:val="28"/>
          <w:szCs w:val="28"/>
        </w:rPr>
        <w:t>年</w:t>
      </w:r>
      <w:r>
        <w:rPr>
          <w:rFonts w:asciiTheme="minorEastAsia" w:hAnsiTheme="minorEastAsia" w:eastAsiaTheme="minorEastAsia"/>
          <w:sz w:val="28"/>
          <w:szCs w:val="28"/>
        </w:rPr>
        <w:t>6</w:t>
      </w:r>
      <w:r>
        <w:rPr>
          <w:rFonts w:hint="eastAsia" w:asciiTheme="minorEastAsia" w:hAnsiTheme="minorEastAsia" w:eastAsiaTheme="minorEastAsia"/>
          <w:sz w:val="28"/>
          <w:szCs w:val="28"/>
        </w:rPr>
        <w:t>月</w:t>
      </w:r>
      <w:r>
        <w:rPr>
          <w:rFonts w:asciiTheme="minorEastAsia" w:hAnsiTheme="minorEastAsia" w:eastAsiaTheme="minorEastAsia"/>
          <w:sz w:val="28"/>
          <w:szCs w:val="28"/>
        </w:rPr>
        <w:t>20</w:t>
      </w:r>
      <w:r>
        <w:rPr>
          <w:rFonts w:hint="eastAsia" w:asciiTheme="minorEastAsia" w:hAnsiTheme="minorEastAsia" w:eastAsiaTheme="minorEastAsia"/>
          <w:sz w:val="28"/>
          <w:szCs w:val="28"/>
        </w:rPr>
        <w:t>日）。</w:t>
      </w:r>
    </w:p>
    <w:p w14:paraId="678B718B">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六、联系方式</w:t>
      </w:r>
    </w:p>
    <w:p w14:paraId="06740880">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中国物流与采购联合会物流企业评估工作办公室</w:t>
      </w:r>
    </w:p>
    <w:p w14:paraId="65713F01">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联系人：尹斐洁、安菲</w:t>
      </w:r>
    </w:p>
    <w:p w14:paraId="24BB9432">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电话：</w:t>
      </w:r>
      <w:r>
        <w:rPr>
          <w:rFonts w:asciiTheme="minorEastAsia" w:hAnsiTheme="minorEastAsia" w:eastAsiaTheme="minorEastAsia"/>
          <w:sz w:val="28"/>
          <w:szCs w:val="28"/>
        </w:rPr>
        <w:t>010</w:t>
      </w:r>
      <w:r>
        <w:rPr>
          <w:rFonts w:hint="eastAsia" w:asciiTheme="minorEastAsia" w:hAnsiTheme="minorEastAsia" w:eastAsiaTheme="minorEastAsia"/>
          <w:sz w:val="28"/>
          <w:szCs w:val="28"/>
        </w:rPr>
        <w:t>—</w:t>
      </w:r>
      <w:r>
        <w:rPr>
          <w:rFonts w:asciiTheme="minorEastAsia" w:hAnsiTheme="minorEastAsia" w:eastAsiaTheme="minorEastAsia"/>
          <w:sz w:val="28"/>
          <w:szCs w:val="28"/>
        </w:rPr>
        <w:t>83775630</w:t>
      </w:r>
      <w:r>
        <w:rPr>
          <w:rFonts w:hint="eastAsia" w:asciiTheme="minorEastAsia" w:hAnsiTheme="minorEastAsia" w:eastAsiaTheme="minorEastAsia"/>
          <w:sz w:val="28"/>
          <w:szCs w:val="28"/>
        </w:rPr>
        <w:t>、</w:t>
      </w:r>
      <w:r>
        <w:rPr>
          <w:rFonts w:asciiTheme="minorEastAsia" w:hAnsiTheme="minorEastAsia" w:eastAsiaTheme="minorEastAsia"/>
          <w:sz w:val="28"/>
          <w:szCs w:val="28"/>
        </w:rPr>
        <w:t>83775631</w:t>
      </w:r>
    </w:p>
    <w:p w14:paraId="3251CEF9">
      <w:pPr>
        <w:pStyle w:val="2"/>
        <w:spacing w:line="360" w:lineRule="auto"/>
        <w:ind w:firstLine="560"/>
        <w:rPr>
          <w:rFonts w:asciiTheme="minorEastAsia" w:hAnsiTheme="minorEastAsia" w:eastAsiaTheme="minorEastAsia"/>
          <w:sz w:val="28"/>
          <w:szCs w:val="28"/>
        </w:rPr>
      </w:pPr>
      <w:r>
        <w:rPr>
          <w:rFonts w:asciiTheme="minorEastAsia" w:hAnsiTheme="minorEastAsia" w:eastAsiaTheme="minorEastAsia"/>
          <w:sz w:val="28"/>
          <w:szCs w:val="28"/>
        </w:rPr>
        <w:t>E-mail</w:t>
      </w:r>
      <w:r>
        <w:rPr>
          <w:rFonts w:hint="eastAsia" w:asciiTheme="minorEastAsia" w:hAnsiTheme="minorEastAsia" w:eastAsiaTheme="minorEastAsia"/>
          <w:sz w:val="28"/>
          <w:szCs w:val="28"/>
        </w:rPr>
        <w:t>：</w:t>
      </w:r>
      <w:r>
        <w:rPr>
          <w:rFonts w:asciiTheme="minorEastAsia" w:hAnsiTheme="minorEastAsia" w:eastAsiaTheme="minorEastAsia"/>
          <w:sz w:val="28"/>
          <w:szCs w:val="28"/>
        </w:rPr>
        <w:t>zwlpgb@vip.163.com</w:t>
      </w:r>
    </w:p>
    <w:p w14:paraId="05DE8C4E">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中国物流与采购网：</w:t>
      </w:r>
      <w:r>
        <w:rPr>
          <w:rFonts w:asciiTheme="minorEastAsia" w:hAnsiTheme="minorEastAsia" w:eastAsiaTheme="minorEastAsia"/>
          <w:sz w:val="28"/>
          <w:szCs w:val="28"/>
        </w:rPr>
        <w:t>www.cflp.org.cn</w:t>
      </w:r>
    </w:p>
    <w:p w14:paraId="6F72D8FD">
      <w:pPr>
        <w:pStyle w:val="2"/>
        <w:spacing w:line="360" w:lineRule="auto"/>
        <w:ind w:firstLine="560"/>
        <w:rPr>
          <w:rFonts w:asciiTheme="minorEastAsia" w:hAnsiTheme="minorEastAsia" w:eastAsiaTheme="minorEastAsia"/>
          <w:sz w:val="28"/>
          <w:szCs w:val="28"/>
        </w:rPr>
      </w:pPr>
      <w:r>
        <w:rPr>
          <w:rFonts w:asciiTheme="minorEastAsia" w:hAnsiTheme="minorEastAsia" w:eastAsiaTheme="minorEastAsia"/>
          <w:sz w:val="28"/>
          <w:szCs w:val="28"/>
        </w:rPr>
        <w:t>A</w:t>
      </w:r>
      <w:r>
        <w:rPr>
          <w:rFonts w:hint="eastAsia" w:asciiTheme="minorEastAsia" w:hAnsiTheme="minorEastAsia" w:eastAsiaTheme="minorEastAsia"/>
          <w:sz w:val="28"/>
          <w:szCs w:val="28"/>
        </w:rPr>
        <w:t>级企业网上申报网址：</w:t>
      </w:r>
      <w:r>
        <w:rPr>
          <w:rFonts w:asciiTheme="minorEastAsia" w:hAnsiTheme="minorEastAsia" w:eastAsiaTheme="minorEastAsia"/>
          <w:sz w:val="28"/>
          <w:szCs w:val="28"/>
        </w:rPr>
        <w:t>http://cele.chinawuliu.com.cn</w:t>
      </w:r>
    </w:p>
    <w:p w14:paraId="7DC78617">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质押监管网上申报网址：</w:t>
      </w:r>
      <w:r>
        <w:rPr>
          <w:rFonts w:asciiTheme="minorEastAsia" w:hAnsiTheme="minorEastAsia" w:eastAsiaTheme="minorEastAsia"/>
          <w:sz w:val="28"/>
          <w:szCs w:val="28"/>
        </w:rPr>
        <w:t>http://sv.chinawuliu.com.cn</w:t>
      </w:r>
    </w:p>
    <w:p w14:paraId="68BDD537">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星级冷链物流企业网上申报网址：</w:t>
      </w:r>
      <w:r>
        <w:rPr>
          <w:rFonts w:asciiTheme="minorEastAsia" w:hAnsiTheme="minorEastAsia" w:eastAsiaTheme="minorEastAsia"/>
          <w:sz w:val="28"/>
          <w:szCs w:val="28"/>
        </w:rPr>
        <w:t>http://ll.chinawuliu.com.cn</w:t>
      </w:r>
    </w:p>
    <w:p w14:paraId="55A99C69">
      <w:pPr>
        <w:pStyle w:val="2"/>
        <w:spacing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各地方评估办联系方式请登陆中国物流与采购网</w:t>
      </w:r>
      <w:r>
        <w:rPr>
          <w:rFonts w:asciiTheme="minorEastAsia" w:hAnsiTheme="minorEastAsia" w:eastAsiaTheme="minorEastAsia"/>
          <w:sz w:val="28"/>
          <w:szCs w:val="28"/>
        </w:rPr>
        <w:t>,</w:t>
      </w:r>
      <w:r>
        <w:rPr>
          <w:rFonts w:hint="eastAsia" w:asciiTheme="minorEastAsia" w:hAnsiTheme="minorEastAsia" w:eastAsiaTheme="minorEastAsia"/>
          <w:sz w:val="28"/>
          <w:szCs w:val="28"/>
        </w:rPr>
        <w:t>进入企业评估栏目进行查询，也可致电中物联评估办询问。</w:t>
      </w:r>
    </w:p>
    <w:p w14:paraId="66E24487">
      <w:pPr>
        <w:pStyle w:val="2"/>
        <w:spacing w:line="360" w:lineRule="auto"/>
        <w:ind w:firstLine="560"/>
        <w:rPr>
          <w:rFonts w:asciiTheme="minorEastAsia" w:hAnsiTheme="minorEastAsia" w:eastAsiaTheme="minorEastAsia"/>
          <w:sz w:val="28"/>
          <w:szCs w:val="28"/>
        </w:rPr>
      </w:pPr>
    </w:p>
    <w:p w14:paraId="116BEDD3">
      <w:pPr>
        <w:pStyle w:val="2"/>
        <w:spacing w:line="360" w:lineRule="auto"/>
        <w:ind w:firstLine="560"/>
        <w:jc w:val="right"/>
        <w:rPr>
          <w:rFonts w:asciiTheme="minorEastAsia" w:hAnsiTheme="minorEastAsia"/>
          <w:sz w:val="28"/>
          <w:szCs w:val="28"/>
        </w:rPr>
      </w:pPr>
      <w:r>
        <w:rPr>
          <w:rFonts w:hint="eastAsia" w:asciiTheme="minorEastAsia" w:hAnsiTheme="minorEastAsia" w:eastAsiaTheme="minorEastAsia"/>
          <w:sz w:val="28"/>
          <w:szCs w:val="28"/>
        </w:rPr>
        <w:t>二〇二〇年三月三十一日</w:t>
      </w:r>
    </w:p>
    <w:p w14:paraId="748F7803">
      <w:pPr>
        <w:spacing w:line="360" w:lineRule="auto"/>
        <w:jc w:val="center"/>
      </w:pPr>
    </w:p>
    <w:p w14:paraId="3EFC0C6B">
      <w:pPr>
        <w:spacing w:line="360" w:lineRule="auto"/>
      </w:pPr>
    </w:p>
    <w:sectPr>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80F3C52" w:usb2="00000016" w:usb3="00000000" w:csb0="0004001F" w:csb1="00000000"/>
  </w:font>
  <w:font w:name="??">
    <w:altName w:val="Times New Roman"/>
    <w:panose1 w:val="00000000000000000000"/>
    <w:charset w:val="00"/>
    <w:family w:val="roman"/>
    <w:pitch w:val="default"/>
    <w:sig w:usb0="00000000"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05EE7">
    <w:pPr>
      <w:pStyle w:val="19"/>
      <w:jc w:val="center"/>
    </w:pPr>
  </w:p>
  <w:p w14:paraId="1975A7CD">
    <w:pPr>
      <w:pStyle w:val="1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4577929"/>
      <w:docPartObj>
        <w:docPartGallery w:val="autotext"/>
      </w:docPartObj>
    </w:sdtPr>
    <w:sdtContent>
      <w:p w14:paraId="219F6933">
        <w:pPr>
          <w:pStyle w:val="19"/>
          <w:ind w:firstLine="360"/>
          <w:jc w:val="center"/>
        </w:pPr>
        <w:r>
          <w:fldChar w:fldCharType="begin"/>
        </w:r>
        <w:r>
          <w:instrText xml:space="preserve">PAGE   \* MERGEFORMAT</w:instrText>
        </w:r>
        <w:r>
          <w:fldChar w:fldCharType="separate"/>
        </w:r>
        <w:r>
          <w:rPr>
            <w:lang w:val="zh-CN"/>
          </w:rPr>
          <w:t>98</w:t>
        </w:r>
        <w:r>
          <w:rPr>
            <w:lang w:val="zh-CN"/>
          </w:rPr>
          <w:fldChar w:fldCharType="end"/>
        </w:r>
      </w:p>
    </w:sdtContent>
  </w:sdt>
  <w:p w14:paraId="7B93A05E">
    <w:pPr>
      <w:pStyle w:val="19"/>
      <w:ind w:firstLine="36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94138"/>
      <w:docPartObj>
        <w:docPartGallery w:val="autotext"/>
      </w:docPartObj>
    </w:sdtPr>
    <w:sdtContent>
      <w:p w14:paraId="4F85672D">
        <w:pPr>
          <w:pStyle w:val="19"/>
          <w:ind w:firstLine="360"/>
          <w:jc w:val="center"/>
        </w:pPr>
        <w:r>
          <w:fldChar w:fldCharType="begin"/>
        </w:r>
        <w:r>
          <w:instrText xml:space="preserve">PAGE   \* MERGEFORMAT</w:instrText>
        </w:r>
        <w:r>
          <w:fldChar w:fldCharType="separate"/>
        </w:r>
        <w:r>
          <w:rPr>
            <w:lang w:val="zh-CN"/>
          </w:rPr>
          <w:t>132</w:t>
        </w:r>
        <w:r>
          <w:rPr>
            <w:lang w:val="zh-CN"/>
          </w:rPr>
          <w:fldChar w:fldCharType="end"/>
        </w:r>
      </w:p>
    </w:sdtContent>
  </w:sdt>
  <w:p w14:paraId="4BD404FC">
    <w:pPr>
      <w:pStyle w:val="19"/>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C7F12">
    <w:pPr>
      <w:pStyle w:val="19"/>
      <w:jc w:val="center"/>
    </w:pPr>
    <w:r>
      <w:fldChar w:fldCharType="begin"/>
    </w:r>
    <w:r>
      <w:instrText xml:space="preserve">PAGE   \* MERGEFORMAT</w:instrText>
    </w:r>
    <w:r>
      <w:fldChar w:fldCharType="separate"/>
    </w:r>
    <w:r>
      <w:rPr>
        <w:lang w:val="zh-CN"/>
      </w:rPr>
      <w:t>I</w:t>
    </w:r>
    <w:r>
      <w:rPr>
        <w:lang w:val="zh-CN"/>
      </w:rPr>
      <w:fldChar w:fldCharType="end"/>
    </w:r>
  </w:p>
  <w:p w14:paraId="3323A4E4">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860CD">
    <w:pPr>
      <w:pStyle w:val="19"/>
      <w:jc w:val="center"/>
    </w:pPr>
    <w:r>
      <w:fldChar w:fldCharType="begin"/>
    </w:r>
    <w:r>
      <w:instrText xml:space="preserve">PAGE   \* MERGEFORMAT</w:instrText>
    </w:r>
    <w:r>
      <w:fldChar w:fldCharType="separate"/>
    </w:r>
    <w:r>
      <w:rPr>
        <w:lang w:val="zh-CN"/>
      </w:rPr>
      <w:t>4</w:t>
    </w:r>
    <w:r>
      <w:rPr>
        <w:lang w:val="zh-CN"/>
      </w:rPr>
      <w:fldChar w:fldCharType="end"/>
    </w:r>
  </w:p>
  <w:p w14:paraId="46264A4D">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5295208"/>
      <w:docPartObj>
        <w:docPartGallery w:val="autotext"/>
      </w:docPartObj>
    </w:sdtPr>
    <w:sdtContent>
      <w:p w14:paraId="07F6F908">
        <w:pPr>
          <w:pStyle w:val="19"/>
          <w:ind w:firstLine="360"/>
          <w:jc w:val="center"/>
        </w:pPr>
        <w:r>
          <w:fldChar w:fldCharType="begin"/>
        </w:r>
        <w:r>
          <w:instrText xml:space="preserve">PAGE   \* MERGEFORMAT</w:instrText>
        </w:r>
        <w:r>
          <w:fldChar w:fldCharType="separate"/>
        </w:r>
        <w:r>
          <w:rPr>
            <w:lang w:val="zh-CN"/>
          </w:rPr>
          <w:t>15</w:t>
        </w:r>
        <w:r>
          <w:rPr>
            <w:lang w:val="zh-CN"/>
          </w:rPr>
          <w:fldChar w:fldCharType="end"/>
        </w:r>
      </w:p>
    </w:sdtContent>
  </w:sdt>
  <w:p w14:paraId="28BC5F94">
    <w:pPr>
      <w:pStyle w:val="19"/>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1EBD4">
    <w:pPr>
      <w:pStyle w:val="1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E7D6A">
    <w:pPr>
      <w:pStyle w:val="1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32E2B">
    <w:pPr>
      <w:pStyle w:val="1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5162660"/>
      <w:docPartObj>
        <w:docPartGallery w:val="autotext"/>
      </w:docPartObj>
    </w:sdtPr>
    <w:sdtContent>
      <w:p w14:paraId="746EDDD1">
        <w:pPr>
          <w:pStyle w:val="19"/>
          <w:ind w:firstLine="360"/>
          <w:jc w:val="center"/>
        </w:pPr>
        <w:r>
          <w:fldChar w:fldCharType="begin"/>
        </w:r>
        <w:r>
          <w:instrText xml:space="preserve">PAGE   \* MERGEFORMAT</w:instrText>
        </w:r>
        <w:r>
          <w:fldChar w:fldCharType="separate"/>
        </w:r>
        <w:r>
          <w:rPr>
            <w:lang w:val="zh-CN"/>
          </w:rPr>
          <w:t>33</w:t>
        </w:r>
        <w:r>
          <w:rPr>
            <w:lang w:val="zh-CN"/>
          </w:rPr>
          <w:fldChar w:fldCharType="end"/>
        </w:r>
      </w:p>
    </w:sdtContent>
  </w:sdt>
  <w:p w14:paraId="5C407ECE">
    <w:pPr>
      <w:pStyle w:val="19"/>
      <w:ind w:firstLine="36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5154787"/>
      <w:docPartObj>
        <w:docPartGallery w:val="autotext"/>
      </w:docPartObj>
    </w:sdtPr>
    <w:sdtContent>
      <w:p w14:paraId="2827DB4B">
        <w:pPr>
          <w:pStyle w:val="19"/>
          <w:ind w:firstLine="360"/>
          <w:jc w:val="center"/>
        </w:pPr>
        <w:r>
          <w:fldChar w:fldCharType="begin"/>
        </w:r>
        <w:r>
          <w:instrText xml:space="preserve">PAGE   \* MERGEFORMAT</w:instrText>
        </w:r>
        <w:r>
          <w:fldChar w:fldCharType="separate"/>
        </w:r>
        <w:r>
          <w:rPr>
            <w:lang w:val="zh-CN"/>
          </w:rPr>
          <w:t>43</w:t>
        </w:r>
        <w:r>
          <w:rPr>
            <w:lang w:val="zh-CN"/>
          </w:rPr>
          <w:fldChar w:fldCharType="end"/>
        </w:r>
      </w:p>
    </w:sdtContent>
  </w:sdt>
  <w:p w14:paraId="1C1486FE">
    <w:pPr>
      <w:pStyle w:val="19"/>
      <w:ind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F118B">
    <w:pPr>
      <w:pStyle w:val="20"/>
      <w:pBdr>
        <w:bottom w:val="none" w:color="auto" w:sz="0" w:space="0"/>
      </w:pBdr>
    </w:pPr>
  </w:p>
  <w:p w14:paraId="1190DB90">
    <w:pPr>
      <w:pStyle w:val="20"/>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DAC33">
    <w:pPr>
      <w:pStyle w:val="20"/>
      <w:rPr>
        <w:sz w:val="21"/>
        <w:szCs w:val="21"/>
      </w:rPr>
    </w:pPr>
    <w:r>
      <w:rPr>
        <w:rFonts w:hint="eastAsia"/>
        <w:sz w:val="21"/>
        <w:szCs w:val="21"/>
      </w:rPr>
      <w:t>凌源市“十四五”物流业发展规划</w:t>
    </w:r>
  </w:p>
  <w:p w14:paraId="22441412">
    <w:pPr>
      <w:pStyle w:val="2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0F457">
    <w:pPr>
      <w:pStyle w:val="20"/>
      <w:rPr>
        <w:sz w:val="21"/>
        <w:szCs w:val="21"/>
      </w:rPr>
    </w:pPr>
    <w:r>
      <w:rPr>
        <w:rFonts w:hint="eastAsia" w:asciiTheme="minorEastAsia" w:hAnsiTheme="minorEastAsia"/>
        <w:sz w:val="21"/>
        <w:szCs w:val="21"/>
      </w:rPr>
      <w:t>凌源市“十四五”现代物流产业发展规划</w:t>
    </w:r>
  </w:p>
  <w:p w14:paraId="021A9430">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87C13">
    <w:pPr>
      <w:pStyle w:val="20"/>
      <w:rPr>
        <w:sz w:val="21"/>
        <w:szCs w:val="21"/>
      </w:rPr>
    </w:pPr>
    <w:r>
      <w:rPr>
        <w:rFonts w:hint="eastAsia"/>
        <w:sz w:val="21"/>
        <w:szCs w:val="21"/>
      </w:rPr>
      <w:t>凌源市“十四五”物流业发展规划</w:t>
    </w:r>
  </w:p>
  <w:p w14:paraId="54FCAAE2">
    <w:pPr>
      <w:pStyle w:val="20"/>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E745E">
    <w:pPr>
      <w:pStyle w:val="20"/>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4D0B3">
    <w:pPr>
      <w:pStyle w:val="2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55EA8">
    <w:pPr>
      <w:pStyle w:val="2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F3DED">
    <w:pPr>
      <w:pStyle w:val="20"/>
      <w:rPr>
        <w:sz w:val="21"/>
        <w:szCs w:val="21"/>
      </w:rPr>
    </w:pPr>
    <w:r>
      <w:rPr>
        <w:rFonts w:hint="eastAsia"/>
        <w:sz w:val="21"/>
        <w:szCs w:val="21"/>
      </w:rPr>
      <w:t>凌源市“十四五”物流业发展规划</w:t>
    </w:r>
  </w:p>
  <w:p w14:paraId="390792ED">
    <w:pPr>
      <w:pStyle w:val="20"/>
      <w:pBdr>
        <w:bottom w:val="none" w:color="auto" w:sz="0" w:space="0"/>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F3BFD">
    <w:pPr>
      <w:pStyle w:val="20"/>
      <w:rPr>
        <w:sz w:val="21"/>
        <w:szCs w:val="21"/>
      </w:rPr>
    </w:pPr>
    <w:r>
      <w:rPr>
        <w:rFonts w:hint="eastAsia"/>
        <w:sz w:val="21"/>
        <w:szCs w:val="21"/>
      </w:rPr>
      <w:t>凌源市“十四五”物流业发展规划</w:t>
    </w:r>
  </w:p>
  <w:p w14:paraId="146D087E">
    <w:pPr>
      <w:pStyle w:val="20"/>
      <w:pBdr>
        <w:bottom w:val="none" w:color="auto" w:sz="0" w:space="0"/>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D8986">
    <w:pPr>
      <w:pStyle w:val="20"/>
      <w:rPr>
        <w:sz w:val="21"/>
        <w:szCs w:val="21"/>
      </w:rPr>
    </w:pPr>
    <w:r>
      <w:rPr>
        <w:rFonts w:hint="eastAsia"/>
        <w:sz w:val="21"/>
        <w:szCs w:val="21"/>
      </w:rPr>
      <w:t>凌源市“十四五”物流业发展规划</w:t>
    </w:r>
  </w:p>
  <w:p w14:paraId="17C1A5E2">
    <w:pPr>
      <w:pStyle w:val="20"/>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E316AF"/>
    <w:multiLevelType w:val="multilevel"/>
    <w:tmpl w:val="6FE316AF"/>
    <w:lvl w:ilvl="0" w:tentative="0">
      <w:start w:val="1"/>
      <w:numFmt w:val="decimal"/>
      <w:suff w:val="space"/>
      <w:lvlText w:val="%1."/>
      <w:lvlJc w:val="left"/>
      <w:pPr>
        <w:ind w:left="420" w:hanging="420"/>
      </w:pPr>
      <w:rPr>
        <w:rFonts w:hint="eastAsia" w:ascii="宋体" w:hAnsi="宋体" w:eastAsia="宋体"/>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7CD82F51"/>
    <w:multiLevelType w:val="multilevel"/>
    <w:tmpl w:val="7CD82F51"/>
    <w:lvl w:ilvl="0" w:tentative="0">
      <w:start w:val="1"/>
      <w:numFmt w:val="chineseCountingThousand"/>
      <w:lvlText w:val="第%1章"/>
      <w:lvlJc w:val="left"/>
      <w:pPr>
        <w:tabs>
          <w:tab w:val="left" w:pos="1696"/>
        </w:tabs>
        <w:ind w:left="1696" w:hanging="420"/>
      </w:pPr>
      <w:rPr>
        <w:rFonts w:eastAsia="黑体"/>
        <w:b/>
      </w:rPr>
    </w:lvl>
    <w:lvl w:ilvl="1" w:tentative="0">
      <w:start w:val="1"/>
      <w:numFmt w:val="chineseCountingThousand"/>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C2C"/>
    <w:rsid w:val="000013F0"/>
    <w:rsid w:val="000015F2"/>
    <w:rsid w:val="00001760"/>
    <w:rsid w:val="00002827"/>
    <w:rsid w:val="00002B0D"/>
    <w:rsid w:val="00004C76"/>
    <w:rsid w:val="00005010"/>
    <w:rsid w:val="00005C57"/>
    <w:rsid w:val="00007AB2"/>
    <w:rsid w:val="00007B72"/>
    <w:rsid w:val="000103DB"/>
    <w:rsid w:val="00010572"/>
    <w:rsid w:val="00010637"/>
    <w:rsid w:val="000106B6"/>
    <w:rsid w:val="000107D3"/>
    <w:rsid w:val="00011010"/>
    <w:rsid w:val="000114FC"/>
    <w:rsid w:val="00011696"/>
    <w:rsid w:val="000123EE"/>
    <w:rsid w:val="000125FB"/>
    <w:rsid w:val="0001594F"/>
    <w:rsid w:val="00016B87"/>
    <w:rsid w:val="00016ECB"/>
    <w:rsid w:val="00020439"/>
    <w:rsid w:val="00020523"/>
    <w:rsid w:val="00020FB7"/>
    <w:rsid w:val="00021BDD"/>
    <w:rsid w:val="00021F3C"/>
    <w:rsid w:val="00023D07"/>
    <w:rsid w:val="0002446E"/>
    <w:rsid w:val="00024A38"/>
    <w:rsid w:val="00024D50"/>
    <w:rsid w:val="000252CF"/>
    <w:rsid w:val="00026B87"/>
    <w:rsid w:val="00026EAF"/>
    <w:rsid w:val="00030D1D"/>
    <w:rsid w:val="000315FD"/>
    <w:rsid w:val="00031ACC"/>
    <w:rsid w:val="000324E8"/>
    <w:rsid w:val="00032D2E"/>
    <w:rsid w:val="0003396A"/>
    <w:rsid w:val="000354C8"/>
    <w:rsid w:val="0003664F"/>
    <w:rsid w:val="000374C3"/>
    <w:rsid w:val="00037C49"/>
    <w:rsid w:val="00040309"/>
    <w:rsid w:val="00042D2C"/>
    <w:rsid w:val="00044633"/>
    <w:rsid w:val="00044A69"/>
    <w:rsid w:val="00044CF9"/>
    <w:rsid w:val="000451FF"/>
    <w:rsid w:val="000459B6"/>
    <w:rsid w:val="00045E1D"/>
    <w:rsid w:val="0004777F"/>
    <w:rsid w:val="0004784E"/>
    <w:rsid w:val="00047CF8"/>
    <w:rsid w:val="000504D0"/>
    <w:rsid w:val="000516AE"/>
    <w:rsid w:val="00051B21"/>
    <w:rsid w:val="000521A3"/>
    <w:rsid w:val="00053018"/>
    <w:rsid w:val="000539DF"/>
    <w:rsid w:val="00053B51"/>
    <w:rsid w:val="000544C7"/>
    <w:rsid w:val="00055129"/>
    <w:rsid w:val="00055839"/>
    <w:rsid w:val="00055908"/>
    <w:rsid w:val="00055AC2"/>
    <w:rsid w:val="00055AF2"/>
    <w:rsid w:val="00055C6D"/>
    <w:rsid w:val="0005777D"/>
    <w:rsid w:val="00057BAC"/>
    <w:rsid w:val="000605F3"/>
    <w:rsid w:val="00060D87"/>
    <w:rsid w:val="000610BB"/>
    <w:rsid w:val="00061C66"/>
    <w:rsid w:val="000622F3"/>
    <w:rsid w:val="0006234F"/>
    <w:rsid w:val="00063087"/>
    <w:rsid w:val="00063AAD"/>
    <w:rsid w:val="000644F9"/>
    <w:rsid w:val="00064535"/>
    <w:rsid w:val="00066718"/>
    <w:rsid w:val="00066E50"/>
    <w:rsid w:val="000674E1"/>
    <w:rsid w:val="00067F4E"/>
    <w:rsid w:val="00070C7F"/>
    <w:rsid w:val="000716FB"/>
    <w:rsid w:val="00071D59"/>
    <w:rsid w:val="00071D60"/>
    <w:rsid w:val="00072AB9"/>
    <w:rsid w:val="000733EA"/>
    <w:rsid w:val="00075EBB"/>
    <w:rsid w:val="0007709B"/>
    <w:rsid w:val="000770EB"/>
    <w:rsid w:val="0007722C"/>
    <w:rsid w:val="00077448"/>
    <w:rsid w:val="000774CE"/>
    <w:rsid w:val="00077BC5"/>
    <w:rsid w:val="00077DD9"/>
    <w:rsid w:val="000804BE"/>
    <w:rsid w:val="00080A22"/>
    <w:rsid w:val="0008221A"/>
    <w:rsid w:val="0008297B"/>
    <w:rsid w:val="00083049"/>
    <w:rsid w:val="00083E6A"/>
    <w:rsid w:val="00085022"/>
    <w:rsid w:val="00085C30"/>
    <w:rsid w:val="00085D2D"/>
    <w:rsid w:val="00087521"/>
    <w:rsid w:val="00087996"/>
    <w:rsid w:val="00090A37"/>
    <w:rsid w:val="000912C7"/>
    <w:rsid w:val="00091A2A"/>
    <w:rsid w:val="000941DF"/>
    <w:rsid w:val="000959EF"/>
    <w:rsid w:val="0009657A"/>
    <w:rsid w:val="0009759C"/>
    <w:rsid w:val="000A0A3C"/>
    <w:rsid w:val="000A0C3B"/>
    <w:rsid w:val="000A22FC"/>
    <w:rsid w:val="000A2907"/>
    <w:rsid w:val="000A2B42"/>
    <w:rsid w:val="000A2FF0"/>
    <w:rsid w:val="000A37B2"/>
    <w:rsid w:val="000A4311"/>
    <w:rsid w:val="000A4690"/>
    <w:rsid w:val="000A55EA"/>
    <w:rsid w:val="000A5ACF"/>
    <w:rsid w:val="000A600B"/>
    <w:rsid w:val="000A6B3B"/>
    <w:rsid w:val="000A73A4"/>
    <w:rsid w:val="000A7C21"/>
    <w:rsid w:val="000B0497"/>
    <w:rsid w:val="000B19B7"/>
    <w:rsid w:val="000B1B04"/>
    <w:rsid w:val="000B24A1"/>
    <w:rsid w:val="000B2506"/>
    <w:rsid w:val="000B315E"/>
    <w:rsid w:val="000B42B8"/>
    <w:rsid w:val="000B430B"/>
    <w:rsid w:val="000B5AD4"/>
    <w:rsid w:val="000B5F98"/>
    <w:rsid w:val="000B708F"/>
    <w:rsid w:val="000B7C5D"/>
    <w:rsid w:val="000C0893"/>
    <w:rsid w:val="000C249C"/>
    <w:rsid w:val="000C2BA5"/>
    <w:rsid w:val="000C47AF"/>
    <w:rsid w:val="000C4D60"/>
    <w:rsid w:val="000C4EF2"/>
    <w:rsid w:val="000C5867"/>
    <w:rsid w:val="000C63A5"/>
    <w:rsid w:val="000C6561"/>
    <w:rsid w:val="000C6942"/>
    <w:rsid w:val="000C7124"/>
    <w:rsid w:val="000C76FB"/>
    <w:rsid w:val="000C7C60"/>
    <w:rsid w:val="000C7E49"/>
    <w:rsid w:val="000D019B"/>
    <w:rsid w:val="000D1491"/>
    <w:rsid w:val="000D1A05"/>
    <w:rsid w:val="000D2E0D"/>
    <w:rsid w:val="000D3D1D"/>
    <w:rsid w:val="000D4233"/>
    <w:rsid w:val="000D42B6"/>
    <w:rsid w:val="000D47D2"/>
    <w:rsid w:val="000D47F0"/>
    <w:rsid w:val="000D4F51"/>
    <w:rsid w:val="000D4FDA"/>
    <w:rsid w:val="000D690A"/>
    <w:rsid w:val="000D6DE4"/>
    <w:rsid w:val="000D6E1F"/>
    <w:rsid w:val="000D71FF"/>
    <w:rsid w:val="000D7740"/>
    <w:rsid w:val="000D7E45"/>
    <w:rsid w:val="000E1D96"/>
    <w:rsid w:val="000E1FE2"/>
    <w:rsid w:val="000E2B75"/>
    <w:rsid w:val="000E37E4"/>
    <w:rsid w:val="000E39B9"/>
    <w:rsid w:val="000E3AC7"/>
    <w:rsid w:val="000E3C9E"/>
    <w:rsid w:val="000E403C"/>
    <w:rsid w:val="000E58ED"/>
    <w:rsid w:val="000E5B59"/>
    <w:rsid w:val="000E61BE"/>
    <w:rsid w:val="000E676C"/>
    <w:rsid w:val="000E6F0A"/>
    <w:rsid w:val="000E7018"/>
    <w:rsid w:val="000F120B"/>
    <w:rsid w:val="000F1217"/>
    <w:rsid w:val="000F1D38"/>
    <w:rsid w:val="000F1E97"/>
    <w:rsid w:val="000F3C03"/>
    <w:rsid w:val="000F3FD6"/>
    <w:rsid w:val="000F46C8"/>
    <w:rsid w:val="000F4BE0"/>
    <w:rsid w:val="000F606F"/>
    <w:rsid w:val="000F6CA4"/>
    <w:rsid w:val="000F72A6"/>
    <w:rsid w:val="000F7671"/>
    <w:rsid w:val="001006FF"/>
    <w:rsid w:val="001008EF"/>
    <w:rsid w:val="00100A45"/>
    <w:rsid w:val="001010A6"/>
    <w:rsid w:val="00101F55"/>
    <w:rsid w:val="00103DE9"/>
    <w:rsid w:val="00103E79"/>
    <w:rsid w:val="001040B5"/>
    <w:rsid w:val="001053BE"/>
    <w:rsid w:val="00110AB0"/>
    <w:rsid w:val="00110E7C"/>
    <w:rsid w:val="00110F08"/>
    <w:rsid w:val="00111070"/>
    <w:rsid w:val="00111754"/>
    <w:rsid w:val="001122A8"/>
    <w:rsid w:val="00112A31"/>
    <w:rsid w:val="00112CB0"/>
    <w:rsid w:val="00112F02"/>
    <w:rsid w:val="00113840"/>
    <w:rsid w:val="001146A3"/>
    <w:rsid w:val="00117A6E"/>
    <w:rsid w:val="00117DE9"/>
    <w:rsid w:val="00120377"/>
    <w:rsid w:val="001210F5"/>
    <w:rsid w:val="001213D0"/>
    <w:rsid w:val="00121E45"/>
    <w:rsid w:val="001225FD"/>
    <w:rsid w:val="00122FB0"/>
    <w:rsid w:val="001237FE"/>
    <w:rsid w:val="00123B44"/>
    <w:rsid w:val="00124EBB"/>
    <w:rsid w:val="001253E6"/>
    <w:rsid w:val="00125730"/>
    <w:rsid w:val="00125775"/>
    <w:rsid w:val="00125DCE"/>
    <w:rsid w:val="0012644F"/>
    <w:rsid w:val="00126C39"/>
    <w:rsid w:val="00127463"/>
    <w:rsid w:val="00127D3A"/>
    <w:rsid w:val="00127E92"/>
    <w:rsid w:val="00130321"/>
    <w:rsid w:val="0013160C"/>
    <w:rsid w:val="001326C2"/>
    <w:rsid w:val="001342BE"/>
    <w:rsid w:val="00134BF4"/>
    <w:rsid w:val="001353FA"/>
    <w:rsid w:val="0013595D"/>
    <w:rsid w:val="00135962"/>
    <w:rsid w:val="00136548"/>
    <w:rsid w:val="00136E4A"/>
    <w:rsid w:val="00136F7B"/>
    <w:rsid w:val="0013710F"/>
    <w:rsid w:val="001406A3"/>
    <w:rsid w:val="001414D5"/>
    <w:rsid w:val="00141C93"/>
    <w:rsid w:val="001421FA"/>
    <w:rsid w:val="00142258"/>
    <w:rsid w:val="0014229D"/>
    <w:rsid w:val="001422DF"/>
    <w:rsid w:val="001429BA"/>
    <w:rsid w:val="00144A65"/>
    <w:rsid w:val="00144B21"/>
    <w:rsid w:val="00144BE3"/>
    <w:rsid w:val="00145472"/>
    <w:rsid w:val="00146EDD"/>
    <w:rsid w:val="00147472"/>
    <w:rsid w:val="00147944"/>
    <w:rsid w:val="00147D84"/>
    <w:rsid w:val="00147FF5"/>
    <w:rsid w:val="00151271"/>
    <w:rsid w:val="00152D11"/>
    <w:rsid w:val="00153B8D"/>
    <w:rsid w:val="00154D25"/>
    <w:rsid w:val="00154D27"/>
    <w:rsid w:val="00155236"/>
    <w:rsid w:val="00156076"/>
    <w:rsid w:val="001569BF"/>
    <w:rsid w:val="00156D84"/>
    <w:rsid w:val="001574E6"/>
    <w:rsid w:val="001605D7"/>
    <w:rsid w:val="001615AA"/>
    <w:rsid w:val="00161B8C"/>
    <w:rsid w:val="00162F29"/>
    <w:rsid w:val="00162F30"/>
    <w:rsid w:val="001630BD"/>
    <w:rsid w:val="001630D4"/>
    <w:rsid w:val="00164274"/>
    <w:rsid w:val="001646A5"/>
    <w:rsid w:val="00165603"/>
    <w:rsid w:val="00166898"/>
    <w:rsid w:val="00167145"/>
    <w:rsid w:val="00167A36"/>
    <w:rsid w:val="00167ADC"/>
    <w:rsid w:val="00170111"/>
    <w:rsid w:val="00170224"/>
    <w:rsid w:val="001704C6"/>
    <w:rsid w:val="00170BFE"/>
    <w:rsid w:val="00170E95"/>
    <w:rsid w:val="00171282"/>
    <w:rsid w:val="001750F2"/>
    <w:rsid w:val="00175CA9"/>
    <w:rsid w:val="001829DA"/>
    <w:rsid w:val="00182C6B"/>
    <w:rsid w:val="001837AB"/>
    <w:rsid w:val="0018449C"/>
    <w:rsid w:val="001854D1"/>
    <w:rsid w:val="00185546"/>
    <w:rsid w:val="0018603B"/>
    <w:rsid w:val="00187E10"/>
    <w:rsid w:val="00190DC2"/>
    <w:rsid w:val="00191533"/>
    <w:rsid w:val="00191826"/>
    <w:rsid w:val="001929FB"/>
    <w:rsid w:val="00193336"/>
    <w:rsid w:val="00193484"/>
    <w:rsid w:val="00193B2A"/>
    <w:rsid w:val="001943A4"/>
    <w:rsid w:val="00194844"/>
    <w:rsid w:val="00194DE4"/>
    <w:rsid w:val="00195788"/>
    <w:rsid w:val="001961A8"/>
    <w:rsid w:val="0019642B"/>
    <w:rsid w:val="001970DD"/>
    <w:rsid w:val="00197326"/>
    <w:rsid w:val="0019745B"/>
    <w:rsid w:val="001974C4"/>
    <w:rsid w:val="001977C6"/>
    <w:rsid w:val="00197DF4"/>
    <w:rsid w:val="001A1082"/>
    <w:rsid w:val="001A10A6"/>
    <w:rsid w:val="001A187D"/>
    <w:rsid w:val="001A1E09"/>
    <w:rsid w:val="001A1FB0"/>
    <w:rsid w:val="001A279E"/>
    <w:rsid w:val="001A297C"/>
    <w:rsid w:val="001A4795"/>
    <w:rsid w:val="001A4CA3"/>
    <w:rsid w:val="001A5659"/>
    <w:rsid w:val="001A6859"/>
    <w:rsid w:val="001A7487"/>
    <w:rsid w:val="001A7600"/>
    <w:rsid w:val="001A7F31"/>
    <w:rsid w:val="001B1C95"/>
    <w:rsid w:val="001B25A2"/>
    <w:rsid w:val="001B2896"/>
    <w:rsid w:val="001B2EFF"/>
    <w:rsid w:val="001B3115"/>
    <w:rsid w:val="001B337D"/>
    <w:rsid w:val="001B375A"/>
    <w:rsid w:val="001B4D25"/>
    <w:rsid w:val="001B56FA"/>
    <w:rsid w:val="001B57B3"/>
    <w:rsid w:val="001B6B1B"/>
    <w:rsid w:val="001B7D52"/>
    <w:rsid w:val="001C01F6"/>
    <w:rsid w:val="001C1995"/>
    <w:rsid w:val="001C1D28"/>
    <w:rsid w:val="001C269E"/>
    <w:rsid w:val="001C2E4F"/>
    <w:rsid w:val="001C3F26"/>
    <w:rsid w:val="001C40BB"/>
    <w:rsid w:val="001C41D8"/>
    <w:rsid w:val="001C4880"/>
    <w:rsid w:val="001C53C4"/>
    <w:rsid w:val="001C5437"/>
    <w:rsid w:val="001C60E6"/>
    <w:rsid w:val="001C6219"/>
    <w:rsid w:val="001C68C7"/>
    <w:rsid w:val="001D023C"/>
    <w:rsid w:val="001D092E"/>
    <w:rsid w:val="001D0A27"/>
    <w:rsid w:val="001D0D99"/>
    <w:rsid w:val="001D11AB"/>
    <w:rsid w:val="001D18D6"/>
    <w:rsid w:val="001D1BA9"/>
    <w:rsid w:val="001D233B"/>
    <w:rsid w:val="001D278D"/>
    <w:rsid w:val="001D2A69"/>
    <w:rsid w:val="001D3F46"/>
    <w:rsid w:val="001D5371"/>
    <w:rsid w:val="001D6853"/>
    <w:rsid w:val="001D6F40"/>
    <w:rsid w:val="001D7140"/>
    <w:rsid w:val="001D7485"/>
    <w:rsid w:val="001D7905"/>
    <w:rsid w:val="001E0A66"/>
    <w:rsid w:val="001E1FF7"/>
    <w:rsid w:val="001E2174"/>
    <w:rsid w:val="001E3D68"/>
    <w:rsid w:val="001E5F1B"/>
    <w:rsid w:val="001F0EC7"/>
    <w:rsid w:val="001F14FC"/>
    <w:rsid w:val="001F1935"/>
    <w:rsid w:val="001F1C67"/>
    <w:rsid w:val="001F2223"/>
    <w:rsid w:val="001F309D"/>
    <w:rsid w:val="001F3397"/>
    <w:rsid w:val="001F3DDF"/>
    <w:rsid w:val="001F4043"/>
    <w:rsid w:val="001F4FDC"/>
    <w:rsid w:val="001F508A"/>
    <w:rsid w:val="001F582E"/>
    <w:rsid w:val="001F5F52"/>
    <w:rsid w:val="001F6285"/>
    <w:rsid w:val="001F7200"/>
    <w:rsid w:val="001F77DA"/>
    <w:rsid w:val="002003B7"/>
    <w:rsid w:val="00200558"/>
    <w:rsid w:val="0020354A"/>
    <w:rsid w:val="00205C2C"/>
    <w:rsid w:val="002063CC"/>
    <w:rsid w:val="00206B6C"/>
    <w:rsid w:val="00207748"/>
    <w:rsid w:val="00207947"/>
    <w:rsid w:val="00207DB0"/>
    <w:rsid w:val="002111FA"/>
    <w:rsid w:val="0021120D"/>
    <w:rsid w:val="00211CF4"/>
    <w:rsid w:val="00212743"/>
    <w:rsid w:val="00212F57"/>
    <w:rsid w:val="00213AEF"/>
    <w:rsid w:val="00213E10"/>
    <w:rsid w:val="00215165"/>
    <w:rsid w:val="00216238"/>
    <w:rsid w:val="002163F1"/>
    <w:rsid w:val="00216592"/>
    <w:rsid w:val="00220321"/>
    <w:rsid w:val="002208CC"/>
    <w:rsid w:val="00220FF3"/>
    <w:rsid w:val="0022112A"/>
    <w:rsid w:val="00221142"/>
    <w:rsid w:val="002216A5"/>
    <w:rsid w:val="002220CD"/>
    <w:rsid w:val="00223A09"/>
    <w:rsid w:val="00223C66"/>
    <w:rsid w:val="00223D3F"/>
    <w:rsid w:val="00224B7F"/>
    <w:rsid w:val="00224F34"/>
    <w:rsid w:val="00225329"/>
    <w:rsid w:val="002259F3"/>
    <w:rsid w:val="00225B34"/>
    <w:rsid w:val="002262EF"/>
    <w:rsid w:val="002271B9"/>
    <w:rsid w:val="00230F59"/>
    <w:rsid w:val="00232444"/>
    <w:rsid w:val="002329DF"/>
    <w:rsid w:val="002330DE"/>
    <w:rsid w:val="00234A12"/>
    <w:rsid w:val="00234A6E"/>
    <w:rsid w:val="00235315"/>
    <w:rsid w:val="00235DA0"/>
    <w:rsid w:val="00236F45"/>
    <w:rsid w:val="00237546"/>
    <w:rsid w:val="0024037E"/>
    <w:rsid w:val="00241180"/>
    <w:rsid w:val="002418CE"/>
    <w:rsid w:val="00241BB3"/>
    <w:rsid w:val="00241FD9"/>
    <w:rsid w:val="002429A6"/>
    <w:rsid w:val="00242D25"/>
    <w:rsid w:val="00242D78"/>
    <w:rsid w:val="00243F17"/>
    <w:rsid w:val="00244958"/>
    <w:rsid w:val="00244EF4"/>
    <w:rsid w:val="002459F8"/>
    <w:rsid w:val="00245DE3"/>
    <w:rsid w:val="002464F6"/>
    <w:rsid w:val="0024659E"/>
    <w:rsid w:val="00246838"/>
    <w:rsid w:val="00246DAA"/>
    <w:rsid w:val="00247662"/>
    <w:rsid w:val="002508F7"/>
    <w:rsid w:val="00250936"/>
    <w:rsid w:val="00250F4F"/>
    <w:rsid w:val="0025115D"/>
    <w:rsid w:val="002516D0"/>
    <w:rsid w:val="00251B3C"/>
    <w:rsid w:val="002521EB"/>
    <w:rsid w:val="00252981"/>
    <w:rsid w:val="00252A55"/>
    <w:rsid w:val="00252D32"/>
    <w:rsid w:val="00254AFA"/>
    <w:rsid w:val="002551DE"/>
    <w:rsid w:val="00257298"/>
    <w:rsid w:val="00257365"/>
    <w:rsid w:val="0025762F"/>
    <w:rsid w:val="0025766B"/>
    <w:rsid w:val="00257719"/>
    <w:rsid w:val="00257C12"/>
    <w:rsid w:val="002605A1"/>
    <w:rsid w:val="00260CB4"/>
    <w:rsid w:val="00260EF4"/>
    <w:rsid w:val="00260F9E"/>
    <w:rsid w:val="00261E7C"/>
    <w:rsid w:val="00263677"/>
    <w:rsid w:val="00263C06"/>
    <w:rsid w:val="002646BD"/>
    <w:rsid w:val="002658DF"/>
    <w:rsid w:val="0026688C"/>
    <w:rsid w:val="0026769F"/>
    <w:rsid w:val="002707A5"/>
    <w:rsid w:val="00271390"/>
    <w:rsid w:val="00271A9A"/>
    <w:rsid w:val="002725DA"/>
    <w:rsid w:val="002731B8"/>
    <w:rsid w:val="00273A2B"/>
    <w:rsid w:val="00273F55"/>
    <w:rsid w:val="00274000"/>
    <w:rsid w:val="00275A75"/>
    <w:rsid w:val="002767AC"/>
    <w:rsid w:val="00276874"/>
    <w:rsid w:val="0027719D"/>
    <w:rsid w:val="00277377"/>
    <w:rsid w:val="00281260"/>
    <w:rsid w:val="002816ED"/>
    <w:rsid w:val="00281B74"/>
    <w:rsid w:val="00282030"/>
    <w:rsid w:val="00282050"/>
    <w:rsid w:val="002824F8"/>
    <w:rsid w:val="00282D72"/>
    <w:rsid w:val="00284448"/>
    <w:rsid w:val="002846D3"/>
    <w:rsid w:val="0028486B"/>
    <w:rsid w:val="00284A2D"/>
    <w:rsid w:val="0028669D"/>
    <w:rsid w:val="00286CF7"/>
    <w:rsid w:val="00290D45"/>
    <w:rsid w:val="002910E7"/>
    <w:rsid w:val="00291152"/>
    <w:rsid w:val="00291257"/>
    <w:rsid w:val="002917F7"/>
    <w:rsid w:val="00291BD4"/>
    <w:rsid w:val="002920FE"/>
    <w:rsid w:val="002924D3"/>
    <w:rsid w:val="00292F22"/>
    <w:rsid w:val="00295BB6"/>
    <w:rsid w:val="00296C93"/>
    <w:rsid w:val="00297DDD"/>
    <w:rsid w:val="002A12E4"/>
    <w:rsid w:val="002A19F3"/>
    <w:rsid w:val="002A3C88"/>
    <w:rsid w:val="002A3D42"/>
    <w:rsid w:val="002A452E"/>
    <w:rsid w:val="002A4B3E"/>
    <w:rsid w:val="002A5350"/>
    <w:rsid w:val="002A5B5E"/>
    <w:rsid w:val="002A7CA1"/>
    <w:rsid w:val="002A7F9E"/>
    <w:rsid w:val="002B0C20"/>
    <w:rsid w:val="002B211E"/>
    <w:rsid w:val="002B2F88"/>
    <w:rsid w:val="002B38B2"/>
    <w:rsid w:val="002B39A2"/>
    <w:rsid w:val="002B3A6B"/>
    <w:rsid w:val="002B428B"/>
    <w:rsid w:val="002B5650"/>
    <w:rsid w:val="002B68C8"/>
    <w:rsid w:val="002B75C4"/>
    <w:rsid w:val="002C1CE7"/>
    <w:rsid w:val="002C492E"/>
    <w:rsid w:val="002C5698"/>
    <w:rsid w:val="002C56D3"/>
    <w:rsid w:val="002C66E2"/>
    <w:rsid w:val="002C6C3B"/>
    <w:rsid w:val="002C6FE3"/>
    <w:rsid w:val="002C78FF"/>
    <w:rsid w:val="002C7EF0"/>
    <w:rsid w:val="002D0178"/>
    <w:rsid w:val="002D0A32"/>
    <w:rsid w:val="002D108D"/>
    <w:rsid w:val="002D18B0"/>
    <w:rsid w:val="002D2F2F"/>
    <w:rsid w:val="002D4239"/>
    <w:rsid w:val="002D6326"/>
    <w:rsid w:val="002D67BA"/>
    <w:rsid w:val="002E01FD"/>
    <w:rsid w:val="002E28B1"/>
    <w:rsid w:val="002E327F"/>
    <w:rsid w:val="002E3726"/>
    <w:rsid w:val="002E3945"/>
    <w:rsid w:val="002E40D2"/>
    <w:rsid w:val="002E42E1"/>
    <w:rsid w:val="002E6BA0"/>
    <w:rsid w:val="002E6CAC"/>
    <w:rsid w:val="002E7598"/>
    <w:rsid w:val="002E7F48"/>
    <w:rsid w:val="002F029E"/>
    <w:rsid w:val="002F0EB1"/>
    <w:rsid w:val="002F1301"/>
    <w:rsid w:val="002F14F5"/>
    <w:rsid w:val="002F151D"/>
    <w:rsid w:val="002F2A89"/>
    <w:rsid w:val="002F3519"/>
    <w:rsid w:val="002F4813"/>
    <w:rsid w:val="002F524C"/>
    <w:rsid w:val="002F584B"/>
    <w:rsid w:val="002F5FFD"/>
    <w:rsid w:val="002F6888"/>
    <w:rsid w:val="002F73A0"/>
    <w:rsid w:val="003007FA"/>
    <w:rsid w:val="00301CA2"/>
    <w:rsid w:val="00302D1C"/>
    <w:rsid w:val="003044EC"/>
    <w:rsid w:val="003046A9"/>
    <w:rsid w:val="00304968"/>
    <w:rsid w:val="00305CBA"/>
    <w:rsid w:val="00306237"/>
    <w:rsid w:val="00306554"/>
    <w:rsid w:val="003071AD"/>
    <w:rsid w:val="00307335"/>
    <w:rsid w:val="00307885"/>
    <w:rsid w:val="0031039F"/>
    <w:rsid w:val="00310707"/>
    <w:rsid w:val="00310C8C"/>
    <w:rsid w:val="003122E9"/>
    <w:rsid w:val="00312849"/>
    <w:rsid w:val="00313E01"/>
    <w:rsid w:val="0031507E"/>
    <w:rsid w:val="00316282"/>
    <w:rsid w:val="00316AF3"/>
    <w:rsid w:val="0032064A"/>
    <w:rsid w:val="00320E34"/>
    <w:rsid w:val="0032111F"/>
    <w:rsid w:val="0032133D"/>
    <w:rsid w:val="003216A2"/>
    <w:rsid w:val="003236ED"/>
    <w:rsid w:val="00324C53"/>
    <w:rsid w:val="00324D46"/>
    <w:rsid w:val="00324E42"/>
    <w:rsid w:val="0032587B"/>
    <w:rsid w:val="0032712D"/>
    <w:rsid w:val="003278F4"/>
    <w:rsid w:val="003320BB"/>
    <w:rsid w:val="003321F9"/>
    <w:rsid w:val="0033224C"/>
    <w:rsid w:val="00332851"/>
    <w:rsid w:val="0033294E"/>
    <w:rsid w:val="00332D7F"/>
    <w:rsid w:val="00332EF5"/>
    <w:rsid w:val="00333542"/>
    <w:rsid w:val="00333939"/>
    <w:rsid w:val="00333B77"/>
    <w:rsid w:val="003344F8"/>
    <w:rsid w:val="00334BB2"/>
    <w:rsid w:val="00335E08"/>
    <w:rsid w:val="00335E0D"/>
    <w:rsid w:val="00335EAC"/>
    <w:rsid w:val="00335EF6"/>
    <w:rsid w:val="00336323"/>
    <w:rsid w:val="00336562"/>
    <w:rsid w:val="003374CF"/>
    <w:rsid w:val="00337529"/>
    <w:rsid w:val="00337FBA"/>
    <w:rsid w:val="00340369"/>
    <w:rsid w:val="0034073D"/>
    <w:rsid w:val="003415A1"/>
    <w:rsid w:val="00341A16"/>
    <w:rsid w:val="00341FDA"/>
    <w:rsid w:val="003421B4"/>
    <w:rsid w:val="003422F0"/>
    <w:rsid w:val="00342325"/>
    <w:rsid w:val="0034245D"/>
    <w:rsid w:val="0034296F"/>
    <w:rsid w:val="00343C39"/>
    <w:rsid w:val="0034499A"/>
    <w:rsid w:val="00344EF7"/>
    <w:rsid w:val="00344FDF"/>
    <w:rsid w:val="003451CE"/>
    <w:rsid w:val="003454F1"/>
    <w:rsid w:val="00346678"/>
    <w:rsid w:val="003467A0"/>
    <w:rsid w:val="00350CAC"/>
    <w:rsid w:val="003518BB"/>
    <w:rsid w:val="00351AED"/>
    <w:rsid w:val="00351FF8"/>
    <w:rsid w:val="00353A8C"/>
    <w:rsid w:val="00354181"/>
    <w:rsid w:val="00354B47"/>
    <w:rsid w:val="003551A6"/>
    <w:rsid w:val="003579C5"/>
    <w:rsid w:val="0036103B"/>
    <w:rsid w:val="00361155"/>
    <w:rsid w:val="0036154B"/>
    <w:rsid w:val="00361853"/>
    <w:rsid w:val="00362E9C"/>
    <w:rsid w:val="003653D2"/>
    <w:rsid w:val="0036700C"/>
    <w:rsid w:val="00367848"/>
    <w:rsid w:val="00367BA6"/>
    <w:rsid w:val="003708FC"/>
    <w:rsid w:val="0037097D"/>
    <w:rsid w:val="0037174E"/>
    <w:rsid w:val="00371B90"/>
    <w:rsid w:val="0037246B"/>
    <w:rsid w:val="003726EE"/>
    <w:rsid w:val="00372F79"/>
    <w:rsid w:val="00373CDD"/>
    <w:rsid w:val="00374752"/>
    <w:rsid w:val="003755B0"/>
    <w:rsid w:val="003762CC"/>
    <w:rsid w:val="00376FC5"/>
    <w:rsid w:val="003809EF"/>
    <w:rsid w:val="003813BB"/>
    <w:rsid w:val="0038149A"/>
    <w:rsid w:val="003818DA"/>
    <w:rsid w:val="00381F4A"/>
    <w:rsid w:val="0038221E"/>
    <w:rsid w:val="00382B59"/>
    <w:rsid w:val="003830DE"/>
    <w:rsid w:val="00385A0C"/>
    <w:rsid w:val="003861DD"/>
    <w:rsid w:val="003867E4"/>
    <w:rsid w:val="00387A13"/>
    <w:rsid w:val="00390642"/>
    <w:rsid w:val="00390E82"/>
    <w:rsid w:val="0039118D"/>
    <w:rsid w:val="00392216"/>
    <w:rsid w:val="00393A9F"/>
    <w:rsid w:val="00394520"/>
    <w:rsid w:val="003949BB"/>
    <w:rsid w:val="00394E21"/>
    <w:rsid w:val="003954BB"/>
    <w:rsid w:val="003954D7"/>
    <w:rsid w:val="0039762F"/>
    <w:rsid w:val="00397E66"/>
    <w:rsid w:val="003A2B22"/>
    <w:rsid w:val="003A2F32"/>
    <w:rsid w:val="003A4B3D"/>
    <w:rsid w:val="003A4CEC"/>
    <w:rsid w:val="003A5B72"/>
    <w:rsid w:val="003A70E2"/>
    <w:rsid w:val="003B0302"/>
    <w:rsid w:val="003B12AB"/>
    <w:rsid w:val="003B153E"/>
    <w:rsid w:val="003B1B79"/>
    <w:rsid w:val="003B1F35"/>
    <w:rsid w:val="003B228D"/>
    <w:rsid w:val="003B2812"/>
    <w:rsid w:val="003B4602"/>
    <w:rsid w:val="003B4720"/>
    <w:rsid w:val="003B5052"/>
    <w:rsid w:val="003B5158"/>
    <w:rsid w:val="003B5183"/>
    <w:rsid w:val="003B53FD"/>
    <w:rsid w:val="003B677A"/>
    <w:rsid w:val="003B7DB9"/>
    <w:rsid w:val="003C0FAC"/>
    <w:rsid w:val="003C158E"/>
    <w:rsid w:val="003C195B"/>
    <w:rsid w:val="003C1C9D"/>
    <w:rsid w:val="003C3177"/>
    <w:rsid w:val="003C527E"/>
    <w:rsid w:val="003C5844"/>
    <w:rsid w:val="003C63B9"/>
    <w:rsid w:val="003C6CC3"/>
    <w:rsid w:val="003C7E99"/>
    <w:rsid w:val="003D0606"/>
    <w:rsid w:val="003D1037"/>
    <w:rsid w:val="003D16DC"/>
    <w:rsid w:val="003D2DFE"/>
    <w:rsid w:val="003D2E37"/>
    <w:rsid w:val="003D34BF"/>
    <w:rsid w:val="003D5C97"/>
    <w:rsid w:val="003D6CEE"/>
    <w:rsid w:val="003D6E8C"/>
    <w:rsid w:val="003D6F3E"/>
    <w:rsid w:val="003D7D28"/>
    <w:rsid w:val="003E124B"/>
    <w:rsid w:val="003E1D42"/>
    <w:rsid w:val="003E21CC"/>
    <w:rsid w:val="003E3890"/>
    <w:rsid w:val="003E474E"/>
    <w:rsid w:val="003E5774"/>
    <w:rsid w:val="003E6221"/>
    <w:rsid w:val="003E6C84"/>
    <w:rsid w:val="003E73B4"/>
    <w:rsid w:val="003E74BA"/>
    <w:rsid w:val="003E7806"/>
    <w:rsid w:val="003E7D91"/>
    <w:rsid w:val="003F13E9"/>
    <w:rsid w:val="003F20A0"/>
    <w:rsid w:val="003F3AF0"/>
    <w:rsid w:val="003F3C28"/>
    <w:rsid w:val="003F4D02"/>
    <w:rsid w:val="003F596D"/>
    <w:rsid w:val="003F6504"/>
    <w:rsid w:val="003F6E03"/>
    <w:rsid w:val="003F6F26"/>
    <w:rsid w:val="00400B6B"/>
    <w:rsid w:val="0040151F"/>
    <w:rsid w:val="00401F9D"/>
    <w:rsid w:val="00402452"/>
    <w:rsid w:val="00402C5A"/>
    <w:rsid w:val="00403E70"/>
    <w:rsid w:val="00404994"/>
    <w:rsid w:val="00404E72"/>
    <w:rsid w:val="0040571E"/>
    <w:rsid w:val="00407818"/>
    <w:rsid w:val="00407B23"/>
    <w:rsid w:val="00410030"/>
    <w:rsid w:val="0041016E"/>
    <w:rsid w:val="00411B5B"/>
    <w:rsid w:val="0041263A"/>
    <w:rsid w:val="00412F82"/>
    <w:rsid w:val="004158E6"/>
    <w:rsid w:val="00416001"/>
    <w:rsid w:val="0041661A"/>
    <w:rsid w:val="00416C7B"/>
    <w:rsid w:val="0042003E"/>
    <w:rsid w:val="004208B2"/>
    <w:rsid w:val="004212B3"/>
    <w:rsid w:val="0042172D"/>
    <w:rsid w:val="004223B0"/>
    <w:rsid w:val="0042265C"/>
    <w:rsid w:val="00422994"/>
    <w:rsid w:val="0042299D"/>
    <w:rsid w:val="00422A68"/>
    <w:rsid w:val="00423ABE"/>
    <w:rsid w:val="0042407B"/>
    <w:rsid w:val="004240F3"/>
    <w:rsid w:val="00424450"/>
    <w:rsid w:val="004247F3"/>
    <w:rsid w:val="00424A67"/>
    <w:rsid w:val="00424BFA"/>
    <w:rsid w:val="00424CB1"/>
    <w:rsid w:val="00427CAA"/>
    <w:rsid w:val="0043187F"/>
    <w:rsid w:val="00431D7F"/>
    <w:rsid w:val="00431DBE"/>
    <w:rsid w:val="00432D3A"/>
    <w:rsid w:val="00432D75"/>
    <w:rsid w:val="00433699"/>
    <w:rsid w:val="00433E4E"/>
    <w:rsid w:val="00435ABD"/>
    <w:rsid w:val="00436A2D"/>
    <w:rsid w:val="00436CF5"/>
    <w:rsid w:val="0043707C"/>
    <w:rsid w:val="004374B7"/>
    <w:rsid w:val="004403A6"/>
    <w:rsid w:val="004408DF"/>
    <w:rsid w:val="00440DBD"/>
    <w:rsid w:val="00440F8D"/>
    <w:rsid w:val="004416B5"/>
    <w:rsid w:val="00441E3E"/>
    <w:rsid w:val="00442068"/>
    <w:rsid w:val="00442A18"/>
    <w:rsid w:val="00442A92"/>
    <w:rsid w:val="004431E1"/>
    <w:rsid w:val="004436F0"/>
    <w:rsid w:val="00443AAC"/>
    <w:rsid w:val="004443CB"/>
    <w:rsid w:val="004448CC"/>
    <w:rsid w:val="00444F55"/>
    <w:rsid w:val="004465AE"/>
    <w:rsid w:val="0044695F"/>
    <w:rsid w:val="00446ACB"/>
    <w:rsid w:val="004473A8"/>
    <w:rsid w:val="004506FD"/>
    <w:rsid w:val="004507A6"/>
    <w:rsid w:val="004509FA"/>
    <w:rsid w:val="00451248"/>
    <w:rsid w:val="00451733"/>
    <w:rsid w:val="00451C62"/>
    <w:rsid w:val="00452710"/>
    <w:rsid w:val="004530D4"/>
    <w:rsid w:val="00454778"/>
    <w:rsid w:val="004547C3"/>
    <w:rsid w:val="00454FA4"/>
    <w:rsid w:val="00455018"/>
    <w:rsid w:val="00455057"/>
    <w:rsid w:val="00456E44"/>
    <w:rsid w:val="004603DB"/>
    <w:rsid w:val="00460CCC"/>
    <w:rsid w:val="00461076"/>
    <w:rsid w:val="00461703"/>
    <w:rsid w:val="004633FF"/>
    <w:rsid w:val="004634BA"/>
    <w:rsid w:val="00464209"/>
    <w:rsid w:val="00464B44"/>
    <w:rsid w:val="004652EB"/>
    <w:rsid w:val="00465B45"/>
    <w:rsid w:val="00465C2A"/>
    <w:rsid w:val="00466B51"/>
    <w:rsid w:val="00467D72"/>
    <w:rsid w:val="004700DD"/>
    <w:rsid w:val="00470366"/>
    <w:rsid w:val="0047064A"/>
    <w:rsid w:val="004711CF"/>
    <w:rsid w:val="00471611"/>
    <w:rsid w:val="00471EB9"/>
    <w:rsid w:val="00472318"/>
    <w:rsid w:val="00472586"/>
    <w:rsid w:val="004728E1"/>
    <w:rsid w:val="00472E0A"/>
    <w:rsid w:val="0047321B"/>
    <w:rsid w:val="00473C69"/>
    <w:rsid w:val="00473C74"/>
    <w:rsid w:val="00473FFF"/>
    <w:rsid w:val="00474445"/>
    <w:rsid w:val="004751EC"/>
    <w:rsid w:val="00475349"/>
    <w:rsid w:val="004758B2"/>
    <w:rsid w:val="00475C80"/>
    <w:rsid w:val="004761BD"/>
    <w:rsid w:val="00477306"/>
    <w:rsid w:val="00477420"/>
    <w:rsid w:val="00480111"/>
    <w:rsid w:val="004810D7"/>
    <w:rsid w:val="004816C8"/>
    <w:rsid w:val="004817AD"/>
    <w:rsid w:val="00481F76"/>
    <w:rsid w:val="00482539"/>
    <w:rsid w:val="0048287E"/>
    <w:rsid w:val="004830AB"/>
    <w:rsid w:val="004834B9"/>
    <w:rsid w:val="004843FE"/>
    <w:rsid w:val="00484AA3"/>
    <w:rsid w:val="00485047"/>
    <w:rsid w:val="00485683"/>
    <w:rsid w:val="00486BAC"/>
    <w:rsid w:val="00487593"/>
    <w:rsid w:val="004901A7"/>
    <w:rsid w:val="004901D2"/>
    <w:rsid w:val="004904CD"/>
    <w:rsid w:val="004909E4"/>
    <w:rsid w:val="00490B96"/>
    <w:rsid w:val="004911B6"/>
    <w:rsid w:val="00491910"/>
    <w:rsid w:val="004923BF"/>
    <w:rsid w:val="004928A2"/>
    <w:rsid w:val="00492A49"/>
    <w:rsid w:val="0049474F"/>
    <w:rsid w:val="0049491A"/>
    <w:rsid w:val="00494A6B"/>
    <w:rsid w:val="00494B1C"/>
    <w:rsid w:val="0049539C"/>
    <w:rsid w:val="0049592B"/>
    <w:rsid w:val="00495956"/>
    <w:rsid w:val="00495A7B"/>
    <w:rsid w:val="0049600E"/>
    <w:rsid w:val="00497BDC"/>
    <w:rsid w:val="004A0222"/>
    <w:rsid w:val="004A05E3"/>
    <w:rsid w:val="004A0E4A"/>
    <w:rsid w:val="004A1821"/>
    <w:rsid w:val="004A182E"/>
    <w:rsid w:val="004A1D2B"/>
    <w:rsid w:val="004A2453"/>
    <w:rsid w:val="004A2CD1"/>
    <w:rsid w:val="004A3767"/>
    <w:rsid w:val="004A4455"/>
    <w:rsid w:val="004A448E"/>
    <w:rsid w:val="004A5B88"/>
    <w:rsid w:val="004A7F6C"/>
    <w:rsid w:val="004B076B"/>
    <w:rsid w:val="004B2210"/>
    <w:rsid w:val="004B251D"/>
    <w:rsid w:val="004B3E9C"/>
    <w:rsid w:val="004B443E"/>
    <w:rsid w:val="004B4AD1"/>
    <w:rsid w:val="004B53C3"/>
    <w:rsid w:val="004B5E1D"/>
    <w:rsid w:val="004B6244"/>
    <w:rsid w:val="004B7DB6"/>
    <w:rsid w:val="004B7FDE"/>
    <w:rsid w:val="004C01A3"/>
    <w:rsid w:val="004C07EF"/>
    <w:rsid w:val="004C0F1F"/>
    <w:rsid w:val="004C1A5A"/>
    <w:rsid w:val="004C1C4D"/>
    <w:rsid w:val="004C2F43"/>
    <w:rsid w:val="004C318C"/>
    <w:rsid w:val="004C3412"/>
    <w:rsid w:val="004C39EA"/>
    <w:rsid w:val="004C3DD8"/>
    <w:rsid w:val="004C43CC"/>
    <w:rsid w:val="004C4906"/>
    <w:rsid w:val="004C5E41"/>
    <w:rsid w:val="004C7AE6"/>
    <w:rsid w:val="004D12EB"/>
    <w:rsid w:val="004D1B60"/>
    <w:rsid w:val="004D1F91"/>
    <w:rsid w:val="004D2510"/>
    <w:rsid w:val="004D29B5"/>
    <w:rsid w:val="004D2C72"/>
    <w:rsid w:val="004D3B02"/>
    <w:rsid w:val="004D3DDC"/>
    <w:rsid w:val="004D4306"/>
    <w:rsid w:val="004D43A6"/>
    <w:rsid w:val="004D4ECE"/>
    <w:rsid w:val="004D4FA9"/>
    <w:rsid w:val="004D4FE5"/>
    <w:rsid w:val="004D5C8F"/>
    <w:rsid w:val="004D6059"/>
    <w:rsid w:val="004D7307"/>
    <w:rsid w:val="004E0C7A"/>
    <w:rsid w:val="004E0C82"/>
    <w:rsid w:val="004E0E83"/>
    <w:rsid w:val="004E2148"/>
    <w:rsid w:val="004E2ED1"/>
    <w:rsid w:val="004E30E4"/>
    <w:rsid w:val="004E3931"/>
    <w:rsid w:val="004E40B1"/>
    <w:rsid w:val="004E4703"/>
    <w:rsid w:val="004E4705"/>
    <w:rsid w:val="004E49AA"/>
    <w:rsid w:val="004E5612"/>
    <w:rsid w:val="004E5BCE"/>
    <w:rsid w:val="004E6D40"/>
    <w:rsid w:val="004E7F96"/>
    <w:rsid w:val="004F0E12"/>
    <w:rsid w:val="004F20AA"/>
    <w:rsid w:val="004F2812"/>
    <w:rsid w:val="004F31E0"/>
    <w:rsid w:val="004F41E2"/>
    <w:rsid w:val="004F4D69"/>
    <w:rsid w:val="004F679C"/>
    <w:rsid w:val="004F6A9C"/>
    <w:rsid w:val="004F7E94"/>
    <w:rsid w:val="00500521"/>
    <w:rsid w:val="00500A10"/>
    <w:rsid w:val="00501713"/>
    <w:rsid w:val="005027B6"/>
    <w:rsid w:val="00502CD6"/>
    <w:rsid w:val="00503A90"/>
    <w:rsid w:val="00503FD6"/>
    <w:rsid w:val="00504242"/>
    <w:rsid w:val="0050553B"/>
    <w:rsid w:val="0050592A"/>
    <w:rsid w:val="00505C1C"/>
    <w:rsid w:val="00506960"/>
    <w:rsid w:val="00510E86"/>
    <w:rsid w:val="005117FB"/>
    <w:rsid w:val="00511915"/>
    <w:rsid w:val="00511962"/>
    <w:rsid w:val="0051270A"/>
    <w:rsid w:val="005127F0"/>
    <w:rsid w:val="00512ADE"/>
    <w:rsid w:val="0051302A"/>
    <w:rsid w:val="0051326B"/>
    <w:rsid w:val="00513568"/>
    <w:rsid w:val="00513C77"/>
    <w:rsid w:val="00513E29"/>
    <w:rsid w:val="005158B7"/>
    <w:rsid w:val="00516229"/>
    <w:rsid w:val="005163B3"/>
    <w:rsid w:val="00516C06"/>
    <w:rsid w:val="00520062"/>
    <w:rsid w:val="00520C0D"/>
    <w:rsid w:val="00521988"/>
    <w:rsid w:val="00522542"/>
    <w:rsid w:val="005226BD"/>
    <w:rsid w:val="00522927"/>
    <w:rsid w:val="00524C6B"/>
    <w:rsid w:val="00524E3E"/>
    <w:rsid w:val="005259A5"/>
    <w:rsid w:val="00525D3C"/>
    <w:rsid w:val="00526EC6"/>
    <w:rsid w:val="00533455"/>
    <w:rsid w:val="00533877"/>
    <w:rsid w:val="00533B8A"/>
    <w:rsid w:val="00534357"/>
    <w:rsid w:val="00534B1A"/>
    <w:rsid w:val="0053504D"/>
    <w:rsid w:val="00535153"/>
    <w:rsid w:val="0053547F"/>
    <w:rsid w:val="00535DAC"/>
    <w:rsid w:val="0053640D"/>
    <w:rsid w:val="00536876"/>
    <w:rsid w:val="00536ECE"/>
    <w:rsid w:val="00537571"/>
    <w:rsid w:val="00540B3B"/>
    <w:rsid w:val="005421E7"/>
    <w:rsid w:val="00542D10"/>
    <w:rsid w:val="00543393"/>
    <w:rsid w:val="00543DCA"/>
    <w:rsid w:val="00544668"/>
    <w:rsid w:val="00544FD7"/>
    <w:rsid w:val="005454DE"/>
    <w:rsid w:val="00545A48"/>
    <w:rsid w:val="00546776"/>
    <w:rsid w:val="0054686F"/>
    <w:rsid w:val="005469ED"/>
    <w:rsid w:val="005470E5"/>
    <w:rsid w:val="00547CF8"/>
    <w:rsid w:val="00550241"/>
    <w:rsid w:val="00557327"/>
    <w:rsid w:val="0055778A"/>
    <w:rsid w:val="00557C80"/>
    <w:rsid w:val="00557F31"/>
    <w:rsid w:val="0056115D"/>
    <w:rsid w:val="00561587"/>
    <w:rsid w:val="00561C37"/>
    <w:rsid w:val="005620B4"/>
    <w:rsid w:val="00562340"/>
    <w:rsid w:val="0056250A"/>
    <w:rsid w:val="00562EA2"/>
    <w:rsid w:val="005638CC"/>
    <w:rsid w:val="00564207"/>
    <w:rsid w:val="005659B8"/>
    <w:rsid w:val="0056610F"/>
    <w:rsid w:val="0056766F"/>
    <w:rsid w:val="00567DAC"/>
    <w:rsid w:val="00570F90"/>
    <w:rsid w:val="00571401"/>
    <w:rsid w:val="005729A6"/>
    <w:rsid w:val="00572BEA"/>
    <w:rsid w:val="00572F1A"/>
    <w:rsid w:val="005735B7"/>
    <w:rsid w:val="005746C6"/>
    <w:rsid w:val="00575624"/>
    <w:rsid w:val="00575E33"/>
    <w:rsid w:val="0057677A"/>
    <w:rsid w:val="00577DDC"/>
    <w:rsid w:val="00580A9E"/>
    <w:rsid w:val="00580ED4"/>
    <w:rsid w:val="0058153E"/>
    <w:rsid w:val="005819BB"/>
    <w:rsid w:val="00581BBA"/>
    <w:rsid w:val="00581F4B"/>
    <w:rsid w:val="005823DE"/>
    <w:rsid w:val="00583947"/>
    <w:rsid w:val="0058399D"/>
    <w:rsid w:val="005847BA"/>
    <w:rsid w:val="0058711A"/>
    <w:rsid w:val="005872D9"/>
    <w:rsid w:val="00587C79"/>
    <w:rsid w:val="00587D07"/>
    <w:rsid w:val="00587D0B"/>
    <w:rsid w:val="00590537"/>
    <w:rsid w:val="0059182D"/>
    <w:rsid w:val="00591C1E"/>
    <w:rsid w:val="00591C96"/>
    <w:rsid w:val="00594D09"/>
    <w:rsid w:val="00594F57"/>
    <w:rsid w:val="005958B5"/>
    <w:rsid w:val="00596B10"/>
    <w:rsid w:val="00597245"/>
    <w:rsid w:val="00597921"/>
    <w:rsid w:val="005A2C4C"/>
    <w:rsid w:val="005A2F5B"/>
    <w:rsid w:val="005A4D9C"/>
    <w:rsid w:val="005A4F17"/>
    <w:rsid w:val="005A5781"/>
    <w:rsid w:val="005A5DC4"/>
    <w:rsid w:val="005A7F2A"/>
    <w:rsid w:val="005B06C3"/>
    <w:rsid w:val="005B0A89"/>
    <w:rsid w:val="005B12B1"/>
    <w:rsid w:val="005B17F8"/>
    <w:rsid w:val="005B2524"/>
    <w:rsid w:val="005B2568"/>
    <w:rsid w:val="005B2682"/>
    <w:rsid w:val="005B29B6"/>
    <w:rsid w:val="005B2F43"/>
    <w:rsid w:val="005B3724"/>
    <w:rsid w:val="005B407F"/>
    <w:rsid w:val="005B420D"/>
    <w:rsid w:val="005B5455"/>
    <w:rsid w:val="005B55F2"/>
    <w:rsid w:val="005C0EE1"/>
    <w:rsid w:val="005C1145"/>
    <w:rsid w:val="005C1C17"/>
    <w:rsid w:val="005C2822"/>
    <w:rsid w:val="005C2980"/>
    <w:rsid w:val="005C2C27"/>
    <w:rsid w:val="005C4818"/>
    <w:rsid w:val="005C52E1"/>
    <w:rsid w:val="005C572D"/>
    <w:rsid w:val="005C5B14"/>
    <w:rsid w:val="005C5B1D"/>
    <w:rsid w:val="005C5BA2"/>
    <w:rsid w:val="005C5E6B"/>
    <w:rsid w:val="005C6E5D"/>
    <w:rsid w:val="005C7ECF"/>
    <w:rsid w:val="005D03FB"/>
    <w:rsid w:val="005D041C"/>
    <w:rsid w:val="005D1DC0"/>
    <w:rsid w:val="005D272E"/>
    <w:rsid w:val="005D2D54"/>
    <w:rsid w:val="005D41CB"/>
    <w:rsid w:val="005D5895"/>
    <w:rsid w:val="005D5CEC"/>
    <w:rsid w:val="005D5D1B"/>
    <w:rsid w:val="005D785B"/>
    <w:rsid w:val="005D79C6"/>
    <w:rsid w:val="005D7A4C"/>
    <w:rsid w:val="005D7ADD"/>
    <w:rsid w:val="005E0A36"/>
    <w:rsid w:val="005E21BB"/>
    <w:rsid w:val="005E28C7"/>
    <w:rsid w:val="005E2D07"/>
    <w:rsid w:val="005E2F9C"/>
    <w:rsid w:val="005E3065"/>
    <w:rsid w:val="005E3149"/>
    <w:rsid w:val="005E3287"/>
    <w:rsid w:val="005E344B"/>
    <w:rsid w:val="005E3F5C"/>
    <w:rsid w:val="005E4941"/>
    <w:rsid w:val="005E499D"/>
    <w:rsid w:val="005E52B2"/>
    <w:rsid w:val="005E5DE6"/>
    <w:rsid w:val="005E6CB3"/>
    <w:rsid w:val="005E6DD3"/>
    <w:rsid w:val="005E7C1C"/>
    <w:rsid w:val="005F0148"/>
    <w:rsid w:val="005F044B"/>
    <w:rsid w:val="005F0D49"/>
    <w:rsid w:val="005F1C09"/>
    <w:rsid w:val="005F1E7F"/>
    <w:rsid w:val="005F2468"/>
    <w:rsid w:val="005F4AB1"/>
    <w:rsid w:val="005F564A"/>
    <w:rsid w:val="005F5CE2"/>
    <w:rsid w:val="005F6DC0"/>
    <w:rsid w:val="005F796B"/>
    <w:rsid w:val="0060009A"/>
    <w:rsid w:val="00600B01"/>
    <w:rsid w:val="006012CB"/>
    <w:rsid w:val="00601390"/>
    <w:rsid w:val="00601553"/>
    <w:rsid w:val="00602AA9"/>
    <w:rsid w:val="006030D7"/>
    <w:rsid w:val="00604455"/>
    <w:rsid w:val="006045E7"/>
    <w:rsid w:val="006052AD"/>
    <w:rsid w:val="00605708"/>
    <w:rsid w:val="00605F91"/>
    <w:rsid w:val="006067FA"/>
    <w:rsid w:val="00606BE2"/>
    <w:rsid w:val="00610D01"/>
    <w:rsid w:val="00611757"/>
    <w:rsid w:val="0061181C"/>
    <w:rsid w:val="00612202"/>
    <w:rsid w:val="006122D1"/>
    <w:rsid w:val="00612588"/>
    <w:rsid w:val="00613BFA"/>
    <w:rsid w:val="00613C04"/>
    <w:rsid w:val="006152B0"/>
    <w:rsid w:val="0061573F"/>
    <w:rsid w:val="0061629A"/>
    <w:rsid w:val="0062085E"/>
    <w:rsid w:val="00620960"/>
    <w:rsid w:val="00620B64"/>
    <w:rsid w:val="00620F64"/>
    <w:rsid w:val="00620FA0"/>
    <w:rsid w:val="00621AB7"/>
    <w:rsid w:val="00621BC4"/>
    <w:rsid w:val="00623009"/>
    <w:rsid w:val="00623A1E"/>
    <w:rsid w:val="006242A8"/>
    <w:rsid w:val="00624CCF"/>
    <w:rsid w:val="00624FD1"/>
    <w:rsid w:val="00625BC5"/>
    <w:rsid w:val="006270C7"/>
    <w:rsid w:val="00630211"/>
    <w:rsid w:val="00632D0C"/>
    <w:rsid w:val="00633A98"/>
    <w:rsid w:val="006340FB"/>
    <w:rsid w:val="0063530A"/>
    <w:rsid w:val="00635BA6"/>
    <w:rsid w:val="0063694B"/>
    <w:rsid w:val="00637A72"/>
    <w:rsid w:val="00637C00"/>
    <w:rsid w:val="006411FA"/>
    <w:rsid w:val="006415DA"/>
    <w:rsid w:val="00641687"/>
    <w:rsid w:val="00641C8C"/>
    <w:rsid w:val="006436D7"/>
    <w:rsid w:val="00643973"/>
    <w:rsid w:val="00644065"/>
    <w:rsid w:val="00644C10"/>
    <w:rsid w:val="00645126"/>
    <w:rsid w:val="00646495"/>
    <w:rsid w:val="00646AEC"/>
    <w:rsid w:val="00646D09"/>
    <w:rsid w:val="00647AF6"/>
    <w:rsid w:val="006512E4"/>
    <w:rsid w:val="006515F7"/>
    <w:rsid w:val="00651819"/>
    <w:rsid w:val="0065343A"/>
    <w:rsid w:val="006534B7"/>
    <w:rsid w:val="00655981"/>
    <w:rsid w:val="00655BF4"/>
    <w:rsid w:val="00655F04"/>
    <w:rsid w:val="00655FAF"/>
    <w:rsid w:val="0066025D"/>
    <w:rsid w:val="00660601"/>
    <w:rsid w:val="0066072A"/>
    <w:rsid w:val="0066157D"/>
    <w:rsid w:val="006618FB"/>
    <w:rsid w:val="00661A0A"/>
    <w:rsid w:val="00661EEA"/>
    <w:rsid w:val="0066268A"/>
    <w:rsid w:val="00663A84"/>
    <w:rsid w:val="00663E5B"/>
    <w:rsid w:val="00664145"/>
    <w:rsid w:val="0066458C"/>
    <w:rsid w:val="00664750"/>
    <w:rsid w:val="0066517C"/>
    <w:rsid w:val="006652B2"/>
    <w:rsid w:val="00665A16"/>
    <w:rsid w:val="00667749"/>
    <w:rsid w:val="006678FD"/>
    <w:rsid w:val="00667AE7"/>
    <w:rsid w:val="006706FE"/>
    <w:rsid w:val="00671457"/>
    <w:rsid w:val="00671725"/>
    <w:rsid w:val="00672129"/>
    <w:rsid w:val="006726CD"/>
    <w:rsid w:val="006728A7"/>
    <w:rsid w:val="006739FC"/>
    <w:rsid w:val="006755BC"/>
    <w:rsid w:val="00675840"/>
    <w:rsid w:val="00676D76"/>
    <w:rsid w:val="00676D97"/>
    <w:rsid w:val="00676ED3"/>
    <w:rsid w:val="006771B7"/>
    <w:rsid w:val="00677EBC"/>
    <w:rsid w:val="0068127B"/>
    <w:rsid w:val="00682452"/>
    <w:rsid w:val="00684012"/>
    <w:rsid w:val="00684CF4"/>
    <w:rsid w:val="00685182"/>
    <w:rsid w:val="006856F3"/>
    <w:rsid w:val="00685C1D"/>
    <w:rsid w:val="00686EE4"/>
    <w:rsid w:val="00686F0F"/>
    <w:rsid w:val="00686F8E"/>
    <w:rsid w:val="006873C8"/>
    <w:rsid w:val="006879CC"/>
    <w:rsid w:val="00691D9C"/>
    <w:rsid w:val="00694BA2"/>
    <w:rsid w:val="006953C0"/>
    <w:rsid w:val="0069573B"/>
    <w:rsid w:val="00695762"/>
    <w:rsid w:val="00695BC7"/>
    <w:rsid w:val="00697133"/>
    <w:rsid w:val="006A071D"/>
    <w:rsid w:val="006A0E56"/>
    <w:rsid w:val="006A3611"/>
    <w:rsid w:val="006A4211"/>
    <w:rsid w:val="006A4867"/>
    <w:rsid w:val="006A49CB"/>
    <w:rsid w:val="006A50F8"/>
    <w:rsid w:val="006A5816"/>
    <w:rsid w:val="006A604E"/>
    <w:rsid w:val="006A6266"/>
    <w:rsid w:val="006A64F8"/>
    <w:rsid w:val="006A71F1"/>
    <w:rsid w:val="006B0031"/>
    <w:rsid w:val="006B0103"/>
    <w:rsid w:val="006B02B0"/>
    <w:rsid w:val="006B0BE3"/>
    <w:rsid w:val="006B0DB8"/>
    <w:rsid w:val="006B1094"/>
    <w:rsid w:val="006B1605"/>
    <w:rsid w:val="006B251D"/>
    <w:rsid w:val="006B282D"/>
    <w:rsid w:val="006B2B0F"/>
    <w:rsid w:val="006B2D0B"/>
    <w:rsid w:val="006B38EE"/>
    <w:rsid w:val="006B4278"/>
    <w:rsid w:val="006B445F"/>
    <w:rsid w:val="006B5C1C"/>
    <w:rsid w:val="006B5C72"/>
    <w:rsid w:val="006B5F85"/>
    <w:rsid w:val="006B65C1"/>
    <w:rsid w:val="006B67A6"/>
    <w:rsid w:val="006B6ACA"/>
    <w:rsid w:val="006B71A5"/>
    <w:rsid w:val="006B7587"/>
    <w:rsid w:val="006B7AE7"/>
    <w:rsid w:val="006C0607"/>
    <w:rsid w:val="006C17C0"/>
    <w:rsid w:val="006C1A1C"/>
    <w:rsid w:val="006C2670"/>
    <w:rsid w:val="006C2A4F"/>
    <w:rsid w:val="006C3194"/>
    <w:rsid w:val="006C3BD3"/>
    <w:rsid w:val="006C5A4C"/>
    <w:rsid w:val="006C6530"/>
    <w:rsid w:val="006C66FF"/>
    <w:rsid w:val="006C698A"/>
    <w:rsid w:val="006C75CA"/>
    <w:rsid w:val="006C7A88"/>
    <w:rsid w:val="006D2C82"/>
    <w:rsid w:val="006D317F"/>
    <w:rsid w:val="006D3C59"/>
    <w:rsid w:val="006D46CB"/>
    <w:rsid w:val="006D47A4"/>
    <w:rsid w:val="006D514E"/>
    <w:rsid w:val="006D6229"/>
    <w:rsid w:val="006D664B"/>
    <w:rsid w:val="006D6C3C"/>
    <w:rsid w:val="006E00CD"/>
    <w:rsid w:val="006E0927"/>
    <w:rsid w:val="006E1D9E"/>
    <w:rsid w:val="006E2068"/>
    <w:rsid w:val="006E220C"/>
    <w:rsid w:val="006E3776"/>
    <w:rsid w:val="006E3F22"/>
    <w:rsid w:val="006E51F5"/>
    <w:rsid w:val="006E54F4"/>
    <w:rsid w:val="006E5E1B"/>
    <w:rsid w:val="006E6D2C"/>
    <w:rsid w:val="006F07D7"/>
    <w:rsid w:val="006F1B60"/>
    <w:rsid w:val="006F2A7C"/>
    <w:rsid w:val="006F2B60"/>
    <w:rsid w:val="006F2C3A"/>
    <w:rsid w:val="006F3139"/>
    <w:rsid w:val="006F32BF"/>
    <w:rsid w:val="006F3C30"/>
    <w:rsid w:val="006F4FE6"/>
    <w:rsid w:val="006F5D6F"/>
    <w:rsid w:val="006F6D8E"/>
    <w:rsid w:val="006F6DB4"/>
    <w:rsid w:val="00703105"/>
    <w:rsid w:val="007033EC"/>
    <w:rsid w:val="0070501F"/>
    <w:rsid w:val="0070667E"/>
    <w:rsid w:val="00706F04"/>
    <w:rsid w:val="0070764C"/>
    <w:rsid w:val="0070768E"/>
    <w:rsid w:val="00707F68"/>
    <w:rsid w:val="007101E6"/>
    <w:rsid w:val="00711974"/>
    <w:rsid w:val="00711B0E"/>
    <w:rsid w:val="0071333A"/>
    <w:rsid w:val="00713604"/>
    <w:rsid w:val="00713B1C"/>
    <w:rsid w:val="00713CC5"/>
    <w:rsid w:val="00714438"/>
    <w:rsid w:val="00714739"/>
    <w:rsid w:val="007153B6"/>
    <w:rsid w:val="00715A87"/>
    <w:rsid w:val="00715AEE"/>
    <w:rsid w:val="0071617B"/>
    <w:rsid w:val="00720942"/>
    <w:rsid w:val="00720A80"/>
    <w:rsid w:val="00722205"/>
    <w:rsid w:val="00722754"/>
    <w:rsid w:val="007234BA"/>
    <w:rsid w:val="00724A34"/>
    <w:rsid w:val="007262F3"/>
    <w:rsid w:val="00726A6A"/>
    <w:rsid w:val="00727167"/>
    <w:rsid w:val="00727261"/>
    <w:rsid w:val="00730083"/>
    <w:rsid w:val="0073038A"/>
    <w:rsid w:val="007315F5"/>
    <w:rsid w:val="007320BD"/>
    <w:rsid w:val="00732AAA"/>
    <w:rsid w:val="007345F0"/>
    <w:rsid w:val="0073486B"/>
    <w:rsid w:val="00734F10"/>
    <w:rsid w:val="007350B3"/>
    <w:rsid w:val="007360F2"/>
    <w:rsid w:val="00736123"/>
    <w:rsid w:val="0073686A"/>
    <w:rsid w:val="00736FF7"/>
    <w:rsid w:val="007376B2"/>
    <w:rsid w:val="00737F77"/>
    <w:rsid w:val="00740103"/>
    <w:rsid w:val="0074063D"/>
    <w:rsid w:val="007413DA"/>
    <w:rsid w:val="007428EE"/>
    <w:rsid w:val="00743A8A"/>
    <w:rsid w:val="00743F8A"/>
    <w:rsid w:val="007455D1"/>
    <w:rsid w:val="00745E12"/>
    <w:rsid w:val="00746A33"/>
    <w:rsid w:val="0074708B"/>
    <w:rsid w:val="0075096E"/>
    <w:rsid w:val="00750B5F"/>
    <w:rsid w:val="0075222F"/>
    <w:rsid w:val="00752F4E"/>
    <w:rsid w:val="00753054"/>
    <w:rsid w:val="00753A4C"/>
    <w:rsid w:val="00753C92"/>
    <w:rsid w:val="00753D89"/>
    <w:rsid w:val="00754562"/>
    <w:rsid w:val="0075636F"/>
    <w:rsid w:val="00757EBB"/>
    <w:rsid w:val="00757F08"/>
    <w:rsid w:val="007614C8"/>
    <w:rsid w:val="007615F5"/>
    <w:rsid w:val="007615FE"/>
    <w:rsid w:val="00762D27"/>
    <w:rsid w:val="00763536"/>
    <w:rsid w:val="00763866"/>
    <w:rsid w:val="007639D9"/>
    <w:rsid w:val="00763C5C"/>
    <w:rsid w:val="007646E4"/>
    <w:rsid w:val="0076475F"/>
    <w:rsid w:val="00765A31"/>
    <w:rsid w:val="007664DF"/>
    <w:rsid w:val="00766D32"/>
    <w:rsid w:val="00767098"/>
    <w:rsid w:val="00770472"/>
    <w:rsid w:val="00771244"/>
    <w:rsid w:val="00774531"/>
    <w:rsid w:val="00775544"/>
    <w:rsid w:val="00775E68"/>
    <w:rsid w:val="00776B57"/>
    <w:rsid w:val="00777063"/>
    <w:rsid w:val="007775A1"/>
    <w:rsid w:val="007806EA"/>
    <w:rsid w:val="00780A0C"/>
    <w:rsid w:val="0078179C"/>
    <w:rsid w:val="0078191E"/>
    <w:rsid w:val="00782281"/>
    <w:rsid w:val="0078291C"/>
    <w:rsid w:val="00782D31"/>
    <w:rsid w:val="0078341C"/>
    <w:rsid w:val="00783D10"/>
    <w:rsid w:val="007843D7"/>
    <w:rsid w:val="00785678"/>
    <w:rsid w:val="00785E68"/>
    <w:rsid w:val="0078605F"/>
    <w:rsid w:val="007862E2"/>
    <w:rsid w:val="007862EB"/>
    <w:rsid w:val="007870B5"/>
    <w:rsid w:val="0079029C"/>
    <w:rsid w:val="007926E2"/>
    <w:rsid w:val="007929E3"/>
    <w:rsid w:val="00792CE2"/>
    <w:rsid w:val="00792E11"/>
    <w:rsid w:val="00792E2C"/>
    <w:rsid w:val="00793AEA"/>
    <w:rsid w:val="007942BF"/>
    <w:rsid w:val="0079448D"/>
    <w:rsid w:val="0079456A"/>
    <w:rsid w:val="00794E54"/>
    <w:rsid w:val="0079517C"/>
    <w:rsid w:val="00796126"/>
    <w:rsid w:val="00796B0F"/>
    <w:rsid w:val="00797205"/>
    <w:rsid w:val="00797365"/>
    <w:rsid w:val="00797D9A"/>
    <w:rsid w:val="007A09C1"/>
    <w:rsid w:val="007A1420"/>
    <w:rsid w:val="007A2836"/>
    <w:rsid w:val="007A3C41"/>
    <w:rsid w:val="007A4405"/>
    <w:rsid w:val="007A4A3B"/>
    <w:rsid w:val="007A4F5B"/>
    <w:rsid w:val="007A506A"/>
    <w:rsid w:val="007A55CD"/>
    <w:rsid w:val="007A5F65"/>
    <w:rsid w:val="007A77AD"/>
    <w:rsid w:val="007A78E5"/>
    <w:rsid w:val="007B093C"/>
    <w:rsid w:val="007B17A2"/>
    <w:rsid w:val="007B25A3"/>
    <w:rsid w:val="007B31B7"/>
    <w:rsid w:val="007B360F"/>
    <w:rsid w:val="007B381B"/>
    <w:rsid w:val="007B3A01"/>
    <w:rsid w:val="007B3B7B"/>
    <w:rsid w:val="007B438B"/>
    <w:rsid w:val="007B46BC"/>
    <w:rsid w:val="007B65B6"/>
    <w:rsid w:val="007B6B5F"/>
    <w:rsid w:val="007B7DEC"/>
    <w:rsid w:val="007C01B9"/>
    <w:rsid w:val="007C02F5"/>
    <w:rsid w:val="007C0385"/>
    <w:rsid w:val="007C0EE0"/>
    <w:rsid w:val="007C1312"/>
    <w:rsid w:val="007C1565"/>
    <w:rsid w:val="007C1E92"/>
    <w:rsid w:val="007C3E41"/>
    <w:rsid w:val="007C3F62"/>
    <w:rsid w:val="007C4399"/>
    <w:rsid w:val="007C5662"/>
    <w:rsid w:val="007C59E3"/>
    <w:rsid w:val="007C5DF3"/>
    <w:rsid w:val="007C6B66"/>
    <w:rsid w:val="007C767D"/>
    <w:rsid w:val="007C7E4D"/>
    <w:rsid w:val="007D023F"/>
    <w:rsid w:val="007D11C6"/>
    <w:rsid w:val="007D11EA"/>
    <w:rsid w:val="007D1512"/>
    <w:rsid w:val="007D1AE8"/>
    <w:rsid w:val="007D1C83"/>
    <w:rsid w:val="007D24A5"/>
    <w:rsid w:val="007D273C"/>
    <w:rsid w:val="007D3367"/>
    <w:rsid w:val="007D4851"/>
    <w:rsid w:val="007D4F70"/>
    <w:rsid w:val="007D609D"/>
    <w:rsid w:val="007E0F59"/>
    <w:rsid w:val="007E18DE"/>
    <w:rsid w:val="007E1A3E"/>
    <w:rsid w:val="007E1C33"/>
    <w:rsid w:val="007E29E9"/>
    <w:rsid w:val="007E34C5"/>
    <w:rsid w:val="007E3504"/>
    <w:rsid w:val="007E5E82"/>
    <w:rsid w:val="007E60FF"/>
    <w:rsid w:val="007E6952"/>
    <w:rsid w:val="007E6A64"/>
    <w:rsid w:val="007E6D33"/>
    <w:rsid w:val="007E7789"/>
    <w:rsid w:val="007F01E6"/>
    <w:rsid w:val="007F0222"/>
    <w:rsid w:val="007F09A3"/>
    <w:rsid w:val="007F0BB5"/>
    <w:rsid w:val="007F0BE2"/>
    <w:rsid w:val="007F252E"/>
    <w:rsid w:val="007F326B"/>
    <w:rsid w:val="007F33F8"/>
    <w:rsid w:val="007F38FA"/>
    <w:rsid w:val="007F3970"/>
    <w:rsid w:val="007F42A8"/>
    <w:rsid w:val="007F42CC"/>
    <w:rsid w:val="007F433B"/>
    <w:rsid w:val="007F4610"/>
    <w:rsid w:val="007F4732"/>
    <w:rsid w:val="007F4A1E"/>
    <w:rsid w:val="007F4E7D"/>
    <w:rsid w:val="007F5161"/>
    <w:rsid w:val="007F52E6"/>
    <w:rsid w:val="007F54EF"/>
    <w:rsid w:val="007F60A5"/>
    <w:rsid w:val="007F6269"/>
    <w:rsid w:val="007F6A73"/>
    <w:rsid w:val="007F6F29"/>
    <w:rsid w:val="007F7546"/>
    <w:rsid w:val="007F7A41"/>
    <w:rsid w:val="007F7D3A"/>
    <w:rsid w:val="007F7E6D"/>
    <w:rsid w:val="007F7EA8"/>
    <w:rsid w:val="008001C6"/>
    <w:rsid w:val="00800995"/>
    <w:rsid w:val="00800EF1"/>
    <w:rsid w:val="00802567"/>
    <w:rsid w:val="00802ED8"/>
    <w:rsid w:val="00805BE2"/>
    <w:rsid w:val="008062E8"/>
    <w:rsid w:val="00806C8E"/>
    <w:rsid w:val="00806CAA"/>
    <w:rsid w:val="00807507"/>
    <w:rsid w:val="00807C1C"/>
    <w:rsid w:val="00807CB5"/>
    <w:rsid w:val="00807E49"/>
    <w:rsid w:val="00810786"/>
    <w:rsid w:val="008115ED"/>
    <w:rsid w:val="00811BD9"/>
    <w:rsid w:val="00812689"/>
    <w:rsid w:val="00812DED"/>
    <w:rsid w:val="00813046"/>
    <w:rsid w:val="00813C40"/>
    <w:rsid w:val="00813E79"/>
    <w:rsid w:val="00814484"/>
    <w:rsid w:val="008144CE"/>
    <w:rsid w:val="008147CF"/>
    <w:rsid w:val="008157D1"/>
    <w:rsid w:val="00815D0B"/>
    <w:rsid w:val="00815E9E"/>
    <w:rsid w:val="0081680F"/>
    <w:rsid w:val="008169CF"/>
    <w:rsid w:val="00816A56"/>
    <w:rsid w:val="00817CF9"/>
    <w:rsid w:val="008205A5"/>
    <w:rsid w:val="00820923"/>
    <w:rsid w:val="00820E08"/>
    <w:rsid w:val="00820E31"/>
    <w:rsid w:val="00821218"/>
    <w:rsid w:val="00823309"/>
    <w:rsid w:val="00823DF1"/>
    <w:rsid w:val="008250C6"/>
    <w:rsid w:val="00825B65"/>
    <w:rsid w:val="008262CA"/>
    <w:rsid w:val="00826424"/>
    <w:rsid w:val="008265F2"/>
    <w:rsid w:val="00826AEC"/>
    <w:rsid w:val="008270AA"/>
    <w:rsid w:val="008304E7"/>
    <w:rsid w:val="00830832"/>
    <w:rsid w:val="00831B66"/>
    <w:rsid w:val="00831F26"/>
    <w:rsid w:val="00831FBF"/>
    <w:rsid w:val="00833827"/>
    <w:rsid w:val="00833DB3"/>
    <w:rsid w:val="0083435E"/>
    <w:rsid w:val="00834692"/>
    <w:rsid w:val="00835610"/>
    <w:rsid w:val="00835E1D"/>
    <w:rsid w:val="00836399"/>
    <w:rsid w:val="0084156F"/>
    <w:rsid w:val="00841892"/>
    <w:rsid w:val="00841FF9"/>
    <w:rsid w:val="00843690"/>
    <w:rsid w:val="008436D9"/>
    <w:rsid w:val="0084396C"/>
    <w:rsid w:val="00843D07"/>
    <w:rsid w:val="008442CC"/>
    <w:rsid w:val="008447CD"/>
    <w:rsid w:val="00845E17"/>
    <w:rsid w:val="00845EA2"/>
    <w:rsid w:val="00846C1B"/>
    <w:rsid w:val="00846D61"/>
    <w:rsid w:val="008470D2"/>
    <w:rsid w:val="008472FA"/>
    <w:rsid w:val="008509D0"/>
    <w:rsid w:val="00851838"/>
    <w:rsid w:val="00851A72"/>
    <w:rsid w:val="00851ADB"/>
    <w:rsid w:val="008521D1"/>
    <w:rsid w:val="008522B1"/>
    <w:rsid w:val="008525F8"/>
    <w:rsid w:val="00852E32"/>
    <w:rsid w:val="008531A2"/>
    <w:rsid w:val="0085321B"/>
    <w:rsid w:val="00854A0B"/>
    <w:rsid w:val="008553EE"/>
    <w:rsid w:val="00855ACE"/>
    <w:rsid w:val="00855E72"/>
    <w:rsid w:val="00856921"/>
    <w:rsid w:val="00857201"/>
    <w:rsid w:val="00857393"/>
    <w:rsid w:val="008619E3"/>
    <w:rsid w:val="00861A5D"/>
    <w:rsid w:val="00861F49"/>
    <w:rsid w:val="0086256E"/>
    <w:rsid w:val="00863467"/>
    <w:rsid w:val="0086380C"/>
    <w:rsid w:val="00864439"/>
    <w:rsid w:val="00864BAC"/>
    <w:rsid w:val="00865837"/>
    <w:rsid w:val="00865BD2"/>
    <w:rsid w:val="00865E80"/>
    <w:rsid w:val="008662F4"/>
    <w:rsid w:val="008664FD"/>
    <w:rsid w:val="00866BC6"/>
    <w:rsid w:val="00867BCE"/>
    <w:rsid w:val="00870970"/>
    <w:rsid w:val="00871368"/>
    <w:rsid w:val="00871C38"/>
    <w:rsid w:val="00872317"/>
    <w:rsid w:val="00872B2B"/>
    <w:rsid w:val="008774D2"/>
    <w:rsid w:val="00877F98"/>
    <w:rsid w:val="008801A4"/>
    <w:rsid w:val="00880949"/>
    <w:rsid w:val="00880DF7"/>
    <w:rsid w:val="008829FC"/>
    <w:rsid w:val="0088300C"/>
    <w:rsid w:val="00883FCE"/>
    <w:rsid w:val="00884043"/>
    <w:rsid w:val="00884EE8"/>
    <w:rsid w:val="00884F9F"/>
    <w:rsid w:val="0088541B"/>
    <w:rsid w:val="00885829"/>
    <w:rsid w:val="00886CB0"/>
    <w:rsid w:val="00886F27"/>
    <w:rsid w:val="00887385"/>
    <w:rsid w:val="0089047C"/>
    <w:rsid w:val="0089077E"/>
    <w:rsid w:val="00890B15"/>
    <w:rsid w:val="00891D17"/>
    <w:rsid w:val="00891FC0"/>
    <w:rsid w:val="00892CC6"/>
    <w:rsid w:val="00892E86"/>
    <w:rsid w:val="00892EE7"/>
    <w:rsid w:val="00893BA8"/>
    <w:rsid w:val="008A072A"/>
    <w:rsid w:val="008A12A6"/>
    <w:rsid w:val="008A309C"/>
    <w:rsid w:val="008A38B3"/>
    <w:rsid w:val="008A3DC0"/>
    <w:rsid w:val="008A3F9F"/>
    <w:rsid w:val="008A4069"/>
    <w:rsid w:val="008A40BB"/>
    <w:rsid w:val="008A5691"/>
    <w:rsid w:val="008A5991"/>
    <w:rsid w:val="008A5D1F"/>
    <w:rsid w:val="008A6270"/>
    <w:rsid w:val="008A63A9"/>
    <w:rsid w:val="008A6ABC"/>
    <w:rsid w:val="008A6EB3"/>
    <w:rsid w:val="008B0930"/>
    <w:rsid w:val="008B180C"/>
    <w:rsid w:val="008B1D87"/>
    <w:rsid w:val="008B353B"/>
    <w:rsid w:val="008B35FE"/>
    <w:rsid w:val="008B36C6"/>
    <w:rsid w:val="008B3710"/>
    <w:rsid w:val="008B3852"/>
    <w:rsid w:val="008B3BB7"/>
    <w:rsid w:val="008B3FF9"/>
    <w:rsid w:val="008B4D85"/>
    <w:rsid w:val="008B4DA9"/>
    <w:rsid w:val="008B4E08"/>
    <w:rsid w:val="008B4F9C"/>
    <w:rsid w:val="008B646B"/>
    <w:rsid w:val="008B649D"/>
    <w:rsid w:val="008B7D83"/>
    <w:rsid w:val="008C0164"/>
    <w:rsid w:val="008C1BD0"/>
    <w:rsid w:val="008C2375"/>
    <w:rsid w:val="008C2FAC"/>
    <w:rsid w:val="008C4C64"/>
    <w:rsid w:val="008C5968"/>
    <w:rsid w:val="008C5DA6"/>
    <w:rsid w:val="008C6788"/>
    <w:rsid w:val="008C7019"/>
    <w:rsid w:val="008C7130"/>
    <w:rsid w:val="008C73B3"/>
    <w:rsid w:val="008C7FDB"/>
    <w:rsid w:val="008D0051"/>
    <w:rsid w:val="008D0CB8"/>
    <w:rsid w:val="008D0DCB"/>
    <w:rsid w:val="008D26C0"/>
    <w:rsid w:val="008D2BFF"/>
    <w:rsid w:val="008D34D9"/>
    <w:rsid w:val="008D356B"/>
    <w:rsid w:val="008D38AD"/>
    <w:rsid w:val="008D4B5A"/>
    <w:rsid w:val="008D56BB"/>
    <w:rsid w:val="008D5B9F"/>
    <w:rsid w:val="008D6BBA"/>
    <w:rsid w:val="008D6D53"/>
    <w:rsid w:val="008D753E"/>
    <w:rsid w:val="008D7758"/>
    <w:rsid w:val="008D7A49"/>
    <w:rsid w:val="008E155F"/>
    <w:rsid w:val="008E15ED"/>
    <w:rsid w:val="008E2F28"/>
    <w:rsid w:val="008E303D"/>
    <w:rsid w:val="008E42F1"/>
    <w:rsid w:val="008E4497"/>
    <w:rsid w:val="008E4BEB"/>
    <w:rsid w:val="008E50CF"/>
    <w:rsid w:val="008E620E"/>
    <w:rsid w:val="008E6816"/>
    <w:rsid w:val="008E7497"/>
    <w:rsid w:val="008F05C7"/>
    <w:rsid w:val="008F0636"/>
    <w:rsid w:val="008F0AD2"/>
    <w:rsid w:val="008F1F5E"/>
    <w:rsid w:val="008F2DB7"/>
    <w:rsid w:val="008F3124"/>
    <w:rsid w:val="008F3CA1"/>
    <w:rsid w:val="008F6777"/>
    <w:rsid w:val="008F77E7"/>
    <w:rsid w:val="008F785A"/>
    <w:rsid w:val="008F7AC8"/>
    <w:rsid w:val="009007CA"/>
    <w:rsid w:val="0090142A"/>
    <w:rsid w:val="00901551"/>
    <w:rsid w:val="00901F1F"/>
    <w:rsid w:val="00903D9D"/>
    <w:rsid w:val="00904703"/>
    <w:rsid w:val="0090484C"/>
    <w:rsid w:val="00904E29"/>
    <w:rsid w:val="00905102"/>
    <w:rsid w:val="009059C0"/>
    <w:rsid w:val="00910506"/>
    <w:rsid w:val="00910935"/>
    <w:rsid w:val="009114AA"/>
    <w:rsid w:val="009114EE"/>
    <w:rsid w:val="0091150F"/>
    <w:rsid w:val="00913170"/>
    <w:rsid w:val="00913D6F"/>
    <w:rsid w:val="00914801"/>
    <w:rsid w:val="00914A46"/>
    <w:rsid w:val="00915002"/>
    <w:rsid w:val="009158CD"/>
    <w:rsid w:val="00915C01"/>
    <w:rsid w:val="00916072"/>
    <w:rsid w:val="00916D54"/>
    <w:rsid w:val="009179FB"/>
    <w:rsid w:val="00917AD9"/>
    <w:rsid w:val="00917FAD"/>
    <w:rsid w:val="009207DD"/>
    <w:rsid w:val="00920C85"/>
    <w:rsid w:val="00920CDF"/>
    <w:rsid w:val="00921E23"/>
    <w:rsid w:val="00921FC8"/>
    <w:rsid w:val="00922FFB"/>
    <w:rsid w:val="00924434"/>
    <w:rsid w:val="00924E0B"/>
    <w:rsid w:val="00925444"/>
    <w:rsid w:val="00926591"/>
    <w:rsid w:val="00926830"/>
    <w:rsid w:val="00926952"/>
    <w:rsid w:val="00926B5C"/>
    <w:rsid w:val="00926C4A"/>
    <w:rsid w:val="00926F0A"/>
    <w:rsid w:val="0092793E"/>
    <w:rsid w:val="00930729"/>
    <w:rsid w:val="0093115E"/>
    <w:rsid w:val="00931A65"/>
    <w:rsid w:val="009321A9"/>
    <w:rsid w:val="00932891"/>
    <w:rsid w:val="00932C16"/>
    <w:rsid w:val="0093319B"/>
    <w:rsid w:val="00933542"/>
    <w:rsid w:val="00933CCF"/>
    <w:rsid w:val="00933E95"/>
    <w:rsid w:val="00934CF5"/>
    <w:rsid w:val="00935666"/>
    <w:rsid w:val="0093730A"/>
    <w:rsid w:val="009407D5"/>
    <w:rsid w:val="009421E7"/>
    <w:rsid w:val="00942CB7"/>
    <w:rsid w:val="0094300B"/>
    <w:rsid w:val="0094357E"/>
    <w:rsid w:val="0094381E"/>
    <w:rsid w:val="00943B85"/>
    <w:rsid w:val="00944E09"/>
    <w:rsid w:val="00944E3E"/>
    <w:rsid w:val="00944EBB"/>
    <w:rsid w:val="009464E1"/>
    <w:rsid w:val="009470B3"/>
    <w:rsid w:val="00947A9B"/>
    <w:rsid w:val="0095017F"/>
    <w:rsid w:val="009501CB"/>
    <w:rsid w:val="0095026B"/>
    <w:rsid w:val="009506F2"/>
    <w:rsid w:val="00950F34"/>
    <w:rsid w:val="00952A0C"/>
    <w:rsid w:val="00952B73"/>
    <w:rsid w:val="00953ACE"/>
    <w:rsid w:val="00954148"/>
    <w:rsid w:val="00954F97"/>
    <w:rsid w:val="0095539F"/>
    <w:rsid w:val="00955896"/>
    <w:rsid w:val="009559B7"/>
    <w:rsid w:val="00955EC2"/>
    <w:rsid w:val="00957045"/>
    <w:rsid w:val="00960207"/>
    <w:rsid w:val="009604B9"/>
    <w:rsid w:val="00960667"/>
    <w:rsid w:val="009609B1"/>
    <w:rsid w:val="00961CA4"/>
    <w:rsid w:val="00962179"/>
    <w:rsid w:val="00962AA2"/>
    <w:rsid w:val="00962B50"/>
    <w:rsid w:val="00962C3F"/>
    <w:rsid w:val="00963358"/>
    <w:rsid w:val="0096339F"/>
    <w:rsid w:val="0096372E"/>
    <w:rsid w:val="00964171"/>
    <w:rsid w:val="00964741"/>
    <w:rsid w:val="00965AE7"/>
    <w:rsid w:val="0096662E"/>
    <w:rsid w:val="00967A2F"/>
    <w:rsid w:val="00967DFB"/>
    <w:rsid w:val="0097002F"/>
    <w:rsid w:val="0097025C"/>
    <w:rsid w:val="00970B0E"/>
    <w:rsid w:val="009733E5"/>
    <w:rsid w:val="00976665"/>
    <w:rsid w:val="00976B7F"/>
    <w:rsid w:val="00977129"/>
    <w:rsid w:val="00977C92"/>
    <w:rsid w:val="00980FCA"/>
    <w:rsid w:val="00981706"/>
    <w:rsid w:val="0098196F"/>
    <w:rsid w:val="009819F6"/>
    <w:rsid w:val="0098271C"/>
    <w:rsid w:val="009830D9"/>
    <w:rsid w:val="00983132"/>
    <w:rsid w:val="0098341F"/>
    <w:rsid w:val="00984252"/>
    <w:rsid w:val="00984F9A"/>
    <w:rsid w:val="009857DD"/>
    <w:rsid w:val="00985EB8"/>
    <w:rsid w:val="009860F5"/>
    <w:rsid w:val="0098643C"/>
    <w:rsid w:val="00987CBC"/>
    <w:rsid w:val="00987E6A"/>
    <w:rsid w:val="009926F2"/>
    <w:rsid w:val="00992BFF"/>
    <w:rsid w:val="0099322B"/>
    <w:rsid w:val="00993F9C"/>
    <w:rsid w:val="009940ED"/>
    <w:rsid w:val="00994247"/>
    <w:rsid w:val="00994601"/>
    <w:rsid w:val="00995240"/>
    <w:rsid w:val="009A0370"/>
    <w:rsid w:val="009A089F"/>
    <w:rsid w:val="009A21D2"/>
    <w:rsid w:val="009A2EC7"/>
    <w:rsid w:val="009A2F3D"/>
    <w:rsid w:val="009A3F20"/>
    <w:rsid w:val="009A40B9"/>
    <w:rsid w:val="009A492E"/>
    <w:rsid w:val="009A5D67"/>
    <w:rsid w:val="009A607B"/>
    <w:rsid w:val="009A69BB"/>
    <w:rsid w:val="009A6C65"/>
    <w:rsid w:val="009A79FD"/>
    <w:rsid w:val="009B01F9"/>
    <w:rsid w:val="009B1696"/>
    <w:rsid w:val="009B220A"/>
    <w:rsid w:val="009B26C4"/>
    <w:rsid w:val="009B40B3"/>
    <w:rsid w:val="009B40EA"/>
    <w:rsid w:val="009B458B"/>
    <w:rsid w:val="009B4917"/>
    <w:rsid w:val="009B495E"/>
    <w:rsid w:val="009B63B0"/>
    <w:rsid w:val="009B72DA"/>
    <w:rsid w:val="009C0072"/>
    <w:rsid w:val="009C0B99"/>
    <w:rsid w:val="009C1241"/>
    <w:rsid w:val="009C1E65"/>
    <w:rsid w:val="009C2111"/>
    <w:rsid w:val="009C2499"/>
    <w:rsid w:val="009C2620"/>
    <w:rsid w:val="009C37DD"/>
    <w:rsid w:val="009C3821"/>
    <w:rsid w:val="009C392F"/>
    <w:rsid w:val="009C3A2C"/>
    <w:rsid w:val="009C3D53"/>
    <w:rsid w:val="009C5119"/>
    <w:rsid w:val="009C5A91"/>
    <w:rsid w:val="009C62BB"/>
    <w:rsid w:val="009C6AB4"/>
    <w:rsid w:val="009D2490"/>
    <w:rsid w:val="009D3078"/>
    <w:rsid w:val="009D30C3"/>
    <w:rsid w:val="009D3437"/>
    <w:rsid w:val="009D4FC7"/>
    <w:rsid w:val="009D5FCA"/>
    <w:rsid w:val="009D6551"/>
    <w:rsid w:val="009D6BA2"/>
    <w:rsid w:val="009D6C40"/>
    <w:rsid w:val="009D6F47"/>
    <w:rsid w:val="009D70CF"/>
    <w:rsid w:val="009E0774"/>
    <w:rsid w:val="009E0C0C"/>
    <w:rsid w:val="009E109A"/>
    <w:rsid w:val="009E11B1"/>
    <w:rsid w:val="009E11CD"/>
    <w:rsid w:val="009E171C"/>
    <w:rsid w:val="009E1835"/>
    <w:rsid w:val="009E19A3"/>
    <w:rsid w:val="009E19CA"/>
    <w:rsid w:val="009E265C"/>
    <w:rsid w:val="009E29A3"/>
    <w:rsid w:val="009E311B"/>
    <w:rsid w:val="009E3D0E"/>
    <w:rsid w:val="009E42FC"/>
    <w:rsid w:val="009E4B0C"/>
    <w:rsid w:val="009E550F"/>
    <w:rsid w:val="009E6518"/>
    <w:rsid w:val="009F0295"/>
    <w:rsid w:val="009F02DE"/>
    <w:rsid w:val="009F02F2"/>
    <w:rsid w:val="009F0615"/>
    <w:rsid w:val="009F0D26"/>
    <w:rsid w:val="009F143B"/>
    <w:rsid w:val="009F149A"/>
    <w:rsid w:val="009F19A3"/>
    <w:rsid w:val="009F1EB0"/>
    <w:rsid w:val="009F2120"/>
    <w:rsid w:val="009F3ADE"/>
    <w:rsid w:val="009F3C47"/>
    <w:rsid w:val="009F482C"/>
    <w:rsid w:val="009F4C82"/>
    <w:rsid w:val="009F54CE"/>
    <w:rsid w:val="009F56B5"/>
    <w:rsid w:val="009F659B"/>
    <w:rsid w:val="009F6880"/>
    <w:rsid w:val="00A00CC3"/>
    <w:rsid w:val="00A00D22"/>
    <w:rsid w:val="00A03476"/>
    <w:rsid w:val="00A04739"/>
    <w:rsid w:val="00A04A3A"/>
    <w:rsid w:val="00A0591D"/>
    <w:rsid w:val="00A05E54"/>
    <w:rsid w:val="00A05E5C"/>
    <w:rsid w:val="00A06275"/>
    <w:rsid w:val="00A0639A"/>
    <w:rsid w:val="00A07211"/>
    <w:rsid w:val="00A10927"/>
    <w:rsid w:val="00A11C56"/>
    <w:rsid w:val="00A11CF1"/>
    <w:rsid w:val="00A1227E"/>
    <w:rsid w:val="00A12B14"/>
    <w:rsid w:val="00A12B58"/>
    <w:rsid w:val="00A1329F"/>
    <w:rsid w:val="00A13F26"/>
    <w:rsid w:val="00A13FD8"/>
    <w:rsid w:val="00A1428C"/>
    <w:rsid w:val="00A14A6B"/>
    <w:rsid w:val="00A14A94"/>
    <w:rsid w:val="00A166DC"/>
    <w:rsid w:val="00A17B06"/>
    <w:rsid w:val="00A17B60"/>
    <w:rsid w:val="00A2020E"/>
    <w:rsid w:val="00A215CB"/>
    <w:rsid w:val="00A21DBE"/>
    <w:rsid w:val="00A22CB5"/>
    <w:rsid w:val="00A2314F"/>
    <w:rsid w:val="00A231FE"/>
    <w:rsid w:val="00A2500B"/>
    <w:rsid w:val="00A2568C"/>
    <w:rsid w:val="00A25883"/>
    <w:rsid w:val="00A25969"/>
    <w:rsid w:val="00A25AFA"/>
    <w:rsid w:val="00A25C47"/>
    <w:rsid w:val="00A25FFA"/>
    <w:rsid w:val="00A2617D"/>
    <w:rsid w:val="00A266A5"/>
    <w:rsid w:val="00A268CA"/>
    <w:rsid w:val="00A26C2C"/>
    <w:rsid w:val="00A27869"/>
    <w:rsid w:val="00A300F6"/>
    <w:rsid w:val="00A301C3"/>
    <w:rsid w:val="00A31DE9"/>
    <w:rsid w:val="00A329D0"/>
    <w:rsid w:val="00A32FAF"/>
    <w:rsid w:val="00A33467"/>
    <w:rsid w:val="00A338D6"/>
    <w:rsid w:val="00A357C4"/>
    <w:rsid w:val="00A36725"/>
    <w:rsid w:val="00A36A24"/>
    <w:rsid w:val="00A36B77"/>
    <w:rsid w:val="00A36D90"/>
    <w:rsid w:val="00A37000"/>
    <w:rsid w:val="00A37426"/>
    <w:rsid w:val="00A4003F"/>
    <w:rsid w:val="00A404F7"/>
    <w:rsid w:val="00A407B8"/>
    <w:rsid w:val="00A40D76"/>
    <w:rsid w:val="00A40DDD"/>
    <w:rsid w:val="00A40F98"/>
    <w:rsid w:val="00A42386"/>
    <w:rsid w:val="00A42AFA"/>
    <w:rsid w:val="00A43F76"/>
    <w:rsid w:val="00A44544"/>
    <w:rsid w:val="00A46064"/>
    <w:rsid w:val="00A467E7"/>
    <w:rsid w:val="00A46B39"/>
    <w:rsid w:val="00A46BC6"/>
    <w:rsid w:val="00A47007"/>
    <w:rsid w:val="00A50E69"/>
    <w:rsid w:val="00A52113"/>
    <w:rsid w:val="00A52444"/>
    <w:rsid w:val="00A525D8"/>
    <w:rsid w:val="00A53E24"/>
    <w:rsid w:val="00A541F7"/>
    <w:rsid w:val="00A54C77"/>
    <w:rsid w:val="00A55142"/>
    <w:rsid w:val="00A55656"/>
    <w:rsid w:val="00A5599C"/>
    <w:rsid w:val="00A566FF"/>
    <w:rsid w:val="00A56855"/>
    <w:rsid w:val="00A576CC"/>
    <w:rsid w:val="00A57F7C"/>
    <w:rsid w:val="00A60054"/>
    <w:rsid w:val="00A60A48"/>
    <w:rsid w:val="00A60EC4"/>
    <w:rsid w:val="00A612A8"/>
    <w:rsid w:val="00A61374"/>
    <w:rsid w:val="00A617B6"/>
    <w:rsid w:val="00A61DD3"/>
    <w:rsid w:val="00A62CE4"/>
    <w:rsid w:val="00A63189"/>
    <w:rsid w:val="00A64046"/>
    <w:rsid w:val="00A644E0"/>
    <w:rsid w:val="00A648CE"/>
    <w:rsid w:val="00A64B96"/>
    <w:rsid w:val="00A65BFC"/>
    <w:rsid w:val="00A673FB"/>
    <w:rsid w:val="00A70B60"/>
    <w:rsid w:val="00A719D3"/>
    <w:rsid w:val="00A72547"/>
    <w:rsid w:val="00A7320F"/>
    <w:rsid w:val="00A73626"/>
    <w:rsid w:val="00A73C85"/>
    <w:rsid w:val="00A73F2D"/>
    <w:rsid w:val="00A747F8"/>
    <w:rsid w:val="00A74B59"/>
    <w:rsid w:val="00A75460"/>
    <w:rsid w:val="00A75FFD"/>
    <w:rsid w:val="00A762C7"/>
    <w:rsid w:val="00A774B8"/>
    <w:rsid w:val="00A775F6"/>
    <w:rsid w:val="00A77A34"/>
    <w:rsid w:val="00A77B2C"/>
    <w:rsid w:val="00A77B49"/>
    <w:rsid w:val="00A80D6D"/>
    <w:rsid w:val="00A81186"/>
    <w:rsid w:val="00A812C8"/>
    <w:rsid w:val="00A815DA"/>
    <w:rsid w:val="00A8188C"/>
    <w:rsid w:val="00A8198F"/>
    <w:rsid w:val="00A829B5"/>
    <w:rsid w:val="00A831AA"/>
    <w:rsid w:val="00A837F5"/>
    <w:rsid w:val="00A84D1B"/>
    <w:rsid w:val="00A85262"/>
    <w:rsid w:val="00A85C1A"/>
    <w:rsid w:val="00A85E80"/>
    <w:rsid w:val="00A864F8"/>
    <w:rsid w:val="00A86882"/>
    <w:rsid w:val="00A86C8C"/>
    <w:rsid w:val="00A8730D"/>
    <w:rsid w:val="00A90807"/>
    <w:rsid w:val="00A91046"/>
    <w:rsid w:val="00A922BB"/>
    <w:rsid w:val="00A92440"/>
    <w:rsid w:val="00A92E20"/>
    <w:rsid w:val="00A9326D"/>
    <w:rsid w:val="00A93B51"/>
    <w:rsid w:val="00A93BAB"/>
    <w:rsid w:val="00A93EB8"/>
    <w:rsid w:val="00A9445B"/>
    <w:rsid w:val="00A95079"/>
    <w:rsid w:val="00A95849"/>
    <w:rsid w:val="00A95EFD"/>
    <w:rsid w:val="00A95F80"/>
    <w:rsid w:val="00A9629C"/>
    <w:rsid w:val="00A9742C"/>
    <w:rsid w:val="00A9796B"/>
    <w:rsid w:val="00AA1ED8"/>
    <w:rsid w:val="00AA3A0D"/>
    <w:rsid w:val="00AA3D68"/>
    <w:rsid w:val="00AA4191"/>
    <w:rsid w:val="00AA433B"/>
    <w:rsid w:val="00AA4F2E"/>
    <w:rsid w:val="00AA5803"/>
    <w:rsid w:val="00AA5902"/>
    <w:rsid w:val="00AA7345"/>
    <w:rsid w:val="00AA73C9"/>
    <w:rsid w:val="00AB19B3"/>
    <w:rsid w:val="00AB1C15"/>
    <w:rsid w:val="00AB25B2"/>
    <w:rsid w:val="00AB2D01"/>
    <w:rsid w:val="00AB3297"/>
    <w:rsid w:val="00AB539A"/>
    <w:rsid w:val="00AB58AD"/>
    <w:rsid w:val="00AC044B"/>
    <w:rsid w:val="00AC0712"/>
    <w:rsid w:val="00AC0C6E"/>
    <w:rsid w:val="00AC1007"/>
    <w:rsid w:val="00AC20CD"/>
    <w:rsid w:val="00AC2FEA"/>
    <w:rsid w:val="00AC3275"/>
    <w:rsid w:val="00AC3B23"/>
    <w:rsid w:val="00AC4048"/>
    <w:rsid w:val="00AC40AC"/>
    <w:rsid w:val="00AC4862"/>
    <w:rsid w:val="00AC51E9"/>
    <w:rsid w:val="00AC5325"/>
    <w:rsid w:val="00AC5FCD"/>
    <w:rsid w:val="00AC7952"/>
    <w:rsid w:val="00AC79A2"/>
    <w:rsid w:val="00AD04CD"/>
    <w:rsid w:val="00AD0EFC"/>
    <w:rsid w:val="00AD1DB2"/>
    <w:rsid w:val="00AD3011"/>
    <w:rsid w:val="00AD3F87"/>
    <w:rsid w:val="00AD3F9B"/>
    <w:rsid w:val="00AD4438"/>
    <w:rsid w:val="00AD4A3A"/>
    <w:rsid w:val="00AD4AEA"/>
    <w:rsid w:val="00AD528D"/>
    <w:rsid w:val="00AD6C45"/>
    <w:rsid w:val="00AD6C74"/>
    <w:rsid w:val="00AD76E0"/>
    <w:rsid w:val="00AD7E9D"/>
    <w:rsid w:val="00AE0825"/>
    <w:rsid w:val="00AE0EF2"/>
    <w:rsid w:val="00AE0F2C"/>
    <w:rsid w:val="00AE113C"/>
    <w:rsid w:val="00AE18B8"/>
    <w:rsid w:val="00AE24C9"/>
    <w:rsid w:val="00AE27DA"/>
    <w:rsid w:val="00AE2979"/>
    <w:rsid w:val="00AE3354"/>
    <w:rsid w:val="00AE3953"/>
    <w:rsid w:val="00AE48B3"/>
    <w:rsid w:val="00AE50A8"/>
    <w:rsid w:val="00AE5470"/>
    <w:rsid w:val="00AE5521"/>
    <w:rsid w:val="00AE5A07"/>
    <w:rsid w:val="00AE621F"/>
    <w:rsid w:val="00AE63A8"/>
    <w:rsid w:val="00AE6620"/>
    <w:rsid w:val="00AE6B63"/>
    <w:rsid w:val="00AE733F"/>
    <w:rsid w:val="00AE7530"/>
    <w:rsid w:val="00AF02DA"/>
    <w:rsid w:val="00AF23BC"/>
    <w:rsid w:val="00AF3655"/>
    <w:rsid w:val="00AF40A1"/>
    <w:rsid w:val="00AF51FC"/>
    <w:rsid w:val="00AF55A9"/>
    <w:rsid w:val="00AF6393"/>
    <w:rsid w:val="00AF6846"/>
    <w:rsid w:val="00AF688F"/>
    <w:rsid w:val="00AF7094"/>
    <w:rsid w:val="00B00B79"/>
    <w:rsid w:val="00B011B5"/>
    <w:rsid w:val="00B0132F"/>
    <w:rsid w:val="00B01359"/>
    <w:rsid w:val="00B016C0"/>
    <w:rsid w:val="00B0224A"/>
    <w:rsid w:val="00B02DD2"/>
    <w:rsid w:val="00B02F4D"/>
    <w:rsid w:val="00B033CA"/>
    <w:rsid w:val="00B04771"/>
    <w:rsid w:val="00B04A6E"/>
    <w:rsid w:val="00B05525"/>
    <w:rsid w:val="00B05B26"/>
    <w:rsid w:val="00B06156"/>
    <w:rsid w:val="00B06295"/>
    <w:rsid w:val="00B0773A"/>
    <w:rsid w:val="00B1007A"/>
    <w:rsid w:val="00B108F4"/>
    <w:rsid w:val="00B113F2"/>
    <w:rsid w:val="00B129AB"/>
    <w:rsid w:val="00B130F0"/>
    <w:rsid w:val="00B15EA7"/>
    <w:rsid w:val="00B16057"/>
    <w:rsid w:val="00B160DB"/>
    <w:rsid w:val="00B16AE4"/>
    <w:rsid w:val="00B16CD3"/>
    <w:rsid w:val="00B17E3D"/>
    <w:rsid w:val="00B20760"/>
    <w:rsid w:val="00B20891"/>
    <w:rsid w:val="00B2246A"/>
    <w:rsid w:val="00B23B96"/>
    <w:rsid w:val="00B23DEE"/>
    <w:rsid w:val="00B24E3A"/>
    <w:rsid w:val="00B25088"/>
    <w:rsid w:val="00B25097"/>
    <w:rsid w:val="00B25D8F"/>
    <w:rsid w:val="00B261B9"/>
    <w:rsid w:val="00B26B54"/>
    <w:rsid w:val="00B2702D"/>
    <w:rsid w:val="00B270CB"/>
    <w:rsid w:val="00B27453"/>
    <w:rsid w:val="00B279C6"/>
    <w:rsid w:val="00B30331"/>
    <w:rsid w:val="00B31909"/>
    <w:rsid w:val="00B33072"/>
    <w:rsid w:val="00B3364A"/>
    <w:rsid w:val="00B350C3"/>
    <w:rsid w:val="00B35C57"/>
    <w:rsid w:val="00B36777"/>
    <w:rsid w:val="00B37A5B"/>
    <w:rsid w:val="00B37D7B"/>
    <w:rsid w:val="00B40177"/>
    <w:rsid w:val="00B4030C"/>
    <w:rsid w:val="00B40566"/>
    <w:rsid w:val="00B40D1A"/>
    <w:rsid w:val="00B40E1A"/>
    <w:rsid w:val="00B410F6"/>
    <w:rsid w:val="00B41A3B"/>
    <w:rsid w:val="00B44CA2"/>
    <w:rsid w:val="00B4548E"/>
    <w:rsid w:val="00B4592A"/>
    <w:rsid w:val="00B45E7B"/>
    <w:rsid w:val="00B46485"/>
    <w:rsid w:val="00B46570"/>
    <w:rsid w:val="00B5042F"/>
    <w:rsid w:val="00B5043F"/>
    <w:rsid w:val="00B51E3F"/>
    <w:rsid w:val="00B51FD2"/>
    <w:rsid w:val="00B5200F"/>
    <w:rsid w:val="00B5233A"/>
    <w:rsid w:val="00B52822"/>
    <w:rsid w:val="00B52E85"/>
    <w:rsid w:val="00B536BD"/>
    <w:rsid w:val="00B5474E"/>
    <w:rsid w:val="00B558DE"/>
    <w:rsid w:val="00B55B60"/>
    <w:rsid w:val="00B55CB8"/>
    <w:rsid w:val="00B55E34"/>
    <w:rsid w:val="00B56286"/>
    <w:rsid w:val="00B5646F"/>
    <w:rsid w:val="00B56E3A"/>
    <w:rsid w:val="00B57220"/>
    <w:rsid w:val="00B57328"/>
    <w:rsid w:val="00B57E01"/>
    <w:rsid w:val="00B60762"/>
    <w:rsid w:val="00B61869"/>
    <w:rsid w:val="00B620D3"/>
    <w:rsid w:val="00B622F0"/>
    <w:rsid w:val="00B62697"/>
    <w:rsid w:val="00B628BE"/>
    <w:rsid w:val="00B63A7A"/>
    <w:rsid w:val="00B642D6"/>
    <w:rsid w:val="00B65661"/>
    <w:rsid w:val="00B67554"/>
    <w:rsid w:val="00B67761"/>
    <w:rsid w:val="00B706EF"/>
    <w:rsid w:val="00B70C2F"/>
    <w:rsid w:val="00B7205B"/>
    <w:rsid w:val="00B727F5"/>
    <w:rsid w:val="00B72F78"/>
    <w:rsid w:val="00B73D63"/>
    <w:rsid w:val="00B74586"/>
    <w:rsid w:val="00B75184"/>
    <w:rsid w:val="00B75B89"/>
    <w:rsid w:val="00B76CFB"/>
    <w:rsid w:val="00B77AB4"/>
    <w:rsid w:val="00B77D54"/>
    <w:rsid w:val="00B800BC"/>
    <w:rsid w:val="00B83203"/>
    <w:rsid w:val="00B8366B"/>
    <w:rsid w:val="00B83AB2"/>
    <w:rsid w:val="00B85354"/>
    <w:rsid w:val="00B86977"/>
    <w:rsid w:val="00B87876"/>
    <w:rsid w:val="00B90DBB"/>
    <w:rsid w:val="00B91689"/>
    <w:rsid w:val="00B926B5"/>
    <w:rsid w:val="00B92F69"/>
    <w:rsid w:val="00B94229"/>
    <w:rsid w:val="00B94638"/>
    <w:rsid w:val="00B946E9"/>
    <w:rsid w:val="00B95ADC"/>
    <w:rsid w:val="00B95DE5"/>
    <w:rsid w:val="00B95FBF"/>
    <w:rsid w:val="00B973F5"/>
    <w:rsid w:val="00BA0079"/>
    <w:rsid w:val="00BA012A"/>
    <w:rsid w:val="00BA0209"/>
    <w:rsid w:val="00BA14D5"/>
    <w:rsid w:val="00BB17D8"/>
    <w:rsid w:val="00BB30BC"/>
    <w:rsid w:val="00BB3ADE"/>
    <w:rsid w:val="00BB50F4"/>
    <w:rsid w:val="00BB58CB"/>
    <w:rsid w:val="00BB59F1"/>
    <w:rsid w:val="00BB613F"/>
    <w:rsid w:val="00BB7F7D"/>
    <w:rsid w:val="00BC05AA"/>
    <w:rsid w:val="00BC0FAA"/>
    <w:rsid w:val="00BC10AA"/>
    <w:rsid w:val="00BC1B6D"/>
    <w:rsid w:val="00BC2E76"/>
    <w:rsid w:val="00BC34F6"/>
    <w:rsid w:val="00BC36D6"/>
    <w:rsid w:val="00BC473D"/>
    <w:rsid w:val="00BC520F"/>
    <w:rsid w:val="00BC7ABB"/>
    <w:rsid w:val="00BC7D13"/>
    <w:rsid w:val="00BD13A3"/>
    <w:rsid w:val="00BD19FD"/>
    <w:rsid w:val="00BD1E82"/>
    <w:rsid w:val="00BD1ED7"/>
    <w:rsid w:val="00BD2516"/>
    <w:rsid w:val="00BD3751"/>
    <w:rsid w:val="00BD44B1"/>
    <w:rsid w:val="00BD71BD"/>
    <w:rsid w:val="00BE0DCD"/>
    <w:rsid w:val="00BE1BD7"/>
    <w:rsid w:val="00BE1EDC"/>
    <w:rsid w:val="00BE36A3"/>
    <w:rsid w:val="00BE3C04"/>
    <w:rsid w:val="00BE4316"/>
    <w:rsid w:val="00BE4AA6"/>
    <w:rsid w:val="00BE56EB"/>
    <w:rsid w:val="00BE7501"/>
    <w:rsid w:val="00BF0892"/>
    <w:rsid w:val="00BF11BA"/>
    <w:rsid w:val="00BF2FD4"/>
    <w:rsid w:val="00BF32F4"/>
    <w:rsid w:val="00BF347A"/>
    <w:rsid w:val="00BF3C5C"/>
    <w:rsid w:val="00BF56DD"/>
    <w:rsid w:val="00BF5737"/>
    <w:rsid w:val="00C00299"/>
    <w:rsid w:val="00C008E4"/>
    <w:rsid w:val="00C0135E"/>
    <w:rsid w:val="00C02796"/>
    <w:rsid w:val="00C027B7"/>
    <w:rsid w:val="00C03722"/>
    <w:rsid w:val="00C04313"/>
    <w:rsid w:val="00C045CE"/>
    <w:rsid w:val="00C05519"/>
    <w:rsid w:val="00C0599D"/>
    <w:rsid w:val="00C0636C"/>
    <w:rsid w:val="00C072EB"/>
    <w:rsid w:val="00C10924"/>
    <w:rsid w:val="00C10A21"/>
    <w:rsid w:val="00C10BAB"/>
    <w:rsid w:val="00C112CF"/>
    <w:rsid w:val="00C12A17"/>
    <w:rsid w:val="00C138D9"/>
    <w:rsid w:val="00C13C34"/>
    <w:rsid w:val="00C148ED"/>
    <w:rsid w:val="00C14D46"/>
    <w:rsid w:val="00C15018"/>
    <w:rsid w:val="00C170A2"/>
    <w:rsid w:val="00C1759F"/>
    <w:rsid w:val="00C20503"/>
    <w:rsid w:val="00C20CCE"/>
    <w:rsid w:val="00C220B4"/>
    <w:rsid w:val="00C22809"/>
    <w:rsid w:val="00C22C86"/>
    <w:rsid w:val="00C23B65"/>
    <w:rsid w:val="00C2486F"/>
    <w:rsid w:val="00C2542F"/>
    <w:rsid w:val="00C25869"/>
    <w:rsid w:val="00C261DD"/>
    <w:rsid w:val="00C26243"/>
    <w:rsid w:val="00C267AE"/>
    <w:rsid w:val="00C26B14"/>
    <w:rsid w:val="00C27680"/>
    <w:rsid w:val="00C279DB"/>
    <w:rsid w:val="00C302D5"/>
    <w:rsid w:val="00C30DA7"/>
    <w:rsid w:val="00C30EDA"/>
    <w:rsid w:val="00C31DD8"/>
    <w:rsid w:val="00C31ED6"/>
    <w:rsid w:val="00C33883"/>
    <w:rsid w:val="00C34BF2"/>
    <w:rsid w:val="00C3780C"/>
    <w:rsid w:val="00C37B12"/>
    <w:rsid w:val="00C37BC8"/>
    <w:rsid w:val="00C40C45"/>
    <w:rsid w:val="00C40D06"/>
    <w:rsid w:val="00C40D2A"/>
    <w:rsid w:val="00C40E54"/>
    <w:rsid w:val="00C4124E"/>
    <w:rsid w:val="00C41AFA"/>
    <w:rsid w:val="00C42433"/>
    <w:rsid w:val="00C43037"/>
    <w:rsid w:val="00C43F7A"/>
    <w:rsid w:val="00C44060"/>
    <w:rsid w:val="00C450D5"/>
    <w:rsid w:val="00C4591E"/>
    <w:rsid w:val="00C467A3"/>
    <w:rsid w:val="00C47316"/>
    <w:rsid w:val="00C50BE0"/>
    <w:rsid w:val="00C51376"/>
    <w:rsid w:val="00C516C5"/>
    <w:rsid w:val="00C51AC6"/>
    <w:rsid w:val="00C520C5"/>
    <w:rsid w:val="00C52F4C"/>
    <w:rsid w:val="00C54E1A"/>
    <w:rsid w:val="00C54E70"/>
    <w:rsid w:val="00C5661D"/>
    <w:rsid w:val="00C56B0E"/>
    <w:rsid w:val="00C5740A"/>
    <w:rsid w:val="00C614CD"/>
    <w:rsid w:val="00C61580"/>
    <w:rsid w:val="00C619F2"/>
    <w:rsid w:val="00C61FE6"/>
    <w:rsid w:val="00C62C8A"/>
    <w:rsid w:val="00C6384F"/>
    <w:rsid w:val="00C643D2"/>
    <w:rsid w:val="00C64957"/>
    <w:rsid w:val="00C64BDA"/>
    <w:rsid w:val="00C65943"/>
    <w:rsid w:val="00C65DAF"/>
    <w:rsid w:val="00C66ADA"/>
    <w:rsid w:val="00C674F9"/>
    <w:rsid w:val="00C701DC"/>
    <w:rsid w:val="00C7094B"/>
    <w:rsid w:val="00C70B2E"/>
    <w:rsid w:val="00C7259C"/>
    <w:rsid w:val="00C72CA6"/>
    <w:rsid w:val="00C73D06"/>
    <w:rsid w:val="00C73E3D"/>
    <w:rsid w:val="00C74668"/>
    <w:rsid w:val="00C758F2"/>
    <w:rsid w:val="00C759CA"/>
    <w:rsid w:val="00C75E32"/>
    <w:rsid w:val="00C76D0A"/>
    <w:rsid w:val="00C77882"/>
    <w:rsid w:val="00C80807"/>
    <w:rsid w:val="00C808EB"/>
    <w:rsid w:val="00C822E5"/>
    <w:rsid w:val="00C8513A"/>
    <w:rsid w:val="00C86140"/>
    <w:rsid w:val="00C86421"/>
    <w:rsid w:val="00C86E6F"/>
    <w:rsid w:val="00C87C66"/>
    <w:rsid w:val="00C90841"/>
    <w:rsid w:val="00C90949"/>
    <w:rsid w:val="00C9106B"/>
    <w:rsid w:val="00C922FA"/>
    <w:rsid w:val="00C92842"/>
    <w:rsid w:val="00C93097"/>
    <w:rsid w:val="00C93903"/>
    <w:rsid w:val="00C939E7"/>
    <w:rsid w:val="00C95A26"/>
    <w:rsid w:val="00C95B84"/>
    <w:rsid w:val="00C969BC"/>
    <w:rsid w:val="00C9705D"/>
    <w:rsid w:val="00C97F8B"/>
    <w:rsid w:val="00CA0BC8"/>
    <w:rsid w:val="00CA1FDD"/>
    <w:rsid w:val="00CA24B6"/>
    <w:rsid w:val="00CA26A7"/>
    <w:rsid w:val="00CA2E21"/>
    <w:rsid w:val="00CA3B19"/>
    <w:rsid w:val="00CA4986"/>
    <w:rsid w:val="00CA5126"/>
    <w:rsid w:val="00CA5B7A"/>
    <w:rsid w:val="00CA6863"/>
    <w:rsid w:val="00CA6EA1"/>
    <w:rsid w:val="00CA720D"/>
    <w:rsid w:val="00CB0031"/>
    <w:rsid w:val="00CB0BEF"/>
    <w:rsid w:val="00CB13ED"/>
    <w:rsid w:val="00CB2BDA"/>
    <w:rsid w:val="00CB42F8"/>
    <w:rsid w:val="00CB4386"/>
    <w:rsid w:val="00CB486E"/>
    <w:rsid w:val="00CB4AFD"/>
    <w:rsid w:val="00CB510A"/>
    <w:rsid w:val="00CB5F3A"/>
    <w:rsid w:val="00CB6A0D"/>
    <w:rsid w:val="00CB72A5"/>
    <w:rsid w:val="00CB74DF"/>
    <w:rsid w:val="00CB758A"/>
    <w:rsid w:val="00CB7D2B"/>
    <w:rsid w:val="00CC05D5"/>
    <w:rsid w:val="00CC0C08"/>
    <w:rsid w:val="00CC0C31"/>
    <w:rsid w:val="00CC1E43"/>
    <w:rsid w:val="00CC2033"/>
    <w:rsid w:val="00CC216E"/>
    <w:rsid w:val="00CC277E"/>
    <w:rsid w:val="00CC3385"/>
    <w:rsid w:val="00CC3FFE"/>
    <w:rsid w:val="00CC6102"/>
    <w:rsid w:val="00CC7A3F"/>
    <w:rsid w:val="00CC7D18"/>
    <w:rsid w:val="00CC7E27"/>
    <w:rsid w:val="00CD118A"/>
    <w:rsid w:val="00CD14B9"/>
    <w:rsid w:val="00CD1569"/>
    <w:rsid w:val="00CD1CDE"/>
    <w:rsid w:val="00CD1E9A"/>
    <w:rsid w:val="00CD1F3E"/>
    <w:rsid w:val="00CD20DB"/>
    <w:rsid w:val="00CD2595"/>
    <w:rsid w:val="00CD444D"/>
    <w:rsid w:val="00CD69B0"/>
    <w:rsid w:val="00CD6DBF"/>
    <w:rsid w:val="00CE06F3"/>
    <w:rsid w:val="00CE23DD"/>
    <w:rsid w:val="00CE2E49"/>
    <w:rsid w:val="00CE34D3"/>
    <w:rsid w:val="00CE3A56"/>
    <w:rsid w:val="00CE496E"/>
    <w:rsid w:val="00CE4B93"/>
    <w:rsid w:val="00CE4FD9"/>
    <w:rsid w:val="00CE5675"/>
    <w:rsid w:val="00CE5ADC"/>
    <w:rsid w:val="00CE6A43"/>
    <w:rsid w:val="00CE7BFF"/>
    <w:rsid w:val="00CE7F2C"/>
    <w:rsid w:val="00CE7F65"/>
    <w:rsid w:val="00CF0209"/>
    <w:rsid w:val="00CF062A"/>
    <w:rsid w:val="00CF08C4"/>
    <w:rsid w:val="00CF160F"/>
    <w:rsid w:val="00CF2F6A"/>
    <w:rsid w:val="00CF3985"/>
    <w:rsid w:val="00CF4014"/>
    <w:rsid w:val="00CF4579"/>
    <w:rsid w:val="00CF52B6"/>
    <w:rsid w:val="00CF5CD7"/>
    <w:rsid w:val="00CF5E45"/>
    <w:rsid w:val="00CF6A1C"/>
    <w:rsid w:val="00CF6CA1"/>
    <w:rsid w:val="00D00AD6"/>
    <w:rsid w:val="00D01E6B"/>
    <w:rsid w:val="00D02082"/>
    <w:rsid w:val="00D02B71"/>
    <w:rsid w:val="00D03B83"/>
    <w:rsid w:val="00D0452D"/>
    <w:rsid w:val="00D0699B"/>
    <w:rsid w:val="00D07CBF"/>
    <w:rsid w:val="00D10236"/>
    <w:rsid w:val="00D11F09"/>
    <w:rsid w:val="00D13CEC"/>
    <w:rsid w:val="00D13DC7"/>
    <w:rsid w:val="00D13E07"/>
    <w:rsid w:val="00D14E48"/>
    <w:rsid w:val="00D1532C"/>
    <w:rsid w:val="00D1573B"/>
    <w:rsid w:val="00D15FB3"/>
    <w:rsid w:val="00D17109"/>
    <w:rsid w:val="00D20B45"/>
    <w:rsid w:val="00D217A1"/>
    <w:rsid w:val="00D21F9E"/>
    <w:rsid w:val="00D222C1"/>
    <w:rsid w:val="00D2411F"/>
    <w:rsid w:val="00D24B16"/>
    <w:rsid w:val="00D2505B"/>
    <w:rsid w:val="00D259C3"/>
    <w:rsid w:val="00D315CC"/>
    <w:rsid w:val="00D3173C"/>
    <w:rsid w:val="00D31D29"/>
    <w:rsid w:val="00D328E8"/>
    <w:rsid w:val="00D32AB1"/>
    <w:rsid w:val="00D32FCF"/>
    <w:rsid w:val="00D33395"/>
    <w:rsid w:val="00D3365A"/>
    <w:rsid w:val="00D33EEE"/>
    <w:rsid w:val="00D340C8"/>
    <w:rsid w:val="00D342E7"/>
    <w:rsid w:val="00D34680"/>
    <w:rsid w:val="00D3644D"/>
    <w:rsid w:val="00D37427"/>
    <w:rsid w:val="00D4041F"/>
    <w:rsid w:val="00D41F32"/>
    <w:rsid w:val="00D435A2"/>
    <w:rsid w:val="00D43969"/>
    <w:rsid w:val="00D449CB"/>
    <w:rsid w:val="00D45A37"/>
    <w:rsid w:val="00D501D3"/>
    <w:rsid w:val="00D512B0"/>
    <w:rsid w:val="00D51BEB"/>
    <w:rsid w:val="00D51D67"/>
    <w:rsid w:val="00D52989"/>
    <w:rsid w:val="00D52E11"/>
    <w:rsid w:val="00D52E15"/>
    <w:rsid w:val="00D5370F"/>
    <w:rsid w:val="00D53AC1"/>
    <w:rsid w:val="00D55F27"/>
    <w:rsid w:val="00D56E9B"/>
    <w:rsid w:val="00D572E4"/>
    <w:rsid w:val="00D57387"/>
    <w:rsid w:val="00D575AF"/>
    <w:rsid w:val="00D57D9C"/>
    <w:rsid w:val="00D61762"/>
    <w:rsid w:val="00D634C3"/>
    <w:rsid w:val="00D635DE"/>
    <w:rsid w:val="00D63903"/>
    <w:rsid w:val="00D63D05"/>
    <w:rsid w:val="00D64405"/>
    <w:rsid w:val="00D6463D"/>
    <w:rsid w:val="00D65894"/>
    <w:rsid w:val="00D66050"/>
    <w:rsid w:val="00D6633D"/>
    <w:rsid w:val="00D66832"/>
    <w:rsid w:val="00D66B96"/>
    <w:rsid w:val="00D670F6"/>
    <w:rsid w:val="00D67475"/>
    <w:rsid w:val="00D67AF0"/>
    <w:rsid w:val="00D7039A"/>
    <w:rsid w:val="00D70672"/>
    <w:rsid w:val="00D709D6"/>
    <w:rsid w:val="00D718DB"/>
    <w:rsid w:val="00D71FB6"/>
    <w:rsid w:val="00D72F61"/>
    <w:rsid w:val="00D734CB"/>
    <w:rsid w:val="00D742D3"/>
    <w:rsid w:val="00D74A9A"/>
    <w:rsid w:val="00D74B14"/>
    <w:rsid w:val="00D75609"/>
    <w:rsid w:val="00D7645A"/>
    <w:rsid w:val="00D76784"/>
    <w:rsid w:val="00D76E6C"/>
    <w:rsid w:val="00D77142"/>
    <w:rsid w:val="00D83A37"/>
    <w:rsid w:val="00D83F43"/>
    <w:rsid w:val="00D83F8B"/>
    <w:rsid w:val="00D84A5A"/>
    <w:rsid w:val="00D84DAD"/>
    <w:rsid w:val="00D84E92"/>
    <w:rsid w:val="00D85013"/>
    <w:rsid w:val="00D85423"/>
    <w:rsid w:val="00D86465"/>
    <w:rsid w:val="00D86AE0"/>
    <w:rsid w:val="00D87238"/>
    <w:rsid w:val="00D879D7"/>
    <w:rsid w:val="00D879DD"/>
    <w:rsid w:val="00D87ECE"/>
    <w:rsid w:val="00D909EB"/>
    <w:rsid w:val="00D90B0B"/>
    <w:rsid w:val="00D90C9D"/>
    <w:rsid w:val="00D921F3"/>
    <w:rsid w:val="00D9324D"/>
    <w:rsid w:val="00D93BF6"/>
    <w:rsid w:val="00D945FE"/>
    <w:rsid w:val="00D948AF"/>
    <w:rsid w:val="00D9507B"/>
    <w:rsid w:val="00D97251"/>
    <w:rsid w:val="00DA1289"/>
    <w:rsid w:val="00DA1308"/>
    <w:rsid w:val="00DA1593"/>
    <w:rsid w:val="00DA1CB6"/>
    <w:rsid w:val="00DA2619"/>
    <w:rsid w:val="00DA3502"/>
    <w:rsid w:val="00DA3BF9"/>
    <w:rsid w:val="00DA3EE6"/>
    <w:rsid w:val="00DA4D3C"/>
    <w:rsid w:val="00DA68A0"/>
    <w:rsid w:val="00DA6A10"/>
    <w:rsid w:val="00DB111E"/>
    <w:rsid w:val="00DB26C5"/>
    <w:rsid w:val="00DB3A0B"/>
    <w:rsid w:val="00DB49A9"/>
    <w:rsid w:val="00DB4C47"/>
    <w:rsid w:val="00DB5128"/>
    <w:rsid w:val="00DB595A"/>
    <w:rsid w:val="00DB5F9F"/>
    <w:rsid w:val="00DB7DA8"/>
    <w:rsid w:val="00DB7F5D"/>
    <w:rsid w:val="00DC05E5"/>
    <w:rsid w:val="00DC0788"/>
    <w:rsid w:val="00DC080B"/>
    <w:rsid w:val="00DC0AD4"/>
    <w:rsid w:val="00DC1448"/>
    <w:rsid w:val="00DC148A"/>
    <w:rsid w:val="00DC209E"/>
    <w:rsid w:val="00DC3C38"/>
    <w:rsid w:val="00DC3E24"/>
    <w:rsid w:val="00DC40C8"/>
    <w:rsid w:val="00DC4588"/>
    <w:rsid w:val="00DC4F66"/>
    <w:rsid w:val="00DC5051"/>
    <w:rsid w:val="00DC6CFA"/>
    <w:rsid w:val="00DC6EBC"/>
    <w:rsid w:val="00DC75BC"/>
    <w:rsid w:val="00DC7B16"/>
    <w:rsid w:val="00DD0497"/>
    <w:rsid w:val="00DD08F1"/>
    <w:rsid w:val="00DD0E2F"/>
    <w:rsid w:val="00DD1165"/>
    <w:rsid w:val="00DD1352"/>
    <w:rsid w:val="00DD1C12"/>
    <w:rsid w:val="00DD31E0"/>
    <w:rsid w:val="00DD399A"/>
    <w:rsid w:val="00DD3F76"/>
    <w:rsid w:val="00DD495B"/>
    <w:rsid w:val="00DD5ABF"/>
    <w:rsid w:val="00DD62EC"/>
    <w:rsid w:val="00DD77CE"/>
    <w:rsid w:val="00DE07C2"/>
    <w:rsid w:val="00DE1140"/>
    <w:rsid w:val="00DE1875"/>
    <w:rsid w:val="00DE1EF8"/>
    <w:rsid w:val="00DE2D9E"/>
    <w:rsid w:val="00DE31A1"/>
    <w:rsid w:val="00DE324B"/>
    <w:rsid w:val="00DE385B"/>
    <w:rsid w:val="00DE3E75"/>
    <w:rsid w:val="00DE42FF"/>
    <w:rsid w:val="00DE4C28"/>
    <w:rsid w:val="00DE5107"/>
    <w:rsid w:val="00DE5916"/>
    <w:rsid w:val="00DE6474"/>
    <w:rsid w:val="00DE7088"/>
    <w:rsid w:val="00DE70A4"/>
    <w:rsid w:val="00DF0A24"/>
    <w:rsid w:val="00DF130C"/>
    <w:rsid w:val="00DF1DA9"/>
    <w:rsid w:val="00DF48C8"/>
    <w:rsid w:val="00DF5273"/>
    <w:rsid w:val="00DF5298"/>
    <w:rsid w:val="00DF534D"/>
    <w:rsid w:val="00DF55C2"/>
    <w:rsid w:val="00DF5FEE"/>
    <w:rsid w:val="00DF6686"/>
    <w:rsid w:val="00DF6E3F"/>
    <w:rsid w:val="00DF7D07"/>
    <w:rsid w:val="00DF7F0F"/>
    <w:rsid w:val="00E00A69"/>
    <w:rsid w:val="00E02109"/>
    <w:rsid w:val="00E030F1"/>
    <w:rsid w:val="00E03A6B"/>
    <w:rsid w:val="00E049AC"/>
    <w:rsid w:val="00E05A35"/>
    <w:rsid w:val="00E0680B"/>
    <w:rsid w:val="00E07BF3"/>
    <w:rsid w:val="00E07F3A"/>
    <w:rsid w:val="00E101F9"/>
    <w:rsid w:val="00E10BE8"/>
    <w:rsid w:val="00E10E23"/>
    <w:rsid w:val="00E1186D"/>
    <w:rsid w:val="00E11A06"/>
    <w:rsid w:val="00E13016"/>
    <w:rsid w:val="00E16FA8"/>
    <w:rsid w:val="00E20E4C"/>
    <w:rsid w:val="00E2112D"/>
    <w:rsid w:val="00E211B4"/>
    <w:rsid w:val="00E21ED0"/>
    <w:rsid w:val="00E22F74"/>
    <w:rsid w:val="00E23247"/>
    <w:rsid w:val="00E246B3"/>
    <w:rsid w:val="00E25B94"/>
    <w:rsid w:val="00E26668"/>
    <w:rsid w:val="00E26B9B"/>
    <w:rsid w:val="00E26FDA"/>
    <w:rsid w:val="00E30D8A"/>
    <w:rsid w:val="00E310E5"/>
    <w:rsid w:val="00E319B7"/>
    <w:rsid w:val="00E3233D"/>
    <w:rsid w:val="00E3266E"/>
    <w:rsid w:val="00E33F1D"/>
    <w:rsid w:val="00E34852"/>
    <w:rsid w:val="00E3487F"/>
    <w:rsid w:val="00E34AEF"/>
    <w:rsid w:val="00E34C9B"/>
    <w:rsid w:val="00E34D32"/>
    <w:rsid w:val="00E35F94"/>
    <w:rsid w:val="00E36A61"/>
    <w:rsid w:val="00E42D0E"/>
    <w:rsid w:val="00E42D99"/>
    <w:rsid w:val="00E435B6"/>
    <w:rsid w:val="00E43AF1"/>
    <w:rsid w:val="00E444B4"/>
    <w:rsid w:val="00E44905"/>
    <w:rsid w:val="00E44DE3"/>
    <w:rsid w:val="00E44DFD"/>
    <w:rsid w:val="00E45E02"/>
    <w:rsid w:val="00E45E4B"/>
    <w:rsid w:val="00E4602D"/>
    <w:rsid w:val="00E4614A"/>
    <w:rsid w:val="00E4693B"/>
    <w:rsid w:val="00E46D3C"/>
    <w:rsid w:val="00E506FB"/>
    <w:rsid w:val="00E51727"/>
    <w:rsid w:val="00E5285C"/>
    <w:rsid w:val="00E536A6"/>
    <w:rsid w:val="00E5460C"/>
    <w:rsid w:val="00E54CA6"/>
    <w:rsid w:val="00E565D8"/>
    <w:rsid w:val="00E57A07"/>
    <w:rsid w:val="00E6065B"/>
    <w:rsid w:val="00E60CED"/>
    <w:rsid w:val="00E61EE8"/>
    <w:rsid w:val="00E62EC6"/>
    <w:rsid w:val="00E63220"/>
    <w:rsid w:val="00E6399E"/>
    <w:rsid w:val="00E63C21"/>
    <w:rsid w:val="00E64602"/>
    <w:rsid w:val="00E66536"/>
    <w:rsid w:val="00E66E22"/>
    <w:rsid w:val="00E672FB"/>
    <w:rsid w:val="00E708C4"/>
    <w:rsid w:val="00E7280C"/>
    <w:rsid w:val="00E7328A"/>
    <w:rsid w:val="00E73E2B"/>
    <w:rsid w:val="00E743AB"/>
    <w:rsid w:val="00E745FC"/>
    <w:rsid w:val="00E74AE5"/>
    <w:rsid w:val="00E75E7E"/>
    <w:rsid w:val="00E76E66"/>
    <w:rsid w:val="00E770D5"/>
    <w:rsid w:val="00E80F03"/>
    <w:rsid w:val="00E8142B"/>
    <w:rsid w:val="00E81635"/>
    <w:rsid w:val="00E82802"/>
    <w:rsid w:val="00E8290B"/>
    <w:rsid w:val="00E83AFB"/>
    <w:rsid w:val="00E847DA"/>
    <w:rsid w:val="00E84926"/>
    <w:rsid w:val="00E852C3"/>
    <w:rsid w:val="00E85391"/>
    <w:rsid w:val="00E85866"/>
    <w:rsid w:val="00E85B21"/>
    <w:rsid w:val="00E868D2"/>
    <w:rsid w:val="00E8721E"/>
    <w:rsid w:val="00E8744D"/>
    <w:rsid w:val="00E87672"/>
    <w:rsid w:val="00E91756"/>
    <w:rsid w:val="00E92876"/>
    <w:rsid w:val="00E93FCC"/>
    <w:rsid w:val="00E949C8"/>
    <w:rsid w:val="00E9515D"/>
    <w:rsid w:val="00E9538E"/>
    <w:rsid w:val="00E9574B"/>
    <w:rsid w:val="00E958DB"/>
    <w:rsid w:val="00E95AB2"/>
    <w:rsid w:val="00E96306"/>
    <w:rsid w:val="00E965EE"/>
    <w:rsid w:val="00EA1327"/>
    <w:rsid w:val="00EA16DD"/>
    <w:rsid w:val="00EA1BAF"/>
    <w:rsid w:val="00EA1D01"/>
    <w:rsid w:val="00EA2114"/>
    <w:rsid w:val="00EA333F"/>
    <w:rsid w:val="00EA387F"/>
    <w:rsid w:val="00EA3FE2"/>
    <w:rsid w:val="00EA455B"/>
    <w:rsid w:val="00EA5529"/>
    <w:rsid w:val="00EA637C"/>
    <w:rsid w:val="00EA69A3"/>
    <w:rsid w:val="00EA7752"/>
    <w:rsid w:val="00EB0DF7"/>
    <w:rsid w:val="00EB21C2"/>
    <w:rsid w:val="00EB2F12"/>
    <w:rsid w:val="00EB3DEC"/>
    <w:rsid w:val="00EB43B3"/>
    <w:rsid w:val="00EB4887"/>
    <w:rsid w:val="00EB48E3"/>
    <w:rsid w:val="00EB4AEF"/>
    <w:rsid w:val="00EB4D41"/>
    <w:rsid w:val="00EB5811"/>
    <w:rsid w:val="00EB6E1A"/>
    <w:rsid w:val="00EB7E5D"/>
    <w:rsid w:val="00EC0087"/>
    <w:rsid w:val="00EC033F"/>
    <w:rsid w:val="00EC03DD"/>
    <w:rsid w:val="00EC0ABC"/>
    <w:rsid w:val="00EC0DE7"/>
    <w:rsid w:val="00EC155A"/>
    <w:rsid w:val="00EC1942"/>
    <w:rsid w:val="00EC2B56"/>
    <w:rsid w:val="00EC3C75"/>
    <w:rsid w:val="00EC5135"/>
    <w:rsid w:val="00EC55E8"/>
    <w:rsid w:val="00EC5DFC"/>
    <w:rsid w:val="00EC693C"/>
    <w:rsid w:val="00EC6A8E"/>
    <w:rsid w:val="00EC6CBB"/>
    <w:rsid w:val="00EC76A9"/>
    <w:rsid w:val="00ED0189"/>
    <w:rsid w:val="00ED0D8B"/>
    <w:rsid w:val="00ED1272"/>
    <w:rsid w:val="00ED19E8"/>
    <w:rsid w:val="00ED2B24"/>
    <w:rsid w:val="00ED35BE"/>
    <w:rsid w:val="00ED371D"/>
    <w:rsid w:val="00ED4526"/>
    <w:rsid w:val="00ED4DC2"/>
    <w:rsid w:val="00ED4F88"/>
    <w:rsid w:val="00ED520C"/>
    <w:rsid w:val="00ED5EA9"/>
    <w:rsid w:val="00ED6163"/>
    <w:rsid w:val="00ED6FB5"/>
    <w:rsid w:val="00ED7B91"/>
    <w:rsid w:val="00EE0360"/>
    <w:rsid w:val="00EE0BFF"/>
    <w:rsid w:val="00EE0D2D"/>
    <w:rsid w:val="00EE0DDE"/>
    <w:rsid w:val="00EE1055"/>
    <w:rsid w:val="00EE22CD"/>
    <w:rsid w:val="00EE368A"/>
    <w:rsid w:val="00EE40C1"/>
    <w:rsid w:val="00EE5158"/>
    <w:rsid w:val="00EE51D0"/>
    <w:rsid w:val="00EE545B"/>
    <w:rsid w:val="00EE54B3"/>
    <w:rsid w:val="00EE5501"/>
    <w:rsid w:val="00EE5EA0"/>
    <w:rsid w:val="00EE785F"/>
    <w:rsid w:val="00EE79AE"/>
    <w:rsid w:val="00EE7D1C"/>
    <w:rsid w:val="00EF0083"/>
    <w:rsid w:val="00EF0360"/>
    <w:rsid w:val="00EF07C2"/>
    <w:rsid w:val="00EF1D25"/>
    <w:rsid w:val="00EF24F2"/>
    <w:rsid w:val="00EF28F8"/>
    <w:rsid w:val="00EF31E6"/>
    <w:rsid w:val="00EF370F"/>
    <w:rsid w:val="00EF4045"/>
    <w:rsid w:val="00EF4190"/>
    <w:rsid w:val="00EF49BD"/>
    <w:rsid w:val="00EF4AD8"/>
    <w:rsid w:val="00EF6DE0"/>
    <w:rsid w:val="00F0055E"/>
    <w:rsid w:val="00F00A68"/>
    <w:rsid w:val="00F010DF"/>
    <w:rsid w:val="00F012ED"/>
    <w:rsid w:val="00F01FD1"/>
    <w:rsid w:val="00F022E4"/>
    <w:rsid w:val="00F0310E"/>
    <w:rsid w:val="00F04A03"/>
    <w:rsid w:val="00F050F8"/>
    <w:rsid w:val="00F051DF"/>
    <w:rsid w:val="00F0580B"/>
    <w:rsid w:val="00F05D1A"/>
    <w:rsid w:val="00F062D5"/>
    <w:rsid w:val="00F0641B"/>
    <w:rsid w:val="00F06C14"/>
    <w:rsid w:val="00F07075"/>
    <w:rsid w:val="00F073EC"/>
    <w:rsid w:val="00F07C55"/>
    <w:rsid w:val="00F07E69"/>
    <w:rsid w:val="00F1264C"/>
    <w:rsid w:val="00F13929"/>
    <w:rsid w:val="00F13AA5"/>
    <w:rsid w:val="00F13E14"/>
    <w:rsid w:val="00F150E5"/>
    <w:rsid w:val="00F15262"/>
    <w:rsid w:val="00F158F1"/>
    <w:rsid w:val="00F159D6"/>
    <w:rsid w:val="00F1654E"/>
    <w:rsid w:val="00F202C4"/>
    <w:rsid w:val="00F20D76"/>
    <w:rsid w:val="00F219C1"/>
    <w:rsid w:val="00F21D36"/>
    <w:rsid w:val="00F2251D"/>
    <w:rsid w:val="00F237F1"/>
    <w:rsid w:val="00F23840"/>
    <w:rsid w:val="00F239FA"/>
    <w:rsid w:val="00F24008"/>
    <w:rsid w:val="00F248C7"/>
    <w:rsid w:val="00F25883"/>
    <w:rsid w:val="00F2693F"/>
    <w:rsid w:val="00F27A21"/>
    <w:rsid w:val="00F30CC7"/>
    <w:rsid w:val="00F30DEA"/>
    <w:rsid w:val="00F31016"/>
    <w:rsid w:val="00F31999"/>
    <w:rsid w:val="00F321D2"/>
    <w:rsid w:val="00F3261C"/>
    <w:rsid w:val="00F32990"/>
    <w:rsid w:val="00F338F4"/>
    <w:rsid w:val="00F33B51"/>
    <w:rsid w:val="00F34055"/>
    <w:rsid w:val="00F3491D"/>
    <w:rsid w:val="00F34F55"/>
    <w:rsid w:val="00F35B8F"/>
    <w:rsid w:val="00F36A87"/>
    <w:rsid w:val="00F36D51"/>
    <w:rsid w:val="00F36EF2"/>
    <w:rsid w:val="00F3791D"/>
    <w:rsid w:val="00F37FA3"/>
    <w:rsid w:val="00F4080C"/>
    <w:rsid w:val="00F4289C"/>
    <w:rsid w:val="00F430AB"/>
    <w:rsid w:val="00F43658"/>
    <w:rsid w:val="00F437E1"/>
    <w:rsid w:val="00F4431F"/>
    <w:rsid w:val="00F443DC"/>
    <w:rsid w:val="00F445AC"/>
    <w:rsid w:val="00F45813"/>
    <w:rsid w:val="00F45A71"/>
    <w:rsid w:val="00F45CE5"/>
    <w:rsid w:val="00F45DFF"/>
    <w:rsid w:val="00F512AB"/>
    <w:rsid w:val="00F51775"/>
    <w:rsid w:val="00F526E6"/>
    <w:rsid w:val="00F52C7A"/>
    <w:rsid w:val="00F52CA2"/>
    <w:rsid w:val="00F533AD"/>
    <w:rsid w:val="00F534A2"/>
    <w:rsid w:val="00F54819"/>
    <w:rsid w:val="00F5551B"/>
    <w:rsid w:val="00F5695E"/>
    <w:rsid w:val="00F5705F"/>
    <w:rsid w:val="00F60237"/>
    <w:rsid w:val="00F60273"/>
    <w:rsid w:val="00F60BFA"/>
    <w:rsid w:val="00F615DF"/>
    <w:rsid w:val="00F61692"/>
    <w:rsid w:val="00F61BA7"/>
    <w:rsid w:val="00F6224E"/>
    <w:rsid w:val="00F62F78"/>
    <w:rsid w:val="00F6348D"/>
    <w:rsid w:val="00F64004"/>
    <w:rsid w:val="00F64104"/>
    <w:rsid w:val="00F64693"/>
    <w:rsid w:val="00F64AEE"/>
    <w:rsid w:val="00F64ECD"/>
    <w:rsid w:val="00F650FE"/>
    <w:rsid w:val="00F67FEE"/>
    <w:rsid w:val="00F70396"/>
    <w:rsid w:val="00F70FFB"/>
    <w:rsid w:val="00F71161"/>
    <w:rsid w:val="00F71B2F"/>
    <w:rsid w:val="00F72481"/>
    <w:rsid w:val="00F732D1"/>
    <w:rsid w:val="00F7350E"/>
    <w:rsid w:val="00F7353A"/>
    <w:rsid w:val="00F73759"/>
    <w:rsid w:val="00F73A16"/>
    <w:rsid w:val="00F74F8E"/>
    <w:rsid w:val="00F753B6"/>
    <w:rsid w:val="00F754A9"/>
    <w:rsid w:val="00F75853"/>
    <w:rsid w:val="00F75BDE"/>
    <w:rsid w:val="00F7693E"/>
    <w:rsid w:val="00F80366"/>
    <w:rsid w:val="00F805DE"/>
    <w:rsid w:val="00F806B0"/>
    <w:rsid w:val="00F80B86"/>
    <w:rsid w:val="00F80DE9"/>
    <w:rsid w:val="00F815B4"/>
    <w:rsid w:val="00F8161B"/>
    <w:rsid w:val="00F8286D"/>
    <w:rsid w:val="00F829D7"/>
    <w:rsid w:val="00F829E2"/>
    <w:rsid w:val="00F83066"/>
    <w:rsid w:val="00F835B5"/>
    <w:rsid w:val="00F84827"/>
    <w:rsid w:val="00F85232"/>
    <w:rsid w:val="00F853C6"/>
    <w:rsid w:val="00F86043"/>
    <w:rsid w:val="00F86394"/>
    <w:rsid w:val="00F8664C"/>
    <w:rsid w:val="00F86CCA"/>
    <w:rsid w:val="00F871AC"/>
    <w:rsid w:val="00F87585"/>
    <w:rsid w:val="00F8783F"/>
    <w:rsid w:val="00F90D1E"/>
    <w:rsid w:val="00F914BF"/>
    <w:rsid w:val="00F91698"/>
    <w:rsid w:val="00F925B2"/>
    <w:rsid w:val="00F93851"/>
    <w:rsid w:val="00F93A3C"/>
    <w:rsid w:val="00F93DC3"/>
    <w:rsid w:val="00F94174"/>
    <w:rsid w:val="00F94321"/>
    <w:rsid w:val="00F94558"/>
    <w:rsid w:val="00F95086"/>
    <w:rsid w:val="00F951AE"/>
    <w:rsid w:val="00F96B66"/>
    <w:rsid w:val="00F97289"/>
    <w:rsid w:val="00F97DCB"/>
    <w:rsid w:val="00FA09E8"/>
    <w:rsid w:val="00FA0CE1"/>
    <w:rsid w:val="00FA3BB9"/>
    <w:rsid w:val="00FA4313"/>
    <w:rsid w:val="00FA49CD"/>
    <w:rsid w:val="00FA4E19"/>
    <w:rsid w:val="00FA5027"/>
    <w:rsid w:val="00FA51CC"/>
    <w:rsid w:val="00FA5C6A"/>
    <w:rsid w:val="00FA72DF"/>
    <w:rsid w:val="00FA7F7F"/>
    <w:rsid w:val="00FB0145"/>
    <w:rsid w:val="00FB089D"/>
    <w:rsid w:val="00FB0E30"/>
    <w:rsid w:val="00FB0F6C"/>
    <w:rsid w:val="00FB282A"/>
    <w:rsid w:val="00FB34C0"/>
    <w:rsid w:val="00FB4EE5"/>
    <w:rsid w:val="00FB5182"/>
    <w:rsid w:val="00FB52C8"/>
    <w:rsid w:val="00FB5977"/>
    <w:rsid w:val="00FB7644"/>
    <w:rsid w:val="00FB7831"/>
    <w:rsid w:val="00FC05D6"/>
    <w:rsid w:val="00FC31C9"/>
    <w:rsid w:val="00FC3656"/>
    <w:rsid w:val="00FC3B41"/>
    <w:rsid w:val="00FC432C"/>
    <w:rsid w:val="00FC48CB"/>
    <w:rsid w:val="00FC4943"/>
    <w:rsid w:val="00FC5CC4"/>
    <w:rsid w:val="00FC68AF"/>
    <w:rsid w:val="00FC7FB1"/>
    <w:rsid w:val="00FD074E"/>
    <w:rsid w:val="00FD087A"/>
    <w:rsid w:val="00FD176B"/>
    <w:rsid w:val="00FD23F0"/>
    <w:rsid w:val="00FD3109"/>
    <w:rsid w:val="00FD311D"/>
    <w:rsid w:val="00FD32AD"/>
    <w:rsid w:val="00FD406A"/>
    <w:rsid w:val="00FD4F81"/>
    <w:rsid w:val="00FD6AF5"/>
    <w:rsid w:val="00FD6BB6"/>
    <w:rsid w:val="00FD6F72"/>
    <w:rsid w:val="00FD7F58"/>
    <w:rsid w:val="00FE03BE"/>
    <w:rsid w:val="00FE15B7"/>
    <w:rsid w:val="00FE1C4F"/>
    <w:rsid w:val="00FE1FB4"/>
    <w:rsid w:val="00FE2F1F"/>
    <w:rsid w:val="00FE2F33"/>
    <w:rsid w:val="00FE3350"/>
    <w:rsid w:val="00FE44F5"/>
    <w:rsid w:val="00FE5875"/>
    <w:rsid w:val="00FE64C2"/>
    <w:rsid w:val="00FE737B"/>
    <w:rsid w:val="00FE746F"/>
    <w:rsid w:val="00FF16F2"/>
    <w:rsid w:val="00FF265A"/>
    <w:rsid w:val="00FF40AC"/>
    <w:rsid w:val="00FF4D12"/>
    <w:rsid w:val="00FF58CC"/>
    <w:rsid w:val="00FF6AB0"/>
    <w:rsid w:val="00FF6E82"/>
    <w:rsid w:val="00FF7A2E"/>
    <w:rsid w:val="00FF7A98"/>
    <w:rsid w:val="1FF70178"/>
    <w:rsid w:val="2DC52CDF"/>
    <w:rsid w:val="36844FAE"/>
    <w:rsid w:val="3A8B390F"/>
    <w:rsid w:val="4F311926"/>
    <w:rsid w:val="4FED0206"/>
    <w:rsid w:val="699966E9"/>
    <w:rsid w:val="6AC162C4"/>
    <w:rsid w:val="6C746C1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nhideWhenUsed="0"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nhideWhenUsed="0" w:uiPriority="99" w:semiHidden="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qFormat="1"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52"/>
    <w:unhideWhenUsed/>
    <w:qFormat/>
    <w:uiPriority w:val="0"/>
    <w:pPr>
      <w:keepNext/>
      <w:keepLines/>
      <w:spacing w:before="260" w:after="260" w:line="416" w:lineRule="auto"/>
      <w:outlineLvl w:val="1"/>
    </w:pPr>
    <w:rPr>
      <w:rFonts w:eastAsia="黑体" w:asciiTheme="majorHAnsi" w:hAnsiTheme="majorHAnsi" w:cstheme="majorBidi"/>
      <w:b/>
      <w:bCs/>
      <w:sz w:val="32"/>
      <w:szCs w:val="32"/>
    </w:rPr>
  </w:style>
  <w:style w:type="paragraph" w:styleId="5">
    <w:name w:val="heading 3"/>
    <w:basedOn w:val="1"/>
    <w:next w:val="1"/>
    <w:link w:val="53"/>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54"/>
    <w:qFormat/>
    <w:uiPriority w:val="9"/>
    <w:pPr>
      <w:keepNext/>
      <w:keepLines/>
      <w:spacing w:before="280" w:after="290" w:line="374" w:lineRule="auto"/>
      <w:outlineLvl w:val="3"/>
    </w:pPr>
    <w:rPr>
      <w:rFonts w:ascii="Cambria" w:hAnsi="Cambria" w:eastAsia="宋体" w:cs="Times New Roman"/>
      <w:b/>
      <w:bCs/>
      <w:sz w:val="28"/>
      <w:szCs w:val="28"/>
    </w:rPr>
  </w:style>
  <w:style w:type="paragraph" w:styleId="7">
    <w:name w:val="heading 5"/>
    <w:basedOn w:val="1"/>
    <w:next w:val="1"/>
    <w:link w:val="95"/>
    <w:unhideWhenUsed/>
    <w:qFormat/>
    <w:uiPriority w:val="9"/>
    <w:pPr>
      <w:keepNext/>
      <w:keepLines/>
      <w:spacing w:before="280" w:after="290" w:line="376" w:lineRule="auto"/>
      <w:outlineLvl w:val="4"/>
    </w:pPr>
    <w:rPr>
      <w:b/>
      <w:bCs/>
      <w:sz w:val="28"/>
      <w:szCs w:val="28"/>
    </w:rPr>
  </w:style>
  <w:style w:type="paragraph" w:styleId="8">
    <w:name w:val="heading 6"/>
    <w:basedOn w:val="1"/>
    <w:next w:val="1"/>
    <w:link w:val="55"/>
    <w:unhideWhenUsed/>
    <w:qFormat/>
    <w:uiPriority w:val="9"/>
    <w:pPr>
      <w:keepNext/>
      <w:keepLines/>
      <w:widowControl/>
      <w:spacing w:before="240" w:after="64" w:line="320" w:lineRule="auto"/>
      <w:jc w:val="left"/>
      <w:outlineLvl w:val="5"/>
    </w:pPr>
    <w:rPr>
      <w:rFonts w:asciiTheme="majorHAnsi" w:hAnsiTheme="majorHAnsi" w:eastAsiaTheme="majorEastAsia" w:cstheme="majorBidi"/>
      <w:b/>
      <w:bCs/>
      <w:kern w:val="0"/>
      <w:sz w:val="24"/>
      <w:szCs w:val="24"/>
    </w:rPr>
  </w:style>
  <w:style w:type="character" w:default="1" w:styleId="43">
    <w:name w:val="Default Paragraph Font"/>
    <w:semiHidden/>
    <w:unhideWhenUsed/>
    <w:uiPriority w:val="1"/>
  </w:style>
  <w:style w:type="table" w:default="1" w:styleId="35">
    <w:name w:val="Normal Table"/>
    <w:semiHidden/>
    <w:unhideWhenUsed/>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pPr>
    <w:rPr>
      <w:rFonts w:ascii="Times New Roman" w:hAnsi="Times New Roman" w:eastAsia="宋体" w:cs="Times New Roman"/>
      <w:szCs w:val="21"/>
    </w:rPr>
  </w:style>
  <w:style w:type="paragraph" w:styleId="9">
    <w:name w:val="toc 7"/>
    <w:basedOn w:val="1"/>
    <w:next w:val="1"/>
    <w:unhideWhenUsed/>
    <w:qFormat/>
    <w:uiPriority w:val="39"/>
    <w:pPr>
      <w:ind w:left="2520" w:leftChars="1200"/>
    </w:pPr>
  </w:style>
  <w:style w:type="paragraph" w:styleId="10">
    <w:name w:val="caption"/>
    <w:basedOn w:val="1"/>
    <w:next w:val="1"/>
    <w:unhideWhenUsed/>
    <w:qFormat/>
    <w:uiPriority w:val="35"/>
    <w:rPr>
      <w:rFonts w:eastAsia="黑体" w:asciiTheme="majorHAnsi" w:hAnsiTheme="majorHAnsi" w:cstheme="majorBidi"/>
      <w:sz w:val="20"/>
      <w:szCs w:val="20"/>
    </w:rPr>
  </w:style>
  <w:style w:type="paragraph" w:styleId="11">
    <w:name w:val="Document Map"/>
    <w:basedOn w:val="1"/>
    <w:link w:val="60"/>
    <w:semiHidden/>
    <w:unhideWhenUsed/>
    <w:qFormat/>
    <w:uiPriority w:val="99"/>
    <w:rPr>
      <w:rFonts w:ascii="宋体" w:eastAsia="宋体"/>
      <w:sz w:val="18"/>
      <w:szCs w:val="18"/>
    </w:rPr>
  </w:style>
  <w:style w:type="paragraph" w:styleId="12">
    <w:name w:val="annotation text"/>
    <w:basedOn w:val="1"/>
    <w:link w:val="56"/>
    <w:unhideWhenUsed/>
    <w:qFormat/>
    <w:uiPriority w:val="99"/>
    <w:pPr>
      <w:jc w:val="left"/>
    </w:pPr>
  </w:style>
  <w:style w:type="paragraph" w:styleId="13">
    <w:name w:val="Body Text"/>
    <w:basedOn w:val="1"/>
    <w:link w:val="58"/>
    <w:unhideWhenUsed/>
    <w:qFormat/>
    <w:uiPriority w:val="0"/>
    <w:pPr>
      <w:spacing w:after="120"/>
    </w:pPr>
  </w:style>
  <w:style w:type="paragraph" w:styleId="14">
    <w:name w:val="toc 5"/>
    <w:basedOn w:val="1"/>
    <w:next w:val="1"/>
    <w:unhideWhenUsed/>
    <w:qFormat/>
    <w:uiPriority w:val="39"/>
    <w:pPr>
      <w:ind w:left="1680" w:leftChars="800"/>
    </w:pPr>
  </w:style>
  <w:style w:type="paragraph" w:styleId="15">
    <w:name w:val="toc 3"/>
    <w:basedOn w:val="1"/>
    <w:next w:val="1"/>
    <w:unhideWhenUsed/>
    <w:qFormat/>
    <w:uiPriority w:val="39"/>
    <w:pPr>
      <w:ind w:left="840" w:leftChars="400"/>
    </w:pPr>
  </w:style>
  <w:style w:type="paragraph" w:styleId="16">
    <w:name w:val="toc 8"/>
    <w:basedOn w:val="1"/>
    <w:next w:val="1"/>
    <w:unhideWhenUsed/>
    <w:qFormat/>
    <w:uiPriority w:val="39"/>
    <w:pPr>
      <w:ind w:left="2940" w:leftChars="1400"/>
    </w:pPr>
  </w:style>
  <w:style w:type="paragraph" w:styleId="17">
    <w:name w:val="Date"/>
    <w:basedOn w:val="1"/>
    <w:next w:val="1"/>
    <w:link w:val="81"/>
    <w:qFormat/>
    <w:uiPriority w:val="0"/>
    <w:rPr>
      <w:rFonts w:ascii="仿宋_GB2312" w:hAnsi="Courier New" w:eastAsia="仿宋_GB2312" w:cs="Times New Roman"/>
      <w:color w:val="000000"/>
      <w:sz w:val="32"/>
      <w:szCs w:val="20"/>
    </w:rPr>
  </w:style>
  <w:style w:type="paragraph" w:styleId="18">
    <w:name w:val="Balloon Text"/>
    <w:basedOn w:val="1"/>
    <w:link w:val="61"/>
    <w:semiHidden/>
    <w:unhideWhenUsed/>
    <w:qFormat/>
    <w:uiPriority w:val="99"/>
    <w:rPr>
      <w:sz w:val="18"/>
      <w:szCs w:val="18"/>
    </w:rPr>
  </w:style>
  <w:style w:type="paragraph" w:styleId="19">
    <w:name w:val="footer"/>
    <w:basedOn w:val="1"/>
    <w:link w:val="62"/>
    <w:unhideWhenUsed/>
    <w:qFormat/>
    <w:uiPriority w:val="99"/>
    <w:pPr>
      <w:tabs>
        <w:tab w:val="center" w:pos="4153"/>
        <w:tab w:val="right" w:pos="8306"/>
      </w:tabs>
      <w:snapToGrid w:val="0"/>
      <w:jc w:val="left"/>
    </w:pPr>
    <w:rPr>
      <w:sz w:val="18"/>
      <w:szCs w:val="18"/>
    </w:rPr>
  </w:style>
  <w:style w:type="paragraph" w:styleId="20">
    <w:name w:val="header"/>
    <w:basedOn w:val="1"/>
    <w:link w:val="63"/>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style>
  <w:style w:type="paragraph" w:styleId="22">
    <w:name w:val="toc 4"/>
    <w:basedOn w:val="1"/>
    <w:next w:val="1"/>
    <w:unhideWhenUsed/>
    <w:qFormat/>
    <w:uiPriority w:val="39"/>
    <w:pPr>
      <w:ind w:left="1260" w:leftChars="600"/>
    </w:pPr>
  </w:style>
  <w:style w:type="paragraph" w:styleId="23">
    <w:name w:val="Subtitle"/>
    <w:basedOn w:val="1"/>
    <w:next w:val="1"/>
    <w:link w:val="64"/>
    <w:qFormat/>
    <w:uiPriority w:val="0"/>
    <w:pPr>
      <w:spacing w:line="312" w:lineRule="auto"/>
      <w:ind w:firstLine="200" w:firstLineChars="200"/>
      <w:jc w:val="left"/>
      <w:outlineLvl w:val="1"/>
    </w:pPr>
    <w:rPr>
      <w:rFonts w:ascii="Cambria" w:hAnsi="Cambria" w:eastAsia="楷体_GB2312"/>
      <w:bCs/>
      <w:kern w:val="28"/>
      <w:sz w:val="32"/>
      <w:szCs w:val="32"/>
    </w:rPr>
  </w:style>
  <w:style w:type="paragraph" w:styleId="24">
    <w:name w:val="footnote text"/>
    <w:basedOn w:val="1"/>
    <w:link w:val="65"/>
    <w:unhideWhenUsed/>
    <w:qFormat/>
    <w:uiPriority w:val="99"/>
    <w:pPr>
      <w:snapToGrid w:val="0"/>
      <w:jc w:val="left"/>
    </w:pPr>
    <w:rPr>
      <w:sz w:val="18"/>
      <w:szCs w:val="18"/>
    </w:rPr>
  </w:style>
  <w:style w:type="paragraph" w:styleId="25">
    <w:name w:val="toc 6"/>
    <w:basedOn w:val="1"/>
    <w:next w:val="1"/>
    <w:unhideWhenUsed/>
    <w:qFormat/>
    <w:uiPriority w:val="39"/>
    <w:pPr>
      <w:ind w:left="2100" w:leftChars="1000"/>
    </w:pPr>
  </w:style>
  <w:style w:type="paragraph" w:styleId="26">
    <w:name w:val="Body Text Indent 3"/>
    <w:basedOn w:val="1"/>
    <w:link w:val="99"/>
    <w:qFormat/>
    <w:uiPriority w:val="0"/>
    <w:pPr>
      <w:spacing w:after="120"/>
      <w:ind w:left="420" w:leftChars="200"/>
    </w:pPr>
    <w:rPr>
      <w:rFonts w:ascii="Times New Roman" w:hAnsi="Times New Roman" w:eastAsia="宋体" w:cs="Times New Roman"/>
      <w:sz w:val="16"/>
      <w:szCs w:val="16"/>
    </w:rPr>
  </w:style>
  <w:style w:type="paragraph" w:styleId="27">
    <w:name w:val="table of figures"/>
    <w:basedOn w:val="1"/>
    <w:next w:val="1"/>
    <w:unhideWhenUsed/>
    <w:qFormat/>
    <w:uiPriority w:val="99"/>
    <w:pPr>
      <w:ind w:left="200" w:leftChars="200" w:hanging="200" w:hangingChars="200"/>
    </w:pPr>
  </w:style>
  <w:style w:type="paragraph" w:styleId="28">
    <w:name w:val="toc 2"/>
    <w:basedOn w:val="1"/>
    <w:next w:val="1"/>
    <w:unhideWhenUsed/>
    <w:qFormat/>
    <w:uiPriority w:val="39"/>
    <w:pPr>
      <w:ind w:left="420" w:leftChars="200"/>
    </w:pPr>
  </w:style>
  <w:style w:type="paragraph" w:styleId="29">
    <w:name w:val="toc 9"/>
    <w:basedOn w:val="1"/>
    <w:next w:val="1"/>
    <w:unhideWhenUsed/>
    <w:qFormat/>
    <w:uiPriority w:val="39"/>
    <w:pPr>
      <w:ind w:left="3360" w:leftChars="1600"/>
    </w:pPr>
  </w:style>
  <w:style w:type="paragraph" w:styleId="30">
    <w:name w:val="HTML Preformatted"/>
    <w:basedOn w:val="1"/>
    <w:link w:val="94"/>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3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2">
    <w:name w:val="Title"/>
    <w:basedOn w:val="1"/>
    <w:next w:val="1"/>
    <w:link w:val="122"/>
    <w:qFormat/>
    <w:uiPriority w:val="10"/>
    <w:pPr>
      <w:spacing w:before="240" w:after="60"/>
      <w:jc w:val="center"/>
      <w:outlineLvl w:val="0"/>
    </w:pPr>
    <w:rPr>
      <w:rFonts w:eastAsia="宋体" w:asciiTheme="majorHAnsi" w:hAnsiTheme="majorHAnsi" w:cstheme="majorBidi"/>
      <w:b/>
      <w:bCs/>
      <w:sz w:val="32"/>
      <w:szCs w:val="32"/>
    </w:rPr>
  </w:style>
  <w:style w:type="paragraph" w:styleId="33">
    <w:name w:val="annotation subject"/>
    <w:basedOn w:val="12"/>
    <w:next w:val="12"/>
    <w:link w:val="57"/>
    <w:semiHidden/>
    <w:unhideWhenUsed/>
    <w:qFormat/>
    <w:uiPriority w:val="99"/>
    <w:rPr>
      <w:b/>
      <w:bCs/>
    </w:rPr>
  </w:style>
  <w:style w:type="paragraph" w:styleId="34">
    <w:name w:val="Body Text First Indent"/>
    <w:basedOn w:val="13"/>
    <w:link w:val="59"/>
    <w:semiHidden/>
    <w:unhideWhenUsed/>
    <w:qFormat/>
    <w:uiPriority w:val="99"/>
    <w:pPr>
      <w:ind w:firstLine="420" w:firstLineChars="100"/>
    </w:p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7">
    <w:name w:val="Light Shading Accent 1"/>
    <w:basedOn w:val="35"/>
    <w:qFormat/>
    <w:uiPriority w:val="60"/>
    <w:rPr>
      <w:rFonts w:asciiTheme="minorHAnsi" w:hAnsiTheme="minorHAnsi" w:eastAsiaTheme="minorEastAsia" w:cstheme="minorBidi"/>
      <w:color w:val="2E75B6" w:themeColor="accent1" w:themeShade="BF"/>
      <w:kern w:val="2"/>
      <w:sz w:val="21"/>
      <w:szCs w:val="22"/>
    </w:rPr>
    <w:tblPr>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38">
    <w:name w:val="Light Grid Accent 1"/>
    <w:basedOn w:val="35"/>
    <w:qFormat/>
    <w:uiPriority w:val="62"/>
    <w:rPr>
      <w:rFonts w:asciiTheme="minorHAnsi" w:hAnsiTheme="minorHAnsi" w:eastAsiaTheme="minorEastAsia" w:cstheme="minorBidi"/>
      <w:kern w:val="2"/>
      <w:sz w:val="21"/>
      <w:szCs w:val="22"/>
    </w:rPr>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18" w:space="0"/>
          <w:right w:val="single" w:color="5B9BD5"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shd w:val="clear" w:color="auto" w:fill="D6E6F4" w:themeFill="accent1" w:themeFillTint="3F"/>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shd w:val="clear" w:color="auto" w:fill="D6E6F4" w:themeFill="accent1" w:themeFillTint="3F"/>
      </w:tcPr>
    </w:tblStylePr>
    <w:tblStylePr w:type="band2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tcPr>
    </w:tblStylePr>
  </w:style>
  <w:style w:type="table" w:styleId="39">
    <w:name w:val="Light Grid Accent 3"/>
    <w:basedOn w:val="35"/>
    <w:qFormat/>
    <w:uiPriority w:val="62"/>
    <w:rPr>
      <w:rFonts w:asciiTheme="minorHAnsi" w:hAnsiTheme="minorHAnsi" w:eastAsiaTheme="minorEastAsia" w:cstheme="minorBidi"/>
      <w:sz w:val="22"/>
      <w:szCs w:val="22"/>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shd w:val="clear" w:color="auto" w:fill="E8E8E8" w:themeFill="accent3" w:themeFillTint="3F"/>
      </w:tcPr>
    </w:tblStylePr>
    <w:tblStylePr w:type="band2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tcPr>
    </w:tblStylePr>
  </w:style>
  <w:style w:type="table" w:styleId="40">
    <w:name w:val="Light Grid Accent 5"/>
    <w:basedOn w:val="35"/>
    <w:qFormat/>
    <w:uiPriority w:val="62"/>
    <w:rPr>
      <w:rFonts w:asciiTheme="minorHAnsi" w:hAnsiTheme="minorHAnsi" w:eastAsiaTheme="minorEastAsia" w:cstheme="minorBidi"/>
      <w:kern w:val="2"/>
      <w:sz w:val="21"/>
      <w:szCs w:val="22"/>
    </w:rPr>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table" w:styleId="41">
    <w:name w:val="Medium List 2 Accent 5"/>
    <w:basedOn w:val="35"/>
    <w:qFormat/>
    <w:uiPriority w:val="66"/>
    <w:rPr>
      <w:rFonts w:asciiTheme="majorHAnsi" w:hAnsiTheme="majorHAnsi" w:eastAsiaTheme="majorEastAsia" w:cstheme="majorBidi"/>
      <w:color w:val="000000" w:themeColor="text1"/>
      <w:kern w:val="2"/>
      <w:sz w:val="21"/>
      <w:szCs w:val="22"/>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Pr>
    <w:tblStylePr w:type="firstRow">
      <w:rPr>
        <w:sz w:val="24"/>
        <w:szCs w:val="24"/>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tblPr/>
      <w:tcPr>
        <w:tcBorders>
          <w:top w:val="single" w:color="4472C4"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472C4" w:themeColor="accent5" w:sz="8" w:space="0"/>
          <w:insideH w:val="nil"/>
          <w:insideV w:val="nil"/>
        </w:tcBorders>
        <w:shd w:val="clear" w:color="auto" w:fill="FFFFFF" w:themeFill="background1"/>
      </w:tcPr>
    </w:tblStylePr>
    <w:tblStylePr w:type="lastCol">
      <w:tblPr/>
      <w:tcPr>
        <w:tcBorders>
          <w:top w:val="nil"/>
          <w:left w:val="single" w:color="4472C4"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top w:val="nil"/>
          <w:bottom w:val="nil"/>
          <w:insideH w:val="nil"/>
          <w:insideV w:val="nil"/>
        </w:tcBorders>
        <w:shd w:val="clear" w:color="auto" w:fill="D0D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42">
    <w:name w:val="Medium Grid 3 Accent 1"/>
    <w:basedOn w:val="35"/>
    <w:qFormat/>
    <w:uiPriority w:val="69"/>
    <w:rPr>
      <w:rFonts w:asciiTheme="minorHAnsi" w:hAnsiTheme="minorHAnsi" w:eastAsiaTheme="minorEastAsia" w:cstheme="minorBidi"/>
      <w:kern w:val="2"/>
      <w:sz w:val="21"/>
      <w:szCs w:val="22"/>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6E6F4"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5B9BD5"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5B9BD5"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5B9BD5"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5B9BD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DEA"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DCDEA" w:themeFill="accent1" w:themeFillTint="7F"/>
      </w:tcPr>
    </w:tblStylePr>
  </w:style>
  <w:style w:type="character" w:styleId="44">
    <w:name w:val="Strong"/>
    <w:basedOn w:val="43"/>
    <w:qFormat/>
    <w:uiPriority w:val="22"/>
    <w:rPr>
      <w:b/>
      <w:bCs/>
    </w:rPr>
  </w:style>
  <w:style w:type="character" w:styleId="45">
    <w:name w:val="FollowedHyperlink"/>
    <w:basedOn w:val="43"/>
    <w:semiHidden/>
    <w:unhideWhenUsed/>
    <w:qFormat/>
    <w:uiPriority w:val="99"/>
    <w:rPr>
      <w:color w:val="954F72" w:themeColor="followedHyperlink"/>
      <w:u w:val="single"/>
      <w14:textFill>
        <w14:solidFill>
          <w14:schemeClr w14:val="folHlink"/>
        </w14:solidFill>
      </w14:textFill>
    </w:rPr>
  </w:style>
  <w:style w:type="character" w:styleId="46">
    <w:name w:val="Emphasis"/>
    <w:basedOn w:val="43"/>
    <w:qFormat/>
    <w:uiPriority w:val="20"/>
    <w:rPr>
      <w:i/>
      <w:iCs/>
    </w:rPr>
  </w:style>
  <w:style w:type="character" w:styleId="47">
    <w:name w:val="Hyperlink"/>
    <w:basedOn w:val="43"/>
    <w:unhideWhenUsed/>
    <w:qFormat/>
    <w:uiPriority w:val="99"/>
    <w:rPr>
      <w:color w:val="0000FF"/>
      <w:u w:val="single"/>
    </w:rPr>
  </w:style>
  <w:style w:type="character" w:styleId="48">
    <w:name w:val="annotation reference"/>
    <w:basedOn w:val="43"/>
    <w:semiHidden/>
    <w:unhideWhenUsed/>
    <w:qFormat/>
    <w:uiPriority w:val="99"/>
    <w:rPr>
      <w:sz w:val="21"/>
      <w:szCs w:val="21"/>
    </w:rPr>
  </w:style>
  <w:style w:type="character" w:styleId="49">
    <w:name w:val="footnote reference"/>
    <w:basedOn w:val="43"/>
    <w:qFormat/>
    <w:uiPriority w:val="99"/>
    <w:rPr>
      <w:rFonts w:cs="Times New Roman"/>
      <w:vertAlign w:val="superscript"/>
    </w:rPr>
  </w:style>
  <w:style w:type="table" w:customStyle="1" w:styleId="50">
    <w:name w:val="浅色底纹 - 强调文字颜色 11"/>
    <w:basedOn w:val="35"/>
    <w:qFormat/>
    <w:uiPriority w:val="60"/>
    <w:rPr>
      <w:rFonts w:asciiTheme="minorHAnsi" w:hAnsiTheme="minorHAnsi" w:eastAsiaTheme="minorEastAsia" w:cstheme="minorBidi"/>
      <w:color w:val="2E75B6" w:themeColor="accent1" w:themeShade="BF"/>
      <w:kern w:val="2"/>
      <w:sz w:val="21"/>
      <w:szCs w:val="22"/>
    </w:rPr>
    <w:tblPr>
      <w:tblBorders>
        <w:top w:val="single" w:color="5B9BD5" w:themeColor="accent1" w:sz="8" w:space="0"/>
        <w:bottom w:val="single" w:color="5B9BD5" w:themeColor="accent1" w:sz="8" w:space="0"/>
      </w:tblBorders>
    </w:tblPr>
    <w:tblStylePr w:type="firstRow">
      <w:pPr>
        <w:spacing w:before="0" w:after="0" w:line="240" w:lineRule="auto"/>
      </w:pPr>
      <w:rPr>
        <w:b/>
        <w:bCs/>
      </w:r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6E6F4" w:themeFill="accent1" w:themeFillTint="3F"/>
      </w:tcPr>
    </w:tblStylePr>
    <w:tblStylePr w:type="band1Horz">
      <w:tcPr>
        <w:tcBorders>
          <w:left w:val="nil"/>
          <w:right w:val="nil"/>
          <w:insideH w:val="nil"/>
          <w:insideV w:val="nil"/>
        </w:tcBorders>
        <w:shd w:val="clear" w:color="auto" w:fill="D6E6F4" w:themeFill="accent1" w:themeFillTint="3F"/>
      </w:tcPr>
    </w:tblStylePr>
  </w:style>
  <w:style w:type="character" w:customStyle="1" w:styleId="51">
    <w:name w:val="标题 1 字符"/>
    <w:basedOn w:val="43"/>
    <w:link w:val="3"/>
    <w:qFormat/>
    <w:uiPriority w:val="9"/>
    <w:rPr>
      <w:b/>
      <w:bCs/>
      <w:kern w:val="44"/>
      <w:sz w:val="44"/>
      <w:szCs w:val="44"/>
    </w:rPr>
  </w:style>
  <w:style w:type="character" w:customStyle="1" w:styleId="52">
    <w:name w:val="标题 2 字符"/>
    <w:basedOn w:val="43"/>
    <w:link w:val="4"/>
    <w:qFormat/>
    <w:uiPriority w:val="0"/>
    <w:rPr>
      <w:rFonts w:eastAsia="黑体" w:asciiTheme="majorHAnsi" w:hAnsiTheme="majorHAnsi" w:cstheme="majorBidi"/>
      <w:b/>
      <w:bCs/>
      <w:sz w:val="32"/>
      <w:szCs w:val="32"/>
    </w:rPr>
  </w:style>
  <w:style w:type="character" w:customStyle="1" w:styleId="53">
    <w:name w:val="标题 3 字符"/>
    <w:basedOn w:val="43"/>
    <w:link w:val="5"/>
    <w:qFormat/>
    <w:uiPriority w:val="9"/>
    <w:rPr>
      <w:b/>
      <w:bCs/>
      <w:sz w:val="32"/>
      <w:szCs w:val="32"/>
    </w:rPr>
  </w:style>
  <w:style w:type="character" w:customStyle="1" w:styleId="54">
    <w:name w:val="标题 4 字符"/>
    <w:basedOn w:val="43"/>
    <w:link w:val="6"/>
    <w:qFormat/>
    <w:uiPriority w:val="9"/>
    <w:rPr>
      <w:rFonts w:ascii="Cambria" w:hAnsi="Cambria" w:eastAsia="宋体" w:cs="Times New Roman"/>
      <w:b/>
      <w:bCs/>
      <w:sz w:val="28"/>
      <w:szCs w:val="28"/>
    </w:rPr>
  </w:style>
  <w:style w:type="character" w:customStyle="1" w:styleId="55">
    <w:name w:val="标题 6 字符"/>
    <w:basedOn w:val="43"/>
    <w:link w:val="8"/>
    <w:qFormat/>
    <w:uiPriority w:val="9"/>
    <w:rPr>
      <w:rFonts w:asciiTheme="majorHAnsi" w:hAnsiTheme="majorHAnsi" w:eastAsiaTheme="majorEastAsia" w:cstheme="majorBidi"/>
      <w:b/>
      <w:bCs/>
      <w:kern w:val="0"/>
      <w:sz w:val="24"/>
      <w:szCs w:val="24"/>
    </w:rPr>
  </w:style>
  <w:style w:type="character" w:customStyle="1" w:styleId="56">
    <w:name w:val="批注文字 字符"/>
    <w:basedOn w:val="43"/>
    <w:link w:val="12"/>
    <w:qFormat/>
    <w:uiPriority w:val="99"/>
    <w:rPr>
      <w:rFonts w:asciiTheme="minorHAnsi" w:hAnsiTheme="minorHAnsi" w:eastAsiaTheme="minorEastAsia" w:cstheme="minorBidi"/>
      <w:kern w:val="2"/>
      <w:sz w:val="21"/>
      <w:szCs w:val="22"/>
    </w:rPr>
  </w:style>
  <w:style w:type="character" w:customStyle="1" w:styleId="57">
    <w:name w:val="批注主题 字符"/>
    <w:basedOn w:val="56"/>
    <w:link w:val="33"/>
    <w:semiHidden/>
    <w:qFormat/>
    <w:uiPriority w:val="99"/>
    <w:rPr>
      <w:rFonts w:asciiTheme="minorHAnsi" w:hAnsiTheme="minorHAnsi" w:eastAsiaTheme="minorEastAsia" w:cstheme="minorBidi"/>
      <w:b/>
      <w:bCs/>
      <w:kern w:val="2"/>
      <w:sz w:val="21"/>
      <w:szCs w:val="22"/>
    </w:rPr>
  </w:style>
  <w:style w:type="character" w:customStyle="1" w:styleId="58">
    <w:name w:val="正文文本 字符"/>
    <w:basedOn w:val="43"/>
    <w:link w:val="13"/>
    <w:qFormat/>
    <w:uiPriority w:val="0"/>
    <w:rPr>
      <w:rFonts w:asciiTheme="minorHAnsi" w:hAnsiTheme="minorHAnsi" w:eastAsiaTheme="minorEastAsia" w:cstheme="minorBidi"/>
      <w:kern w:val="2"/>
      <w:sz w:val="21"/>
      <w:szCs w:val="22"/>
    </w:rPr>
  </w:style>
  <w:style w:type="character" w:customStyle="1" w:styleId="59">
    <w:name w:val="正文文本首行缩进 字符"/>
    <w:basedOn w:val="58"/>
    <w:link w:val="34"/>
    <w:semiHidden/>
    <w:qFormat/>
    <w:uiPriority w:val="99"/>
    <w:rPr>
      <w:rFonts w:asciiTheme="minorHAnsi" w:hAnsiTheme="minorHAnsi" w:eastAsiaTheme="minorEastAsia" w:cstheme="minorBidi"/>
      <w:kern w:val="2"/>
      <w:sz w:val="21"/>
      <w:szCs w:val="22"/>
    </w:rPr>
  </w:style>
  <w:style w:type="character" w:customStyle="1" w:styleId="60">
    <w:name w:val="文档结构图 字符"/>
    <w:basedOn w:val="43"/>
    <w:link w:val="11"/>
    <w:semiHidden/>
    <w:qFormat/>
    <w:uiPriority w:val="99"/>
    <w:rPr>
      <w:rFonts w:ascii="宋体" w:eastAsia="宋体"/>
      <w:sz w:val="18"/>
      <w:szCs w:val="18"/>
    </w:rPr>
  </w:style>
  <w:style w:type="character" w:customStyle="1" w:styleId="61">
    <w:name w:val="批注框文本 字符"/>
    <w:basedOn w:val="43"/>
    <w:link w:val="18"/>
    <w:semiHidden/>
    <w:qFormat/>
    <w:uiPriority w:val="99"/>
    <w:rPr>
      <w:sz w:val="18"/>
      <w:szCs w:val="18"/>
    </w:rPr>
  </w:style>
  <w:style w:type="character" w:customStyle="1" w:styleId="62">
    <w:name w:val="页脚 字符"/>
    <w:basedOn w:val="43"/>
    <w:link w:val="19"/>
    <w:qFormat/>
    <w:uiPriority w:val="99"/>
    <w:rPr>
      <w:sz w:val="18"/>
      <w:szCs w:val="18"/>
    </w:rPr>
  </w:style>
  <w:style w:type="character" w:customStyle="1" w:styleId="63">
    <w:name w:val="页眉 字符"/>
    <w:basedOn w:val="43"/>
    <w:link w:val="20"/>
    <w:qFormat/>
    <w:uiPriority w:val="99"/>
    <w:rPr>
      <w:sz w:val="18"/>
      <w:szCs w:val="18"/>
    </w:rPr>
  </w:style>
  <w:style w:type="character" w:customStyle="1" w:styleId="64">
    <w:name w:val="副标题 字符"/>
    <w:basedOn w:val="43"/>
    <w:link w:val="23"/>
    <w:qFormat/>
    <w:uiPriority w:val="0"/>
    <w:rPr>
      <w:rFonts w:ascii="Cambria" w:hAnsi="Cambria" w:eastAsia="楷体_GB2312"/>
      <w:bCs/>
      <w:kern w:val="28"/>
      <w:sz w:val="32"/>
      <w:szCs w:val="32"/>
    </w:rPr>
  </w:style>
  <w:style w:type="character" w:customStyle="1" w:styleId="65">
    <w:name w:val="脚注文本 字符"/>
    <w:basedOn w:val="43"/>
    <w:link w:val="24"/>
    <w:qFormat/>
    <w:uiPriority w:val="99"/>
    <w:rPr>
      <w:sz w:val="18"/>
      <w:szCs w:val="18"/>
    </w:rPr>
  </w:style>
  <w:style w:type="paragraph" w:styleId="66">
    <w:name w:val="List Paragraph"/>
    <w:basedOn w:val="1"/>
    <w:qFormat/>
    <w:uiPriority w:val="34"/>
    <w:pPr>
      <w:ind w:firstLine="420" w:firstLineChars="200"/>
    </w:pPr>
  </w:style>
  <w:style w:type="character" w:customStyle="1" w:styleId="67">
    <w:name w:val="正文缩进 Char"/>
    <w:link w:val="68"/>
    <w:qFormat/>
    <w:uiPriority w:val="0"/>
    <w:rPr>
      <w:sz w:val="24"/>
      <w:szCs w:val="24"/>
    </w:rPr>
  </w:style>
  <w:style w:type="paragraph" w:customStyle="1" w:styleId="68">
    <w:name w:val="正文缩进1"/>
    <w:basedOn w:val="1"/>
    <w:link w:val="67"/>
    <w:qFormat/>
    <w:uiPriority w:val="0"/>
    <w:pPr>
      <w:spacing w:line="420" w:lineRule="exact"/>
      <w:ind w:firstLine="200" w:firstLineChars="200"/>
    </w:pPr>
    <w:rPr>
      <w:sz w:val="24"/>
      <w:szCs w:val="24"/>
    </w:rPr>
  </w:style>
  <w:style w:type="character" w:customStyle="1" w:styleId="69">
    <w:name w:val="副标题 字符1"/>
    <w:basedOn w:val="43"/>
    <w:qFormat/>
    <w:uiPriority w:val="11"/>
    <w:rPr>
      <w:b/>
      <w:bCs/>
      <w:kern w:val="28"/>
      <w:sz w:val="32"/>
      <w:szCs w:val="32"/>
    </w:rPr>
  </w:style>
  <w:style w:type="character" w:customStyle="1" w:styleId="70">
    <w:name w:val="表格标题 Char"/>
    <w:link w:val="71"/>
    <w:qFormat/>
    <w:uiPriority w:val="0"/>
    <w:rPr>
      <w:rFonts w:ascii="华文中宋" w:hAnsi="宋体" w:eastAsia="华文中宋"/>
      <w:color w:val="000000"/>
    </w:rPr>
  </w:style>
  <w:style w:type="paragraph" w:customStyle="1" w:styleId="71">
    <w:name w:val="表格标题"/>
    <w:basedOn w:val="1"/>
    <w:link w:val="70"/>
    <w:qFormat/>
    <w:uiPriority w:val="0"/>
    <w:pPr>
      <w:snapToGrid w:val="0"/>
      <w:spacing w:beforeLines="50" w:afterLines="50"/>
      <w:jc w:val="center"/>
    </w:pPr>
    <w:rPr>
      <w:rFonts w:ascii="华文中宋" w:hAnsi="宋体" w:eastAsia="华文中宋"/>
      <w:color w:val="000000"/>
    </w:rPr>
  </w:style>
  <w:style w:type="table" w:customStyle="1" w:styleId="72">
    <w:name w:val="网格型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3">
    <w:name w:val="bjh-p"/>
    <w:basedOn w:val="43"/>
    <w:qFormat/>
    <w:uiPriority w:val="0"/>
  </w:style>
  <w:style w:type="character" w:customStyle="1" w:styleId="74">
    <w:name w:val="未处理的提及1"/>
    <w:basedOn w:val="43"/>
    <w:semiHidden/>
    <w:unhideWhenUsed/>
    <w:qFormat/>
    <w:uiPriority w:val="99"/>
    <w:rPr>
      <w:color w:val="605E5C"/>
      <w:shd w:val="clear" w:color="auto" w:fill="E1DFDD"/>
    </w:rPr>
  </w:style>
  <w:style w:type="table" w:customStyle="1" w:styleId="75">
    <w:name w:val="网格型2"/>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
    <w:name w:val="网格型3"/>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7">
    <w:name w:val="未处理的提及2"/>
    <w:basedOn w:val="43"/>
    <w:semiHidden/>
    <w:unhideWhenUsed/>
    <w:qFormat/>
    <w:uiPriority w:val="99"/>
    <w:rPr>
      <w:color w:val="605E5C"/>
      <w:shd w:val="clear" w:color="auto" w:fill="E1DFDD"/>
    </w:rPr>
  </w:style>
  <w:style w:type="paragraph" w:customStyle="1" w:styleId="78">
    <w:name w:val="_Style 58"/>
    <w:basedOn w:val="13"/>
    <w:next w:val="34"/>
    <w:qFormat/>
    <w:uiPriority w:val="0"/>
    <w:pPr>
      <w:ind w:firstLine="420" w:firstLineChars="100"/>
    </w:pPr>
    <w:rPr>
      <w:rFonts w:ascii="Times New Roman" w:hAnsi="Times New Roman" w:eastAsia="宋体" w:cs="Times New Roman"/>
      <w:szCs w:val="20"/>
    </w:rPr>
  </w:style>
  <w:style w:type="paragraph" w:customStyle="1" w:styleId="79">
    <w:name w:val="首行缩进两字"/>
    <w:basedOn w:val="1"/>
    <w:qFormat/>
    <w:uiPriority w:val="0"/>
    <w:pPr>
      <w:spacing w:line="600" w:lineRule="exact"/>
      <w:ind w:firstLine="560" w:firstLineChars="200"/>
      <w:jc w:val="left"/>
    </w:pPr>
    <w:rPr>
      <w:rFonts w:ascii="宋体" w:hAnsi="宋体" w:eastAsia="宋体" w:cs="Times New Roman"/>
      <w:color w:val="000000"/>
      <w:sz w:val="28"/>
      <w:szCs w:val="24"/>
    </w:rPr>
  </w:style>
  <w:style w:type="paragraph" w:customStyle="1" w:styleId="80">
    <w:name w:val="样式1"/>
    <w:basedOn w:val="1"/>
    <w:qFormat/>
    <w:uiPriority w:val="0"/>
    <w:pPr>
      <w:adjustRightInd w:val="0"/>
      <w:snapToGrid w:val="0"/>
      <w:spacing w:line="360" w:lineRule="auto"/>
      <w:ind w:firstLine="200" w:firstLineChars="200"/>
    </w:pPr>
    <w:rPr>
      <w:rFonts w:ascii="Times New Roman" w:hAnsi="Times New Roman" w:eastAsia="宋体" w:cs="Times New Roman"/>
      <w:bCs/>
      <w:color w:val="000000"/>
      <w:sz w:val="28"/>
      <w:szCs w:val="28"/>
    </w:rPr>
  </w:style>
  <w:style w:type="character" w:customStyle="1" w:styleId="81">
    <w:name w:val="日期 字符"/>
    <w:basedOn w:val="43"/>
    <w:link w:val="17"/>
    <w:qFormat/>
    <w:uiPriority w:val="0"/>
    <w:rPr>
      <w:rFonts w:ascii="仿宋_GB2312" w:hAnsi="Courier New" w:eastAsia="仿宋_GB2312"/>
      <w:color w:val="000000"/>
      <w:kern w:val="2"/>
      <w:sz w:val="32"/>
    </w:rPr>
  </w:style>
  <w:style w:type="character" w:customStyle="1" w:styleId="82">
    <w:name w:val="未处理的提及3"/>
    <w:basedOn w:val="43"/>
    <w:semiHidden/>
    <w:unhideWhenUsed/>
    <w:qFormat/>
    <w:uiPriority w:val="99"/>
    <w:rPr>
      <w:color w:val="605E5C"/>
      <w:shd w:val="clear" w:color="auto" w:fill="E1DFDD"/>
    </w:rPr>
  </w:style>
  <w:style w:type="paragraph" w:customStyle="1" w:styleId="83">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character" w:customStyle="1" w:styleId="84">
    <w:name w:val="NormalCharacter"/>
    <w:semiHidden/>
    <w:qFormat/>
    <w:uiPriority w:val="0"/>
  </w:style>
  <w:style w:type="paragraph" w:customStyle="1" w:styleId="85">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86">
    <w:name w:val="o3ztbmydvgk"/>
    <w:basedOn w:val="43"/>
    <w:qFormat/>
    <w:uiPriority w:val="0"/>
  </w:style>
  <w:style w:type="paragraph" w:customStyle="1" w:styleId="87">
    <w:name w:val="p15"/>
    <w:basedOn w:val="1"/>
    <w:qFormat/>
    <w:uiPriority w:val="0"/>
    <w:pPr>
      <w:widowControl/>
      <w:spacing w:line="460" w:lineRule="atLeast"/>
      <w:ind w:firstLine="420" w:firstLineChars="200"/>
    </w:pPr>
    <w:rPr>
      <w:rFonts w:ascii="Times New Roman" w:hAnsi="Times New Roman" w:eastAsia="宋体" w:cs="Times New Roman"/>
      <w:snapToGrid w:val="0"/>
      <w:kern w:val="0"/>
      <w:sz w:val="28"/>
      <w:szCs w:val="28"/>
    </w:rPr>
  </w:style>
  <w:style w:type="paragraph" w:customStyle="1" w:styleId="88">
    <w:name w:val="ql-align-justify"/>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9">
    <w:name w:val="未处理的提及31"/>
    <w:basedOn w:val="43"/>
    <w:semiHidden/>
    <w:unhideWhenUsed/>
    <w:qFormat/>
    <w:uiPriority w:val="99"/>
    <w:rPr>
      <w:color w:val="605E5C"/>
      <w:shd w:val="clear" w:color="auto" w:fill="E1DFDD"/>
    </w:rPr>
  </w:style>
  <w:style w:type="character" w:customStyle="1" w:styleId="90">
    <w:name w:val="未处理的提及4"/>
    <w:basedOn w:val="43"/>
    <w:semiHidden/>
    <w:unhideWhenUsed/>
    <w:qFormat/>
    <w:uiPriority w:val="99"/>
    <w:rPr>
      <w:color w:val="605E5C"/>
      <w:shd w:val="clear" w:color="auto" w:fill="E1DFDD"/>
    </w:rPr>
  </w:style>
  <w:style w:type="character" w:customStyle="1" w:styleId="91">
    <w:name w:val="未处理的提及5"/>
    <w:basedOn w:val="43"/>
    <w:semiHidden/>
    <w:unhideWhenUsed/>
    <w:qFormat/>
    <w:uiPriority w:val="99"/>
    <w:rPr>
      <w:color w:val="605E5C"/>
      <w:shd w:val="clear" w:color="auto" w:fill="E1DFDD"/>
    </w:rPr>
  </w:style>
  <w:style w:type="character" w:customStyle="1" w:styleId="92">
    <w:name w:val="未处理的提及51"/>
    <w:basedOn w:val="43"/>
    <w:semiHidden/>
    <w:unhideWhenUsed/>
    <w:qFormat/>
    <w:uiPriority w:val="99"/>
    <w:rPr>
      <w:color w:val="605E5C"/>
      <w:shd w:val="clear" w:color="auto" w:fill="E1DFDD"/>
    </w:rPr>
  </w:style>
  <w:style w:type="character" w:customStyle="1" w:styleId="93">
    <w:name w:val="未处理的提及6"/>
    <w:basedOn w:val="43"/>
    <w:semiHidden/>
    <w:unhideWhenUsed/>
    <w:qFormat/>
    <w:uiPriority w:val="99"/>
    <w:rPr>
      <w:color w:val="605E5C"/>
      <w:shd w:val="clear" w:color="auto" w:fill="E1DFDD"/>
    </w:rPr>
  </w:style>
  <w:style w:type="character" w:customStyle="1" w:styleId="94">
    <w:name w:val="HTML 预设格式 字符"/>
    <w:basedOn w:val="43"/>
    <w:link w:val="30"/>
    <w:qFormat/>
    <w:uiPriority w:val="99"/>
    <w:rPr>
      <w:rFonts w:ascii="宋体" w:hAnsi="宋体" w:cs="宋体"/>
      <w:sz w:val="24"/>
      <w:szCs w:val="24"/>
    </w:rPr>
  </w:style>
  <w:style w:type="character" w:customStyle="1" w:styleId="95">
    <w:name w:val="标题 5 字符"/>
    <w:basedOn w:val="43"/>
    <w:link w:val="7"/>
    <w:qFormat/>
    <w:uiPriority w:val="9"/>
    <w:rPr>
      <w:rFonts w:asciiTheme="minorHAnsi" w:hAnsiTheme="minorHAnsi" w:eastAsiaTheme="minorEastAsia" w:cstheme="minorBidi"/>
      <w:b/>
      <w:bCs/>
      <w:kern w:val="2"/>
      <w:sz w:val="28"/>
      <w:szCs w:val="28"/>
    </w:rPr>
  </w:style>
  <w:style w:type="character" w:customStyle="1" w:styleId="96">
    <w:name w:val="未处理的提及61"/>
    <w:basedOn w:val="43"/>
    <w:semiHidden/>
    <w:unhideWhenUsed/>
    <w:qFormat/>
    <w:uiPriority w:val="99"/>
    <w:rPr>
      <w:color w:val="605E5C"/>
      <w:shd w:val="clear" w:color="auto" w:fill="E1DFDD"/>
    </w:rPr>
  </w:style>
  <w:style w:type="paragraph" w:customStyle="1" w:styleId="97">
    <w:name w:val="1级"/>
    <w:basedOn w:val="1"/>
    <w:link w:val="98"/>
    <w:qFormat/>
    <w:uiPriority w:val="0"/>
    <w:pPr>
      <w:keepNext/>
      <w:keepLines/>
      <w:spacing w:afterLines="100" w:line="360" w:lineRule="auto"/>
      <w:jc w:val="center"/>
      <w:outlineLvl w:val="0"/>
    </w:pPr>
    <w:rPr>
      <w:rFonts w:ascii="黑体" w:hAnsi="Times New Roman" w:eastAsia="黑体" w:cs="Times New Roman"/>
      <w:b/>
      <w:bCs/>
      <w:kern w:val="0"/>
      <w:sz w:val="44"/>
      <w:szCs w:val="44"/>
    </w:rPr>
  </w:style>
  <w:style w:type="character" w:customStyle="1" w:styleId="98">
    <w:name w:val="1级 Char"/>
    <w:link w:val="97"/>
    <w:qFormat/>
    <w:locked/>
    <w:uiPriority w:val="0"/>
    <w:rPr>
      <w:rFonts w:ascii="黑体" w:hAnsi="Times New Roman" w:eastAsia="黑体"/>
      <w:b/>
      <w:bCs/>
      <w:sz w:val="44"/>
      <w:szCs w:val="44"/>
    </w:rPr>
  </w:style>
  <w:style w:type="character" w:customStyle="1" w:styleId="99">
    <w:name w:val="正文文本缩进 3 字符"/>
    <w:basedOn w:val="43"/>
    <w:link w:val="26"/>
    <w:qFormat/>
    <w:uiPriority w:val="0"/>
    <w:rPr>
      <w:rFonts w:ascii="Times New Roman" w:hAnsi="Times New Roman"/>
      <w:kern w:val="2"/>
      <w:sz w:val="16"/>
      <w:szCs w:val="16"/>
    </w:rPr>
  </w:style>
  <w:style w:type="table" w:customStyle="1" w:styleId="100">
    <w:name w:val="无格式表格 21"/>
    <w:basedOn w:val="35"/>
    <w:qFormat/>
    <w:uiPriority w:val="42"/>
    <w:rPr>
      <w:rFonts w:asciiTheme="minorHAnsi" w:hAnsiTheme="minorHAnsi" w:eastAsiaTheme="minorEastAsia" w:cstheme="minorBidi"/>
      <w:kern w:val="2"/>
      <w:sz w:val="21"/>
      <w:szCs w:val="22"/>
    </w:rPr>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character" w:customStyle="1" w:styleId="101">
    <w:name w:val="gray"/>
    <w:basedOn w:val="43"/>
    <w:qFormat/>
    <w:uiPriority w:val="0"/>
  </w:style>
  <w:style w:type="character" w:customStyle="1" w:styleId="102">
    <w:name w:val="2文字 Char"/>
    <w:link w:val="103"/>
    <w:qFormat/>
    <w:uiPriority w:val="0"/>
    <w:rPr>
      <w:rFonts w:eastAsia="仿宋_GB2312"/>
      <w:sz w:val="28"/>
    </w:rPr>
  </w:style>
  <w:style w:type="paragraph" w:customStyle="1" w:styleId="103">
    <w:name w:val="2文字"/>
    <w:link w:val="102"/>
    <w:qFormat/>
    <w:uiPriority w:val="0"/>
    <w:pPr>
      <w:widowControl w:val="0"/>
      <w:spacing w:line="360" w:lineRule="auto"/>
      <w:ind w:firstLine="200" w:firstLineChars="200"/>
      <w:jc w:val="both"/>
    </w:pPr>
    <w:rPr>
      <w:rFonts w:ascii="Calibri" w:hAnsi="Calibri" w:eastAsia="仿宋_GB2312" w:cs="Times New Roman"/>
      <w:sz w:val="28"/>
      <w:lang w:val="en-US" w:eastAsia="zh-CN" w:bidi="ar-SA"/>
    </w:rPr>
  </w:style>
  <w:style w:type="paragraph" w:customStyle="1" w:styleId="104">
    <w:name w:val="TOC Heading"/>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105">
    <w:name w:val="图标题 Char"/>
    <w:link w:val="106"/>
    <w:qFormat/>
    <w:uiPriority w:val="0"/>
    <w:rPr>
      <w:rFonts w:eastAsia="黑体"/>
      <w:color w:val="000000"/>
      <w:sz w:val="24"/>
      <w:szCs w:val="24"/>
    </w:rPr>
  </w:style>
  <w:style w:type="paragraph" w:customStyle="1" w:styleId="106">
    <w:name w:val="图标题"/>
    <w:link w:val="105"/>
    <w:qFormat/>
    <w:uiPriority w:val="0"/>
    <w:pPr>
      <w:spacing w:line="360" w:lineRule="auto"/>
      <w:jc w:val="center"/>
    </w:pPr>
    <w:rPr>
      <w:rFonts w:ascii="Calibri" w:hAnsi="Calibri" w:eastAsia="黑体" w:cs="Times New Roman"/>
      <w:color w:val="000000"/>
      <w:sz w:val="24"/>
      <w:szCs w:val="24"/>
      <w:lang w:val="en-US" w:eastAsia="zh-CN" w:bidi="ar-SA"/>
    </w:rPr>
  </w:style>
  <w:style w:type="paragraph" w:customStyle="1" w:styleId="107">
    <w:name w:val="section"/>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08">
    <w:name w:val="txtcontent11"/>
    <w:basedOn w:val="43"/>
    <w:qFormat/>
    <w:uiPriority w:val="0"/>
    <w:rPr>
      <w:rFonts w:hint="default" w:ascii="??" w:hAnsi="??" w:cs="Times New Roman"/>
      <w:color w:val="000000"/>
      <w:sz w:val="21"/>
      <w:szCs w:val="21"/>
    </w:rPr>
  </w:style>
  <w:style w:type="table" w:customStyle="1" w:styleId="109">
    <w:name w:val="网格表 6 彩色 - 着色 51"/>
    <w:basedOn w:val="35"/>
    <w:qFormat/>
    <w:uiPriority w:val="51"/>
    <w:rPr>
      <w:rFonts w:asciiTheme="minorHAnsi" w:hAnsiTheme="minorHAnsi" w:eastAsiaTheme="minorEastAsia" w:cstheme="minorBidi"/>
      <w:color w:val="2F5597" w:themeColor="accent5" w:themeShade="BF"/>
      <w:kern w:val="2"/>
      <w:sz w:val="21"/>
      <w:szCs w:val="22"/>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110">
    <w:name w:val="网格表 1 浅色1"/>
    <w:basedOn w:val="35"/>
    <w:qFormat/>
    <w:uiPriority w:val="46"/>
    <w:rPr>
      <w:rFonts w:asciiTheme="minorHAnsi" w:hAnsiTheme="minorHAnsi" w:eastAsiaTheme="minorEastAsia" w:cstheme="minorBidi"/>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11">
    <w:name w:val="Grid Table 1 Light1"/>
    <w:basedOn w:val="35"/>
    <w:qFormat/>
    <w:uiPriority w:val="46"/>
    <w:rPr>
      <w:rFonts w:ascii="Times New Roman" w:hAnsi="Times New Roman"/>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12">
    <w:name w:val="Grid Table 1 Light11"/>
    <w:basedOn w:val="35"/>
    <w:qFormat/>
    <w:uiPriority w:val="46"/>
    <w:rPr>
      <w:rFonts w:ascii="Times New Roman" w:hAnsi="Times New Roman"/>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13">
    <w:name w:val="网格表 2 - 着色 51"/>
    <w:basedOn w:val="35"/>
    <w:qFormat/>
    <w:uiPriority w:val="47"/>
    <w:rPr>
      <w:rFonts w:asciiTheme="minorHAnsi" w:hAnsiTheme="minorHAnsi" w:eastAsiaTheme="minorEastAsia" w:cstheme="minorBidi"/>
      <w:kern w:val="2"/>
      <w:sz w:val="21"/>
      <w:szCs w:val="22"/>
    </w:rPr>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cPr>
        <w:tcBorders>
          <w:top w:val="nil"/>
          <w:bottom w:val="single" w:color="8EAADB" w:themeColor="accent5" w:themeTint="99" w:sz="12" w:space="0"/>
          <w:insideH w:val="nil"/>
          <w:insideV w:val="nil"/>
        </w:tcBorders>
        <w:shd w:val="clear" w:color="auto" w:fill="FFFFFF" w:themeFill="background1"/>
      </w:tcPr>
    </w:tblStylePr>
    <w:tblStylePr w:type="lastRow">
      <w:rPr>
        <w:b/>
        <w:bCs/>
      </w:r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114">
    <w:name w:val="Plain Table 21"/>
    <w:basedOn w:val="35"/>
    <w:qFormat/>
    <w:uiPriority w:val="42"/>
    <w:rPr>
      <w:rFonts w:asciiTheme="minorHAnsi" w:hAnsiTheme="minorHAnsi" w:eastAsiaTheme="minorEastAsia" w:cstheme="minorBidi"/>
      <w:kern w:val="2"/>
      <w:sz w:val="21"/>
      <w:szCs w:val="22"/>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115">
    <w:name w:val="表格 Char"/>
    <w:link w:val="116"/>
    <w:qFormat/>
    <w:uiPriority w:val="0"/>
  </w:style>
  <w:style w:type="paragraph" w:customStyle="1" w:styleId="116">
    <w:name w:val="表格"/>
    <w:basedOn w:val="1"/>
    <w:link w:val="115"/>
    <w:qFormat/>
    <w:uiPriority w:val="0"/>
    <w:pPr>
      <w:jc w:val="center"/>
      <w:textAlignment w:val="center"/>
    </w:pPr>
    <w:rPr>
      <w:rFonts w:ascii="Calibri" w:hAnsi="Calibri" w:eastAsia="宋体" w:cs="Times New Roman"/>
      <w:kern w:val="0"/>
      <w:sz w:val="20"/>
      <w:szCs w:val="20"/>
    </w:rPr>
  </w:style>
  <w:style w:type="table" w:customStyle="1" w:styleId="117">
    <w:name w:val="Plain Table 22"/>
    <w:basedOn w:val="35"/>
    <w:qFormat/>
    <w:uiPriority w:val="42"/>
    <w:rPr>
      <w:rFonts w:asciiTheme="minorHAnsi" w:hAnsiTheme="minorHAnsi" w:eastAsiaTheme="minorEastAsia" w:cstheme="minorBidi"/>
      <w:kern w:val="2"/>
      <w:sz w:val="21"/>
      <w:szCs w:val="22"/>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18">
    <w:name w:val="无格式表格 211"/>
    <w:basedOn w:val="35"/>
    <w:qFormat/>
    <w:uiPriority w:val="42"/>
    <w:rPr>
      <w:rFonts w:asciiTheme="minorHAnsi" w:hAnsiTheme="minorHAnsi" w:eastAsiaTheme="minorEastAsia" w:cstheme="minorBidi"/>
      <w:kern w:val="2"/>
      <w:sz w:val="21"/>
      <w:szCs w:val="22"/>
    </w:rPr>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paragraph" w:customStyle="1" w:styleId="119">
    <w:name w:val="Revision"/>
    <w:hidden/>
    <w:semiHidden/>
    <w:qFormat/>
    <w:uiPriority w:val="99"/>
    <w:rPr>
      <w:rFonts w:ascii="Times New Roman" w:hAnsi="Times New Roman" w:eastAsia="宋体" w:cs="Times New Roman"/>
      <w:kern w:val="2"/>
      <w:sz w:val="21"/>
      <w:szCs w:val="24"/>
      <w:lang w:val="en-US" w:eastAsia="zh-CN" w:bidi="ar-SA"/>
    </w:rPr>
  </w:style>
  <w:style w:type="table" w:customStyle="1" w:styleId="120">
    <w:name w:val="网格表 6 彩色 - 着色 52"/>
    <w:basedOn w:val="35"/>
    <w:qFormat/>
    <w:uiPriority w:val="51"/>
    <w:rPr>
      <w:rFonts w:asciiTheme="minorHAnsi" w:hAnsiTheme="minorHAnsi" w:eastAsiaTheme="minorEastAsia" w:cstheme="minorBidi"/>
      <w:color w:val="2F5496"/>
      <w:kern w:val="2"/>
      <w:sz w:val="21"/>
      <w:szCs w:val="22"/>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rPr>
      <w:tcPr>
        <w:tcBorders>
          <w:bottom w:val="single" w:color="8EAADB" w:sz="12" w:space="0"/>
        </w:tcBorders>
      </w:tcPr>
    </w:tblStylePr>
    <w:tblStylePr w:type="lastRow">
      <w:rPr>
        <w:b/>
        <w:bCs/>
      </w:rPr>
      <w:tcPr>
        <w:tcBorders>
          <w:top w:val="double" w:color="8EAADB"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121">
    <w:name w:val="网格表 4 - 着色 11"/>
    <w:basedOn w:val="35"/>
    <w:qFormat/>
    <w:uiPriority w:val="49"/>
    <w:rPr>
      <w:rFonts w:asciiTheme="minorHAnsi" w:hAnsiTheme="minorHAnsi" w:eastAsiaTheme="minorEastAsia" w:cstheme="minorBidi"/>
      <w:kern w:val="2"/>
      <w:sz w:val="21"/>
      <w:szCs w:val="22"/>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character" w:customStyle="1" w:styleId="122">
    <w:name w:val="标题 字符"/>
    <w:basedOn w:val="43"/>
    <w:link w:val="32"/>
    <w:qFormat/>
    <w:uiPriority w:val="10"/>
    <w:rPr>
      <w:rFonts w:asciiTheme="majorHAnsi" w:hAnsiTheme="majorHAnsi" w:cstheme="majorBidi"/>
      <w:b/>
      <w:bCs/>
      <w:kern w:val="2"/>
      <w:sz w:val="32"/>
      <w:szCs w:val="32"/>
    </w:rPr>
  </w:style>
  <w:style w:type="character" w:customStyle="1" w:styleId="123">
    <w:name w:val="ask-title"/>
    <w:basedOn w:val="43"/>
    <w:qFormat/>
    <w:uiPriority w:val="0"/>
  </w:style>
  <w:style w:type="character" w:customStyle="1" w:styleId="124">
    <w:name w:val="Unresolved Mention"/>
    <w:basedOn w:val="4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numbering" Target="numbering.xml"/><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header" Target="header1.xml"/><Relationship Id="rId39" Type="http://schemas.openxmlformats.org/officeDocument/2006/relationships/image" Target="media/image10.jpe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chart" Target="charts/chart5.xml"/><Relationship Id="rId3" Type="http://schemas.openxmlformats.org/officeDocument/2006/relationships/footer" Target="footer1.xml"/><Relationship Id="rId29" Type="http://schemas.openxmlformats.org/officeDocument/2006/relationships/chart" Target="charts/chart4.xml"/><Relationship Id="rId28" Type="http://schemas.openxmlformats.org/officeDocument/2006/relationships/chart" Target="charts/chart3.xml"/><Relationship Id="rId27" Type="http://schemas.openxmlformats.org/officeDocument/2006/relationships/chart" Target="charts/chart2.xml"/><Relationship Id="rId26" Type="http://schemas.openxmlformats.org/officeDocument/2006/relationships/chart" Target="charts/chart1.xml"/><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0940;&#28304;&#24066;&#29289;&#27969;&#25968;&#25454;&#27979;&#3163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20&#24180;&#30005;&#33041;&#25991;&#26723;\2020&#24180;&#21672;&#35810;&#39033;&#30446;\&#36797;&#23425;&#30465;\&#20940;&#28304;&#25253;&#21578;&#21021;&#31295;\&#25968;&#25454;&#27979;&#31639;&#36164;&#26009;\&#26032;&#24314;%20Microsoft%20Excel%20&#24037;&#20316;&#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020&#24180;&#30005;&#33041;&#25991;&#26723;\2020&#24180;&#21672;&#35810;&#39033;&#30446;\&#36797;&#23425;&#30465;\&#20940;&#28304;&#25253;&#21578;&#21021;&#31295;\&#25968;&#25454;&#27979;&#31639;&#36164;&#26009;\&#26032;&#24314;%20Microsoft%20Excel%20&#24037;&#20316;&#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020&#24180;&#30005;&#33041;&#25991;&#26723;\2020&#24180;&#21672;&#35810;&#39033;&#30446;\&#36797;&#23425;&#30465;\&#20940;&#28304;&#25253;&#21578;&#21021;&#31295;\&#25968;&#25454;&#27979;&#31639;&#36164;&#26009;\&#26032;&#24314;%20Microsoft%20Excel%20&#24037;&#20316;&#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chael\Documents\WeChat%20Files\wxid_0561185611912\FileStorage\File\2020-11\&#20940;&#28304;&#8220;&#21313;&#22235;&#20116;&#8221;&#25968;&#25454;&#20998;&#26512;&#21450;&#39044;&#27979;&#65288;1&#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Sheet1!$P$1</c:f>
              <c:strCache>
                <c:ptCount val="1"/>
                <c:pt idx="0">
                  <c:v>凌源市物流业增加值</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spAutoFit/>
              </a:bodyPr>
              <a:lstStyle/>
              <a:p>
                <a:pPr>
                  <a:defRPr lang="zh-CN" sz="11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Sheet1!$A$2:$A$6</c:f>
              <c:numCache>
                <c:formatCode>General</c:formatCode>
                <c:ptCount val="5"/>
                <c:pt idx="0">
                  <c:v>2015</c:v>
                </c:pt>
                <c:pt idx="1">
                  <c:v>2016</c:v>
                </c:pt>
                <c:pt idx="2">
                  <c:v>2017</c:v>
                </c:pt>
                <c:pt idx="3">
                  <c:v>2018</c:v>
                </c:pt>
                <c:pt idx="4">
                  <c:v>2019</c:v>
                </c:pt>
              </c:numCache>
            </c:numRef>
          </c:cat>
          <c:val>
            <c:numRef>
              <c:f>Sheet1!$P$2:$P$6</c:f>
              <c:numCache>
                <c:formatCode>0.00_ </c:formatCode>
                <c:ptCount val="5"/>
                <c:pt idx="0">
                  <c:v>8.00764572323505</c:v>
                </c:pt>
                <c:pt idx="1">
                  <c:v>6.91694867957745</c:v>
                </c:pt>
                <c:pt idx="2">
                  <c:v>7.19975510270411</c:v>
                </c:pt>
                <c:pt idx="3">
                  <c:v>7.45634157833597</c:v>
                </c:pt>
                <c:pt idx="4">
                  <c:v>8.00761589217296</c:v>
                </c:pt>
              </c:numCache>
            </c:numRef>
          </c:val>
        </c:ser>
        <c:dLbls>
          <c:showLegendKey val="0"/>
          <c:showVal val="0"/>
          <c:showCatName val="0"/>
          <c:showSerName val="0"/>
          <c:showPercent val="0"/>
          <c:showBubbleSize val="0"/>
        </c:dLbls>
        <c:gapWidth val="150"/>
        <c:axId val="113301760"/>
        <c:axId val="86179840"/>
      </c:barChart>
      <c:lineChart>
        <c:grouping val="standard"/>
        <c:varyColors val="0"/>
        <c:ser>
          <c:idx val="1"/>
          <c:order val="1"/>
          <c:tx>
            <c:strRef>
              <c:f>Sheet1!$Q$1</c:f>
              <c:strCache>
                <c:ptCount val="1"/>
                <c:pt idx="0">
                  <c:v>增速</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1">
                <a:spAutoFit/>
              </a:bodyPr>
              <a:lstStyle/>
              <a:p>
                <a:pPr>
                  <a:defRPr lang="zh-CN" sz="11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val>
            <c:numRef>
              <c:f>Sheet1!$Q$2:$Q$6</c:f>
              <c:numCache>
                <c:formatCode>0.00%</c:formatCode>
                <c:ptCount val="5"/>
                <c:pt idx="0">
                  <c:v>0.0478</c:v>
                </c:pt>
                <c:pt idx="1">
                  <c:v>-0.136206955371766</c:v>
                </c:pt>
                <c:pt idx="2">
                  <c:v>0.0408860085895447</c:v>
                </c:pt>
                <c:pt idx="3">
                  <c:v>0.0356382226855879</c:v>
                </c:pt>
                <c:pt idx="4">
                  <c:v>0.0739336185239543</c:v>
                </c:pt>
              </c:numCache>
            </c:numRef>
          </c:val>
          <c:smooth val="0"/>
        </c:ser>
        <c:dLbls>
          <c:showLegendKey val="0"/>
          <c:showVal val="0"/>
          <c:showCatName val="0"/>
          <c:showSerName val="0"/>
          <c:showPercent val="0"/>
          <c:showBubbleSize val="0"/>
        </c:dLbls>
        <c:marker val="0"/>
        <c:smooth val="0"/>
        <c:axId val="86181376"/>
        <c:axId val="86182912"/>
      </c:lineChart>
      <c:catAx>
        <c:axId val="11330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86179840"/>
        <c:crosses val="autoZero"/>
        <c:auto val="1"/>
        <c:lblAlgn val="ctr"/>
        <c:lblOffset val="100"/>
        <c:noMultiLvlLbl val="0"/>
      </c:catAx>
      <c:valAx>
        <c:axId val="861798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_ " sourceLinked="1"/>
        <c:majorTickMark val="none"/>
        <c:minorTickMark val="none"/>
        <c:tickLblPos val="nextTo"/>
        <c:spPr>
          <a:noFill/>
          <a:ln w="6350" cap="flat" cmpd="sng" algn="ctr">
            <a:noFill/>
            <a:prstDash val="solid"/>
            <a:round/>
          </a:ln>
          <a:effectLst/>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113301760"/>
        <c:crosses val="autoZero"/>
        <c:crossBetween val="between"/>
      </c:valAx>
      <c:catAx>
        <c:axId val="86181376"/>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86182912"/>
        <c:crosses val="autoZero"/>
        <c:auto val="1"/>
        <c:lblAlgn val="ctr"/>
        <c:lblOffset val="100"/>
        <c:noMultiLvlLbl val="0"/>
      </c:catAx>
      <c:valAx>
        <c:axId val="86182912"/>
        <c:scaling>
          <c:orientation val="minMax"/>
        </c:scaling>
        <c:delete val="0"/>
        <c:axPos val="r"/>
        <c:numFmt formatCode="0.00%" sourceLinked="1"/>
        <c:majorTickMark val="none"/>
        <c:minorTickMark val="none"/>
        <c:tickLblPos val="nextTo"/>
        <c:spPr>
          <a:noFill/>
          <a:ln w="6350" cap="flat" cmpd="sng" algn="ctr">
            <a:noFill/>
            <a:prstDash val="solid"/>
            <a:round/>
          </a:ln>
          <a:effectLst/>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86181376"/>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2c74ec0a-3bf1-430b-b0bc-33bb27bff1dd}"/>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Sheet1!$L$14</c:f>
              <c:strCache>
                <c:ptCount val="1"/>
                <c:pt idx="0">
                  <c:v>社会物流总额</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Sheet1!$M$13:$Q$13</c:f>
              <c:strCache>
                <c:ptCount val="5"/>
                <c:pt idx="0">
                  <c:v>2015年</c:v>
                </c:pt>
                <c:pt idx="1">
                  <c:v>2016年</c:v>
                </c:pt>
                <c:pt idx="2">
                  <c:v>2017年</c:v>
                </c:pt>
                <c:pt idx="3">
                  <c:v>2018年</c:v>
                </c:pt>
                <c:pt idx="4">
                  <c:v>2019年</c:v>
                </c:pt>
              </c:strCache>
            </c:strRef>
          </c:cat>
          <c:val>
            <c:numRef>
              <c:f>Sheet1!$M$14:$Q$14</c:f>
              <c:numCache>
                <c:formatCode>0</c:formatCode>
                <c:ptCount val="5"/>
                <c:pt idx="0">
                  <c:v>241.650076</c:v>
                </c:pt>
                <c:pt idx="1">
                  <c:v>211.6928516</c:v>
                </c:pt>
                <c:pt idx="2">
                  <c:v>216.217755692119</c:v>
                </c:pt>
                <c:pt idx="3">
                  <c:v>225.145978101952</c:v>
                </c:pt>
                <c:pt idx="4">
                  <c:v>245.504128963254</c:v>
                </c:pt>
              </c:numCache>
            </c:numRef>
          </c:val>
        </c:ser>
        <c:dLbls>
          <c:showLegendKey val="0"/>
          <c:showVal val="0"/>
          <c:showCatName val="0"/>
          <c:showSerName val="0"/>
          <c:showPercent val="0"/>
          <c:showBubbleSize val="0"/>
        </c:dLbls>
        <c:gapWidth val="219"/>
        <c:overlap val="-27"/>
        <c:axId val="88282240"/>
        <c:axId val="88283776"/>
      </c:barChart>
      <c:lineChart>
        <c:grouping val="standard"/>
        <c:varyColors val="0"/>
        <c:ser>
          <c:idx val="1"/>
          <c:order val="1"/>
          <c:tx>
            <c:strRef>
              <c:f>Sheet1!$L$15</c:f>
              <c:strCache>
                <c:ptCount val="1"/>
                <c:pt idx="0">
                  <c:v>增长率</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Sheet1!$M$13:$Q$13</c:f>
              <c:strCache>
                <c:ptCount val="5"/>
                <c:pt idx="0">
                  <c:v>2015年</c:v>
                </c:pt>
                <c:pt idx="1">
                  <c:v>2016年</c:v>
                </c:pt>
                <c:pt idx="2">
                  <c:v>2017年</c:v>
                </c:pt>
                <c:pt idx="3">
                  <c:v>2018年</c:v>
                </c:pt>
                <c:pt idx="4">
                  <c:v>2019年</c:v>
                </c:pt>
              </c:strCache>
            </c:strRef>
          </c:cat>
          <c:val>
            <c:numRef>
              <c:f>Sheet1!$M$15:$Q$15</c:f>
              <c:numCache>
                <c:formatCode>0.00_);[Red]\(0.00\)</c:formatCode>
                <c:ptCount val="5"/>
                <c:pt idx="0">
                  <c:v>0.01</c:v>
                </c:pt>
                <c:pt idx="1">
                  <c:v>-0.123969439181968</c:v>
                </c:pt>
                <c:pt idx="2">
                  <c:v>0.0213748553997938</c:v>
                </c:pt>
                <c:pt idx="3">
                  <c:v>0.041292734638065</c:v>
                </c:pt>
                <c:pt idx="4">
                  <c:v>0.09042200546031</c:v>
                </c:pt>
              </c:numCache>
            </c:numRef>
          </c:val>
          <c:smooth val="0"/>
        </c:ser>
        <c:dLbls>
          <c:showLegendKey val="0"/>
          <c:showVal val="0"/>
          <c:showCatName val="0"/>
          <c:showSerName val="0"/>
          <c:showPercent val="0"/>
          <c:showBubbleSize val="0"/>
        </c:dLbls>
        <c:marker val="0"/>
        <c:smooth val="0"/>
        <c:axId val="88297856"/>
        <c:axId val="88299392"/>
      </c:lineChart>
      <c:catAx>
        <c:axId val="8828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283776"/>
        <c:crosses val="autoZero"/>
        <c:auto val="1"/>
        <c:lblAlgn val="ctr"/>
        <c:lblOffset val="100"/>
        <c:noMultiLvlLbl val="0"/>
      </c:catAx>
      <c:valAx>
        <c:axId val="8828377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282240"/>
        <c:crosses val="autoZero"/>
        <c:crossBetween val="between"/>
      </c:valAx>
      <c:catAx>
        <c:axId val="8829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8299392"/>
        <c:crosses val="autoZero"/>
        <c:auto val="1"/>
        <c:lblAlgn val="ctr"/>
        <c:lblOffset val="100"/>
        <c:noMultiLvlLbl val="0"/>
      </c:catAx>
      <c:valAx>
        <c:axId val="88299392"/>
        <c:scaling>
          <c:orientation val="minMax"/>
        </c:scaling>
        <c:delete val="0"/>
        <c:axPos val="r"/>
        <c:numFmt formatCode="0.00_);[Red]\(0.0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297856"/>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cd3502c-6519-437a-bf25-ccd0a6039a6f}"/>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Sheet1!$O$42</c:f>
              <c:strCache>
                <c:ptCount val="1"/>
                <c:pt idx="0">
                  <c:v>货运量（万吨）</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Sheet1!$P$41:$T$41</c:f>
              <c:strCache>
                <c:ptCount val="5"/>
                <c:pt idx="0">
                  <c:v>2015年</c:v>
                </c:pt>
                <c:pt idx="1">
                  <c:v>2016年</c:v>
                </c:pt>
                <c:pt idx="2">
                  <c:v>2017年</c:v>
                </c:pt>
                <c:pt idx="3">
                  <c:v>2018年</c:v>
                </c:pt>
                <c:pt idx="4">
                  <c:v>2019年</c:v>
                </c:pt>
              </c:strCache>
            </c:strRef>
          </c:cat>
          <c:val>
            <c:numRef>
              <c:f>Sheet1!$P$42:$T$42</c:f>
              <c:numCache>
                <c:formatCode>General</c:formatCode>
                <c:ptCount val="5"/>
                <c:pt idx="0">
                  <c:v>1154</c:v>
                </c:pt>
                <c:pt idx="1">
                  <c:v>1164</c:v>
                </c:pt>
                <c:pt idx="2">
                  <c:v>703</c:v>
                </c:pt>
                <c:pt idx="3">
                  <c:v>729</c:v>
                </c:pt>
                <c:pt idx="4">
                  <c:v>963</c:v>
                </c:pt>
              </c:numCache>
            </c:numRef>
          </c:val>
        </c:ser>
        <c:dLbls>
          <c:showLegendKey val="0"/>
          <c:showVal val="0"/>
          <c:showCatName val="0"/>
          <c:showSerName val="0"/>
          <c:showPercent val="0"/>
          <c:showBubbleSize val="0"/>
        </c:dLbls>
        <c:gapWidth val="219"/>
        <c:overlap val="-27"/>
        <c:axId val="86519808"/>
        <c:axId val="86521344"/>
      </c:barChart>
      <c:lineChart>
        <c:grouping val="standard"/>
        <c:varyColors val="0"/>
        <c:ser>
          <c:idx val="1"/>
          <c:order val="1"/>
          <c:tx>
            <c:strRef>
              <c:f>Sheet1!$O$43</c:f>
              <c:strCache>
                <c:ptCount val="1"/>
                <c:pt idx="0">
                  <c:v> 增长率</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Sheet1!$P$41:$T$41</c:f>
              <c:strCache>
                <c:ptCount val="5"/>
                <c:pt idx="0">
                  <c:v>2015年</c:v>
                </c:pt>
                <c:pt idx="1">
                  <c:v>2016年</c:v>
                </c:pt>
                <c:pt idx="2">
                  <c:v>2017年</c:v>
                </c:pt>
                <c:pt idx="3">
                  <c:v>2018年</c:v>
                </c:pt>
                <c:pt idx="4">
                  <c:v>2019年</c:v>
                </c:pt>
              </c:strCache>
            </c:strRef>
          </c:cat>
          <c:val>
            <c:numRef>
              <c:f>Sheet1!$P$43:$T$43</c:f>
              <c:numCache>
                <c:formatCode>0.00_);[Red]\(0.00\)</c:formatCode>
                <c:ptCount val="5"/>
                <c:pt idx="0">
                  <c:v>0.177551020408163</c:v>
                </c:pt>
                <c:pt idx="1">
                  <c:v>0.0086655112651647</c:v>
                </c:pt>
                <c:pt idx="2">
                  <c:v>-0.396048109965638</c:v>
                </c:pt>
                <c:pt idx="3">
                  <c:v>0.0369843527738267</c:v>
                </c:pt>
                <c:pt idx="4">
                  <c:v>0.32098765432099</c:v>
                </c:pt>
              </c:numCache>
            </c:numRef>
          </c:val>
          <c:smooth val="0"/>
        </c:ser>
        <c:dLbls>
          <c:showLegendKey val="0"/>
          <c:showVal val="0"/>
          <c:showCatName val="0"/>
          <c:showSerName val="0"/>
          <c:showPercent val="0"/>
          <c:showBubbleSize val="0"/>
        </c:dLbls>
        <c:marker val="0"/>
        <c:smooth val="0"/>
        <c:axId val="86522880"/>
        <c:axId val="86528768"/>
      </c:lineChart>
      <c:catAx>
        <c:axId val="8651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521344"/>
        <c:crosses val="autoZero"/>
        <c:auto val="1"/>
        <c:lblAlgn val="ctr"/>
        <c:lblOffset val="100"/>
        <c:noMultiLvlLbl val="0"/>
      </c:catAx>
      <c:valAx>
        <c:axId val="865213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519808"/>
        <c:crosses val="autoZero"/>
        <c:crossBetween val="between"/>
      </c:valAx>
      <c:catAx>
        <c:axId val="86522880"/>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6528768"/>
        <c:crosses val="autoZero"/>
        <c:auto val="1"/>
        <c:lblAlgn val="ctr"/>
        <c:lblOffset val="100"/>
        <c:noMultiLvlLbl val="0"/>
      </c:catAx>
      <c:valAx>
        <c:axId val="86528768"/>
        <c:scaling>
          <c:orientation val="minMax"/>
        </c:scaling>
        <c:delete val="0"/>
        <c:axPos val="r"/>
        <c:numFmt formatCode="0.00_);[Red]\(0.0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522880"/>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149262c-f723-4407-82ae-47c27c8ab9db}"/>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Sheet1!$L$35</c:f>
              <c:strCache>
                <c:ptCount val="1"/>
                <c:pt idx="0">
                  <c:v>货运周转量（万吨公里）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Sheet1!$M$34:$Q$34</c:f>
              <c:strCache>
                <c:ptCount val="5"/>
                <c:pt idx="0">
                  <c:v>2015年</c:v>
                </c:pt>
                <c:pt idx="1">
                  <c:v>2016年</c:v>
                </c:pt>
                <c:pt idx="2">
                  <c:v>2017年</c:v>
                </c:pt>
                <c:pt idx="3">
                  <c:v>2018年</c:v>
                </c:pt>
                <c:pt idx="4">
                  <c:v>2019年</c:v>
                </c:pt>
              </c:strCache>
            </c:strRef>
          </c:cat>
          <c:val>
            <c:numRef>
              <c:f>Sheet1!$M$35:$Q$35</c:f>
              <c:numCache>
                <c:formatCode>General</c:formatCode>
                <c:ptCount val="5"/>
                <c:pt idx="0">
                  <c:v>153705</c:v>
                </c:pt>
                <c:pt idx="1">
                  <c:v>155289</c:v>
                </c:pt>
                <c:pt idx="2">
                  <c:v>110502</c:v>
                </c:pt>
                <c:pt idx="3">
                  <c:v>114591</c:v>
                </c:pt>
                <c:pt idx="4">
                  <c:v>112547</c:v>
                </c:pt>
              </c:numCache>
            </c:numRef>
          </c:val>
        </c:ser>
        <c:dLbls>
          <c:showLegendKey val="0"/>
          <c:showVal val="0"/>
          <c:showCatName val="0"/>
          <c:showSerName val="0"/>
          <c:showPercent val="0"/>
          <c:showBubbleSize val="0"/>
        </c:dLbls>
        <c:gapWidth val="219"/>
        <c:overlap val="-27"/>
        <c:axId val="86383232"/>
        <c:axId val="86393216"/>
      </c:barChart>
      <c:lineChart>
        <c:grouping val="standard"/>
        <c:varyColors val="0"/>
        <c:ser>
          <c:idx val="1"/>
          <c:order val="1"/>
          <c:tx>
            <c:strRef>
              <c:f>Sheet1!$L$36</c:f>
              <c:strCache>
                <c:ptCount val="1"/>
                <c:pt idx="0">
                  <c:v>增长率</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Sheet1!$M$34:$Q$34</c:f>
              <c:strCache>
                <c:ptCount val="5"/>
                <c:pt idx="0">
                  <c:v>2015年</c:v>
                </c:pt>
                <c:pt idx="1">
                  <c:v>2016年</c:v>
                </c:pt>
                <c:pt idx="2">
                  <c:v>2017年</c:v>
                </c:pt>
                <c:pt idx="3">
                  <c:v>2018年</c:v>
                </c:pt>
                <c:pt idx="4">
                  <c:v>2019年</c:v>
                </c:pt>
              </c:strCache>
            </c:strRef>
          </c:cat>
          <c:val>
            <c:numRef>
              <c:f>Sheet1!$M$36:$Q$36</c:f>
              <c:numCache>
                <c:formatCode>0.00_);[Red]\(0.00\)</c:formatCode>
                <c:ptCount val="5"/>
                <c:pt idx="0">
                  <c:v>0.0349808093731062</c:v>
                </c:pt>
                <c:pt idx="1">
                  <c:v>0.0103054552551966</c:v>
                </c:pt>
                <c:pt idx="2">
                  <c:v>-0.288410640805209</c:v>
                </c:pt>
                <c:pt idx="3">
                  <c:v>0.0370038551338439</c:v>
                </c:pt>
                <c:pt idx="4">
                  <c:v>-0.0178373519735407</c:v>
                </c:pt>
              </c:numCache>
            </c:numRef>
          </c:val>
          <c:smooth val="0"/>
        </c:ser>
        <c:dLbls>
          <c:showLegendKey val="0"/>
          <c:showVal val="0"/>
          <c:showCatName val="0"/>
          <c:showSerName val="0"/>
          <c:showPercent val="0"/>
          <c:showBubbleSize val="0"/>
        </c:dLbls>
        <c:marker val="0"/>
        <c:smooth val="0"/>
        <c:axId val="86394752"/>
        <c:axId val="86396288"/>
      </c:lineChart>
      <c:catAx>
        <c:axId val="8638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393216"/>
        <c:crosses val="autoZero"/>
        <c:auto val="1"/>
        <c:lblAlgn val="ctr"/>
        <c:lblOffset val="100"/>
        <c:noMultiLvlLbl val="0"/>
      </c:catAx>
      <c:valAx>
        <c:axId val="8639321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383232"/>
        <c:crosses val="autoZero"/>
        <c:crossBetween val="between"/>
      </c:valAx>
      <c:catAx>
        <c:axId val="8639475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6396288"/>
        <c:crosses val="autoZero"/>
        <c:auto val="1"/>
        <c:lblAlgn val="ctr"/>
        <c:lblOffset val="100"/>
        <c:noMultiLvlLbl val="0"/>
      </c:catAx>
      <c:valAx>
        <c:axId val="86396288"/>
        <c:scaling>
          <c:orientation val="minMax"/>
        </c:scaling>
        <c:delete val="0"/>
        <c:axPos val="r"/>
        <c:numFmt formatCode="0.00_);[Red]\(0.0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394752"/>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a2eaf61-2990-4389-82ab-d6fb4dcc73df}"/>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2000" b="0" i="0" u="none" strike="noStrike" kern="1200" spc="0" baseline="0">
                <a:solidFill>
                  <a:schemeClr val="tx1">
                    <a:lumMod val="65000"/>
                    <a:lumOff val="35000"/>
                  </a:schemeClr>
                </a:solidFill>
                <a:latin typeface="+mn-lt"/>
                <a:ea typeface="+mn-ea"/>
                <a:cs typeface="+mn-cs"/>
              </a:defRPr>
            </a:pPr>
            <a:r>
              <a:rPr lang="zh-CN" altLang="en-US" sz="1600" b="1">
                <a:solidFill>
                  <a:schemeClr val="tx1"/>
                </a:solidFill>
              </a:rPr>
              <a:t>凌源市”十四五”货物运输总量预测值（单位：万吨）</a:t>
            </a:r>
            <a:endParaRPr lang="zh-CN" altLang="en-US" sz="1600" b="1">
              <a:solidFill>
                <a:schemeClr val="tx1"/>
              </a:solidFill>
            </a:endParaRPr>
          </a:p>
        </c:rich>
      </c:tx>
      <c:layout>
        <c:manualLayout>
          <c:xMode val="edge"/>
          <c:yMode val="edge"/>
          <c:x val="0.111743632286082"/>
          <c:y val="0.0617944031712394"/>
        </c:manualLayout>
      </c:layout>
      <c:overlay val="0"/>
      <c:spPr>
        <a:noFill/>
        <a:ln>
          <a:noFill/>
        </a:ln>
        <a:effectLst/>
      </c:spPr>
    </c:title>
    <c:autoTitleDeleted val="0"/>
    <c:plotArea>
      <c:layout>
        <c:manualLayout>
          <c:layoutTarget val="inner"/>
          <c:xMode val="edge"/>
          <c:yMode val="edge"/>
          <c:x val="0.0863683907659877"/>
          <c:y val="0.237831349562068"/>
          <c:w val="0.683735051167412"/>
          <c:h val="0.688522522394389"/>
        </c:manualLayout>
      </c:layout>
      <c:barChart>
        <c:barDir val="col"/>
        <c:grouping val="stacked"/>
        <c:varyColors val="0"/>
        <c:ser>
          <c:idx val="2"/>
          <c:order val="1"/>
          <c:tx>
            <c:strRef>
              <c:f>凌源货运量!$M$37</c:f>
              <c:strCache>
                <c:ptCount val="1"/>
                <c:pt idx="0">
                  <c:v>公路货运量实现值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bg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凌源货运量!$M$39:$M$44</c:f>
              <c:numCache>
                <c:formatCode>0</c:formatCode>
                <c:ptCount val="6"/>
                <c:pt idx="0">
                  <c:v>1096.3</c:v>
                </c:pt>
                <c:pt idx="1">
                  <c:v>1105.8</c:v>
                </c:pt>
                <c:pt idx="2">
                  <c:v>667.849999999999</c:v>
                </c:pt>
                <c:pt idx="3">
                  <c:v>692.55</c:v>
                </c:pt>
                <c:pt idx="4">
                  <c:v>914.428708800318</c:v>
                </c:pt>
                <c:pt idx="5">
                  <c:v>960.150144240334</c:v>
                </c:pt>
              </c:numCache>
            </c:numRef>
          </c:val>
        </c:ser>
        <c:ser>
          <c:idx val="1"/>
          <c:order val="2"/>
          <c:tx>
            <c:strRef>
              <c:f>凌源货运量!$L$37</c:f>
              <c:strCache>
                <c:ptCount val="1"/>
                <c:pt idx="0">
                  <c:v>铁路货运量实现值</c:v>
                </c:pt>
              </c:strCache>
            </c:strRef>
          </c:tx>
          <c:spPr>
            <a:solidFill>
              <a:schemeClr val="accent2"/>
            </a:solidFill>
            <a:ln>
              <a:noFill/>
            </a:ln>
            <a:effectLst/>
          </c:spPr>
          <c:invertIfNegative val="0"/>
          <c:dLbls>
            <c:dLbl>
              <c:idx val="0"/>
              <c:layout>
                <c:manualLayout>
                  <c:x val="0.0047932884902953"/>
                  <c:y val="-0.0546642797284041"/>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159776283009843"/>
                  <c:y val="-0.049910864099847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159776283009843"/>
                  <c:y val="-0.04278074065701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59776283009843"/>
                  <c:y val="-0.0380273250284551"/>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319552566019686"/>
                  <c:y val="-0.045157448471290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404040328427335"/>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rgbClr val="ED7D31">
                  <a:lumMod val="60000"/>
                  <a:lumOff val="40000"/>
                </a:srgbClr>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lang="zh-CN" sz="900" b="1" i="0" u="none" strike="noStrike" kern="1200" baseline="0">
                    <a:solidFill>
                      <a:schemeClr val="bg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layout/>
                <c15:showLeaderLines val="1"/>
                <c15:leaderLines>
                  <c:spPr>
                    <a:ln w="9525" cap="flat" cmpd="sng" algn="ctr">
                      <a:solidFill>
                        <a:schemeClr val="tx1">
                          <a:lumMod val="35000"/>
                          <a:lumOff val="65000"/>
                        </a:schemeClr>
                      </a:solidFill>
                      <a:prstDash val="solid"/>
                      <a:round/>
                    </a:ln>
                    <a:effectLst/>
                  </c:spPr>
                </c15:leaderLines>
              </c:ext>
            </c:extLst>
          </c:dLbls>
          <c:cat>
            <c:numRef>
              <c:f>凌源货运量!$G$39:$G$49</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凌源货运量!$L$39:$L$44</c:f>
              <c:numCache>
                <c:formatCode>0</c:formatCode>
                <c:ptCount val="6"/>
                <c:pt idx="0">
                  <c:v>57.7</c:v>
                </c:pt>
                <c:pt idx="1">
                  <c:v>58.2</c:v>
                </c:pt>
                <c:pt idx="2">
                  <c:v>35.15</c:v>
                </c:pt>
                <c:pt idx="3">
                  <c:v>36.45</c:v>
                </c:pt>
                <c:pt idx="4">
                  <c:v>48.1278267789641</c:v>
                </c:pt>
                <c:pt idx="5">
                  <c:v>50.5342181179123</c:v>
                </c:pt>
              </c:numCache>
            </c:numRef>
          </c:val>
        </c:ser>
        <c:ser>
          <c:idx val="5"/>
          <c:order val="4"/>
          <c:tx>
            <c:strRef>
              <c:f>凌源货运量!$P$37</c:f>
              <c:strCache>
                <c:ptCount val="1"/>
                <c:pt idx="0">
                  <c:v>公路货运量预测值</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50" b="1" i="0" u="none" strike="noStrike" kern="1200" baseline="0">
                    <a:solidFill>
                      <a:schemeClr val="bg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凌源货运量!$G$39:$G$49</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凌源货运量!$P$39:$P$49</c:f>
              <c:numCache>
                <c:formatCode>General</c:formatCode>
                <c:ptCount val="11"/>
                <c:pt idx="6" c:formatCode="0">
                  <c:v>995.937784170038</c:v>
                </c:pt>
                <c:pt idx="7" c:formatCode="0">
                  <c:v>1040.11410430731</c:v>
                </c:pt>
                <c:pt idx="8" c:formatCode="0">
                  <c:v>1093.78024526495</c:v>
                </c:pt>
                <c:pt idx="9" c:formatCode="0">
                  <c:v>1158.24025770176</c:v>
                </c:pt>
                <c:pt idx="10" c:formatCode="0">
                  <c:v>1235.03834338823</c:v>
                </c:pt>
              </c:numCache>
            </c:numRef>
          </c:val>
        </c:ser>
        <c:ser>
          <c:idx val="4"/>
          <c:order val="5"/>
          <c:tx>
            <c:strRef>
              <c:f>凌源货运量!$O$37</c:f>
              <c:strCache>
                <c:ptCount val="1"/>
                <c:pt idx="0">
                  <c:v>铁路货运量预测值</c:v>
                </c:pt>
              </c:strCache>
            </c:strRef>
          </c:tx>
          <c:spPr>
            <a:solidFill>
              <a:srgbClr val="C00000"/>
            </a:solidFill>
            <a:ln>
              <a:noFill/>
            </a:ln>
            <a:effectLst/>
          </c:spPr>
          <c:invertIfNegative val="0"/>
          <c:dLbls>
            <c:dLbl>
              <c:idx val="5"/>
              <c:layout>
                <c:manualLayout>
                  <c:x val="0.00319552566019686"/>
                  <c:y val="-0.045157448471290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159776283009849"/>
                  <c:y val="-0.0546642797284041"/>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0.068924526614074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073677942242631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0159776283009831"/>
                  <c:y val="-0.083184773499745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319552566019686"/>
                  <c:y val="-0.090314896942580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rgbClr val="FF0000"/>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lang="zh-CN" sz="900" b="1" i="0" u="none" strike="noStrike" kern="1200" baseline="0">
                    <a:solidFill>
                      <a:schemeClr val="bg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layout/>
                <c15:showLeaderLines val="1"/>
                <c15:leaderLines>
                  <c:spPr>
                    <a:ln w="9525" cap="flat" cmpd="sng" algn="ctr">
                      <a:solidFill>
                        <a:schemeClr val="tx1">
                          <a:lumMod val="35000"/>
                          <a:lumOff val="65000"/>
                        </a:schemeClr>
                      </a:solidFill>
                      <a:prstDash val="solid"/>
                      <a:round/>
                    </a:ln>
                    <a:effectLst/>
                  </c:spPr>
                </c15:leaderLines>
              </c:ext>
            </c:extLst>
          </c:dLbls>
          <c:cat>
            <c:numRef>
              <c:f>凌源货运量!$G$39:$G$49</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凌源货运量!$O$39:$O$49</c:f>
              <c:numCache>
                <c:formatCode>General</c:formatCode>
                <c:ptCount val="11"/>
                <c:pt idx="6" c:formatCode="0">
                  <c:v>100.334218117912</c:v>
                </c:pt>
                <c:pt idx="7" c:formatCode="0">
                  <c:v>150.134218117912</c:v>
                </c:pt>
                <c:pt idx="8" c:formatCode="0">
                  <c:v>199.934218117912</c:v>
                </c:pt>
                <c:pt idx="9" c:formatCode="0">
                  <c:v>249.734218117912</c:v>
                </c:pt>
                <c:pt idx="10" c:formatCode="0">
                  <c:v>299.534218117912</c:v>
                </c:pt>
              </c:numCache>
            </c:numRef>
          </c:val>
        </c:ser>
        <c:dLbls>
          <c:showLegendKey val="0"/>
          <c:showVal val="0"/>
          <c:showCatName val="0"/>
          <c:showSerName val="0"/>
          <c:showPercent val="0"/>
          <c:showBubbleSize val="0"/>
        </c:dLbls>
        <c:gapWidth val="30"/>
        <c:overlap val="100"/>
        <c:axId val="87947904"/>
        <c:axId val="87699840"/>
      </c:barChart>
      <c:lineChart>
        <c:grouping val="standard"/>
        <c:varyColors val="0"/>
        <c:ser>
          <c:idx val="0"/>
          <c:order val="0"/>
          <c:tx>
            <c:strRef>
              <c:f>凌源货运量!$J$37</c:f>
              <c:strCache>
                <c:ptCount val="1"/>
                <c:pt idx="0">
                  <c:v>货运总量实现值</c:v>
                </c:pt>
              </c:strCache>
            </c:strRef>
          </c:tx>
          <c:spPr>
            <a:ln w="19050" cap="rnd" cmpd="sng" algn="ctr">
              <a:solidFill>
                <a:schemeClr val="accent1"/>
              </a:solidFill>
              <a:prstDash val="solid"/>
              <a:round/>
            </a:ln>
            <a:effectLst/>
          </c:spPr>
          <c:marker>
            <c:symbol val="triangle"/>
            <c:size val="8"/>
            <c:spPr>
              <a:solidFill>
                <a:schemeClr val="accent1"/>
              </a:solidFill>
              <a:ln w="9525"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tx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凌源货运量!$G$39:$G$49</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凌源货运量!$J$39:$J$44</c:f>
              <c:numCache>
                <c:formatCode>0</c:formatCode>
                <c:ptCount val="6"/>
                <c:pt idx="0">
                  <c:v>1154</c:v>
                </c:pt>
                <c:pt idx="1">
                  <c:v>1164</c:v>
                </c:pt>
                <c:pt idx="2">
                  <c:v>703</c:v>
                </c:pt>
                <c:pt idx="3">
                  <c:v>729</c:v>
                </c:pt>
                <c:pt idx="4">
                  <c:v>962.556535579283</c:v>
                </c:pt>
                <c:pt idx="5">
                  <c:v>1010.68436235825</c:v>
                </c:pt>
              </c:numCache>
            </c:numRef>
          </c:val>
          <c:smooth val="0"/>
        </c:ser>
        <c:ser>
          <c:idx val="3"/>
          <c:order val="3"/>
          <c:tx>
            <c:strRef>
              <c:f>凌源货运量!$N$37</c:f>
              <c:strCache>
                <c:ptCount val="1"/>
                <c:pt idx="0">
                  <c:v>货运总量预测值</c:v>
                </c:pt>
              </c:strCache>
            </c:strRef>
          </c:tx>
          <c:spPr>
            <a:ln w="19050" cap="rnd" cmpd="sng" algn="ctr">
              <a:solidFill>
                <a:schemeClr val="bg1">
                  <a:lumMod val="65000"/>
                </a:schemeClr>
              </a:solidFill>
              <a:prstDash val="solid"/>
              <a:round/>
            </a:ln>
            <a:effectLst/>
          </c:spPr>
          <c:marker>
            <c:symbol val="circle"/>
            <c:size val="8"/>
            <c:spPr>
              <a:solidFill>
                <a:schemeClr val="bg1">
                  <a:lumMod val="75000"/>
                </a:schemeClr>
              </a:solidFill>
              <a:ln w="9525" cap="flat" cmpd="sng" algn="ctr">
                <a:noFill/>
                <a:prstDash val="solid"/>
                <a:round/>
              </a:ln>
              <a:effectLst/>
            </c:spPr>
          </c:marker>
          <c:dLbls>
            <c:spPr>
              <a:solidFill>
                <a:schemeClr val="bg1">
                  <a:lumMod val="65000"/>
                </a:schemeClr>
              </a:solidFill>
              <a:ln>
                <a:noFill/>
              </a:ln>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bg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凌源货运量!$G$39:$G$49</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凌源货运量!$N$39:$N$49</c:f>
              <c:numCache>
                <c:formatCode>General</c:formatCode>
                <c:ptCount val="11"/>
                <c:pt idx="6" c:formatCode="0">
                  <c:v>1096.27200228795</c:v>
                </c:pt>
                <c:pt idx="7" c:formatCode="0">
                  <c:v>1190.24832242523</c:v>
                </c:pt>
                <c:pt idx="8" c:formatCode="0">
                  <c:v>1293.71446338287</c:v>
                </c:pt>
                <c:pt idx="9" c:formatCode="0">
                  <c:v>1407.97447581967</c:v>
                </c:pt>
                <c:pt idx="10" c:formatCode="0">
                  <c:v>1534.57256150614</c:v>
                </c:pt>
              </c:numCache>
            </c:numRef>
          </c:val>
          <c:smooth val="0"/>
        </c:ser>
        <c:dLbls>
          <c:showLegendKey val="0"/>
          <c:showVal val="0"/>
          <c:showCatName val="0"/>
          <c:showSerName val="0"/>
          <c:showPercent val="0"/>
          <c:showBubbleSize val="0"/>
        </c:dLbls>
        <c:marker val="1"/>
        <c:smooth val="0"/>
        <c:axId val="87700992"/>
        <c:axId val="87702528"/>
      </c:lineChart>
      <c:catAx>
        <c:axId val="87947904"/>
        <c:scaling>
          <c:orientation val="minMax"/>
        </c:scaling>
        <c:delete val="0"/>
        <c:axPos val="b"/>
        <c:numFmt formatCode="General" sourceLinked="1"/>
        <c:majorTickMark val="cross"/>
        <c:minorTickMark val="none"/>
        <c:tickLblPos val="nextTo"/>
        <c:spPr>
          <a:noFill/>
          <a:ln w="19050" cap="flat" cmpd="sng" algn="ctr">
            <a:solidFill>
              <a:schemeClr val="tx1"/>
            </a:solidFill>
            <a:prstDash val="solid"/>
            <a:round/>
          </a:ln>
          <a:effectLst/>
        </c:spPr>
        <c:txPr>
          <a:bodyPr rot="-60000000" spcFirstLastPara="1" vertOverflow="ellipsis" vert="horz" wrap="square" anchor="ctr" anchorCtr="1"/>
          <a:lstStyle/>
          <a:p>
            <a:pPr>
              <a:defRPr lang="zh-CN" sz="1050" b="1" i="0" u="none" strike="noStrike" kern="1200" baseline="0">
                <a:solidFill>
                  <a:schemeClr val="tx1"/>
                </a:solidFill>
                <a:latin typeface="+mn-lt"/>
                <a:ea typeface="+mn-ea"/>
                <a:cs typeface="+mn-cs"/>
              </a:defRPr>
            </a:pPr>
          </a:p>
        </c:txPr>
        <c:crossAx val="87699840"/>
        <c:crosses val="autoZero"/>
        <c:auto val="1"/>
        <c:lblAlgn val="ctr"/>
        <c:lblOffset val="100"/>
        <c:noMultiLvlLbl val="0"/>
      </c:catAx>
      <c:valAx>
        <c:axId val="87699840"/>
        <c:scaling>
          <c:orientation val="minMax"/>
          <c:max val="2000"/>
        </c:scaling>
        <c:delete val="0"/>
        <c:axPos val="l"/>
        <c:numFmt formatCode="0" sourceLinked="1"/>
        <c:majorTickMark val="cross"/>
        <c:minorTickMark val="none"/>
        <c:tickLblPos val="nextTo"/>
        <c:spPr>
          <a:noFill/>
          <a:ln w="19050" cap="flat" cmpd="sng" algn="ctr">
            <a:solidFill>
              <a:schemeClr val="tx1"/>
            </a:solidFill>
            <a:prstDash val="solid"/>
            <a:round/>
          </a:ln>
          <a:effectLst/>
        </c:spPr>
        <c:txPr>
          <a:bodyPr rot="-60000000" spcFirstLastPara="1" vertOverflow="ellipsis" vert="horz" wrap="square" anchor="ctr" anchorCtr="1"/>
          <a:lstStyle/>
          <a:p>
            <a:pPr>
              <a:defRPr lang="zh-CN" sz="1000" b="1" i="0" u="none" strike="noStrike" kern="1200" baseline="0">
                <a:solidFill>
                  <a:schemeClr val="tx1"/>
                </a:solidFill>
                <a:latin typeface="+mn-lt"/>
                <a:ea typeface="+mn-ea"/>
                <a:cs typeface="+mn-cs"/>
              </a:defRPr>
            </a:pPr>
          </a:p>
        </c:txPr>
        <c:crossAx val="87947904"/>
        <c:crosses val="autoZero"/>
        <c:crossBetween val="between"/>
      </c:valAx>
      <c:catAx>
        <c:axId val="8770099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7702528"/>
        <c:crosses val="autoZero"/>
        <c:auto val="1"/>
        <c:lblAlgn val="ctr"/>
        <c:lblOffset val="100"/>
        <c:noMultiLvlLbl val="0"/>
      </c:catAx>
      <c:valAx>
        <c:axId val="87702528"/>
        <c:scaling>
          <c:orientation val="minMax"/>
          <c:max val="1600"/>
          <c:min val="-600"/>
        </c:scaling>
        <c:delete val="0"/>
        <c:axPos val="r"/>
        <c:numFmt formatCode="0"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accent1">
                    <a:lumMod val="20000"/>
                    <a:lumOff val="80000"/>
                  </a:schemeClr>
                </a:solidFill>
                <a:latin typeface="+mn-lt"/>
                <a:ea typeface="+mn-ea"/>
                <a:cs typeface="+mn-cs"/>
              </a:defRPr>
            </a:pPr>
          </a:p>
        </c:txPr>
        <c:crossAx val="87700992"/>
        <c:crosses val="max"/>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1100" b="1"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7072cd3d-81fd-465d-b68d-c235e96d8abf}"/>
      </c:ext>
    </c:extLst>
  </c:chart>
  <c:spPr>
    <a:solidFill>
      <a:schemeClr val="accent5">
        <a:lumMod val="20000"/>
        <a:lumOff val="80000"/>
      </a:schemeClr>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6F347-E30F-4DF0-ADC6-2222FD9739F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153</Pages>
  <Words>7210</Words>
  <Characters>7801</Characters>
  <Lines>553</Lines>
  <Paragraphs>155</Paragraphs>
  <TotalTime>54</TotalTime>
  <ScaleCrop>false</ScaleCrop>
  <LinksUpToDate>false</LinksUpToDate>
  <CharactersWithSpaces>8016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2021-08-10T06:02:00Z</dcterms:created>
  <dc:creator>xing baron</dc:creator>
  <cp:lastModifiedBy>H..</cp:lastModifiedBy>
  <cp:lastPrinted>2021-08-30T07:42:00Z</cp:lastPrinted>
  <dcterms:modified xsi:type="dcterms:W3CDTF">2026-01-23T03:16:36Z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eyJoZGlkIjoiYWJhMjI2NGQ1MzYwZDYyYmE3Y2I4NmI3MGIwODlhYmYiLCJ1c2VySWQiOiI0MzcxNDc2MTAifQ==</vt:lpwstr>
  </property>
  <property fmtid="{D5CDD505-2E9C-101B-9397-08002B2CF9AE}" pid="4" name="ICV">
    <vt:lpwstr>AF1B8133E86240B0971C426098A5511A_12</vt:lpwstr>
  </property>
</Properties>
</file>