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77A28">
      <w:pPr>
        <w:pStyle w:val="2"/>
        <w:pageBreakBefore w:val="0"/>
        <w:kinsoku/>
        <w:wordWrap w:val="0"/>
        <w:overflowPunct/>
        <w:bidi w:val="0"/>
        <w:spacing w:before="480" w:after="240" w:line="380" w:lineRule="atLeast"/>
        <w:jc w:val="center"/>
        <w:rPr>
          <w:rFonts w:hint="eastAsia" w:ascii="宋体" w:hAnsi="宋体" w:eastAsia="宋体" w:cs="宋体"/>
          <w:b w:val="0"/>
          <w:color w:val="auto"/>
          <w:sz w:val="36"/>
          <w:szCs w:val="36"/>
          <w:highlight w:val="none"/>
        </w:rPr>
      </w:pPr>
      <w:r>
        <w:rPr>
          <w:rFonts w:hint="eastAsia" w:ascii="宋体" w:hAnsi="宋体" w:eastAsia="宋体" w:cs="宋体"/>
          <w:b w:val="0"/>
          <w:color w:val="auto"/>
          <w:sz w:val="36"/>
          <w:szCs w:val="36"/>
          <w:highlight w:val="none"/>
        </w:rPr>
        <w:t>评标办法（</w:t>
      </w:r>
      <w:r>
        <w:rPr>
          <w:rFonts w:hint="eastAsia" w:ascii="宋体" w:hAnsi="宋体" w:eastAsia="宋体" w:cs="宋体"/>
          <w:b w:val="0"/>
          <w:color w:val="auto"/>
          <w:sz w:val="36"/>
          <w:szCs w:val="36"/>
          <w:highlight w:val="none"/>
          <w:lang w:eastAsia="zh-CN"/>
        </w:rPr>
        <w:t>综合评分法</w:t>
      </w:r>
      <w:r>
        <w:rPr>
          <w:rFonts w:hint="eastAsia" w:ascii="宋体" w:hAnsi="宋体" w:eastAsia="宋体" w:cs="宋体"/>
          <w:b w:val="0"/>
          <w:color w:val="auto"/>
          <w:sz w:val="36"/>
          <w:szCs w:val="36"/>
          <w:highlight w:val="none"/>
        </w:rPr>
        <w:t>）</w:t>
      </w:r>
    </w:p>
    <w:p w14:paraId="6C16F46D">
      <w:pPr>
        <w:pStyle w:val="2"/>
        <w:pageBreakBefore w:val="0"/>
        <w:kinsoku/>
        <w:wordWrap w:val="0"/>
        <w:overflowPunct/>
        <w:bidi w:val="0"/>
        <w:spacing w:before="480" w:after="240" w:line="380" w:lineRule="atLeast"/>
        <w:jc w:val="both"/>
        <w:rPr>
          <w:rFonts w:hint="eastAsia" w:ascii="宋体" w:hAnsi="宋体" w:eastAsia="宋体" w:cs="宋体"/>
          <w:b w:val="0"/>
          <w:color w:val="auto"/>
          <w:sz w:val="24"/>
          <w:szCs w:val="24"/>
          <w:highlight w:val="none"/>
        </w:rPr>
      </w:pPr>
      <w:bookmarkStart w:id="0" w:name="_Toc18238"/>
      <w:bookmarkStart w:id="1" w:name="_Toc503235806"/>
      <w:r>
        <w:rPr>
          <w:rFonts w:hint="eastAsia" w:ascii="宋体" w:hAnsi="宋体" w:eastAsia="宋体" w:cs="宋体"/>
          <w:b w:val="0"/>
          <w:color w:val="auto"/>
          <w:sz w:val="24"/>
          <w:szCs w:val="24"/>
          <w:highlight w:val="none"/>
        </w:rPr>
        <w:t>评标办法前附表</w:t>
      </w:r>
      <w:r>
        <w:rPr>
          <w:rStyle w:val="6"/>
          <w:rFonts w:hint="eastAsia" w:ascii="宋体" w:hAnsi="宋体" w:eastAsia="宋体" w:cs="宋体"/>
          <w:color w:val="auto"/>
          <w:sz w:val="28"/>
          <w:szCs w:val="28"/>
          <w:highlight w:val="none"/>
        </w:rPr>
        <w:footnoteReference w:id="0"/>
      </w:r>
      <w:bookmarkEnd w:id="0"/>
      <w:bookmarkEnd w:id="1"/>
    </w:p>
    <w:tbl>
      <w:tblPr>
        <w:tblStyle w:val="4"/>
        <w:tblW w:w="889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9"/>
        <w:gridCol w:w="1280"/>
        <w:gridCol w:w="6622"/>
      </w:tblGrid>
      <w:tr w14:paraId="11BC97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2269" w:type="dxa"/>
            <w:gridSpan w:val="2"/>
            <w:tcBorders>
              <w:top w:val="single" w:color="auto" w:sz="4" w:space="0"/>
              <w:bottom w:val="single" w:color="auto" w:sz="4" w:space="0"/>
              <w:right w:val="single" w:color="auto" w:sz="4" w:space="0"/>
            </w:tcBorders>
            <w:noWrap w:val="0"/>
            <w:vAlign w:val="center"/>
          </w:tcPr>
          <w:p w14:paraId="2BF452C8">
            <w:pPr>
              <w:pageBreakBefore w:val="0"/>
              <w:kinsoku/>
              <w:wordWrap w:val="0"/>
              <w:overflowPunct/>
              <w:bidi w:val="0"/>
              <w:spacing w:line="380" w:lineRule="atLeas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EC98C32">
            <w:pPr>
              <w:pageBreakBefore w:val="0"/>
              <w:kinsoku/>
              <w:wordWrap w:val="0"/>
              <w:overflowPunct/>
              <w:bidi w:val="0"/>
              <w:spacing w:line="380" w:lineRule="atLeast"/>
              <w:jc w:val="center"/>
              <w:rPr>
                <w:rFonts w:hint="eastAsia" w:ascii="宋体" w:hAnsi="宋体" w:eastAsia="宋体" w:cs="宋体"/>
                <w:b/>
                <w:color w:val="auto"/>
                <w:spacing w:val="4"/>
                <w:szCs w:val="21"/>
                <w:highlight w:val="none"/>
              </w:rPr>
            </w:pPr>
            <w:r>
              <w:rPr>
                <w:rFonts w:hint="eastAsia" w:ascii="宋体" w:hAnsi="宋体" w:eastAsia="宋体" w:cs="宋体"/>
                <w:b/>
                <w:color w:val="auto"/>
                <w:spacing w:val="4"/>
                <w:szCs w:val="21"/>
                <w:highlight w:val="none"/>
              </w:rPr>
              <w:t>评审因素与评审标准</w:t>
            </w:r>
          </w:p>
        </w:tc>
      </w:tr>
      <w:tr w14:paraId="4B0710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9" w:type="dxa"/>
            <w:tcBorders>
              <w:top w:val="single" w:color="auto" w:sz="4" w:space="0"/>
              <w:bottom w:val="single" w:color="auto" w:sz="4" w:space="0"/>
              <w:right w:val="single" w:color="auto" w:sz="4" w:space="0"/>
            </w:tcBorders>
            <w:noWrap w:val="0"/>
            <w:vAlign w:val="center"/>
          </w:tcPr>
          <w:p w14:paraId="08DEA887">
            <w:pPr>
              <w:pageBreakBefore w:val="0"/>
              <w:kinsoku/>
              <w:wordWrap w:val="0"/>
              <w:overflowPunct/>
              <w:bidi w:val="0"/>
              <w:spacing w:line="38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80" w:type="dxa"/>
            <w:tcBorders>
              <w:top w:val="single" w:color="auto" w:sz="4" w:space="0"/>
              <w:bottom w:val="single" w:color="auto" w:sz="4" w:space="0"/>
              <w:right w:val="single" w:color="auto" w:sz="4" w:space="0"/>
            </w:tcBorders>
            <w:noWrap w:val="0"/>
            <w:vAlign w:val="center"/>
          </w:tcPr>
          <w:p w14:paraId="0682C43C">
            <w:pPr>
              <w:pageBreakBefore w:val="0"/>
              <w:kinsoku/>
              <w:wordWrap w:val="0"/>
              <w:overflowPunct/>
              <w:bidi w:val="0"/>
              <w:spacing w:line="38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评标方法</w:t>
            </w:r>
          </w:p>
        </w:tc>
        <w:tc>
          <w:tcPr>
            <w:tcW w:w="6622" w:type="dxa"/>
            <w:tcBorders>
              <w:top w:val="single" w:color="auto" w:sz="4" w:space="0"/>
              <w:left w:val="single" w:color="auto" w:sz="4" w:space="0"/>
              <w:right w:val="single" w:color="auto" w:sz="4" w:space="0"/>
            </w:tcBorders>
            <w:noWrap w:val="0"/>
            <w:vAlign w:val="center"/>
          </w:tcPr>
          <w:p w14:paraId="77483EB8">
            <w:pPr>
              <w:pageBreakBefore w:val="0"/>
              <w:kinsoku/>
              <w:wordWrap w:val="0"/>
              <w:overflowPunct/>
              <w:bidi w:val="0"/>
              <w:spacing w:line="360"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综合评分相等时，评标委员会依次按照以下优先顺序推荐中标候选人或确定中标人：</w:t>
            </w:r>
          </w:p>
          <w:p w14:paraId="2415989D">
            <w:pPr>
              <w:pageBreakBefore w:val="0"/>
              <w:kinsoku/>
              <w:wordWrap w:val="0"/>
              <w:overflowPunct/>
              <w:bidi w:val="0"/>
              <w:spacing w:line="360"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（1）评标价低的投标人优先；</w:t>
            </w:r>
          </w:p>
          <w:p w14:paraId="711DC05E">
            <w:pPr>
              <w:pageBreakBefore w:val="0"/>
              <w:kinsoku/>
              <w:wordWrap w:val="0"/>
              <w:overflowPunct/>
              <w:bidi w:val="0"/>
              <w:spacing w:line="360"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（2）被辽宁省交通运输厅评为较高信用等级的投标人优先；</w:t>
            </w:r>
          </w:p>
          <w:p w14:paraId="28DB4E85">
            <w:pPr>
              <w:pageBreakBefore w:val="0"/>
              <w:kinsoku/>
              <w:wordWrap w:val="0"/>
              <w:overflowPunct/>
              <w:bidi w:val="0"/>
              <w:spacing w:line="360"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（3）商务和技术得分较高的投标人优先；</w:t>
            </w:r>
          </w:p>
          <w:p w14:paraId="760AE879">
            <w:pPr>
              <w:pageBreakBefore w:val="0"/>
              <w:kinsoku/>
              <w:wordWrap w:val="0"/>
              <w:overflowPunct/>
              <w:bidi w:val="0"/>
              <w:spacing w:line="360" w:lineRule="atLeast"/>
              <w:ind w:firstLine="420" w:firstLineChars="200"/>
              <w:jc w:val="both"/>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（4）由评标委员会共同商议决定。</w:t>
            </w:r>
          </w:p>
        </w:tc>
      </w:tr>
      <w:tr w14:paraId="795940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9" w:type="dxa"/>
            <w:tcBorders>
              <w:top w:val="single" w:color="auto" w:sz="4" w:space="0"/>
              <w:bottom w:val="single" w:color="auto" w:sz="4" w:space="0"/>
              <w:right w:val="single" w:color="auto" w:sz="4" w:space="0"/>
            </w:tcBorders>
            <w:noWrap w:val="0"/>
            <w:vAlign w:val="center"/>
          </w:tcPr>
          <w:p w14:paraId="2ADD229B">
            <w:pPr>
              <w:pageBreakBefore w:val="0"/>
              <w:kinsoku/>
              <w:wordWrap w:val="0"/>
              <w:overflowPunct/>
              <w:bidi w:val="0"/>
              <w:spacing w:line="38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w:t>
            </w:r>
          </w:p>
          <w:p w14:paraId="0BF2BCF4">
            <w:pPr>
              <w:pageBreakBefore w:val="0"/>
              <w:kinsoku/>
              <w:wordWrap w:val="0"/>
              <w:overflowPunct/>
              <w:bidi w:val="0"/>
              <w:spacing w:line="38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w:t>
            </w:r>
          </w:p>
        </w:tc>
        <w:tc>
          <w:tcPr>
            <w:tcW w:w="1280" w:type="dxa"/>
            <w:tcBorders>
              <w:top w:val="single" w:color="auto" w:sz="4" w:space="0"/>
              <w:bottom w:val="single" w:color="auto" w:sz="4" w:space="0"/>
              <w:right w:val="single" w:color="auto" w:sz="4" w:space="0"/>
            </w:tcBorders>
            <w:noWrap w:val="0"/>
            <w:vAlign w:val="center"/>
          </w:tcPr>
          <w:p w14:paraId="414D89FF">
            <w:pPr>
              <w:pageBreakBefore w:val="0"/>
              <w:kinsoku/>
              <w:wordWrap w:val="0"/>
              <w:overflowPunct/>
              <w:bidi w:val="0"/>
              <w:spacing w:line="38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形式评审与响应性评审标准</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5DD0E5BF">
            <w:pPr>
              <w:pageBreakBefore w:val="0"/>
              <w:kinsoku/>
              <w:wordWrap w:val="0"/>
              <w:overflowPunct/>
              <w:bidi w:val="0"/>
              <w:spacing w:line="360" w:lineRule="atLeast"/>
              <w:ind w:firstLine="422" w:firstLineChars="200"/>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第一个信封（商务及技术文件）评审标准：</w:t>
            </w:r>
          </w:p>
          <w:p w14:paraId="5E1D88EB">
            <w:pPr>
              <w:pageBreakBefore w:val="0"/>
              <w:kinsoku/>
              <w:wordWrap w:val="0"/>
              <w:overflowPunct/>
              <w:bidi w:val="0"/>
              <w:spacing w:line="360"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（1）投标文件按照招标文件规定的格式、内容填写，字迹清晰可辨：</w:t>
            </w:r>
          </w:p>
          <w:p w14:paraId="1C388F66">
            <w:pPr>
              <w:pageBreakBefore w:val="0"/>
              <w:kinsoku/>
              <w:wordWrap w:val="0"/>
              <w:overflowPunct/>
              <w:bidi w:val="0"/>
              <w:spacing w:line="360"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a.投标函按招标文件规定填报了项目名称、标段号、补遗书编号（如有）、监理服务期限、工程质量要求及安全目标；</w:t>
            </w:r>
          </w:p>
          <w:p w14:paraId="5968F99C">
            <w:pPr>
              <w:pageBreakBefore w:val="0"/>
              <w:kinsoku/>
              <w:wordWrap w:val="0"/>
              <w:overflowPunct/>
              <w:bidi w:val="0"/>
              <w:spacing w:line="360"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b.投标文件组成齐全完整，内容均按规定填写。</w:t>
            </w:r>
          </w:p>
          <w:p w14:paraId="2BF08D49">
            <w:pPr>
              <w:pageBreakBefore w:val="0"/>
              <w:kinsoku/>
              <w:wordWrap w:val="0"/>
              <w:overflowPunct/>
              <w:bidi w:val="0"/>
              <w:spacing w:line="360"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（2）投标文件上法定代表人或其委托代理人的签字、投标人的单位章盖章齐全，符合招标文件规定。</w:t>
            </w:r>
          </w:p>
          <w:p w14:paraId="204B92FE">
            <w:pPr>
              <w:pageBreakBefore w:val="0"/>
              <w:kinsoku/>
              <w:wordWrap w:val="0"/>
              <w:overflowPunct/>
              <w:bidi w:val="0"/>
              <w:spacing w:line="360"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）投标人按照招标文件的规定提供了投标保证金：</w:t>
            </w:r>
          </w:p>
          <w:p w14:paraId="306E3B6A">
            <w:pPr>
              <w:pageBreakBefore w:val="0"/>
              <w:kinsoku/>
              <w:wordWrap w:val="0"/>
              <w:overflowPunct/>
              <w:bidi w:val="0"/>
              <w:spacing w:line="360"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a.投标保证金金额符合招标文件规定的金额，且投标保证金有效期不少于投标有效期；</w:t>
            </w:r>
          </w:p>
          <w:p w14:paraId="7BE09AB9">
            <w:pPr>
              <w:pageBreakBefore w:val="0"/>
              <w:kinsoku/>
              <w:wordWrap w:val="0"/>
              <w:overflowPunct/>
              <w:bidi w:val="0"/>
              <w:spacing w:line="350"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b.若投标保证金采用现金或支票形式提交，投标人应在递交投标文件截止时间之前，将投标保证金由投标人的基本账户转入招标人指定账户；</w:t>
            </w:r>
          </w:p>
          <w:p w14:paraId="276B3ADF">
            <w:pPr>
              <w:pageBreakBefore w:val="0"/>
              <w:kinsoku/>
              <w:wordWrap w:val="0"/>
              <w:overflowPunct/>
              <w:bidi w:val="0"/>
              <w:spacing w:line="350" w:lineRule="atLeast"/>
              <w:ind w:firstLine="420" w:firstLineChars="200"/>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c.若投标保证金采用银行保函形式提交，银行保函的格式、开具保函的银行均满足招标文件要求</w:t>
            </w:r>
            <w:r>
              <w:rPr>
                <w:rFonts w:hint="eastAsia" w:ascii="宋体" w:hAnsi="宋体" w:eastAsia="宋体" w:cs="宋体"/>
                <w:color w:val="auto"/>
                <w:szCs w:val="21"/>
                <w:highlight w:val="none"/>
                <w:lang w:eastAsia="zh-CN"/>
              </w:rPr>
              <w:t>；</w:t>
            </w:r>
          </w:p>
          <w:p w14:paraId="1225FC17">
            <w:pPr>
              <w:pageBreakBefore w:val="0"/>
              <w:kinsoku/>
              <w:wordWrap w:val="0"/>
              <w:overflowPunct/>
              <w:bidi w:val="0"/>
              <w:spacing w:line="350"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d.若投标保证金采用电子保函形式提交，投标人应在投标文件中提供电子保函的原件扫描件、电子化保函验真渠道和从投标人基本账户支出的保函财务费用支付凭证。</w:t>
            </w:r>
          </w:p>
          <w:p w14:paraId="4F7867B7">
            <w:pPr>
              <w:spacing w:line="340" w:lineRule="atLeast"/>
              <w:ind w:firstLine="420" w:firstLineChars="200"/>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）投标人法定代表人授权委托代理人签署投标文件的，须提交授权委托书，且授权人和被授权人均在授权委托书上使用CA 数字证书加盖个人电子印章或电子签名</w:t>
            </w:r>
            <w:r>
              <w:rPr>
                <w:rFonts w:hint="eastAsia" w:ascii="宋体" w:hAnsi="宋体" w:eastAsia="宋体" w:cs="宋体"/>
                <w:color w:val="auto"/>
                <w:szCs w:val="21"/>
                <w:highlight w:val="none"/>
                <w:lang w:eastAsia="zh-CN"/>
              </w:rPr>
              <w:t>。</w:t>
            </w:r>
          </w:p>
          <w:p w14:paraId="2CB14A34">
            <w:pPr>
              <w:pageBreakBefore w:val="0"/>
              <w:kinsoku/>
              <w:wordWrap w:val="0"/>
              <w:overflowPunct/>
              <w:bidi w:val="0"/>
              <w:spacing w:line="350"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）投标人法定代表人亲自签署投标文件的，提供了法定代表人身份证明，且法定代表人在法定代表人身份证明上使用CA 数字证书加盖个人电子印章或电子签名。</w:t>
            </w:r>
          </w:p>
          <w:p w14:paraId="53C2A1F0">
            <w:pPr>
              <w:pageBreakBefore w:val="0"/>
              <w:kinsoku/>
              <w:wordWrap w:val="0"/>
              <w:overflowPunct/>
              <w:bidi w:val="0"/>
              <w:spacing w:line="350"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）投标人以联合体形式投标时，联合体满足招标文件的要求：投标人按照招标文件提供的格式签订了联合体协议书，</w:t>
            </w:r>
            <w:r>
              <w:rPr>
                <w:rFonts w:hint="eastAsia" w:ascii="宋体" w:hAnsi="宋体" w:eastAsia="宋体" w:cs="宋体"/>
                <w:color w:val="auto"/>
                <w:highlight w:val="none"/>
              </w:rPr>
              <w:t>明确各方承担连带责任，</w:t>
            </w:r>
            <w:r>
              <w:rPr>
                <w:rFonts w:hint="eastAsia" w:ascii="宋体" w:hAnsi="宋体" w:eastAsia="宋体" w:cs="宋体"/>
                <w:color w:val="auto"/>
                <w:szCs w:val="21"/>
                <w:highlight w:val="none"/>
              </w:rPr>
              <w:t>并明确了联合体牵头人；</w:t>
            </w:r>
          </w:p>
          <w:p w14:paraId="7D4456E4">
            <w:pPr>
              <w:pageBreakBefore w:val="0"/>
              <w:kinsoku/>
              <w:wordWrap w:val="0"/>
              <w:overflowPunct/>
              <w:bidi w:val="0"/>
              <w:spacing w:line="350"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）同一投标人未提交两个以上不同的投标文件，但招标文件要求提交备选投标的除外。</w:t>
            </w:r>
          </w:p>
          <w:p w14:paraId="184C8493">
            <w:pPr>
              <w:pageBreakBefore w:val="0"/>
              <w:kinsoku/>
              <w:wordWrap w:val="0"/>
              <w:overflowPunct/>
              <w:bidi w:val="0"/>
              <w:spacing w:line="350"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）投标文件中未出现有关投标报价的内容。</w:t>
            </w:r>
          </w:p>
          <w:p w14:paraId="0A00C83D">
            <w:pPr>
              <w:pageBreakBefore w:val="0"/>
              <w:kinsoku/>
              <w:wordWrap w:val="0"/>
              <w:overflowPunct/>
              <w:bidi w:val="0"/>
              <w:spacing w:line="350"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）投标文件载明的招标项目完成期限符合招标文件规定。</w:t>
            </w:r>
          </w:p>
          <w:p w14:paraId="77E21E69">
            <w:pPr>
              <w:pageBreakBefore w:val="0"/>
              <w:kinsoku/>
              <w:wordWrap w:val="0"/>
              <w:overflowPunct/>
              <w:bidi w:val="0"/>
              <w:spacing w:line="350"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）投标文件对招标文件的实质性要求和条件作出响应。</w:t>
            </w:r>
          </w:p>
          <w:p w14:paraId="4659094C">
            <w:pPr>
              <w:pageBreakBefore w:val="0"/>
              <w:kinsoku/>
              <w:wordWrap w:val="0"/>
              <w:overflowPunct/>
              <w:bidi w:val="0"/>
              <w:spacing w:line="350"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）权利义务符合招标文件规定：</w:t>
            </w:r>
          </w:p>
          <w:p w14:paraId="7376D219">
            <w:pPr>
              <w:pageBreakBefore w:val="0"/>
              <w:kinsoku/>
              <w:wordWrap w:val="0"/>
              <w:overflowPunct/>
              <w:bidi w:val="0"/>
              <w:spacing w:line="350"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a.投标人应接受招标文件规定的风险划分原则，未提出新的风险划分办法；</w:t>
            </w:r>
          </w:p>
          <w:p w14:paraId="094B2B1E">
            <w:pPr>
              <w:pageBreakBefore w:val="0"/>
              <w:kinsoku/>
              <w:wordWrap w:val="0"/>
              <w:overflowPunct/>
              <w:bidi w:val="0"/>
              <w:spacing w:line="350"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b.投标人未增加委托人的责任范围，或减少投标人义务；</w:t>
            </w:r>
          </w:p>
          <w:p w14:paraId="1F960FC4">
            <w:pPr>
              <w:pageBreakBefore w:val="0"/>
              <w:kinsoku/>
              <w:wordWrap w:val="0"/>
              <w:overflowPunct/>
              <w:bidi w:val="0"/>
              <w:spacing w:line="350"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c.投标人未提出不同的支付办法；</w:t>
            </w:r>
          </w:p>
          <w:p w14:paraId="276E3286">
            <w:pPr>
              <w:pageBreakBefore w:val="0"/>
              <w:kinsoku/>
              <w:wordWrap w:val="0"/>
              <w:overflowPunct/>
              <w:bidi w:val="0"/>
              <w:spacing w:line="350"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d.投标人对合同纠纷、事故处理办法未提出异议；</w:t>
            </w:r>
          </w:p>
          <w:p w14:paraId="59B81C8A">
            <w:pPr>
              <w:pageBreakBefore w:val="0"/>
              <w:kinsoku/>
              <w:wordWrap w:val="0"/>
              <w:overflowPunct/>
              <w:bidi w:val="0"/>
              <w:spacing w:line="350"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e.投标人在投标活动中无欺诈行为；</w:t>
            </w:r>
          </w:p>
          <w:p w14:paraId="34F7E3B8">
            <w:pPr>
              <w:pageBreakBefore w:val="0"/>
              <w:kinsoku/>
              <w:wordWrap w:val="0"/>
              <w:overflowPunct/>
              <w:bidi w:val="0"/>
              <w:spacing w:line="350"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f.投标人未对合同条款有重要保留。</w:t>
            </w:r>
          </w:p>
          <w:p w14:paraId="4205ADC4">
            <w:pPr>
              <w:pageBreakBefore w:val="0"/>
              <w:kinsoku/>
              <w:wordWrap w:val="0"/>
              <w:overflowPunct/>
              <w:bidi w:val="0"/>
              <w:spacing w:line="350"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技术建议书</w:t>
            </w:r>
            <w:r>
              <w:rPr>
                <w:rFonts w:hint="eastAsia" w:ascii="宋体" w:hAnsi="宋体" w:eastAsia="宋体" w:cs="宋体"/>
                <w:color w:val="auto"/>
                <w:szCs w:val="21"/>
                <w:highlight w:val="none"/>
              </w:rPr>
              <w:t>”采用暗标形式，其编制须满足招标文件要求。</w:t>
            </w:r>
          </w:p>
          <w:p w14:paraId="03EBF9B1">
            <w:pPr>
              <w:pageBreakBefore w:val="0"/>
              <w:kinsoku/>
              <w:wordWrap w:val="0"/>
              <w:overflowPunct/>
              <w:bidi w:val="0"/>
              <w:spacing w:line="350"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）未发现投标人与其他投标人存在使用同一不可篡改的唯一标识软硬件设备投标的（如：MAC地址、标书制作特征码、标书唯一特征码等）。</w:t>
            </w:r>
          </w:p>
          <w:p w14:paraId="5740FA82">
            <w:pPr>
              <w:keepNext w:val="0"/>
              <w:keepLines w:val="0"/>
              <w:widowControl/>
              <w:suppressLineNumbers w:val="0"/>
              <w:ind w:firstLine="420" w:firstLineChars="200"/>
              <w:jc w:val="left"/>
              <w:rPr>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lang w:eastAsia="zh-CN"/>
              </w:rPr>
              <w:t>）</w:t>
            </w:r>
            <w:r>
              <w:rPr>
                <w:rFonts w:hint="eastAsia" w:ascii="宋体" w:hAnsi="宋体" w:eastAsia="宋体" w:cs="宋体"/>
                <w:color w:val="000000"/>
                <w:kern w:val="0"/>
                <w:sz w:val="21"/>
                <w:szCs w:val="21"/>
                <w:highlight w:val="none"/>
                <w:lang w:val="en-US" w:eastAsia="zh-CN" w:bidi="ar"/>
              </w:rPr>
              <w:t xml:space="preserve">投标人按照招标文件规定提供了投标人告知承诺函 </w:t>
            </w:r>
          </w:p>
          <w:p w14:paraId="08881460">
            <w:pPr>
              <w:keepNext w:val="0"/>
              <w:keepLines w:val="0"/>
              <w:widowControl/>
              <w:suppressLineNumbers w:val="0"/>
              <w:ind w:firstLine="630" w:firstLineChars="300"/>
              <w:jc w:val="left"/>
              <w:rPr>
                <w:highlight w:val="none"/>
              </w:rPr>
            </w:pPr>
            <w:r>
              <w:rPr>
                <w:rFonts w:hint="eastAsia" w:ascii="宋体" w:hAnsi="宋体" w:eastAsia="宋体" w:cs="宋体"/>
                <w:color w:val="000000"/>
                <w:kern w:val="0"/>
                <w:sz w:val="21"/>
                <w:szCs w:val="21"/>
                <w:highlight w:val="none"/>
                <w:lang w:val="en-US" w:eastAsia="zh-CN" w:bidi="ar"/>
              </w:rPr>
              <w:t>投标人告知承诺函按要求填写并签署。</w:t>
            </w:r>
          </w:p>
          <w:p w14:paraId="012A6F9B">
            <w:pPr>
              <w:pageBreakBefore w:val="0"/>
              <w:kinsoku/>
              <w:wordWrap w:val="0"/>
              <w:overflowPunct/>
              <w:bidi w:val="0"/>
              <w:spacing w:line="350" w:lineRule="atLeast"/>
              <w:ind w:firstLine="422" w:firstLineChars="200"/>
              <w:jc w:val="both"/>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第二个信封（报价文件）评审标准：</w:t>
            </w:r>
          </w:p>
          <w:p w14:paraId="4ADEF848">
            <w:pPr>
              <w:pageBreakBefore w:val="0"/>
              <w:kinsoku/>
              <w:wordWrap w:val="0"/>
              <w:overflowPunct/>
              <w:bidi w:val="0"/>
              <w:spacing w:line="350"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（1）投标文件按照招标文件规定的格式、内容填写，字迹清晰可辨：</w:t>
            </w:r>
          </w:p>
          <w:p w14:paraId="00BD1F07">
            <w:pPr>
              <w:pageBreakBefore w:val="0"/>
              <w:kinsoku/>
              <w:wordWrap w:val="0"/>
              <w:overflowPunct/>
              <w:bidi w:val="0"/>
              <w:spacing w:line="350"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a.投标函按招标文件规定填报了项目名称、标段号、补遗书编号（如有）、投标价（包括大写金额和小写金额）；</w:t>
            </w:r>
          </w:p>
          <w:p w14:paraId="063E9178">
            <w:pPr>
              <w:pageBreakBefore w:val="0"/>
              <w:kinsoku/>
              <w:wordWrap w:val="0"/>
              <w:overflowPunct/>
              <w:bidi w:val="0"/>
              <w:spacing w:line="350"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b.已标价报价清单说明文字与招标文件规定一致，未进行实质性修改和删减；</w:t>
            </w:r>
          </w:p>
          <w:p w14:paraId="6079B5FF">
            <w:pPr>
              <w:pageBreakBefore w:val="0"/>
              <w:kinsoku/>
              <w:wordWrap w:val="0"/>
              <w:overflowPunct/>
              <w:bidi w:val="0"/>
              <w:spacing w:line="350"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c.投标文件组成齐全完整，内容均按规定填写。</w:t>
            </w:r>
          </w:p>
          <w:p w14:paraId="4273665D">
            <w:pPr>
              <w:pageBreakBefore w:val="0"/>
              <w:kinsoku/>
              <w:wordWrap w:val="0"/>
              <w:overflowPunct/>
              <w:bidi w:val="0"/>
              <w:spacing w:line="350"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（2）投标文件上法定代表人或其委托代理人的签字、投标人的单位章盖章齐全，符合招标文件规定。</w:t>
            </w:r>
          </w:p>
          <w:p w14:paraId="79A7265F">
            <w:pPr>
              <w:pageBreakBefore w:val="0"/>
              <w:kinsoku/>
              <w:wordWrap w:val="0"/>
              <w:overflowPunct/>
              <w:bidi w:val="0"/>
              <w:spacing w:line="350"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（3）投标报价未超过招标文件设定的最高投标限价（如有）。</w:t>
            </w:r>
          </w:p>
          <w:p w14:paraId="6DA1FBBA">
            <w:pPr>
              <w:pageBreakBefore w:val="0"/>
              <w:kinsoku/>
              <w:wordWrap w:val="0"/>
              <w:overflowPunct/>
              <w:bidi w:val="0"/>
              <w:spacing w:line="350"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（4）投标报价的大写金额能够确定具体数值。</w:t>
            </w:r>
          </w:p>
          <w:p w14:paraId="19926AAB">
            <w:pPr>
              <w:pageBreakBefore w:val="0"/>
              <w:kinsoku/>
              <w:wordWrap w:val="0"/>
              <w:overflowPunct/>
              <w:bidi w:val="0"/>
              <w:spacing w:line="350"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（5）同一投标人未提交两个以上不同的投标报价，但招标文件要求提交备选投标的除外。</w:t>
            </w:r>
          </w:p>
          <w:p w14:paraId="518F88CA">
            <w:pPr>
              <w:pageBreakBefore w:val="0"/>
              <w:kinsoku/>
              <w:wordWrap w:val="0"/>
              <w:overflowPunct/>
              <w:bidi w:val="0"/>
              <w:spacing w:line="360"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）未发现投标人与其他投标人存在使用同一不可篡改的唯一标识软硬件设备投标的（如：MAC地址、标书制作特征码、标书唯一特征码等）。</w:t>
            </w:r>
          </w:p>
        </w:tc>
      </w:tr>
      <w:tr w14:paraId="307620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9" w:type="dxa"/>
            <w:tcBorders>
              <w:top w:val="single" w:color="auto" w:sz="4" w:space="0"/>
              <w:bottom w:val="single" w:color="auto" w:sz="4" w:space="0"/>
              <w:right w:val="single" w:color="auto" w:sz="4" w:space="0"/>
            </w:tcBorders>
            <w:noWrap w:val="0"/>
            <w:vAlign w:val="center"/>
          </w:tcPr>
          <w:p w14:paraId="1FF8B871">
            <w:pPr>
              <w:pageBreakBefore w:val="0"/>
              <w:kinsoku/>
              <w:wordWrap w:val="0"/>
              <w:overflowPunct/>
              <w:bidi w:val="0"/>
              <w:spacing w:line="35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w:t>
            </w:r>
          </w:p>
        </w:tc>
        <w:tc>
          <w:tcPr>
            <w:tcW w:w="1280" w:type="dxa"/>
            <w:tcBorders>
              <w:top w:val="single" w:color="auto" w:sz="4" w:space="0"/>
              <w:bottom w:val="single" w:color="auto" w:sz="4" w:space="0"/>
              <w:right w:val="single" w:color="auto" w:sz="4" w:space="0"/>
            </w:tcBorders>
            <w:noWrap w:val="0"/>
            <w:vAlign w:val="center"/>
          </w:tcPr>
          <w:p w14:paraId="6C7564A6">
            <w:pPr>
              <w:pageBreakBefore w:val="0"/>
              <w:kinsoku/>
              <w:wordWrap w:val="0"/>
              <w:overflowPunct/>
              <w:bidi w:val="0"/>
              <w:spacing w:line="35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资格评审标准</w:t>
            </w:r>
          </w:p>
        </w:tc>
        <w:tc>
          <w:tcPr>
            <w:tcW w:w="6622" w:type="dxa"/>
            <w:tcBorders>
              <w:top w:val="single" w:color="auto" w:sz="4" w:space="0"/>
              <w:left w:val="single" w:color="auto" w:sz="4" w:space="0"/>
              <w:right w:val="single" w:color="auto" w:sz="4" w:space="0"/>
            </w:tcBorders>
            <w:noWrap w:val="0"/>
            <w:vAlign w:val="center"/>
          </w:tcPr>
          <w:p w14:paraId="0E319130">
            <w:pPr>
              <w:pageBreakBefore w:val="0"/>
              <w:kinsoku/>
              <w:wordWrap w:val="0"/>
              <w:overflowPunct/>
              <w:bidi w:val="0"/>
              <w:spacing w:line="350"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（1）投标人的资质等级符合招标文件规定。</w:t>
            </w:r>
          </w:p>
          <w:p w14:paraId="6B178D28">
            <w:pPr>
              <w:pageBreakBefore w:val="0"/>
              <w:kinsoku/>
              <w:wordWrap w:val="0"/>
              <w:overflowPunct/>
              <w:bidi w:val="0"/>
              <w:spacing w:line="350"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）投标人的类似项目业绩符合招标文件规定。</w:t>
            </w:r>
          </w:p>
          <w:p w14:paraId="53E80705">
            <w:pPr>
              <w:pageBreakBefore w:val="0"/>
              <w:kinsoku/>
              <w:wordWrap w:val="0"/>
              <w:overflowPunct/>
              <w:bidi w:val="0"/>
              <w:spacing w:line="350"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）投标人的信誉符合招标文件规定。</w:t>
            </w:r>
          </w:p>
          <w:p w14:paraId="4FE063BA">
            <w:pPr>
              <w:pageBreakBefore w:val="0"/>
              <w:kinsoku/>
              <w:wordWrap w:val="0"/>
              <w:overflowPunct/>
              <w:bidi w:val="0"/>
              <w:spacing w:line="350"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）投标人的总监理工程师或驻地监理工程师资格、在岗情况符合招标文件规定。</w:t>
            </w:r>
          </w:p>
          <w:p w14:paraId="42D38519">
            <w:pPr>
              <w:pageBreakBefore w:val="0"/>
              <w:kinsoku/>
              <w:wordWrap w:val="0"/>
              <w:overflowPunct/>
              <w:bidi w:val="0"/>
              <w:spacing w:line="350"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）投标人的其他要求符合招标文件规定。</w:t>
            </w:r>
            <w:r>
              <w:rPr>
                <w:rFonts w:hint="eastAsia" w:ascii="宋体" w:hAnsi="宋体" w:eastAsia="宋体" w:cs="宋体"/>
                <w:color w:val="auto"/>
                <w:szCs w:val="21"/>
                <w:highlight w:val="none"/>
                <w:vertAlign w:val="superscript"/>
              </w:rPr>
              <w:footnoteReference w:id="1"/>
            </w:r>
          </w:p>
          <w:p w14:paraId="7E0A590D">
            <w:pPr>
              <w:pageBreakBefore w:val="0"/>
              <w:kinsoku/>
              <w:wordWrap w:val="0"/>
              <w:overflowPunct/>
              <w:bidi w:val="0"/>
              <w:spacing w:line="350"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）投标人不存在第二章“投标人须知”第1.4.3项或第1.4.4项规定的任何一种情形。</w:t>
            </w:r>
          </w:p>
          <w:p w14:paraId="560E2653">
            <w:pPr>
              <w:pageBreakBefore w:val="0"/>
              <w:kinsoku/>
              <w:wordWrap w:val="0"/>
              <w:overflowPunct/>
              <w:bidi w:val="0"/>
              <w:spacing w:line="350"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）投标人符合第二章“投标人须知”第1.4.5项规定。</w:t>
            </w:r>
            <w:r>
              <w:rPr>
                <w:rStyle w:val="6"/>
                <w:rFonts w:hint="eastAsia" w:ascii="宋体" w:hAnsi="宋体" w:eastAsia="宋体" w:cs="宋体"/>
                <w:color w:val="auto"/>
                <w:highlight w:val="none"/>
              </w:rPr>
              <w:footnoteReference w:id="2"/>
            </w:r>
          </w:p>
          <w:p w14:paraId="7B0EF23A">
            <w:pPr>
              <w:pageBreakBefore w:val="0"/>
              <w:kinsoku/>
              <w:wordWrap w:val="0"/>
              <w:overflowPunct/>
              <w:bidi w:val="0"/>
              <w:spacing w:line="350"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）以联合体形式参与投标的，联合体各方均未再以自己名义单独或参加其他联合体在同一标段中投标；独立参与投标的，投标人未同时参加联合体在同一标段中投标。</w:t>
            </w:r>
          </w:p>
        </w:tc>
      </w:tr>
    </w:tbl>
    <w:p w14:paraId="1DA4A51E">
      <w:pPr>
        <w:pageBreakBefore w:val="0"/>
        <w:kinsoku/>
        <w:wordWrap/>
        <w:overflowPunct/>
        <w:bidi w:val="0"/>
        <w:jc w:val="left"/>
        <w:rPr>
          <w:rFonts w:hint="eastAsia" w:ascii="宋体" w:hAnsi="宋体" w:eastAsia="宋体" w:cs="宋体"/>
          <w:color w:val="auto"/>
          <w:highlight w:val="none"/>
        </w:rPr>
      </w:pPr>
    </w:p>
    <w:tbl>
      <w:tblPr>
        <w:tblStyle w:val="4"/>
        <w:tblW w:w="889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9"/>
        <w:gridCol w:w="1417"/>
        <w:gridCol w:w="6515"/>
      </w:tblGrid>
      <w:tr w14:paraId="19F01F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959" w:type="dxa"/>
            <w:tcBorders>
              <w:top w:val="single" w:color="auto" w:sz="4" w:space="0"/>
              <w:right w:val="single" w:color="auto" w:sz="4" w:space="0"/>
            </w:tcBorders>
            <w:noWrap w:val="0"/>
            <w:vAlign w:val="center"/>
          </w:tcPr>
          <w:p w14:paraId="227BFA1F">
            <w:pPr>
              <w:pageBreakBefore w:val="0"/>
              <w:kinsoku/>
              <w:wordWrap w:val="0"/>
              <w:overflowPunct/>
              <w:bidi w:val="0"/>
              <w:spacing w:line="380" w:lineRule="atLeas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417" w:type="dxa"/>
            <w:tcBorders>
              <w:top w:val="single" w:color="auto" w:sz="4" w:space="0"/>
              <w:right w:val="single" w:color="auto" w:sz="4" w:space="0"/>
            </w:tcBorders>
            <w:noWrap w:val="0"/>
            <w:vAlign w:val="center"/>
          </w:tcPr>
          <w:p w14:paraId="4EEAA15B">
            <w:pPr>
              <w:pageBreakBefore w:val="0"/>
              <w:kinsoku/>
              <w:wordWrap w:val="0"/>
              <w:overflowPunct/>
              <w:bidi w:val="0"/>
              <w:spacing w:line="380" w:lineRule="atLeas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515" w:type="dxa"/>
            <w:tcBorders>
              <w:top w:val="single" w:color="auto" w:sz="4" w:space="0"/>
              <w:left w:val="single" w:color="auto" w:sz="4" w:space="0"/>
              <w:right w:val="single" w:color="auto" w:sz="4" w:space="0"/>
            </w:tcBorders>
            <w:noWrap w:val="0"/>
            <w:vAlign w:val="center"/>
          </w:tcPr>
          <w:p w14:paraId="53B899B1">
            <w:pPr>
              <w:pageBreakBefore w:val="0"/>
              <w:kinsoku/>
              <w:wordWrap w:val="0"/>
              <w:overflowPunct/>
              <w:bidi w:val="0"/>
              <w:spacing w:line="380" w:lineRule="atLeas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编列内容</w:t>
            </w:r>
          </w:p>
        </w:tc>
      </w:tr>
      <w:tr w14:paraId="7F6BC8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959" w:type="dxa"/>
            <w:tcBorders>
              <w:top w:val="single" w:color="auto" w:sz="4" w:space="0"/>
              <w:right w:val="single" w:color="auto" w:sz="4" w:space="0"/>
            </w:tcBorders>
            <w:noWrap w:val="0"/>
            <w:vAlign w:val="center"/>
          </w:tcPr>
          <w:p w14:paraId="25DA705D">
            <w:pPr>
              <w:pageBreakBefore w:val="0"/>
              <w:kinsoku/>
              <w:wordWrap w:val="0"/>
              <w:overflowPunct/>
              <w:bidi w:val="0"/>
              <w:spacing w:line="38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w:t>
            </w:r>
          </w:p>
        </w:tc>
        <w:tc>
          <w:tcPr>
            <w:tcW w:w="1417" w:type="dxa"/>
            <w:tcBorders>
              <w:top w:val="single" w:color="auto" w:sz="4" w:space="0"/>
              <w:right w:val="single" w:color="auto" w:sz="4" w:space="0"/>
            </w:tcBorders>
            <w:noWrap w:val="0"/>
            <w:vAlign w:val="center"/>
          </w:tcPr>
          <w:p w14:paraId="554176EB">
            <w:pPr>
              <w:pageBreakBefore w:val="0"/>
              <w:kinsoku/>
              <w:wordWrap w:val="0"/>
              <w:overflowPunct/>
              <w:bidi w:val="0"/>
              <w:spacing w:line="38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分值构成</w:t>
            </w:r>
          </w:p>
          <w:p w14:paraId="72DD975C">
            <w:pPr>
              <w:pageBreakBefore w:val="0"/>
              <w:kinsoku/>
              <w:wordWrap w:val="0"/>
              <w:overflowPunct/>
              <w:bidi w:val="0"/>
              <w:spacing w:line="380" w:lineRule="atLeast"/>
              <w:ind w:left="-105" w:leftChars="-50" w:right="-105" w:right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（总分100分）</w:t>
            </w:r>
          </w:p>
        </w:tc>
        <w:tc>
          <w:tcPr>
            <w:tcW w:w="6515" w:type="dxa"/>
            <w:tcBorders>
              <w:top w:val="single" w:color="auto" w:sz="4" w:space="0"/>
              <w:left w:val="single" w:color="auto" w:sz="4" w:space="0"/>
              <w:right w:val="single" w:color="auto" w:sz="4" w:space="0"/>
            </w:tcBorders>
            <w:noWrap w:val="0"/>
            <w:vAlign w:val="center"/>
          </w:tcPr>
          <w:p w14:paraId="3E003B42">
            <w:pPr>
              <w:pageBreakBefore w:val="0"/>
              <w:kinsoku/>
              <w:wordWrap w:val="0"/>
              <w:overflowPunct/>
              <w:bidi w:val="0"/>
              <w:spacing w:line="340" w:lineRule="atLeast"/>
              <w:ind w:firstLine="422" w:firstLineChars="200"/>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第一个信封（商务及技术文件）评分分值构成：</w:t>
            </w:r>
            <w:r>
              <w:rPr>
                <w:rStyle w:val="6"/>
                <w:rFonts w:hint="eastAsia" w:ascii="宋体" w:hAnsi="宋体" w:eastAsia="宋体" w:cs="宋体"/>
                <w:color w:val="auto"/>
                <w:highlight w:val="none"/>
              </w:rPr>
              <w:footnoteReference w:id="3"/>
            </w:r>
          </w:p>
          <w:p w14:paraId="37D446B2">
            <w:pPr>
              <w:pageBreakBefore w:val="0"/>
              <w:kinsoku/>
              <w:wordWrap w:val="0"/>
              <w:overflowPunct/>
              <w:bidi w:val="0"/>
              <w:spacing w:line="340"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技术建议书：</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35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w:t>
            </w:r>
          </w:p>
          <w:p w14:paraId="5FEBF5A9">
            <w:pPr>
              <w:pageBreakBefore w:val="0"/>
              <w:kinsoku/>
              <w:wordWrap w:val="0"/>
              <w:overflowPunct/>
              <w:bidi w:val="0"/>
              <w:spacing w:line="340"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主要人员：</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25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w:t>
            </w:r>
          </w:p>
          <w:p w14:paraId="7640D737">
            <w:pPr>
              <w:pageBreakBefore w:val="0"/>
              <w:kinsoku/>
              <w:wordWrap w:val="0"/>
              <w:overflowPunct/>
              <w:bidi w:val="0"/>
              <w:spacing w:line="340"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业绩：</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20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w:t>
            </w:r>
          </w:p>
          <w:p w14:paraId="4D58B229">
            <w:pPr>
              <w:pageBreakBefore w:val="0"/>
              <w:kinsoku/>
              <w:wordWrap w:val="0"/>
              <w:overflowPunct/>
              <w:bidi w:val="0"/>
              <w:spacing w:line="340"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履约信誉：</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10</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分</w:t>
            </w:r>
          </w:p>
          <w:p w14:paraId="1073B322">
            <w:pPr>
              <w:pageBreakBefore w:val="0"/>
              <w:kinsoku/>
              <w:wordWrap w:val="0"/>
              <w:overflowPunct/>
              <w:bidi w:val="0"/>
              <w:spacing w:line="340" w:lineRule="atLeast"/>
              <w:ind w:firstLine="422" w:firstLineChars="200"/>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第二个信封（报价文件）评分分值构成：</w:t>
            </w:r>
          </w:p>
          <w:p w14:paraId="1ABFF966">
            <w:pPr>
              <w:pageBreakBefore w:val="0"/>
              <w:kinsoku/>
              <w:wordWrap w:val="0"/>
              <w:overflowPunct/>
              <w:bidi w:val="0"/>
              <w:spacing w:line="340"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评标价</w:t>
            </w:r>
            <w:r>
              <w:rPr>
                <w:rStyle w:val="6"/>
                <w:rFonts w:hint="eastAsia" w:ascii="宋体" w:hAnsi="宋体" w:eastAsia="宋体" w:cs="宋体"/>
                <w:color w:val="auto"/>
                <w:szCs w:val="21"/>
                <w:highlight w:val="none"/>
              </w:rPr>
              <w:footnoteReference w:id="4"/>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w:t>
            </w:r>
          </w:p>
        </w:tc>
      </w:tr>
      <w:tr w14:paraId="5EA125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right w:val="single" w:color="auto" w:sz="4" w:space="0"/>
            </w:tcBorders>
            <w:noWrap w:val="0"/>
            <w:vAlign w:val="center"/>
          </w:tcPr>
          <w:p w14:paraId="5EC117EC">
            <w:pPr>
              <w:pageBreakBefore w:val="0"/>
              <w:kinsoku/>
              <w:wordWrap w:val="0"/>
              <w:overflowPunct/>
              <w:bidi w:val="0"/>
              <w:spacing w:line="38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w:t>
            </w:r>
          </w:p>
        </w:tc>
        <w:tc>
          <w:tcPr>
            <w:tcW w:w="1417" w:type="dxa"/>
            <w:tcBorders>
              <w:top w:val="single" w:color="auto" w:sz="4" w:space="0"/>
              <w:right w:val="single" w:color="auto" w:sz="4" w:space="0"/>
            </w:tcBorders>
            <w:noWrap w:val="0"/>
            <w:vAlign w:val="center"/>
          </w:tcPr>
          <w:p w14:paraId="15241A85">
            <w:pPr>
              <w:pageBreakBefore w:val="0"/>
              <w:kinsoku/>
              <w:wordWrap w:val="0"/>
              <w:overflowPunct/>
              <w:bidi w:val="0"/>
              <w:spacing w:line="38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评标基准价计算方法</w:t>
            </w:r>
          </w:p>
        </w:tc>
        <w:tc>
          <w:tcPr>
            <w:tcW w:w="6515" w:type="dxa"/>
            <w:tcBorders>
              <w:top w:val="single" w:color="auto" w:sz="4" w:space="0"/>
              <w:left w:val="single" w:color="auto" w:sz="4" w:space="0"/>
              <w:right w:val="single" w:color="auto" w:sz="4" w:space="0"/>
            </w:tcBorders>
            <w:noWrap w:val="0"/>
            <w:vAlign w:val="center"/>
          </w:tcPr>
          <w:p w14:paraId="773B6602">
            <w:pPr>
              <w:pageBreakBefore w:val="0"/>
              <w:kinsoku/>
              <w:wordWrap w:val="0"/>
              <w:overflowPunct/>
              <w:bidi w:val="0"/>
              <w:spacing w:line="340"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评标基准价的计算：</w:t>
            </w:r>
          </w:p>
          <w:p w14:paraId="3233FFBD">
            <w:pPr>
              <w:pageBreakBefore w:val="0"/>
              <w:kinsoku/>
              <w:wordWrap w:val="0"/>
              <w:overflowPunct/>
              <w:bidi w:val="0"/>
              <w:spacing w:line="340"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在开标现场，招标人将当场计算并宣布评标基准价。</w:t>
            </w:r>
          </w:p>
          <w:p w14:paraId="43DFB4CE">
            <w:pPr>
              <w:pageBreakBefore w:val="0"/>
              <w:kinsoku/>
              <w:wordWrap w:val="0"/>
              <w:overflowPunct/>
              <w:bidi w:val="0"/>
              <w:spacing w:line="340"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（1）评标价的确定：</w:t>
            </w:r>
          </w:p>
          <w:p w14:paraId="56C6B36E">
            <w:pPr>
              <w:pageBreakBefore w:val="0"/>
              <w:kinsoku/>
              <w:wordWrap w:val="0"/>
              <w:overflowPunct/>
              <w:bidi w:val="0"/>
              <w:spacing w:line="340"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评标价＝投标函文字报价</w:t>
            </w:r>
          </w:p>
          <w:p w14:paraId="4F835D54">
            <w:pPr>
              <w:pageBreakBefore w:val="0"/>
              <w:kinsoku/>
              <w:wordWrap w:val="0"/>
              <w:overflowPunct/>
              <w:bidi w:val="0"/>
              <w:spacing w:line="340"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（2）评标价平均值的计算：</w:t>
            </w:r>
          </w:p>
          <w:p w14:paraId="588966DB">
            <w:pPr>
              <w:pageBreakBefore w:val="0"/>
              <w:kinsoku/>
              <w:wordWrap w:val="0"/>
              <w:overflowPunct/>
              <w:bidi w:val="0"/>
              <w:spacing w:line="340"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案一：按第一个信封（商务及技术文件）评审得分由高到低的顺序选取前3名（若不足3名，则选取相应数量），对其第二个信封（报价文件）的评标价作算术平均（根据第二章“投标人须知”第5.2.4项规定在开标现场被宣布为不进入评标基准价计算的投标报价除外），将该平均值作为评标价平均值；</w:t>
            </w:r>
          </w:p>
          <w:p w14:paraId="44B8AF78">
            <w:pPr>
              <w:pageBreakBefore w:val="0"/>
              <w:kinsoku/>
              <w:wordWrap w:val="0"/>
              <w:overflowPunct/>
              <w:bidi w:val="0"/>
              <w:spacing w:line="340"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rPr>
              <w:t>方案二：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14:paraId="0A4A3765">
            <w:pPr>
              <w:pageBreakBefore w:val="0"/>
              <w:kinsoku/>
              <w:wordWrap w:val="0"/>
              <w:overflowPunct/>
              <w:bidi w:val="0"/>
              <w:spacing w:line="340"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（3）评标基准价的确定</w:t>
            </w:r>
            <w:r>
              <w:rPr>
                <w:rFonts w:hint="eastAsia" w:ascii="宋体" w:hAnsi="宋体" w:eastAsia="宋体" w:cs="宋体"/>
                <w:color w:val="auto"/>
                <w:szCs w:val="21"/>
                <w:highlight w:val="none"/>
                <w:vertAlign w:val="superscript"/>
              </w:rPr>
              <w:footnoteReference w:id="5"/>
            </w:r>
            <w:r>
              <w:rPr>
                <w:rFonts w:hint="eastAsia" w:ascii="宋体" w:hAnsi="宋体" w:eastAsia="宋体" w:cs="宋体"/>
                <w:color w:val="auto"/>
                <w:szCs w:val="21"/>
                <w:highlight w:val="none"/>
              </w:rPr>
              <w:t>：</w:t>
            </w:r>
          </w:p>
          <w:p w14:paraId="786EBD6D">
            <w:pPr>
              <w:pageBreakBefore w:val="0"/>
              <w:kinsoku/>
              <w:wordWrap w:val="0"/>
              <w:overflowPunct/>
              <w:bidi w:val="0"/>
              <w:spacing w:line="340"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rPr>
              <w:t>方法一：将评标价平均值直接作为评标基准价。</w:t>
            </w:r>
          </w:p>
          <w:p w14:paraId="158E7ECE">
            <w:pPr>
              <w:pageBreakBefore w:val="0"/>
              <w:kinsoku/>
              <w:wordWrap w:val="0"/>
              <w:overflowPunct/>
              <w:bidi w:val="0"/>
              <w:spacing w:line="340"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方法二：将评标价平均值下浮</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％，作为评标基准价。</w:t>
            </w:r>
          </w:p>
          <w:p w14:paraId="21A7DB9E">
            <w:pPr>
              <w:pageBreakBefore w:val="0"/>
              <w:kinsoku/>
              <w:wordWrap w:val="0"/>
              <w:overflowPunct/>
              <w:bidi w:val="0"/>
              <w:spacing w:line="340"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方法三：招标人设置评标基准价系数，由投标人代表现场抽取，评标价平均值乘以现场抽取的评标基准价系数作为评标基准价。</w:t>
            </w:r>
          </w:p>
          <w:p w14:paraId="5362C75E">
            <w:pPr>
              <w:pageBreakBefore w:val="0"/>
              <w:kinsoku/>
              <w:wordWrap w:val="0"/>
              <w:overflowPunct/>
              <w:bidi w:val="0"/>
              <w:spacing w:line="340"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方法四：……</w:t>
            </w:r>
          </w:p>
          <w:p w14:paraId="3882B998">
            <w:pPr>
              <w:pageBreakBefore w:val="0"/>
              <w:kinsoku/>
              <w:wordWrap w:val="0"/>
              <w:overflowPunct/>
              <w:bidi w:val="0"/>
              <w:spacing w:line="340" w:lineRule="atLeast"/>
              <w:ind w:firstLine="420" w:firstLineChars="200"/>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r>
              <w:rPr>
                <w:rFonts w:hint="eastAsia" w:ascii="宋体" w:hAnsi="宋体" w:cs="宋体"/>
                <w:color w:val="auto"/>
                <w:szCs w:val="21"/>
                <w:highlight w:val="none"/>
                <w:lang w:eastAsia="zh-CN"/>
              </w:rPr>
              <w:t>。</w:t>
            </w:r>
          </w:p>
        </w:tc>
      </w:tr>
      <w:tr w14:paraId="09470E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right w:val="single" w:color="auto" w:sz="4" w:space="0"/>
            </w:tcBorders>
            <w:noWrap w:val="0"/>
            <w:vAlign w:val="center"/>
          </w:tcPr>
          <w:p w14:paraId="080E6CD1">
            <w:pPr>
              <w:pageBreakBefore w:val="0"/>
              <w:kinsoku/>
              <w:wordWrap w:val="0"/>
              <w:overflowPunct/>
              <w:bidi w:val="0"/>
              <w:spacing w:line="38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w:t>
            </w:r>
          </w:p>
        </w:tc>
        <w:tc>
          <w:tcPr>
            <w:tcW w:w="1417" w:type="dxa"/>
            <w:tcBorders>
              <w:top w:val="single" w:color="auto" w:sz="4" w:space="0"/>
              <w:right w:val="single" w:color="auto" w:sz="4" w:space="0"/>
            </w:tcBorders>
            <w:noWrap w:val="0"/>
            <w:vAlign w:val="center"/>
          </w:tcPr>
          <w:p w14:paraId="13D0617D">
            <w:pPr>
              <w:pageBreakBefore w:val="0"/>
              <w:kinsoku/>
              <w:wordWrap w:val="0"/>
              <w:overflowPunct/>
              <w:bidi w:val="0"/>
              <w:spacing w:line="380" w:lineRule="atLeast"/>
              <w:ind w:left="-105" w:leftChars="-50" w:right="-105" w:right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评标价的偏差率计算公式</w:t>
            </w:r>
          </w:p>
        </w:tc>
        <w:tc>
          <w:tcPr>
            <w:tcW w:w="6515" w:type="dxa"/>
            <w:tcBorders>
              <w:top w:val="single" w:color="auto" w:sz="4" w:space="0"/>
              <w:left w:val="single" w:color="auto" w:sz="4" w:space="0"/>
              <w:right w:val="single" w:color="auto" w:sz="4" w:space="0"/>
            </w:tcBorders>
            <w:noWrap w:val="0"/>
            <w:vAlign w:val="center"/>
          </w:tcPr>
          <w:p w14:paraId="67B030DD">
            <w:pPr>
              <w:pageBreakBefore w:val="0"/>
              <w:kinsoku/>
              <w:wordWrap w:val="0"/>
              <w:overflowPunct/>
              <w:bidi w:val="0"/>
              <w:spacing w:line="340"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偏差率=100% ×（投标人评标价－评标基准价）/评标基准价</w:t>
            </w:r>
          </w:p>
          <w:p w14:paraId="5B69BC78">
            <w:pPr>
              <w:pageBreakBefore w:val="0"/>
              <w:kinsoku/>
              <w:wordWrap w:val="0"/>
              <w:overflowPunct/>
              <w:bidi w:val="0"/>
              <w:spacing w:line="340" w:lineRule="atLeast"/>
              <w:ind w:firstLine="420" w:firstLineChars="200"/>
              <w:jc w:val="both"/>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偏差率保留</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2</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位小数</w:t>
            </w:r>
          </w:p>
        </w:tc>
      </w:tr>
    </w:tbl>
    <w:p w14:paraId="515C9A3D">
      <w:pPr>
        <w:pageBreakBefore w:val="0"/>
        <w:kinsoku/>
        <w:wordWrap/>
        <w:overflowPunct/>
        <w:bidi w:val="0"/>
        <w:jc w:val="both"/>
        <w:rPr>
          <w:rFonts w:hint="eastAsia" w:ascii="宋体" w:hAnsi="宋体" w:eastAsia="宋体" w:cs="宋体"/>
          <w:color w:val="auto"/>
          <w:highlight w:val="none"/>
        </w:rPr>
      </w:pPr>
    </w:p>
    <w:tbl>
      <w:tblPr>
        <w:tblStyle w:val="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574"/>
        <w:gridCol w:w="553"/>
        <w:gridCol w:w="905"/>
        <w:gridCol w:w="734"/>
        <w:gridCol w:w="463"/>
        <w:gridCol w:w="291"/>
        <w:gridCol w:w="573"/>
        <w:gridCol w:w="3727"/>
      </w:tblGrid>
      <w:tr w14:paraId="16B44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10" w:type="pct"/>
            <w:vMerge w:val="restart"/>
            <w:tcBorders>
              <w:top w:val="single" w:color="auto" w:sz="4" w:space="0"/>
            </w:tcBorders>
            <w:noWrap w:val="0"/>
            <w:vAlign w:val="center"/>
          </w:tcPr>
          <w:p w14:paraId="4A6F47E5">
            <w:pPr>
              <w:pageBreakBefore w:val="0"/>
              <w:kinsoku/>
              <w:wordWrap w:val="0"/>
              <w:overflowPunct/>
              <w:bidi w:val="0"/>
              <w:spacing w:line="380" w:lineRule="atLeas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402" w:type="pct"/>
            <w:gridSpan w:val="7"/>
            <w:tcBorders>
              <w:top w:val="single" w:color="auto" w:sz="4" w:space="0"/>
            </w:tcBorders>
            <w:noWrap w:val="0"/>
            <w:vAlign w:val="top"/>
          </w:tcPr>
          <w:p w14:paraId="1C8D7051">
            <w:pPr>
              <w:pageBreakBefore w:val="0"/>
              <w:kinsoku/>
              <w:wordWrap w:val="0"/>
              <w:overflowPunct/>
              <w:bidi w:val="0"/>
              <w:spacing w:line="380" w:lineRule="atLeas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评分因素与权重分值</w:t>
            </w:r>
            <w:r>
              <w:rPr>
                <w:rStyle w:val="6"/>
                <w:rFonts w:hint="eastAsia" w:ascii="宋体" w:hAnsi="宋体" w:eastAsia="宋体" w:cs="宋体"/>
                <w:b/>
                <w:color w:val="auto"/>
                <w:szCs w:val="21"/>
                <w:highlight w:val="none"/>
              </w:rPr>
              <w:footnoteReference w:id="6"/>
            </w:r>
          </w:p>
        </w:tc>
        <w:tc>
          <w:tcPr>
            <w:tcW w:w="2187" w:type="pct"/>
            <w:vMerge w:val="restart"/>
            <w:tcBorders>
              <w:top w:val="single" w:color="auto" w:sz="4" w:space="0"/>
            </w:tcBorders>
            <w:noWrap w:val="0"/>
            <w:vAlign w:val="center"/>
          </w:tcPr>
          <w:p w14:paraId="6AC9D079">
            <w:pPr>
              <w:pageBreakBefore w:val="0"/>
              <w:kinsoku/>
              <w:wordWrap w:val="0"/>
              <w:overflowPunct/>
              <w:bidi w:val="0"/>
              <w:spacing w:line="380" w:lineRule="atLeas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评分标准</w:t>
            </w:r>
            <w:r>
              <w:rPr>
                <w:rStyle w:val="6"/>
                <w:rFonts w:hint="eastAsia" w:ascii="宋体" w:hAnsi="宋体" w:eastAsia="宋体" w:cs="宋体"/>
                <w:b/>
                <w:color w:val="auto"/>
                <w:szCs w:val="21"/>
                <w:highlight w:val="none"/>
              </w:rPr>
              <w:footnoteReference w:id="7"/>
            </w:r>
          </w:p>
        </w:tc>
      </w:tr>
      <w:tr w14:paraId="01C2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10" w:type="pct"/>
            <w:vMerge w:val="continue"/>
            <w:noWrap w:val="0"/>
            <w:vAlign w:val="center"/>
          </w:tcPr>
          <w:p w14:paraId="641903DB">
            <w:pPr>
              <w:pageBreakBefore w:val="0"/>
              <w:kinsoku/>
              <w:wordWrap w:val="0"/>
              <w:overflowPunct/>
              <w:bidi w:val="0"/>
              <w:spacing w:line="380" w:lineRule="atLeast"/>
              <w:jc w:val="both"/>
              <w:rPr>
                <w:rFonts w:hint="eastAsia" w:ascii="宋体" w:hAnsi="宋体" w:eastAsia="宋体" w:cs="宋体"/>
                <w:b/>
                <w:color w:val="auto"/>
                <w:szCs w:val="21"/>
                <w:highlight w:val="none"/>
              </w:rPr>
            </w:pPr>
          </w:p>
        </w:tc>
        <w:tc>
          <w:tcPr>
            <w:tcW w:w="661" w:type="pct"/>
            <w:gridSpan w:val="2"/>
            <w:noWrap w:val="0"/>
            <w:vAlign w:val="center"/>
          </w:tcPr>
          <w:p w14:paraId="0A918236">
            <w:pPr>
              <w:pageBreakBefore w:val="0"/>
              <w:kinsoku/>
              <w:wordWrap w:val="0"/>
              <w:overflowPunct/>
              <w:bidi w:val="0"/>
              <w:spacing w:line="380" w:lineRule="atLeas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评分因素</w:t>
            </w:r>
          </w:p>
        </w:tc>
        <w:tc>
          <w:tcPr>
            <w:tcW w:w="530" w:type="pct"/>
            <w:noWrap w:val="0"/>
            <w:vAlign w:val="center"/>
          </w:tcPr>
          <w:p w14:paraId="48C1C51A">
            <w:pPr>
              <w:pageBreakBefore w:val="0"/>
              <w:kinsoku/>
              <w:wordWrap w:val="0"/>
              <w:overflowPunct/>
              <w:bidi w:val="0"/>
              <w:spacing w:line="380" w:lineRule="atLeast"/>
              <w:ind w:left="-105" w:leftChars="-50" w:right="-105" w:rightChars="-5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评分因素权重分值</w:t>
            </w:r>
          </w:p>
        </w:tc>
        <w:tc>
          <w:tcPr>
            <w:tcW w:w="702" w:type="pct"/>
            <w:gridSpan w:val="2"/>
            <w:noWrap w:val="0"/>
            <w:vAlign w:val="center"/>
          </w:tcPr>
          <w:p w14:paraId="54DFFBFB">
            <w:pPr>
              <w:pageBreakBefore w:val="0"/>
              <w:kinsoku/>
              <w:wordWrap w:val="0"/>
              <w:overflowPunct/>
              <w:bidi w:val="0"/>
              <w:spacing w:line="380" w:lineRule="atLeas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各评分因素细分项</w:t>
            </w:r>
          </w:p>
        </w:tc>
        <w:tc>
          <w:tcPr>
            <w:tcW w:w="507" w:type="pct"/>
            <w:gridSpan w:val="2"/>
            <w:noWrap w:val="0"/>
            <w:vAlign w:val="center"/>
          </w:tcPr>
          <w:p w14:paraId="03B3DD9C">
            <w:pPr>
              <w:pageBreakBefore w:val="0"/>
              <w:kinsoku/>
              <w:wordWrap/>
              <w:overflowPunct/>
              <w:bidi w:val="0"/>
              <w:spacing w:line="380" w:lineRule="atLeas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分值</w:t>
            </w:r>
          </w:p>
        </w:tc>
        <w:tc>
          <w:tcPr>
            <w:tcW w:w="2187" w:type="pct"/>
            <w:vMerge w:val="continue"/>
            <w:noWrap w:val="0"/>
            <w:vAlign w:val="top"/>
          </w:tcPr>
          <w:p w14:paraId="32A1B53C">
            <w:pPr>
              <w:pageBreakBefore w:val="0"/>
              <w:kinsoku/>
              <w:wordWrap w:val="0"/>
              <w:overflowPunct/>
              <w:bidi w:val="0"/>
              <w:spacing w:line="380" w:lineRule="atLeast"/>
              <w:jc w:val="both"/>
              <w:rPr>
                <w:rFonts w:hint="eastAsia" w:ascii="宋体" w:hAnsi="宋体" w:eastAsia="宋体" w:cs="宋体"/>
                <w:b/>
                <w:color w:val="auto"/>
                <w:szCs w:val="21"/>
                <w:highlight w:val="none"/>
              </w:rPr>
            </w:pPr>
          </w:p>
        </w:tc>
      </w:tr>
      <w:tr w14:paraId="2E1D2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 w:type="pct"/>
            <w:vMerge w:val="restart"/>
            <w:noWrap w:val="0"/>
            <w:vAlign w:val="center"/>
          </w:tcPr>
          <w:p w14:paraId="382E9CE1">
            <w:pPr>
              <w:pageBreakBefore w:val="0"/>
              <w:kinsoku/>
              <w:wordWrap w:val="0"/>
              <w:overflowPunct/>
              <w:bidi w:val="0"/>
              <w:spacing w:line="380" w:lineRule="atLeas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2.2.4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p>
        </w:tc>
        <w:tc>
          <w:tcPr>
            <w:tcW w:w="661" w:type="pct"/>
            <w:gridSpan w:val="2"/>
            <w:vMerge w:val="restart"/>
            <w:noWrap w:val="0"/>
            <w:vAlign w:val="center"/>
          </w:tcPr>
          <w:p w14:paraId="7C7D2C84">
            <w:pPr>
              <w:pageBreakBefore w:val="0"/>
              <w:kinsoku/>
              <w:wordWrap w:val="0"/>
              <w:overflowPunct/>
              <w:bidi w:val="0"/>
              <w:spacing w:line="38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技术建议书</w:t>
            </w:r>
          </w:p>
        </w:tc>
        <w:tc>
          <w:tcPr>
            <w:tcW w:w="530" w:type="pct"/>
            <w:vMerge w:val="restart"/>
            <w:noWrap w:val="0"/>
            <w:vAlign w:val="center"/>
          </w:tcPr>
          <w:p w14:paraId="27D6C0F0">
            <w:pPr>
              <w:pageBreakBefore w:val="0"/>
              <w:kinsoku/>
              <w:wordWrap/>
              <w:overflowPunct/>
              <w:bidi w:val="0"/>
              <w:spacing w:line="380" w:lineRule="atLeast"/>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35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w:t>
            </w:r>
          </w:p>
        </w:tc>
        <w:tc>
          <w:tcPr>
            <w:tcW w:w="702" w:type="pct"/>
            <w:gridSpan w:val="2"/>
            <w:noWrap w:val="0"/>
            <w:vAlign w:val="center"/>
          </w:tcPr>
          <w:p w14:paraId="0D63539A">
            <w:pPr>
              <w:pageBreakBefore w:val="0"/>
              <w:kinsoku/>
              <w:wordWrap w:val="0"/>
              <w:overflowPunct/>
              <w:bidi w:val="0"/>
              <w:spacing w:line="380" w:lineRule="atLeast"/>
              <w:jc w:val="center"/>
              <w:rPr>
                <w:rFonts w:hint="eastAsia" w:ascii="宋体" w:hAnsi="宋体" w:eastAsia="宋体" w:cs="宋体"/>
                <w:color w:val="auto"/>
                <w:szCs w:val="21"/>
                <w:highlight w:val="none"/>
                <w:lang w:eastAsia="zh-CN"/>
              </w:rPr>
            </w:pPr>
            <w:r>
              <w:rPr>
                <w:rFonts w:hint="eastAsia"/>
                <w:highlight w:val="none"/>
              </w:rPr>
              <w:t>监理机构设置</w:t>
            </w:r>
          </w:p>
        </w:tc>
        <w:tc>
          <w:tcPr>
            <w:tcW w:w="507" w:type="pct"/>
            <w:gridSpan w:val="2"/>
            <w:noWrap w:val="0"/>
            <w:vAlign w:val="center"/>
          </w:tcPr>
          <w:p w14:paraId="37BFAF9A">
            <w:pPr>
              <w:pageBreakBefore w:val="0"/>
              <w:kinsoku/>
              <w:wordWrap/>
              <w:overflowPunct/>
              <w:bidi w:val="0"/>
              <w:spacing w:line="380" w:lineRule="atLeast"/>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w:t>
            </w:r>
          </w:p>
        </w:tc>
        <w:tc>
          <w:tcPr>
            <w:tcW w:w="2187" w:type="pct"/>
            <w:noWrap w:val="0"/>
            <w:vAlign w:val="center"/>
          </w:tcPr>
          <w:p w14:paraId="106EACB9">
            <w:pPr>
              <w:pageBreakBefore w:val="0"/>
              <w:kinsoku/>
              <w:wordWrap w:val="0"/>
              <w:overflowPunct/>
              <w:bidi w:val="0"/>
              <w:spacing w:line="380" w:lineRule="atLeast"/>
              <w:jc w:val="both"/>
              <w:rPr>
                <w:rFonts w:hint="eastAsia" w:ascii="宋体" w:hAnsi="宋体" w:eastAsia="宋体" w:cs="宋体"/>
                <w:color w:val="auto"/>
                <w:szCs w:val="21"/>
                <w:highlight w:val="none"/>
              </w:rPr>
            </w:pPr>
            <w:r>
              <w:rPr>
                <w:rFonts w:hint="eastAsia"/>
                <w:highlight w:val="none"/>
              </w:rPr>
              <w:t>监理机构设立地点的选择符合本工程实际，各职能部门设置及其职责划分合理可行、具有针对性的，满足基本要求的得</w:t>
            </w:r>
            <w:r>
              <w:rPr>
                <w:rFonts w:hint="eastAsia"/>
                <w:highlight w:val="none"/>
                <w:lang w:val="en-US" w:eastAsia="zh-CN"/>
              </w:rPr>
              <w:t>6</w:t>
            </w:r>
            <w:r>
              <w:rPr>
                <w:rFonts w:hint="eastAsia"/>
                <w:highlight w:val="none"/>
              </w:rPr>
              <w:t>分，在此基础上视合理可行程度得</w:t>
            </w:r>
            <w:r>
              <w:rPr>
                <w:rFonts w:hint="eastAsia"/>
                <w:highlight w:val="none"/>
                <w:lang w:val="en-US" w:eastAsia="zh-CN"/>
              </w:rPr>
              <w:t>6-10</w:t>
            </w:r>
            <w:r>
              <w:rPr>
                <w:rFonts w:hint="eastAsia"/>
                <w:highlight w:val="none"/>
              </w:rPr>
              <w:t>分。</w:t>
            </w:r>
          </w:p>
        </w:tc>
      </w:tr>
      <w:tr w14:paraId="3644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 w:type="pct"/>
            <w:vMerge w:val="continue"/>
            <w:noWrap w:val="0"/>
            <w:vAlign w:val="center"/>
          </w:tcPr>
          <w:p w14:paraId="7CB11FD0">
            <w:pPr>
              <w:pageBreakBefore w:val="0"/>
              <w:kinsoku/>
              <w:wordWrap w:val="0"/>
              <w:overflowPunct/>
              <w:bidi w:val="0"/>
              <w:spacing w:line="380" w:lineRule="atLeast"/>
              <w:jc w:val="center"/>
              <w:rPr>
                <w:rFonts w:hint="eastAsia" w:ascii="宋体" w:hAnsi="宋体" w:eastAsia="宋体" w:cs="宋体"/>
                <w:color w:val="auto"/>
                <w:szCs w:val="21"/>
                <w:highlight w:val="none"/>
              </w:rPr>
            </w:pPr>
          </w:p>
        </w:tc>
        <w:tc>
          <w:tcPr>
            <w:tcW w:w="661" w:type="pct"/>
            <w:gridSpan w:val="2"/>
            <w:vMerge w:val="continue"/>
            <w:noWrap w:val="0"/>
            <w:vAlign w:val="center"/>
          </w:tcPr>
          <w:p w14:paraId="269EB4CD">
            <w:pPr>
              <w:pageBreakBefore w:val="0"/>
              <w:kinsoku/>
              <w:wordWrap w:val="0"/>
              <w:overflowPunct/>
              <w:bidi w:val="0"/>
              <w:spacing w:line="380" w:lineRule="atLeast"/>
              <w:jc w:val="center"/>
              <w:rPr>
                <w:rFonts w:hint="eastAsia" w:ascii="宋体" w:hAnsi="宋体" w:eastAsia="宋体" w:cs="宋体"/>
                <w:color w:val="auto"/>
                <w:szCs w:val="21"/>
                <w:highlight w:val="none"/>
              </w:rPr>
            </w:pPr>
          </w:p>
        </w:tc>
        <w:tc>
          <w:tcPr>
            <w:tcW w:w="530" w:type="pct"/>
            <w:vMerge w:val="continue"/>
            <w:noWrap w:val="0"/>
            <w:vAlign w:val="center"/>
          </w:tcPr>
          <w:p w14:paraId="39E7EC18">
            <w:pPr>
              <w:pageBreakBefore w:val="0"/>
              <w:kinsoku/>
              <w:wordWrap/>
              <w:overflowPunct/>
              <w:bidi w:val="0"/>
              <w:spacing w:line="380" w:lineRule="atLeast"/>
              <w:jc w:val="both"/>
              <w:rPr>
                <w:rFonts w:hint="eastAsia" w:ascii="宋体" w:hAnsi="宋体" w:eastAsia="宋体" w:cs="宋体"/>
                <w:color w:val="auto"/>
                <w:szCs w:val="21"/>
                <w:highlight w:val="none"/>
                <w:u w:val="single"/>
              </w:rPr>
            </w:pPr>
          </w:p>
        </w:tc>
        <w:tc>
          <w:tcPr>
            <w:tcW w:w="702" w:type="pct"/>
            <w:gridSpan w:val="2"/>
            <w:noWrap w:val="0"/>
            <w:vAlign w:val="center"/>
          </w:tcPr>
          <w:p w14:paraId="49575191">
            <w:pPr>
              <w:pageBreakBefore w:val="0"/>
              <w:kinsoku/>
              <w:wordWrap w:val="0"/>
              <w:overflowPunct/>
              <w:bidi w:val="0"/>
              <w:spacing w:line="380" w:lineRule="atLeast"/>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监理大纲（或监理方案）和措施</w:t>
            </w:r>
          </w:p>
        </w:tc>
        <w:tc>
          <w:tcPr>
            <w:tcW w:w="507" w:type="pct"/>
            <w:gridSpan w:val="2"/>
            <w:noWrap w:val="0"/>
            <w:vAlign w:val="center"/>
          </w:tcPr>
          <w:p w14:paraId="3B0C0F37">
            <w:pPr>
              <w:pageBreakBefore w:val="0"/>
              <w:kinsoku/>
              <w:wordWrap w:val="0"/>
              <w:overflowPunct/>
              <w:bidi w:val="0"/>
              <w:spacing w:line="380" w:lineRule="atLeast"/>
              <w:jc w:val="both"/>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u w:val="single"/>
              </w:rPr>
              <w:t xml:space="preserve"> </w:t>
            </w:r>
            <w:r>
              <w:rPr>
                <w:rFonts w:hint="eastAsia" w:cs="Times New Roman"/>
                <w:color w:val="auto"/>
                <w:highlight w:val="none"/>
                <w:u w:val="single"/>
                <w:lang w:val="en-US" w:eastAsia="zh-CN"/>
              </w:rPr>
              <w:t>10</w:t>
            </w:r>
            <w:r>
              <w:rPr>
                <w:rFonts w:hint="eastAsia" w:ascii="Times New Roman" w:hAnsi="Times New Roman" w:eastAsia="宋体" w:cs="Times New Roman"/>
                <w:color w:val="auto"/>
                <w:highlight w:val="none"/>
              </w:rPr>
              <w:t>分</w:t>
            </w:r>
          </w:p>
        </w:tc>
        <w:tc>
          <w:tcPr>
            <w:tcW w:w="2187" w:type="pct"/>
            <w:noWrap w:val="0"/>
            <w:vAlign w:val="center"/>
          </w:tcPr>
          <w:p w14:paraId="296E5EC8">
            <w:pPr>
              <w:pageBreakBefore w:val="0"/>
              <w:kinsoku/>
              <w:wordWrap w:val="0"/>
              <w:overflowPunct/>
              <w:bidi w:val="0"/>
              <w:spacing w:line="380" w:lineRule="atLeast"/>
              <w:jc w:val="both"/>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根据投标人的监理大纲(监理方案)是否可行，能否充分满足本项目工程质量、进度、费用控制的要求进行评定，基本满足本项目要求的得6分，在此基础上视合理可行程度得6</w:t>
            </w:r>
            <w:r>
              <w:rPr>
                <w:rFonts w:hint="eastAsia" w:cs="Times New Roman"/>
                <w:color w:val="auto"/>
                <w:highlight w:val="none"/>
                <w:lang w:val="en-US" w:eastAsia="zh-CN"/>
              </w:rPr>
              <w:t>-</w:t>
            </w:r>
            <w:r>
              <w:rPr>
                <w:rFonts w:hint="eastAsia" w:ascii="Times New Roman" w:hAnsi="Times New Roman" w:eastAsia="宋体" w:cs="Times New Roman"/>
                <w:color w:val="auto"/>
                <w:highlight w:val="none"/>
              </w:rPr>
              <w:t>10分。</w:t>
            </w:r>
          </w:p>
        </w:tc>
      </w:tr>
      <w:tr w14:paraId="2A2E9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 w:type="pct"/>
            <w:vMerge w:val="continue"/>
            <w:noWrap w:val="0"/>
            <w:vAlign w:val="center"/>
          </w:tcPr>
          <w:p w14:paraId="5B36860B">
            <w:pPr>
              <w:pageBreakBefore w:val="0"/>
              <w:kinsoku/>
              <w:wordWrap w:val="0"/>
              <w:overflowPunct/>
              <w:bidi w:val="0"/>
              <w:spacing w:line="380" w:lineRule="atLeast"/>
              <w:jc w:val="center"/>
              <w:rPr>
                <w:rFonts w:hint="eastAsia" w:ascii="宋体" w:hAnsi="宋体" w:eastAsia="宋体" w:cs="宋体"/>
                <w:color w:val="auto"/>
                <w:szCs w:val="21"/>
                <w:highlight w:val="none"/>
              </w:rPr>
            </w:pPr>
          </w:p>
        </w:tc>
        <w:tc>
          <w:tcPr>
            <w:tcW w:w="661" w:type="pct"/>
            <w:gridSpan w:val="2"/>
            <w:vMerge w:val="continue"/>
            <w:noWrap w:val="0"/>
            <w:vAlign w:val="center"/>
          </w:tcPr>
          <w:p w14:paraId="18B5FED6">
            <w:pPr>
              <w:pageBreakBefore w:val="0"/>
              <w:kinsoku/>
              <w:wordWrap w:val="0"/>
              <w:overflowPunct/>
              <w:bidi w:val="0"/>
              <w:spacing w:line="380" w:lineRule="atLeast"/>
              <w:jc w:val="center"/>
              <w:rPr>
                <w:rFonts w:hint="eastAsia" w:ascii="宋体" w:hAnsi="宋体" w:eastAsia="宋体" w:cs="宋体"/>
                <w:color w:val="auto"/>
                <w:szCs w:val="21"/>
                <w:highlight w:val="none"/>
              </w:rPr>
            </w:pPr>
          </w:p>
        </w:tc>
        <w:tc>
          <w:tcPr>
            <w:tcW w:w="530" w:type="pct"/>
            <w:vMerge w:val="continue"/>
            <w:noWrap w:val="0"/>
            <w:vAlign w:val="center"/>
          </w:tcPr>
          <w:p w14:paraId="487CC14A">
            <w:pPr>
              <w:pageBreakBefore w:val="0"/>
              <w:kinsoku/>
              <w:wordWrap/>
              <w:overflowPunct/>
              <w:bidi w:val="0"/>
              <w:spacing w:line="380" w:lineRule="atLeast"/>
              <w:jc w:val="both"/>
              <w:rPr>
                <w:rFonts w:hint="eastAsia" w:ascii="宋体" w:hAnsi="宋体" w:eastAsia="宋体" w:cs="宋体"/>
                <w:color w:val="auto"/>
                <w:szCs w:val="21"/>
                <w:highlight w:val="none"/>
                <w:u w:val="single"/>
              </w:rPr>
            </w:pPr>
          </w:p>
        </w:tc>
        <w:tc>
          <w:tcPr>
            <w:tcW w:w="702" w:type="pct"/>
            <w:gridSpan w:val="2"/>
            <w:noWrap w:val="0"/>
            <w:vAlign w:val="center"/>
          </w:tcPr>
          <w:p w14:paraId="63AD68B6">
            <w:pPr>
              <w:pageBreakBefore w:val="0"/>
              <w:kinsoku/>
              <w:wordWrap w:val="0"/>
              <w:overflowPunct/>
              <w:bidi w:val="0"/>
              <w:spacing w:line="380" w:lineRule="atLeast"/>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本工程监理工作的重点与难点分析</w:t>
            </w:r>
          </w:p>
        </w:tc>
        <w:tc>
          <w:tcPr>
            <w:tcW w:w="507" w:type="pct"/>
            <w:gridSpan w:val="2"/>
            <w:noWrap w:val="0"/>
            <w:vAlign w:val="center"/>
          </w:tcPr>
          <w:p w14:paraId="17BA04A3">
            <w:pPr>
              <w:pageBreakBefore w:val="0"/>
              <w:kinsoku/>
              <w:wordWrap/>
              <w:overflowPunct/>
              <w:bidi w:val="0"/>
              <w:spacing w:line="380" w:lineRule="atLeast"/>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w:t>
            </w:r>
          </w:p>
        </w:tc>
        <w:tc>
          <w:tcPr>
            <w:tcW w:w="2187" w:type="pct"/>
            <w:noWrap w:val="0"/>
            <w:vAlign w:val="center"/>
          </w:tcPr>
          <w:p w14:paraId="5C7CADE7">
            <w:pPr>
              <w:pageBreakBefore w:val="0"/>
              <w:kinsoku/>
              <w:wordWrap w:val="0"/>
              <w:overflowPunct/>
              <w:bidi w:val="0"/>
              <w:spacing w:line="380" w:lineRule="atLeast"/>
              <w:jc w:val="both"/>
              <w:rPr>
                <w:rFonts w:hint="eastAsia" w:ascii="宋体" w:hAnsi="宋体" w:eastAsia="宋体" w:cs="宋体"/>
                <w:color w:val="auto"/>
                <w:szCs w:val="21"/>
                <w:highlight w:val="none"/>
              </w:rPr>
            </w:pPr>
            <w:r>
              <w:rPr>
                <w:rFonts w:hint="eastAsia"/>
                <w:highlight w:val="none"/>
              </w:rPr>
              <w:t>对本工程</w:t>
            </w:r>
            <w:r>
              <w:rPr>
                <w:rFonts w:hint="eastAsia"/>
                <w:highlight w:val="none"/>
                <w:lang w:eastAsia="zh-CN"/>
              </w:rPr>
              <w:t>监理工作</w:t>
            </w:r>
            <w:r>
              <w:rPr>
                <w:rFonts w:hint="eastAsia"/>
                <w:highlight w:val="none"/>
              </w:rPr>
              <w:t>重点、难点问题的把握程度基本准确，而且针对本项目应着重解决的重点、难点问题所提出的处理措施基本可行的得</w:t>
            </w:r>
            <w:r>
              <w:rPr>
                <w:rFonts w:hint="eastAsia"/>
                <w:highlight w:val="none"/>
                <w:lang w:val="en-US" w:eastAsia="zh-CN"/>
              </w:rPr>
              <w:t>6</w:t>
            </w:r>
            <w:r>
              <w:rPr>
                <w:rFonts w:hint="eastAsia"/>
                <w:highlight w:val="none"/>
              </w:rPr>
              <w:t>分，在此基础上视其准确程度以及有效可行程度得</w:t>
            </w:r>
            <w:r>
              <w:rPr>
                <w:rFonts w:hint="eastAsia"/>
                <w:highlight w:val="none"/>
                <w:lang w:val="en-US" w:eastAsia="zh-CN"/>
              </w:rPr>
              <w:t>6-10</w:t>
            </w:r>
            <w:r>
              <w:rPr>
                <w:rFonts w:hint="eastAsia"/>
                <w:highlight w:val="none"/>
              </w:rPr>
              <w:t>分。</w:t>
            </w:r>
          </w:p>
        </w:tc>
      </w:tr>
      <w:tr w14:paraId="32277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0" w:type="pct"/>
            <w:vMerge w:val="continue"/>
            <w:noWrap w:val="0"/>
            <w:vAlign w:val="center"/>
          </w:tcPr>
          <w:p w14:paraId="6B36DF20">
            <w:pPr>
              <w:pageBreakBefore w:val="0"/>
              <w:kinsoku/>
              <w:wordWrap w:val="0"/>
              <w:overflowPunct/>
              <w:bidi w:val="0"/>
              <w:spacing w:line="380" w:lineRule="atLeast"/>
              <w:jc w:val="center"/>
              <w:rPr>
                <w:rFonts w:hint="eastAsia" w:ascii="宋体" w:hAnsi="宋体" w:eastAsia="宋体" w:cs="宋体"/>
                <w:color w:val="auto"/>
                <w:szCs w:val="21"/>
                <w:highlight w:val="none"/>
              </w:rPr>
            </w:pPr>
          </w:p>
        </w:tc>
        <w:tc>
          <w:tcPr>
            <w:tcW w:w="661" w:type="pct"/>
            <w:gridSpan w:val="2"/>
            <w:vMerge w:val="continue"/>
            <w:noWrap w:val="0"/>
            <w:vAlign w:val="center"/>
          </w:tcPr>
          <w:p w14:paraId="73FAF5A5">
            <w:pPr>
              <w:pageBreakBefore w:val="0"/>
              <w:kinsoku/>
              <w:wordWrap w:val="0"/>
              <w:overflowPunct/>
              <w:bidi w:val="0"/>
              <w:spacing w:line="380" w:lineRule="atLeast"/>
              <w:jc w:val="center"/>
              <w:rPr>
                <w:rFonts w:hint="eastAsia" w:ascii="宋体" w:hAnsi="宋体" w:eastAsia="宋体" w:cs="宋体"/>
                <w:color w:val="auto"/>
                <w:szCs w:val="21"/>
                <w:highlight w:val="none"/>
              </w:rPr>
            </w:pPr>
          </w:p>
        </w:tc>
        <w:tc>
          <w:tcPr>
            <w:tcW w:w="530" w:type="pct"/>
            <w:vMerge w:val="continue"/>
            <w:noWrap w:val="0"/>
            <w:vAlign w:val="center"/>
          </w:tcPr>
          <w:p w14:paraId="53F7BF97">
            <w:pPr>
              <w:pageBreakBefore w:val="0"/>
              <w:kinsoku/>
              <w:wordWrap/>
              <w:overflowPunct/>
              <w:bidi w:val="0"/>
              <w:spacing w:line="380" w:lineRule="atLeast"/>
              <w:jc w:val="both"/>
              <w:rPr>
                <w:rFonts w:hint="eastAsia" w:ascii="宋体" w:hAnsi="宋体" w:eastAsia="宋体" w:cs="宋体"/>
                <w:color w:val="auto"/>
                <w:szCs w:val="21"/>
                <w:highlight w:val="none"/>
                <w:u w:val="single"/>
              </w:rPr>
            </w:pPr>
          </w:p>
        </w:tc>
        <w:tc>
          <w:tcPr>
            <w:tcW w:w="702" w:type="pct"/>
            <w:gridSpan w:val="2"/>
            <w:noWrap w:val="0"/>
            <w:vAlign w:val="center"/>
          </w:tcPr>
          <w:p w14:paraId="026D0E67">
            <w:pPr>
              <w:pageBreakBefore w:val="0"/>
              <w:kinsoku/>
              <w:wordWrap w:val="0"/>
              <w:overflowPunct/>
              <w:bidi w:val="0"/>
              <w:spacing w:line="380" w:lineRule="atLeast"/>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对本工程的建议</w:t>
            </w:r>
          </w:p>
        </w:tc>
        <w:tc>
          <w:tcPr>
            <w:tcW w:w="507" w:type="pct"/>
            <w:gridSpan w:val="2"/>
            <w:noWrap w:val="0"/>
            <w:vAlign w:val="center"/>
          </w:tcPr>
          <w:p w14:paraId="5066D0FA">
            <w:pPr>
              <w:pageBreakBefore w:val="0"/>
              <w:kinsoku/>
              <w:wordWrap/>
              <w:overflowPunct/>
              <w:bidi w:val="0"/>
              <w:spacing w:line="380" w:lineRule="atLeast"/>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w:t>
            </w:r>
          </w:p>
        </w:tc>
        <w:tc>
          <w:tcPr>
            <w:tcW w:w="2187" w:type="pct"/>
            <w:noWrap w:val="0"/>
            <w:vAlign w:val="center"/>
          </w:tcPr>
          <w:p w14:paraId="5A1288D8">
            <w:pPr>
              <w:pageBreakBefore w:val="0"/>
              <w:kinsoku/>
              <w:wordWrap w:val="0"/>
              <w:overflowPunct/>
              <w:bidi w:val="0"/>
              <w:spacing w:line="380" w:lineRule="atLeast"/>
              <w:jc w:val="both"/>
              <w:rPr>
                <w:rFonts w:hint="eastAsia" w:ascii="宋体" w:hAnsi="宋体" w:eastAsia="宋体" w:cs="宋体"/>
                <w:color w:val="auto"/>
                <w:szCs w:val="21"/>
                <w:highlight w:val="none"/>
              </w:rPr>
            </w:pPr>
            <w:r>
              <w:rPr>
                <w:rFonts w:hint="eastAsia" w:eastAsia="宋体"/>
                <w:highlight w:val="none"/>
              </w:rPr>
              <w:t>根据质量监理、安全监理、费用监理、进度监理、合同其他事项管理、协调各方关系等各项措施的合理可行性和有效性对监理措施进行评定，对投标人所提建议的合理可行性、可实施性、项目针对性进行评分，基本满足并适合本项目的得3分，在此基础上视其措施的合理性、建议可行性、可实施性、针对性得</w:t>
            </w:r>
            <w:r>
              <w:rPr>
                <w:rFonts w:hint="eastAsia"/>
                <w:highlight w:val="none"/>
                <w:lang w:val="en-US" w:eastAsia="zh-CN"/>
              </w:rPr>
              <w:t>3-5</w:t>
            </w:r>
            <w:r>
              <w:rPr>
                <w:rFonts w:hint="eastAsia" w:eastAsia="宋体"/>
                <w:highlight w:val="none"/>
              </w:rPr>
              <w:t>分。</w:t>
            </w:r>
          </w:p>
        </w:tc>
      </w:tr>
      <w:tr w14:paraId="6F7E3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6" w:hRule="atLeast"/>
        </w:trPr>
        <w:tc>
          <w:tcPr>
            <w:tcW w:w="410" w:type="pct"/>
            <w:noWrap w:val="0"/>
            <w:vAlign w:val="center"/>
          </w:tcPr>
          <w:p w14:paraId="6DF96EE3">
            <w:pPr>
              <w:pageBreakBefore w:val="0"/>
              <w:kinsoku/>
              <w:wordWrap w:val="0"/>
              <w:overflowPunct/>
              <w:bidi w:val="0"/>
              <w:spacing w:line="360" w:lineRule="atLeast"/>
              <w:ind w:left="-92" w:leftChars="-44" w:right="-88" w:rightChars="-42"/>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2.2.4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p>
        </w:tc>
        <w:tc>
          <w:tcPr>
            <w:tcW w:w="661" w:type="pct"/>
            <w:gridSpan w:val="2"/>
            <w:noWrap w:val="0"/>
            <w:vAlign w:val="center"/>
          </w:tcPr>
          <w:p w14:paraId="261E87D3">
            <w:pPr>
              <w:pageBreakBefore w:val="0"/>
              <w:kinsoku/>
              <w:wordWrap w:val="0"/>
              <w:overflowPunct/>
              <w:bidi w:val="0"/>
              <w:spacing w:line="36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主要人员</w:t>
            </w:r>
          </w:p>
        </w:tc>
        <w:tc>
          <w:tcPr>
            <w:tcW w:w="530" w:type="pct"/>
            <w:noWrap w:val="0"/>
            <w:vAlign w:val="center"/>
          </w:tcPr>
          <w:p w14:paraId="00111FF8">
            <w:pPr>
              <w:pageBreakBefore w:val="0"/>
              <w:kinsoku/>
              <w:wordWrap/>
              <w:overflowPunct/>
              <w:bidi w:val="0"/>
              <w:spacing w:line="380" w:lineRule="atLeast"/>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25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w:t>
            </w:r>
          </w:p>
        </w:tc>
        <w:tc>
          <w:tcPr>
            <w:tcW w:w="702" w:type="pct"/>
            <w:gridSpan w:val="2"/>
            <w:noWrap w:val="0"/>
            <w:vAlign w:val="center"/>
          </w:tcPr>
          <w:p w14:paraId="1C6B6E14">
            <w:pPr>
              <w:pageBreakBefore w:val="0"/>
              <w:kinsoku/>
              <w:wordWrap w:val="0"/>
              <w:overflowPunct/>
              <w:bidi w:val="0"/>
              <w:spacing w:line="380" w:lineRule="atLeast"/>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总监理工程师或驻地监理工程师任职资格与业绩</w:t>
            </w:r>
          </w:p>
        </w:tc>
        <w:tc>
          <w:tcPr>
            <w:tcW w:w="507" w:type="pct"/>
            <w:gridSpan w:val="2"/>
            <w:noWrap w:val="0"/>
            <w:vAlign w:val="center"/>
          </w:tcPr>
          <w:p w14:paraId="07465323">
            <w:pPr>
              <w:pageBreakBefore w:val="0"/>
              <w:kinsoku/>
              <w:wordWrap w:val="0"/>
              <w:overflowPunct/>
              <w:bidi w:val="0"/>
              <w:spacing w:line="380" w:lineRule="atLeast"/>
              <w:jc w:val="both"/>
              <w:rPr>
                <w:rFonts w:hint="eastAsia" w:ascii="Times New Roman" w:hAnsi="Times New Roman" w:eastAsia="宋体" w:cs="Times New Roman"/>
                <w:highlight w:val="none"/>
              </w:rPr>
            </w:pPr>
            <w:r>
              <w:rPr>
                <w:rFonts w:hint="eastAsia" w:cs="Times New Roman"/>
                <w:highlight w:val="none"/>
                <w:u w:val="single"/>
                <w:lang w:val="en-US" w:eastAsia="zh-CN"/>
              </w:rPr>
              <w:t>25</w:t>
            </w:r>
            <w:r>
              <w:rPr>
                <w:rFonts w:hint="eastAsia" w:ascii="Times New Roman" w:hAnsi="Times New Roman" w:eastAsia="宋体" w:cs="Times New Roman"/>
                <w:highlight w:val="none"/>
              </w:rPr>
              <w:t xml:space="preserve"> 分</w:t>
            </w:r>
          </w:p>
        </w:tc>
        <w:tc>
          <w:tcPr>
            <w:tcW w:w="2187" w:type="pct"/>
            <w:noWrap w:val="0"/>
            <w:vAlign w:val="center"/>
          </w:tcPr>
          <w:p w14:paraId="37EEAD66">
            <w:pPr>
              <w:keepNext w:val="0"/>
              <w:keepLines w:val="0"/>
              <w:widowControl/>
              <w:numPr>
                <w:ilvl w:val="0"/>
                <w:numId w:val="1"/>
              </w:numPr>
              <w:suppressLineNumbers w:val="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总监理工程师满足资格审查条件最低要求的，得基本分 15 分；</w:t>
            </w:r>
          </w:p>
          <w:p w14:paraId="15DBA5D0">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2.在满足资格审查条件(最低要求)的基础上，近3年(指2023年1月1日至投标截止日，有效时限以交工验收时间为准)</w:t>
            </w:r>
            <w:r>
              <w:rPr>
                <w:rFonts w:hint="eastAsia" w:ascii="宋体" w:hAnsi="宋体" w:eastAsia="宋体" w:cs="宋体"/>
                <w:color w:val="000000"/>
                <w:kern w:val="0"/>
                <w:sz w:val="21"/>
                <w:szCs w:val="21"/>
                <w:highlight w:val="none"/>
                <w:lang w:val="en-US" w:eastAsia="zh-CN" w:bidi="ar"/>
              </w:rPr>
              <w:t>每增加1项公路工程监理项目业绩，且在该项目中任职总监理工程师或副总监理工程师或驻地监理工程师得2分，本项最多得6分，没有不得分。</w:t>
            </w:r>
          </w:p>
          <w:p w14:paraId="0ECBB612">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业绩证明材料为“全国公路建设市场监督管理系统或公路建设市场信用信息管理系统”网页截图。注: 公路工程指新改建工程或养护工程或维修改造工程或安防工程或危桥改造工程。</w:t>
            </w:r>
          </w:p>
          <w:p w14:paraId="6D7711BC">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val="en-US" w:eastAsia="zh-CN" w:bidi="ar"/>
              </w:rPr>
              <w:t>总监理工程师</w:t>
            </w:r>
            <w:r>
              <w:rPr>
                <w:rFonts w:hint="default" w:ascii="宋体" w:hAnsi="宋体" w:eastAsia="宋体" w:cs="宋体"/>
                <w:color w:val="000000"/>
                <w:kern w:val="0"/>
                <w:sz w:val="21"/>
                <w:szCs w:val="21"/>
                <w:highlight w:val="none"/>
                <w:lang w:val="en-US" w:eastAsia="zh-CN" w:bidi="ar"/>
              </w:rPr>
              <w:t>为高级工程师</w:t>
            </w:r>
            <w:r>
              <w:rPr>
                <w:rFonts w:hint="eastAsia" w:ascii="宋体" w:hAnsi="宋体" w:eastAsia="宋体" w:cs="宋体"/>
                <w:color w:val="000000"/>
                <w:kern w:val="0"/>
                <w:sz w:val="21"/>
                <w:szCs w:val="21"/>
                <w:highlight w:val="none"/>
                <w:lang w:val="en-US" w:eastAsia="zh-CN" w:bidi="ar"/>
              </w:rPr>
              <w:t>及</w:t>
            </w:r>
            <w:r>
              <w:rPr>
                <w:rFonts w:hint="default" w:ascii="宋体" w:hAnsi="宋体" w:eastAsia="宋体" w:cs="宋体"/>
                <w:color w:val="000000"/>
                <w:kern w:val="0"/>
                <w:sz w:val="21"/>
                <w:szCs w:val="21"/>
                <w:highlight w:val="none"/>
                <w:lang w:val="en-US" w:eastAsia="zh-CN" w:bidi="ar"/>
              </w:rPr>
              <w:t>以上职称的，加</w:t>
            </w:r>
            <w:r>
              <w:rPr>
                <w:rFonts w:hint="eastAsia" w:ascii="宋体" w:hAnsi="宋体" w:eastAsia="宋体" w:cs="宋体"/>
                <w:color w:val="000000"/>
                <w:kern w:val="0"/>
                <w:sz w:val="21"/>
                <w:szCs w:val="21"/>
                <w:highlight w:val="none"/>
                <w:lang w:val="en-US" w:eastAsia="zh-CN" w:bidi="ar"/>
              </w:rPr>
              <w:t>4</w:t>
            </w:r>
            <w:r>
              <w:rPr>
                <w:rFonts w:hint="default" w:ascii="宋体" w:hAnsi="宋体" w:eastAsia="宋体" w:cs="宋体"/>
                <w:color w:val="000000"/>
                <w:kern w:val="0"/>
                <w:sz w:val="21"/>
                <w:szCs w:val="21"/>
                <w:highlight w:val="none"/>
                <w:lang w:val="en-US" w:eastAsia="zh-CN" w:bidi="ar"/>
              </w:rPr>
              <w:t>分</w:t>
            </w:r>
            <w:r>
              <w:rPr>
                <w:rFonts w:hint="eastAsia" w:ascii="宋体" w:hAnsi="宋体" w:eastAsia="宋体" w:cs="宋体"/>
                <w:color w:val="000000"/>
                <w:kern w:val="0"/>
                <w:sz w:val="21"/>
                <w:szCs w:val="21"/>
                <w:highlight w:val="none"/>
                <w:lang w:val="en-US" w:eastAsia="zh-CN" w:bidi="ar"/>
              </w:rPr>
              <w:t>，没有不得分。</w:t>
            </w:r>
          </w:p>
        </w:tc>
      </w:tr>
      <w:tr w14:paraId="28E59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 w:type="pct"/>
            <w:noWrap w:val="0"/>
            <w:vAlign w:val="center"/>
          </w:tcPr>
          <w:p w14:paraId="015D2E28">
            <w:pPr>
              <w:pageBreakBefore w:val="0"/>
              <w:kinsoku/>
              <w:wordWrap w:val="0"/>
              <w:overflowPunct/>
              <w:bidi w:val="0"/>
              <w:spacing w:line="380" w:lineRule="atLeas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2.2.4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p>
        </w:tc>
        <w:tc>
          <w:tcPr>
            <w:tcW w:w="661" w:type="pct"/>
            <w:gridSpan w:val="2"/>
            <w:noWrap w:val="0"/>
            <w:vAlign w:val="center"/>
          </w:tcPr>
          <w:p w14:paraId="54A3386C">
            <w:pPr>
              <w:pageBreakBefore w:val="0"/>
              <w:kinsoku/>
              <w:wordWrap w:val="0"/>
              <w:overflowPunct/>
              <w:bidi w:val="0"/>
              <w:spacing w:line="38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评标价</w:t>
            </w:r>
          </w:p>
        </w:tc>
        <w:tc>
          <w:tcPr>
            <w:tcW w:w="530" w:type="pct"/>
            <w:noWrap w:val="0"/>
            <w:vAlign w:val="center"/>
          </w:tcPr>
          <w:p w14:paraId="6AEAD805">
            <w:pPr>
              <w:pageBreakBefore w:val="0"/>
              <w:kinsoku/>
              <w:wordWrap/>
              <w:overflowPunct/>
              <w:bidi w:val="0"/>
              <w:spacing w:line="380" w:lineRule="atLeast"/>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w:t>
            </w:r>
          </w:p>
        </w:tc>
        <w:tc>
          <w:tcPr>
            <w:tcW w:w="3397" w:type="pct"/>
            <w:gridSpan w:val="5"/>
            <w:noWrap w:val="0"/>
            <w:vAlign w:val="top"/>
          </w:tcPr>
          <w:p w14:paraId="797802F7">
            <w:pPr>
              <w:pageBreakBefore w:val="0"/>
              <w:kinsoku/>
              <w:wordWrap w:val="0"/>
              <w:overflowPunct/>
              <w:bidi w:val="0"/>
              <w:spacing w:line="380" w:lineRule="atLeast"/>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评标价得分计算公式示例：</w:t>
            </w:r>
          </w:p>
          <w:p w14:paraId="39B9124B">
            <w:pPr>
              <w:pageBreakBefore w:val="0"/>
              <w:kinsoku/>
              <w:wordWrap w:val="0"/>
              <w:overflowPunct/>
              <w:bidi w:val="0"/>
              <w:spacing w:line="380" w:lineRule="atLeast"/>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如果投标人的评标价&gt;评标基准价，则评标价得分＝评标价满分－偏差率×100×E</w:t>
            </w:r>
            <w:r>
              <w:rPr>
                <w:rFonts w:hint="eastAsia" w:ascii="宋体" w:hAnsi="宋体" w:eastAsia="宋体" w:cs="宋体"/>
                <w:color w:val="auto"/>
                <w:szCs w:val="21"/>
                <w:highlight w:val="none"/>
                <w:vertAlign w:val="subscript"/>
              </w:rPr>
              <w:t>1</w:t>
            </w:r>
            <w:r>
              <w:rPr>
                <w:rFonts w:hint="eastAsia" w:ascii="宋体" w:hAnsi="宋体" w:eastAsia="宋体" w:cs="宋体"/>
                <w:color w:val="auto"/>
                <w:szCs w:val="21"/>
                <w:highlight w:val="none"/>
              </w:rPr>
              <w:t>；</w:t>
            </w:r>
          </w:p>
          <w:p w14:paraId="65B4FA11">
            <w:pPr>
              <w:pageBreakBefore w:val="0"/>
              <w:kinsoku/>
              <w:wordWrap w:val="0"/>
              <w:overflowPunct/>
              <w:bidi w:val="0"/>
              <w:spacing w:line="380" w:lineRule="atLeast"/>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如果投标人的评标价≤评标基准价，则评标价得分＝评标价满分＋偏差率×100×E</w:t>
            </w:r>
            <w:r>
              <w:rPr>
                <w:rFonts w:hint="eastAsia" w:ascii="宋体" w:hAnsi="宋体" w:eastAsia="宋体" w:cs="宋体"/>
                <w:color w:val="auto"/>
                <w:szCs w:val="21"/>
                <w:highlight w:val="none"/>
                <w:vertAlign w:val="subscript"/>
              </w:rPr>
              <w:t>2</w:t>
            </w:r>
            <w:r>
              <w:rPr>
                <w:rFonts w:hint="eastAsia" w:ascii="宋体" w:hAnsi="宋体" w:eastAsia="宋体" w:cs="宋体"/>
                <w:color w:val="auto"/>
                <w:szCs w:val="21"/>
                <w:highlight w:val="none"/>
              </w:rPr>
              <w:t>。</w:t>
            </w:r>
          </w:p>
          <w:p w14:paraId="710BC9B4">
            <w:pPr>
              <w:pageBreakBefore w:val="0"/>
              <w:kinsoku/>
              <w:wordWrap w:val="0"/>
              <w:overflowPunct/>
              <w:bidi w:val="0"/>
              <w:spacing w:line="380" w:lineRule="atLeast"/>
              <w:jc w:val="both"/>
              <w:rPr>
                <w:rFonts w:hint="eastAsia" w:ascii="宋体" w:hAnsi="宋体" w:eastAsia="宋体" w:cs="宋体"/>
                <w:color w:val="auto"/>
                <w:szCs w:val="21"/>
                <w:highlight w:val="none"/>
                <w:vertAlign w:val="baseline"/>
                <w:lang w:eastAsia="zh-CN"/>
              </w:rPr>
            </w:pPr>
            <w:r>
              <w:rPr>
                <w:rFonts w:hint="eastAsia" w:ascii="宋体" w:hAnsi="宋体" w:eastAsia="宋体" w:cs="宋体"/>
                <w:color w:val="auto"/>
                <w:szCs w:val="21"/>
                <w:highlight w:val="none"/>
              </w:rPr>
              <w:t>其中：E</w:t>
            </w:r>
            <w:r>
              <w:rPr>
                <w:rFonts w:hint="eastAsia" w:ascii="宋体" w:hAnsi="宋体" w:eastAsia="宋体" w:cs="宋体"/>
                <w:color w:val="auto"/>
                <w:szCs w:val="21"/>
                <w:highlight w:val="none"/>
                <w:vertAlign w:val="subscript"/>
              </w:rPr>
              <w:t>1</w:t>
            </w:r>
            <w:r>
              <w:rPr>
                <w:rFonts w:hint="eastAsia" w:ascii="宋体" w:hAnsi="宋体" w:eastAsia="宋体" w:cs="宋体"/>
                <w:color w:val="auto"/>
                <w:szCs w:val="21"/>
                <w:highlight w:val="none"/>
              </w:rPr>
              <w:t>是评标价每高于评标基准价一个百分点的扣分值，E</w:t>
            </w:r>
            <w:r>
              <w:rPr>
                <w:rFonts w:hint="eastAsia" w:ascii="宋体" w:hAnsi="宋体" w:eastAsia="宋体" w:cs="宋体"/>
                <w:color w:val="auto"/>
                <w:szCs w:val="21"/>
                <w:highlight w:val="none"/>
                <w:vertAlign w:val="subscript"/>
              </w:rPr>
              <w:t>2</w:t>
            </w:r>
            <w:r>
              <w:rPr>
                <w:rFonts w:hint="eastAsia" w:ascii="宋体" w:hAnsi="宋体" w:eastAsia="宋体" w:cs="宋体"/>
                <w:color w:val="auto"/>
                <w:szCs w:val="21"/>
                <w:highlight w:val="none"/>
              </w:rPr>
              <w:t>是评标价每低于评标基准价一个百分点的扣分值；招标人可依据招标项目具体特点和实际需要设置E</w:t>
            </w:r>
            <w:r>
              <w:rPr>
                <w:rFonts w:hint="eastAsia" w:ascii="宋体" w:hAnsi="宋体" w:eastAsia="宋体" w:cs="宋体"/>
                <w:color w:val="auto"/>
                <w:szCs w:val="21"/>
                <w:highlight w:val="none"/>
                <w:vertAlign w:val="subscript"/>
              </w:rPr>
              <w:t>1</w:t>
            </w:r>
            <w:r>
              <w:rPr>
                <w:rFonts w:hint="eastAsia" w:ascii="宋体" w:hAnsi="宋体" w:eastAsia="宋体" w:cs="宋体"/>
                <w:color w:val="auto"/>
                <w:szCs w:val="21"/>
                <w:highlight w:val="none"/>
              </w:rPr>
              <w:t>、E</w:t>
            </w:r>
            <w:r>
              <w:rPr>
                <w:rFonts w:hint="eastAsia" w:ascii="宋体" w:hAnsi="宋体" w:eastAsia="宋体" w:cs="宋体"/>
                <w:color w:val="auto"/>
                <w:szCs w:val="21"/>
                <w:highlight w:val="none"/>
                <w:vertAlign w:val="subscript"/>
              </w:rPr>
              <w:t>2</w:t>
            </w:r>
            <w:r>
              <w:rPr>
                <w:rFonts w:hint="eastAsia" w:ascii="宋体" w:hAnsi="宋体" w:eastAsia="宋体" w:cs="宋体"/>
                <w:color w:val="auto"/>
                <w:szCs w:val="21"/>
                <w:highlight w:val="none"/>
              </w:rPr>
              <w:t>，但E</w:t>
            </w:r>
            <w:r>
              <w:rPr>
                <w:rFonts w:hint="eastAsia" w:ascii="宋体" w:hAnsi="宋体" w:eastAsia="宋体" w:cs="宋体"/>
                <w:color w:val="auto"/>
                <w:szCs w:val="21"/>
                <w:highlight w:val="none"/>
                <w:vertAlign w:val="subscript"/>
              </w:rPr>
              <w:t>1</w:t>
            </w:r>
            <w:r>
              <w:rPr>
                <w:rFonts w:hint="eastAsia" w:ascii="宋体" w:hAnsi="宋体" w:eastAsia="宋体" w:cs="宋体"/>
                <w:color w:val="auto"/>
                <w:szCs w:val="21"/>
                <w:highlight w:val="none"/>
              </w:rPr>
              <w:t>应大于E</w:t>
            </w:r>
            <w:r>
              <w:rPr>
                <w:rFonts w:hint="eastAsia" w:ascii="宋体" w:hAnsi="宋体" w:eastAsia="宋体" w:cs="宋体"/>
                <w:color w:val="auto"/>
                <w:szCs w:val="21"/>
                <w:highlight w:val="none"/>
                <w:vertAlign w:val="subscript"/>
              </w:rPr>
              <w:t>2</w:t>
            </w:r>
            <w:r>
              <w:rPr>
                <w:rFonts w:hint="eastAsia" w:ascii="宋体" w:hAnsi="宋体" w:eastAsia="宋体" w:cs="宋体"/>
                <w:color w:val="auto"/>
                <w:szCs w:val="21"/>
                <w:highlight w:val="none"/>
                <w:vertAlign w:val="baseline"/>
                <w:lang w:eastAsia="zh-CN"/>
              </w:rPr>
              <w:t>。</w:t>
            </w:r>
          </w:p>
          <w:p w14:paraId="54FBDC9C">
            <w:pPr>
              <w:pageBreakBefore w:val="0"/>
              <w:kinsoku/>
              <w:wordWrap w:val="0"/>
              <w:overflowPunct/>
              <w:bidi w:val="0"/>
              <w:spacing w:line="380" w:lineRule="atLeast"/>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E</w:t>
            </w:r>
            <w:r>
              <w:rPr>
                <w:rFonts w:hint="default" w:ascii="Times New Roman" w:hAnsi="Times New Roman" w:eastAsia="宋体" w:cs="Times New Roman"/>
                <w:color w:val="auto"/>
                <w:sz w:val="21"/>
                <w:szCs w:val="21"/>
                <w:highlight w:val="none"/>
                <w:vertAlign w:val="subscript"/>
              </w:rPr>
              <w:t>1</w:t>
            </w:r>
            <w:r>
              <w:rPr>
                <w:rFonts w:hint="eastAsia" w:ascii="Times New Roman" w:hAnsi="Times New Roman" w:eastAsia="宋体" w:cs="Times New Roman"/>
                <w:color w:val="auto"/>
                <w:sz w:val="21"/>
                <w:szCs w:val="21"/>
                <w:highlight w:val="none"/>
                <w:lang w:val="en-US" w:eastAsia="zh-CN"/>
              </w:rPr>
              <w:t>=0.4</w:t>
            </w:r>
          </w:p>
          <w:p w14:paraId="74363E64">
            <w:pPr>
              <w:pageBreakBefore w:val="0"/>
              <w:kinsoku/>
              <w:wordWrap w:val="0"/>
              <w:overflowPunct/>
              <w:bidi w:val="0"/>
              <w:spacing w:line="380" w:lineRule="atLeast"/>
              <w:jc w:val="both"/>
              <w:rPr>
                <w:rFonts w:hint="eastAsia" w:ascii="宋体" w:hAnsi="宋体" w:eastAsia="宋体" w:cs="宋体"/>
                <w:color w:val="auto"/>
                <w:szCs w:val="21"/>
                <w:highlight w:val="none"/>
                <w:vertAlign w:val="baseline"/>
                <w:lang w:val="en-US" w:eastAsia="zh-CN"/>
              </w:rPr>
            </w:pPr>
            <w:r>
              <w:rPr>
                <w:rFonts w:hint="default" w:ascii="Times New Roman" w:hAnsi="Times New Roman" w:eastAsia="宋体" w:cs="Times New Roman"/>
                <w:color w:val="auto"/>
                <w:sz w:val="21"/>
                <w:szCs w:val="21"/>
                <w:highlight w:val="none"/>
              </w:rPr>
              <w:t>E</w:t>
            </w:r>
            <w:r>
              <w:rPr>
                <w:rFonts w:hint="eastAsia" w:cs="Times New Roman"/>
                <w:color w:val="auto"/>
                <w:sz w:val="21"/>
                <w:szCs w:val="21"/>
                <w:highlight w:val="none"/>
                <w:vertAlign w:val="subscript"/>
                <w:lang w:val="en-US" w:eastAsia="zh-CN"/>
              </w:rPr>
              <w:t>2</w:t>
            </w:r>
            <w:r>
              <w:rPr>
                <w:rFonts w:hint="eastAsia" w:ascii="Times New Roman" w:hAnsi="Times New Roman" w:eastAsia="宋体" w:cs="Times New Roman"/>
                <w:color w:val="auto"/>
                <w:sz w:val="21"/>
                <w:szCs w:val="21"/>
                <w:highlight w:val="none"/>
                <w:lang w:val="en-US" w:eastAsia="zh-CN"/>
              </w:rPr>
              <w:t>=0.</w:t>
            </w:r>
            <w:r>
              <w:rPr>
                <w:rFonts w:hint="eastAsia" w:cs="Times New Roman"/>
                <w:color w:val="auto"/>
                <w:sz w:val="21"/>
                <w:szCs w:val="21"/>
                <w:highlight w:val="none"/>
                <w:lang w:val="en-US" w:eastAsia="zh-CN"/>
              </w:rPr>
              <w:t>2</w:t>
            </w:r>
          </w:p>
        </w:tc>
      </w:tr>
      <w:tr w14:paraId="1330A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410" w:type="pct"/>
            <w:vMerge w:val="restart"/>
            <w:noWrap w:val="0"/>
            <w:vAlign w:val="center"/>
          </w:tcPr>
          <w:p w14:paraId="53C3F564">
            <w:pPr>
              <w:pageBreakBefore w:val="0"/>
              <w:kinsoku/>
              <w:wordWrap w:val="0"/>
              <w:overflowPunct/>
              <w:bidi w:val="0"/>
              <w:spacing w:line="380" w:lineRule="atLeas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2.2.4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w:t>
            </w:r>
          </w:p>
        </w:tc>
        <w:tc>
          <w:tcPr>
            <w:tcW w:w="336" w:type="pct"/>
            <w:vMerge w:val="restart"/>
            <w:noWrap w:val="0"/>
            <w:vAlign w:val="center"/>
          </w:tcPr>
          <w:p w14:paraId="682FF7B1">
            <w:pPr>
              <w:pageBreakBefore w:val="0"/>
              <w:kinsoku/>
              <w:wordWrap w:val="0"/>
              <w:overflowPunct/>
              <w:bidi w:val="0"/>
              <w:spacing w:line="38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其他因素</w:t>
            </w:r>
          </w:p>
        </w:tc>
        <w:tc>
          <w:tcPr>
            <w:tcW w:w="324" w:type="pct"/>
            <w:noWrap w:val="0"/>
            <w:vAlign w:val="center"/>
          </w:tcPr>
          <w:p w14:paraId="0A84B305">
            <w:pPr>
              <w:pageBreakBefore w:val="0"/>
              <w:kinsoku/>
              <w:wordWrap w:val="0"/>
              <w:overflowPunct/>
              <w:bidi w:val="0"/>
              <w:spacing w:line="38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业绩</w:t>
            </w:r>
          </w:p>
        </w:tc>
        <w:tc>
          <w:tcPr>
            <w:tcW w:w="530" w:type="pct"/>
            <w:noWrap w:val="0"/>
            <w:vAlign w:val="center"/>
          </w:tcPr>
          <w:p w14:paraId="1B7D05BA">
            <w:pPr>
              <w:pageBreakBefore w:val="0"/>
              <w:kinsoku/>
              <w:wordWrap/>
              <w:overflowPunct/>
              <w:bidi w:val="0"/>
              <w:spacing w:line="380" w:lineRule="atLeast"/>
              <w:jc w:val="center"/>
              <w:rPr>
                <w:rFonts w:hint="eastAsia" w:ascii="宋体" w:hAnsi="宋体" w:eastAsia="宋体" w:cs="宋体"/>
                <w:color w:val="auto"/>
                <w:szCs w:val="21"/>
                <w:highlight w:val="none"/>
              </w:rPr>
            </w:pPr>
            <w:r>
              <w:rPr>
                <w:rFonts w:hint="eastAsia" w:ascii="宋体" w:hAnsi="宋体" w:cs="宋体"/>
                <w:color w:val="auto"/>
                <w:szCs w:val="21"/>
                <w:highlight w:val="none"/>
                <w:u w:val="single"/>
                <w:lang w:val="en-US" w:eastAsia="zh-CN"/>
              </w:rPr>
              <w:t>20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w:t>
            </w:r>
          </w:p>
        </w:tc>
        <w:tc>
          <w:tcPr>
            <w:tcW w:w="430" w:type="pct"/>
            <w:noWrap w:val="0"/>
            <w:vAlign w:val="center"/>
          </w:tcPr>
          <w:p w14:paraId="1E9DEFAE">
            <w:pPr>
              <w:pageBreakBefore w:val="0"/>
              <w:kinsoku/>
              <w:wordWrap w:val="0"/>
              <w:overflowPunct/>
              <w:bidi w:val="0"/>
              <w:spacing w:line="380" w:lineRule="atLeas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业绩</w:t>
            </w:r>
          </w:p>
        </w:tc>
        <w:tc>
          <w:tcPr>
            <w:tcW w:w="442" w:type="pct"/>
            <w:gridSpan w:val="2"/>
            <w:noWrap w:val="0"/>
            <w:vAlign w:val="center"/>
          </w:tcPr>
          <w:p w14:paraId="46E028EA">
            <w:pPr>
              <w:pageBreakBefore w:val="0"/>
              <w:kinsoku/>
              <w:wordWrap w:val="0"/>
              <w:overflowPunct/>
              <w:bidi w:val="0"/>
              <w:spacing w:line="380" w:lineRule="atLeast"/>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20</w:t>
            </w:r>
            <w:r>
              <w:rPr>
                <w:rFonts w:hint="eastAsia" w:ascii="宋体" w:hAnsi="宋体" w:eastAsia="宋体" w:cs="宋体"/>
                <w:color w:val="auto"/>
                <w:szCs w:val="21"/>
                <w:highlight w:val="none"/>
              </w:rPr>
              <w:t>分</w:t>
            </w:r>
          </w:p>
        </w:tc>
        <w:tc>
          <w:tcPr>
            <w:tcW w:w="2523" w:type="pct"/>
            <w:gridSpan w:val="2"/>
            <w:noWrap w:val="0"/>
            <w:vAlign w:val="top"/>
          </w:tcPr>
          <w:p w14:paraId="216A233D">
            <w:pPr>
              <w:pageBreakBefore w:val="0"/>
              <w:kinsoku/>
              <w:wordWrap w:val="0"/>
              <w:overflowPunct/>
              <w:bidi w:val="0"/>
              <w:spacing w:line="380" w:lineRule="atLeast"/>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（1）业绩</w:t>
            </w:r>
            <w:r>
              <w:rPr>
                <w:rFonts w:hint="eastAsia" w:ascii="宋体" w:hAnsi="宋体" w:eastAsia="宋体" w:cs="宋体"/>
                <w:color w:val="000000"/>
                <w:kern w:val="0"/>
                <w:sz w:val="21"/>
                <w:szCs w:val="21"/>
                <w:highlight w:val="none"/>
                <w:lang w:val="en-US" w:eastAsia="zh-CN" w:bidi="ar"/>
              </w:rPr>
              <w:t>满足资格审查条件最低要求的</w:t>
            </w:r>
            <w:r>
              <w:rPr>
                <w:rFonts w:hint="eastAsia" w:ascii="宋体" w:hAnsi="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得基本分</w:t>
            </w:r>
            <w:r>
              <w:rPr>
                <w:rFonts w:hint="eastAsia" w:ascii="宋体" w:hAnsi="宋体" w:eastAsia="宋体" w:cs="宋体"/>
                <w:color w:val="auto"/>
                <w:szCs w:val="21"/>
                <w:highlight w:val="none"/>
              </w:rPr>
              <w:t>12分。</w:t>
            </w:r>
          </w:p>
          <w:p w14:paraId="7BF74B29">
            <w:pPr>
              <w:pageBreakBefore w:val="0"/>
              <w:kinsoku/>
              <w:wordWrap w:val="0"/>
              <w:overflowPunct/>
              <w:bidi w:val="0"/>
              <w:spacing w:line="380" w:lineRule="atLeast"/>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（2）投标人近3年（指202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年1月1日至投标截止日，有效时限以</w:t>
            </w:r>
            <w:r>
              <w:rPr>
                <w:rFonts w:hint="eastAsia" w:ascii="宋体" w:hAnsi="宋体" w:cs="宋体"/>
                <w:color w:val="auto"/>
                <w:szCs w:val="21"/>
                <w:highlight w:val="none"/>
                <w:lang w:eastAsia="zh-CN"/>
              </w:rPr>
              <w:t>交</w:t>
            </w:r>
            <w:r>
              <w:rPr>
                <w:rFonts w:hint="eastAsia" w:ascii="宋体" w:hAnsi="宋体" w:eastAsia="宋体" w:cs="宋体"/>
                <w:color w:val="auto"/>
                <w:szCs w:val="21"/>
                <w:highlight w:val="none"/>
              </w:rPr>
              <w:t>工验收时间为准）内每有1个</w:t>
            </w:r>
            <w:r>
              <w:rPr>
                <w:rFonts w:hint="eastAsia" w:ascii="宋体" w:hAnsi="宋体" w:cs="宋体"/>
                <w:color w:val="auto"/>
                <w:szCs w:val="21"/>
                <w:highlight w:val="none"/>
                <w:lang w:eastAsia="zh-CN"/>
              </w:rPr>
              <w:t>公路工程</w:t>
            </w:r>
            <w:r>
              <w:rPr>
                <w:rFonts w:hint="eastAsia" w:ascii="宋体" w:hAnsi="宋体" w:eastAsia="宋体" w:cs="宋体"/>
                <w:color w:val="auto"/>
                <w:szCs w:val="21"/>
                <w:highlight w:val="none"/>
              </w:rPr>
              <w:t>监理项目业绩加1分，最多加8分。</w:t>
            </w:r>
            <w:r>
              <w:rPr>
                <w:rFonts w:hint="eastAsia" w:ascii="宋体" w:hAnsi="宋体" w:eastAsia="宋体" w:cs="宋体"/>
                <w:color w:val="auto"/>
                <w:szCs w:val="21"/>
                <w:highlight w:val="none"/>
                <w:lang w:eastAsia="zh-CN"/>
              </w:rPr>
              <w:t>注: 公路工程指新改建工程或养护工程或维修改造工程或安防工程或危桥改造工程。</w:t>
            </w:r>
          </w:p>
          <w:p w14:paraId="68462417">
            <w:pPr>
              <w:pageBreakBefore w:val="0"/>
              <w:kinsoku/>
              <w:wordWrap w:val="0"/>
              <w:overflowPunct/>
              <w:bidi w:val="0"/>
              <w:spacing w:line="380" w:lineRule="atLeast"/>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（3）本项满分20分。</w:t>
            </w:r>
          </w:p>
          <w:p w14:paraId="15B97ABD">
            <w:pPr>
              <w:pageBreakBefore w:val="0"/>
              <w:kinsoku/>
              <w:wordWrap w:val="0"/>
              <w:overflowPunct/>
              <w:bidi w:val="0"/>
              <w:spacing w:line="380" w:lineRule="atLeast"/>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证明材料应满足下述要求，且应体现业绩的考核指标(项目类型、合同内容、合同金额、合同规模等)，如投标人未按要求提供证明材料或者证明材料中的信息无法证实业绩的考核指标</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（业绩证明材料为“全国公路建设市场监督</w:t>
            </w:r>
          </w:p>
          <w:p w14:paraId="14D10096">
            <w:pPr>
              <w:pageBreakBefore w:val="0"/>
              <w:kinsoku/>
              <w:wordWrap w:val="0"/>
              <w:overflowPunct/>
              <w:bidi w:val="0"/>
              <w:spacing w:line="380" w:lineRule="atLeast"/>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管理系统或公路建设市场信用信息管理系统”网页截图。）</w:t>
            </w:r>
          </w:p>
        </w:tc>
      </w:tr>
      <w:tr w14:paraId="5FFA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4" w:hRule="atLeast"/>
        </w:trPr>
        <w:tc>
          <w:tcPr>
            <w:tcW w:w="410" w:type="pct"/>
            <w:vMerge w:val="continue"/>
            <w:noWrap w:val="0"/>
            <w:vAlign w:val="center"/>
          </w:tcPr>
          <w:p w14:paraId="5C429D83">
            <w:pPr>
              <w:pageBreakBefore w:val="0"/>
              <w:kinsoku/>
              <w:wordWrap w:val="0"/>
              <w:overflowPunct/>
              <w:bidi w:val="0"/>
              <w:spacing w:line="380" w:lineRule="atLeast"/>
              <w:jc w:val="both"/>
              <w:rPr>
                <w:rFonts w:hint="eastAsia" w:ascii="宋体" w:hAnsi="宋体" w:eastAsia="宋体" w:cs="宋体"/>
                <w:color w:val="auto"/>
                <w:szCs w:val="21"/>
                <w:highlight w:val="none"/>
              </w:rPr>
            </w:pPr>
          </w:p>
        </w:tc>
        <w:tc>
          <w:tcPr>
            <w:tcW w:w="336" w:type="pct"/>
            <w:vMerge w:val="continue"/>
            <w:noWrap w:val="0"/>
            <w:vAlign w:val="center"/>
          </w:tcPr>
          <w:p w14:paraId="22D0AB5A">
            <w:pPr>
              <w:pageBreakBefore w:val="0"/>
              <w:kinsoku/>
              <w:wordWrap w:val="0"/>
              <w:overflowPunct/>
              <w:bidi w:val="0"/>
              <w:spacing w:line="380" w:lineRule="atLeast"/>
              <w:jc w:val="both"/>
              <w:rPr>
                <w:rFonts w:hint="eastAsia" w:ascii="宋体" w:hAnsi="宋体" w:eastAsia="宋体" w:cs="宋体"/>
                <w:color w:val="auto"/>
                <w:szCs w:val="21"/>
                <w:highlight w:val="none"/>
              </w:rPr>
            </w:pPr>
          </w:p>
        </w:tc>
        <w:tc>
          <w:tcPr>
            <w:tcW w:w="324" w:type="pct"/>
            <w:noWrap w:val="0"/>
            <w:vAlign w:val="center"/>
          </w:tcPr>
          <w:p w14:paraId="4403ADCB">
            <w:pPr>
              <w:pageBreakBefore w:val="0"/>
              <w:kinsoku/>
              <w:wordWrap w:val="0"/>
              <w:overflowPunct/>
              <w:bidi w:val="0"/>
              <w:spacing w:line="380" w:lineRule="atLeast"/>
              <w:ind w:left="-105" w:leftChars="-50" w:right="-105" w:right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履约信誉</w:t>
            </w:r>
            <w:r>
              <w:rPr>
                <w:rStyle w:val="6"/>
                <w:rFonts w:hint="eastAsia" w:ascii="宋体" w:hAnsi="宋体" w:eastAsia="宋体" w:cs="宋体"/>
                <w:color w:val="auto"/>
                <w:szCs w:val="21"/>
                <w:highlight w:val="none"/>
              </w:rPr>
              <w:footnoteReference w:id="8"/>
            </w:r>
          </w:p>
        </w:tc>
        <w:tc>
          <w:tcPr>
            <w:tcW w:w="530" w:type="pct"/>
            <w:noWrap w:val="0"/>
            <w:vAlign w:val="center"/>
          </w:tcPr>
          <w:p w14:paraId="60569FBF">
            <w:pPr>
              <w:pageBreakBefore w:val="0"/>
              <w:kinsoku/>
              <w:wordWrap/>
              <w:overflowPunct/>
              <w:bidi w:val="0"/>
              <w:spacing w:line="380" w:lineRule="atLeast"/>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w:t>
            </w:r>
          </w:p>
        </w:tc>
        <w:tc>
          <w:tcPr>
            <w:tcW w:w="430" w:type="pct"/>
            <w:noWrap w:val="0"/>
            <w:vAlign w:val="center"/>
          </w:tcPr>
          <w:p w14:paraId="353B44E2">
            <w:pPr>
              <w:pageBreakBefore w:val="0"/>
              <w:kinsoku/>
              <w:wordWrap w:val="0"/>
              <w:overflowPunct/>
              <w:bidi w:val="0"/>
              <w:spacing w:line="380" w:lineRule="atLeas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履约信誉</w:t>
            </w:r>
          </w:p>
        </w:tc>
        <w:tc>
          <w:tcPr>
            <w:tcW w:w="442" w:type="pct"/>
            <w:gridSpan w:val="2"/>
            <w:noWrap w:val="0"/>
            <w:vAlign w:val="center"/>
          </w:tcPr>
          <w:p w14:paraId="7287FFDF">
            <w:pPr>
              <w:pageBreakBefore w:val="0"/>
              <w:kinsoku/>
              <w:wordWrap w:val="0"/>
              <w:overflowPunct/>
              <w:bidi w:val="0"/>
              <w:spacing w:line="380" w:lineRule="atLeast"/>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rPr>
              <w:t>分</w:t>
            </w:r>
          </w:p>
        </w:tc>
        <w:tc>
          <w:tcPr>
            <w:tcW w:w="2523" w:type="pct"/>
            <w:gridSpan w:val="2"/>
            <w:noWrap w:val="0"/>
            <w:vAlign w:val="top"/>
          </w:tcPr>
          <w:p w14:paraId="01423BB0">
            <w:pPr>
              <w:pageBreakBefore w:val="0"/>
              <w:kinsoku/>
              <w:wordWrap w:val="0"/>
              <w:overflowPunct/>
              <w:bidi w:val="0"/>
              <w:spacing w:line="380" w:lineRule="atLeast"/>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根据最近年度投标人信用评价结果评分：AA级的得10分、A级的得8分、B级的得5分、C级的得2分、D级的得0分。</w:t>
            </w:r>
          </w:p>
          <w:p w14:paraId="6C4868B8">
            <w:pPr>
              <w:pageBreakBefore w:val="0"/>
              <w:kinsoku/>
              <w:wordWrap w:val="0"/>
              <w:overflowPunct/>
              <w:bidi w:val="0"/>
              <w:spacing w:line="380" w:lineRule="atLeast"/>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注：（1）信用评价结果：以投标截止时间前，交通运输主管部门最新发布的结果公告（非结果公示）为准。</w:t>
            </w:r>
          </w:p>
          <w:p w14:paraId="592C0093">
            <w:pPr>
              <w:pageBreakBefore w:val="0"/>
              <w:kinsoku/>
              <w:wordWrap w:val="0"/>
              <w:overflowPunct/>
              <w:bidi w:val="0"/>
              <w:spacing w:line="380" w:lineRule="atLeast"/>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企业具备有效的辽宁省公路监理企业信用评价等级时，投标按其认定；不具备时，投标信用评价等级按照以下原则认定：①具有全国综合信用评价等级的，按照全国综合信用评价等级认定。②无全国综合信用评价等级的，按照企业注册地省级信用评价等级认定。③无全国综合信用评价等级和注册地省级信用评价等级的，根据“全国公路建设市场监督管理系统”查询结果，无不良行为记录的按A级认定，有不良行为记录但超过三年（自然年，下同）的按B级认定，三年内有不良行为记录的按C级认定。</w:t>
            </w:r>
          </w:p>
          <w:p w14:paraId="53F17BAC">
            <w:pPr>
              <w:pageBreakBefore w:val="0"/>
              <w:kinsoku/>
              <w:wordWrap w:val="0"/>
              <w:overflowPunct/>
              <w:bidi w:val="0"/>
              <w:spacing w:line="380" w:lineRule="atLeast"/>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（3）投标人无辽宁省公路监理企业信用评价等级，且无全国综合信用评价等级的，须提供主管部门官方网站公布的结果公告、以及体现投标人评定等级的文件作为证明材料，评标委员会进行复核。</w:t>
            </w:r>
          </w:p>
          <w:p w14:paraId="31BC3671">
            <w:pPr>
              <w:pageBreakBefore w:val="0"/>
              <w:kinsoku/>
              <w:wordWrap w:val="0"/>
              <w:overflowPunct/>
              <w:bidi w:val="0"/>
              <w:spacing w:line="380" w:lineRule="atLeast"/>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（4）联合体投标的，按照联合体成员企业中信用评价等级最低的认定联合体信用评价等级。</w:t>
            </w:r>
          </w:p>
          <w:p w14:paraId="74E6FF3C">
            <w:pPr>
              <w:pageBreakBefore w:val="0"/>
              <w:kinsoku/>
              <w:wordWrap w:val="0"/>
              <w:overflowPunct/>
              <w:bidi w:val="0"/>
              <w:spacing w:line="380" w:lineRule="atLeast"/>
              <w:jc w:val="both"/>
              <w:rPr>
                <w:rFonts w:hint="eastAsia" w:ascii="宋体" w:hAnsi="宋体" w:eastAsia="宋体" w:cs="宋体"/>
                <w:color w:val="auto"/>
                <w:szCs w:val="21"/>
                <w:highlight w:val="none"/>
                <w:lang w:eastAsia="zh-CN"/>
              </w:rPr>
            </w:pPr>
          </w:p>
        </w:tc>
      </w:tr>
      <w:tr w14:paraId="75E79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9"/>
            <w:noWrap w:val="0"/>
            <w:vAlign w:val="center"/>
          </w:tcPr>
          <w:p w14:paraId="7D074968">
            <w:pPr>
              <w:spacing w:before="152" w:line="221" w:lineRule="auto"/>
              <w:ind w:left="12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需要补充的其他内容：</w:t>
            </w:r>
          </w:p>
          <w:p w14:paraId="2389BE21">
            <w:pPr>
              <w:keepNext w:val="0"/>
              <w:keepLines w:val="0"/>
              <w:widowControl/>
              <w:suppressLineNumbers w:val="0"/>
              <w:jc w:val="left"/>
              <w:rPr>
                <w:highlight w:val="none"/>
              </w:rPr>
            </w:pPr>
            <w:r>
              <w:rPr>
                <w:rFonts w:hint="eastAsia" w:ascii="宋体" w:hAnsi="宋体" w:eastAsia="宋体" w:cs="宋体"/>
                <w:color w:val="000000"/>
                <w:kern w:val="0"/>
                <w:sz w:val="20"/>
                <w:szCs w:val="20"/>
                <w:highlight w:val="none"/>
                <w:lang w:val="en-US" w:eastAsia="zh-CN" w:bidi="ar"/>
              </w:rPr>
              <w:t>本次评标采用</w:t>
            </w:r>
            <w:r>
              <w:rPr>
                <w:rFonts w:hint="eastAsia" w:ascii="宋体" w:hAnsi="宋体" w:cs="宋体"/>
                <w:color w:val="000000"/>
                <w:kern w:val="0"/>
                <w:sz w:val="20"/>
                <w:szCs w:val="20"/>
                <w:highlight w:val="none"/>
                <w:lang w:val="en-US" w:eastAsia="zh-CN" w:bidi="ar"/>
              </w:rPr>
              <w:t>综合评分法</w:t>
            </w:r>
            <w:r>
              <w:rPr>
                <w:rFonts w:hint="eastAsia" w:ascii="宋体" w:hAnsi="宋体" w:eastAsia="宋体" w:cs="宋体"/>
                <w:color w:val="000000"/>
                <w:kern w:val="0"/>
                <w:sz w:val="20"/>
                <w:szCs w:val="20"/>
                <w:highlight w:val="none"/>
                <w:lang w:val="en-US" w:eastAsia="zh-CN" w:bidi="ar"/>
              </w:rPr>
              <w:t xml:space="preserve">。 </w:t>
            </w:r>
          </w:p>
          <w:p w14:paraId="322E283C">
            <w:pPr>
              <w:keepNext w:val="0"/>
              <w:keepLines w:val="0"/>
              <w:widowControl/>
              <w:suppressLineNumbers w:val="0"/>
              <w:jc w:val="left"/>
              <w:rPr>
                <w:highlight w:val="none"/>
              </w:rPr>
            </w:pPr>
            <w:r>
              <w:rPr>
                <w:rFonts w:hint="default" w:ascii="Times New Roman" w:hAnsi="Times New Roman" w:eastAsia="宋体" w:cs="Times New Roman"/>
                <w:color w:val="000000"/>
                <w:kern w:val="0"/>
                <w:sz w:val="20"/>
                <w:szCs w:val="20"/>
                <w:highlight w:val="none"/>
                <w:lang w:val="en-US" w:eastAsia="zh-CN" w:bidi="ar"/>
              </w:rPr>
              <w:t xml:space="preserve">1.1 </w:t>
            </w:r>
            <w:r>
              <w:rPr>
                <w:rFonts w:hint="eastAsia" w:ascii="宋体" w:hAnsi="宋体" w:eastAsia="宋体" w:cs="宋体"/>
                <w:color w:val="000000"/>
                <w:kern w:val="0"/>
                <w:sz w:val="20"/>
                <w:szCs w:val="20"/>
                <w:highlight w:val="none"/>
                <w:lang w:val="en-US" w:eastAsia="zh-CN" w:bidi="ar"/>
              </w:rPr>
              <w:t xml:space="preserve">评标委员会首先对投标文件第一信封进行初步评审，并对通过第一信封初步评审的投标文件按照本章第 </w:t>
            </w:r>
            <w:r>
              <w:rPr>
                <w:rFonts w:hint="default" w:ascii="Times New Roman" w:hAnsi="Times New Roman" w:eastAsia="宋体" w:cs="Times New Roman"/>
                <w:color w:val="000000"/>
                <w:kern w:val="0"/>
                <w:sz w:val="20"/>
                <w:szCs w:val="20"/>
                <w:highlight w:val="none"/>
                <w:lang w:val="en-US" w:eastAsia="zh-CN" w:bidi="ar"/>
              </w:rPr>
              <w:t xml:space="preserve">3.2 </w:t>
            </w:r>
            <w:r>
              <w:rPr>
                <w:rFonts w:hint="eastAsia" w:ascii="宋体" w:hAnsi="宋体" w:eastAsia="宋体" w:cs="宋体"/>
                <w:color w:val="000000"/>
                <w:kern w:val="0"/>
                <w:sz w:val="20"/>
                <w:szCs w:val="20"/>
                <w:highlight w:val="none"/>
                <w:lang w:val="en-US" w:eastAsia="zh-CN" w:bidi="ar"/>
              </w:rPr>
              <w:t xml:space="preserve">款规定的评分标准进行第一信封详细评审及评分（各评分因素得分应以评标委员会各成员的打分平均值确定，评标委员会成员总数为 </w:t>
            </w:r>
            <w:r>
              <w:rPr>
                <w:rFonts w:hint="default" w:ascii="Times New Roman" w:hAnsi="Times New Roman" w:eastAsia="宋体" w:cs="Times New Roman"/>
                <w:color w:val="000000"/>
                <w:kern w:val="0"/>
                <w:sz w:val="20"/>
                <w:szCs w:val="20"/>
                <w:highlight w:val="none"/>
                <w:lang w:val="en-US" w:eastAsia="zh-CN" w:bidi="ar"/>
              </w:rPr>
              <w:t xml:space="preserve">7 </w:t>
            </w:r>
            <w:r>
              <w:rPr>
                <w:rFonts w:hint="eastAsia" w:ascii="宋体" w:hAnsi="宋体" w:eastAsia="宋体" w:cs="宋体"/>
                <w:color w:val="000000"/>
                <w:kern w:val="0"/>
                <w:sz w:val="20"/>
                <w:szCs w:val="20"/>
                <w:highlight w:val="none"/>
                <w:lang w:val="en-US" w:eastAsia="zh-CN" w:bidi="ar"/>
              </w:rPr>
              <w:t xml:space="preserve">人（含 </w:t>
            </w:r>
            <w:r>
              <w:rPr>
                <w:rFonts w:hint="default" w:ascii="Times New Roman" w:hAnsi="Times New Roman" w:eastAsia="宋体" w:cs="Times New Roman"/>
                <w:color w:val="000000"/>
                <w:kern w:val="0"/>
                <w:sz w:val="20"/>
                <w:szCs w:val="20"/>
                <w:highlight w:val="none"/>
                <w:lang w:val="en-US" w:eastAsia="zh-CN" w:bidi="ar"/>
              </w:rPr>
              <w:t xml:space="preserve">7 </w:t>
            </w:r>
            <w:r>
              <w:rPr>
                <w:rFonts w:hint="eastAsia" w:ascii="宋体" w:hAnsi="宋体" w:eastAsia="宋体" w:cs="宋体"/>
                <w:color w:val="000000"/>
                <w:kern w:val="0"/>
                <w:sz w:val="20"/>
                <w:szCs w:val="20"/>
                <w:highlight w:val="none"/>
                <w:lang w:val="en-US" w:eastAsia="zh-CN" w:bidi="ar"/>
              </w:rPr>
              <w:t xml:space="preserve">人）以上时，该平均值以去掉一个最高分和一个最低分后计算）。 </w:t>
            </w:r>
          </w:p>
          <w:p w14:paraId="0B82C6C9">
            <w:pPr>
              <w:keepNext w:val="0"/>
              <w:keepLines w:val="0"/>
              <w:widowControl/>
              <w:suppressLineNumbers w:val="0"/>
              <w:jc w:val="left"/>
              <w:rPr>
                <w:highlight w:val="none"/>
              </w:rPr>
            </w:pPr>
            <w:r>
              <w:rPr>
                <w:rFonts w:hint="default" w:ascii="Times New Roman" w:hAnsi="Times New Roman" w:eastAsia="宋体" w:cs="Times New Roman"/>
                <w:color w:val="000000"/>
                <w:kern w:val="0"/>
                <w:sz w:val="20"/>
                <w:szCs w:val="20"/>
                <w:highlight w:val="none"/>
                <w:lang w:val="en-US" w:eastAsia="zh-CN" w:bidi="ar"/>
              </w:rPr>
              <w:t xml:space="preserve">1.2 </w:t>
            </w:r>
            <w:r>
              <w:rPr>
                <w:rFonts w:hint="eastAsia" w:ascii="宋体" w:hAnsi="宋体" w:eastAsia="宋体" w:cs="宋体"/>
                <w:color w:val="000000"/>
                <w:kern w:val="0"/>
                <w:sz w:val="20"/>
                <w:szCs w:val="20"/>
                <w:highlight w:val="none"/>
                <w:lang w:val="en-US" w:eastAsia="zh-CN" w:bidi="ar"/>
              </w:rPr>
              <w:t xml:space="preserve">所有通过第一个信封初步评审的投标人进入第二信封的解密，其第二个信封在监督人的监督下进行开标；未通过第一个信封初步评审的投标人不进入第二个信封的解密，不参与第二信封的开标。 </w:t>
            </w:r>
          </w:p>
          <w:p w14:paraId="40566443">
            <w:pPr>
              <w:keepNext w:val="0"/>
              <w:keepLines w:val="0"/>
              <w:widowControl/>
              <w:suppressLineNumbers w:val="0"/>
              <w:jc w:val="left"/>
              <w:rPr>
                <w:highlight w:val="none"/>
              </w:rPr>
            </w:pPr>
            <w:r>
              <w:rPr>
                <w:rFonts w:hint="eastAsia" w:ascii="宋体" w:hAnsi="宋体" w:eastAsia="宋体" w:cs="宋体"/>
                <w:b/>
                <w:bCs/>
                <w:color w:val="000000"/>
                <w:kern w:val="0"/>
                <w:sz w:val="20"/>
                <w:szCs w:val="20"/>
                <w:highlight w:val="none"/>
                <w:lang w:val="en-US" w:eastAsia="zh-CN" w:bidi="ar"/>
              </w:rPr>
              <w:t xml:space="preserve">“技术建议书”采用暗标形式，其编制须满足招标文件要求。 </w:t>
            </w:r>
          </w:p>
          <w:p w14:paraId="7333CD8A">
            <w:pPr>
              <w:keepNext w:val="0"/>
              <w:keepLines w:val="0"/>
              <w:widowControl/>
              <w:suppressLineNumbers w:val="0"/>
              <w:jc w:val="left"/>
              <w:rPr>
                <w:highlight w:val="none"/>
              </w:rPr>
            </w:pPr>
            <w:r>
              <w:rPr>
                <w:rFonts w:hint="eastAsia" w:ascii="宋体" w:hAnsi="宋体" w:eastAsia="宋体" w:cs="宋体"/>
                <w:b/>
                <w:bCs/>
                <w:color w:val="000000"/>
                <w:kern w:val="0"/>
                <w:sz w:val="20"/>
                <w:szCs w:val="20"/>
                <w:highlight w:val="none"/>
                <w:lang w:val="en-US" w:eastAsia="zh-CN" w:bidi="ar"/>
              </w:rPr>
              <w:t xml:space="preserve">“技术建议书”不满足招标文件暗标要求，由于电子交易平台的原因无法在第一个信封形式和响应性评审阶段予以否决的，其“技术建议书”各评分因素的权重分值的 </w:t>
            </w:r>
            <w:r>
              <w:rPr>
                <w:rFonts w:hint="default" w:ascii="Times New Roman" w:hAnsi="Times New Roman" w:eastAsia="宋体" w:cs="Times New Roman"/>
                <w:b/>
                <w:bCs/>
                <w:color w:val="000000"/>
                <w:kern w:val="0"/>
                <w:sz w:val="20"/>
                <w:szCs w:val="20"/>
                <w:highlight w:val="none"/>
                <w:lang w:val="en-US" w:eastAsia="zh-CN" w:bidi="ar"/>
              </w:rPr>
              <w:t>60%</w:t>
            </w:r>
            <w:r>
              <w:rPr>
                <w:rFonts w:hint="eastAsia" w:ascii="宋体" w:hAnsi="宋体" w:eastAsia="宋体" w:cs="宋体"/>
                <w:b/>
                <w:bCs/>
                <w:color w:val="000000"/>
                <w:kern w:val="0"/>
                <w:sz w:val="20"/>
                <w:szCs w:val="20"/>
                <w:highlight w:val="none"/>
                <w:lang w:val="en-US" w:eastAsia="zh-CN" w:bidi="ar"/>
              </w:rPr>
              <w:t xml:space="preserve">，其投标文件不参与第二个信封的开标。 </w:t>
            </w:r>
          </w:p>
          <w:p w14:paraId="720CE899">
            <w:pPr>
              <w:keepNext w:val="0"/>
              <w:keepLines w:val="0"/>
              <w:widowControl/>
              <w:suppressLineNumbers w:val="0"/>
              <w:jc w:val="left"/>
              <w:rPr>
                <w:highlight w:val="none"/>
              </w:rPr>
            </w:pPr>
            <w:r>
              <w:rPr>
                <w:rFonts w:hint="default" w:ascii="Times New Roman" w:hAnsi="Times New Roman" w:eastAsia="宋体" w:cs="Times New Roman"/>
                <w:color w:val="000000"/>
                <w:kern w:val="0"/>
                <w:sz w:val="20"/>
                <w:szCs w:val="20"/>
                <w:highlight w:val="none"/>
                <w:lang w:val="en-US" w:eastAsia="zh-CN" w:bidi="ar"/>
              </w:rPr>
              <w:t xml:space="preserve">1.3 </w:t>
            </w:r>
            <w:r>
              <w:rPr>
                <w:rFonts w:hint="eastAsia" w:ascii="宋体" w:hAnsi="宋体" w:eastAsia="宋体" w:cs="宋体"/>
                <w:color w:val="000000"/>
                <w:kern w:val="0"/>
                <w:sz w:val="20"/>
                <w:szCs w:val="20"/>
                <w:highlight w:val="none"/>
                <w:lang w:val="en-US" w:eastAsia="zh-CN" w:bidi="ar"/>
              </w:rPr>
              <w:t xml:space="preserve">评标委员会对投标文件第二信封进行初步评审，对通过第二个信封初步评审的投标文件按照本章第 </w:t>
            </w:r>
            <w:r>
              <w:rPr>
                <w:rFonts w:hint="default" w:ascii="Times New Roman" w:hAnsi="Times New Roman" w:eastAsia="宋体" w:cs="Times New Roman"/>
                <w:color w:val="000000"/>
                <w:kern w:val="0"/>
                <w:sz w:val="20"/>
                <w:szCs w:val="20"/>
                <w:highlight w:val="none"/>
                <w:lang w:val="en-US" w:eastAsia="zh-CN" w:bidi="ar"/>
              </w:rPr>
              <w:t xml:space="preserve">3.5 </w:t>
            </w:r>
            <w:r>
              <w:rPr>
                <w:rFonts w:hint="eastAsia" w:ascii="宋体" w:hAnsi="宋体" w:eastAsia="宋体" w:cs="宋体"/>
                <w:color w:val="000000"/>
                <w:kern w:val="0"/>
                <w:sz w:val="20"/>
                <w:szCs w:val="20"/>
                <w:highlight w:val="none"/>
                <w:lang w:val="en-US" w:eastAsia="zh-CN" w:bidi="ar"/>
              </w:rPr>
              <w:t xml:space="preserve">款规定的评分标准进行投标价评分，各投标人的最终得分为第一个信封与第二个信封得分之和（四舍五入，最多保留 </w:t>
            </w:r>
            <w:r>
              <w:rPr>
                <w:rFonts w:hint="default" w:ascii="Times New Roman" w:hAnsi="Times New Roman" w:eastAsia="宋体" w:cs="Times New Roman"/>
                <w:color w:val="000000"/>
                <w:kern w:val="0"/>
                <w:sz w:val="20"/>
                <w:szCs w:val="20"/>
                <w:highlight w:val="none"/>
                <w:lang w:val="en-US" w:eastAsia="zh-CN" w:bidi="ar"/>
              </w:rPr>
              <w:t xml:space="preserve">2 </w:t>
            </w:r>
            <w:r>
              <w:rPr>
                <w:rFonts w:hint="eastAsia" w:ascii="宋体" w:hAnsi="宋体" w:eastAsia="宋体" w:cs="宋体"/>
                <w:color w:val="000000"/>
                <w:kern w:val="0"/>
                <w:sz w:val="20"/>
                <w:szCs w:val="20"/>
                <w:highlight w:val="none"/>
                <w:lang w:val="en-US" w:eastAsia="zh-CN" w:bidi="ar"/>
              </w:rPr>
              <w:t xml:space="preserve">位小数），评标委员会按最终得分由高到低顺序确定中标候选人推荐排序，但投标报价低于其成本的除外。 </w:t>
            </w:r>
          </w:p>
          <w:p w14:paraId="410F1B7D">
            <w:pPr>
              <w:keepNext w:val="0"/>
              <w:keepLines w:val="0"/>
              <w:widowControl/>
              <w:suppressLineNumbers w:val="0"/>
              <w:jc w:val="left"/>
              <w:rPr>
                <w:highlight w:val="none"/>
              </w:rPr>
            </w:pPr>
            <w:r>
              <w:rPr>
                <w:rFonts w:hint="default" w:ascii="Times New Roman" w:hAnsi="Times New Roman" w:eastAsia="宋体" w:cs="Times New Roman"/>
                <w:color w:val="000000"/>
                <w:kern w:val="0"/>
                <w:sz w:val="20"/>
                <w:szCs w:val="20"/>
                <w:highlight w:val="none"/>
                <w:lang w:val="en-US" w:eastAsia="zh-CN" w:bidi="ar"/>
              </w:rPr>
              <w:t xml:space="preserve">1.4 </w:t>
            </w:r>
            <w:r>
              <w:rPr>
                <w:rFonts w:hint="eastAsia" w:ascii="宋体" w:hAnsi="宋体" w:eastAsia="宋体" w:cs="宋体"/>
                <w:color w:val="000000"/>
                <w:kern w:val="0"/>
                <w:sz w:val="20"/>
                <w:szCs w:val="20"/>
                <w:highlight w:val="none"/>
                <w:lang w:val="en-US" w:eastAsia="zh-CN" w:bidi="ar"/>
              </w:rPr>
              <w:t xml:space="preserve">某一标段通过第一信封评审的投标人在 </w:t>
            </w:r>
            <w:r>
              <w:rPr>
                <w:rFonts w:hint="default" w:ascii="Times New Roman" w:hAnsi="Times New Roman" w:eastAsia="宋体" w:cs="Times New Roman"/>
                <w:color w:val="000000"/>
                <w:kern w:val="0"/>
                <w:sz w:val="20"/>
                <w:szCs w:val="20"/>
                <w:highlight w:val="none"/>
                <w:lang w:val="en-US" w:eastAsia="zh-CN" w:bidi="ar"/>
              </w:rPr>
              <w:t xml:space="preserve">3 </w:t>
            </w:r>
            <w:r>
              <w:rPr>
                <w:rFonts w:hint="eastAsia" w:ascii="宋体" w:hAnsi="宋体" w:eastAsia="宋体" w:cs="宋体"/>
                <w:color w:val="000000"/>
                <w:kern w:val="0"/>
                <w:sz w:val="20"/>
                <w:szCs w:val="20"/>
                <w:highlight w:val="none"/>
                <w:lang w:val="en-US" w:eastAsia="zh-CN" w:bidi="ar"/>
              </w:rPr>
              <w:t xml:space="preserve">个及以上的，招标人将按规定的程序进行第二信封开标；在对第二信封进行评审后，有效投标不足 </w:t>
            </w:r>
            <w:r>
              <w:rPr>
                <w:rFonts w:hint="default" w:ascii="Times New Roman" w:hAnsi="Times New Roman" w:eastAsia="宋体" w:cs="Times New Roman"/>
                <w:color w:val="000000"/>
                <w:kern w:val="0"/>
                <w:sz w:val="20"/>
                <w:szCs w:val="20"/>
                <w:highlight w:val="none"/>
                <w:lang w:val="en-US" w:eastAsia="zh-CN" w:bidi="ar"/>
              </w:rPr>
              <w:t xml:space="preserve">3 </w:t>
            </w:r>
            <w:r>
              <w:rPr>
                <w:rFonts w:hint="eastAsia" w:ascii="宋体" w:hAnsi="宋体" w:eastAsia="宋体" w:cs="宋体"/>
                <w:color w:val="000000"/>
                <w:kern w:val="0"/>
                <w:sz w:val="20"/>
                <w:szCs w:val="20"/>
                <w:highlight w:val="none"/>
                <w:lang w:val="en-US" w:eastAsia="zh-CN" w:bidi="ar"/>
              </w:rPr>
              <w:t xml:space="preserve">个使得投标明显缺乏竞争的，评标委员会可以否决这一标段全部投标。评标委员会未否决全部投标的，应当在评标报告中阐明理由并推荐中标候选人。 </w:t>
            </w:r>
          </w:p>
          <w:p w14:paraId="03CA5EA9">
            <w:pPr>
              <w:pageBreakBefore w:val="0"/>
              <w:kinsoku/>
              <w:wordWrap w:val="0"/>
              <w:overflowPunct/>
              <w:bidi w:val="0"/>
              <w:spacing w:line="380" w:lineRule="atLeast"/>
              <w:jc w:val="both"/>
              <w:rPr>
                <w:rFonts w:hint="eastAsia" w:ascii="宋体" w:hAnsi="宋体" w:eastAsia="宋体" w:cs="宋体"/>
                <w:color w:val="auto"/>
                <w:szCs w:val="21"/>
                <w:highlight w:val="none"/>
              </w:rPr>
            </w:pPr>
            <w:r>
              <w:rPr>
                <w:rFonts w:hint="eastAsia" w:ascii="宋体" w:hAnsi="宋体" w:eastAsia="宋体" w:cs="宋体"/>
                <w:color w:val="000000"/>
                <w:kern w:val="0"/>
                <w:sz w:val="20"/>
                <w:szCs w:val="20"/>
                <w:highlight w:val="none"/>
                <w:lang w:val="en-US" w:eastAsia="zh-CN" w:bidi="ar"/>
              </w:rPr>
              <w:t xml:space="preserve">某一标段通过第一信封评审的投标人少于 </w:t>
            </w:r>
            <w:r>
              <w:rPr>
                <w:rFonts w:hint="default" w:ascii="Times New Roman" w:hAnsi="Times New Roman" w:eastAsia="宋体" w:cs="Times New Roman"/>
                <w:color w:val="000000"/>
                <w:kern w:val="0"/>
                <w:sz w:val="20"/>
                <w:szCs w:val="20"/>
                <w:highlight w:val="none"/>
                <w:lang w:val="en-US" w:eastAsia="zh-CN" w:bidi="ar"/>
              </w:rPr>
              <w:t xml:space="preserve">3 </w:t>
            </w:r>
            <w:r>
              <w:rPr>
                <w:rFonts w:hint="eastAsia" w:ascii="宋体" w:hAnsi="宋体" w:eastAsia="宋体" w:cs="宋体"/>
                <w:color w:val="000000"/>
                <w:kern w:val="0"/>
                <w:sz w:val="20"/>
                <w:szCs w:val="20"/>
                <w:highlight w:val="none"/>
                <w:lang w:val="en-US" w:eastAsia="zh-CN" w:bidi="ar"/>
              </w:rPr>
              <w:t>个的，评标委员会可以否决这一标段全部投标；未否决全部投标的，评标委员会应当在评标报告中阐明理由，招标人将按规定的程序进行第二信封报价文件开标，但评标委员会在进行第二信封评审时仍有权否决全部投标；评标委员会未在第二信封评审时否决全部投标的，应当在评标报告中阐明理由并推荐中标候选人。</w:t>
            </w:r>
          </w:p>
        </w:tc>
      </w:tr>
    </w:tbl>
    <w:p w14:paraId="5E8CECF4">
      <w:pPr>
        <w:pageBreakBefore w:val="0"/>
        <w:kinsoku/>
        <w:wordWrap w:val="0"/>
        <w:overflowPunct/>
        <w:bidi w:val="0"/>
        <w:jc w:val="both"/>
        <w:rPr>
          <w:rFonts w:hint="eastAsia" w:ascii="宋体" w:hAnsi="宋体" w:eastAsia="宋体" w:cs="宋体"/>
          <w:color w:val="auto"/>
          <w:highlight w:val="none"/>
        </w:rPr>
      </w:pPr>
    </w:p>
    <w:p w14:paraId="4DC7F359">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r>
        <w:separator/>
      </w:r>
    </w:p>
  </w:footnote>
  <w:footnote w:type="continuationSeparator" w:id="19">
    <w:p>
      <w:r>
        <w:continuationSeparator/>
      </w:r>
    </w:p>
  </w:footnote>
  <w:footnote w:id="0">
    <w:p w14:paraId="23E6438E">
      <w:pPr>
        <w:pStyle w:val="3"/>
        <w:spacing w:line="300" w:lineRule="atLeast"/>
        <w:ind w:left="180" w:hanging="180" w:hangingChars="100"/>
        <w:rPr>
          <w:szCs w:val="18"/>
        </w:rPr>
      </w:pPr>
      <w:r>
        <w:rPr>
          <w:rStyle w:val="6"/>
          <w:szCs w:val="18"/>
        </w:rPr>
        <w:footnoteRef/>
      </w:r>
      <w:r>
        <w:rPr>
          <w:szCs w:val="18"/>
        </w:rPr>
        <w:t xml:space="preserve"> “</w:t>
      </w:r>
      <w:r>
        <w:rPr>
          <w:rFonts w:hint="eastAsia"/>
          <w:szCs w:val="18"/>
        </w:rPr>
        <w:t>评标办法前附表</w:t>
      </w:r>
      <w:r>
        <w:rPr>
          <w:szCs w:val="18"/>
        </w:rPr>
        <w:t>”</w:t>
      </w:r>
      <w:r>
        <w:rPr>
          <w:rFonts w:hint="eastAsia"/>
          <w:szCs w:val="18"/>
        </w:rPr>
        <w:t>用于明确评标的方法、因素、标准和程序</w:t>
      </w:r>
      <w:r>
        <w:rPr>
          <w:rFonts w:hint="eastAsia"/>
          <w:szCs w:val="18"/>
          <w:lang w:eastAsia="zh-CN"/>
        </w:rPr>
        <w:t>，是对评标办法正文的补充和细化，应对照评标办法正文中同一编号的条款一起阅读和理解。如前附表与正文不一致时，以前附表的规定为准</w:t>
      </w:r>
      <w:r>
        <w:rPr>
          <w:rFonts w:hint="eastAsia"/>
          <w:szCs w:val="18"/>
        </w:rPr>
        <w:t>。招标人应根据招标项目具体特点和实际需要，详细列明全部评审因素、标准，没有列明的因素和标准不得作为评标的依据。</w:t>
      </w:r>
    </w:p>
  </w:footnote>
  <w:footnote w:id="1">
    <w:p w14:paraId="76BB077F">
      <w:pPr>
        <w:pStyle w:val="3"/>
        <w:spacing w:line="300" w:lineRule="atLeast"/>
        <w:ind w:left="180" w:hanging="180" w:hangingChars="100"/>
        <w:jc w:val="both"/>
        <w:rPr>
          <w:rFonts w:hint="eastAsia"/>
          <w:szCs w:val="18"/>
        </w:rPr>
      </w:pPr>
      <w:r>
        <w:rPr>
          <w:rStyle w:val="6"/>
          <w:szCs w:val="18"/>
        </w:rPr>
        <w:footnoteRef/>
      </w:r>
      <w:r>
        <w:rPr>
          <w:rFonts w:hint="eastAsia" w:ascii="宋体" w:hAnsi="宋体"/>
          <w:szCs w:val="18"/>
        </w:rPr>
        <w:t xml:space="preserve"> 对</w:t>
      </w:r>
      <w:r>
        <w:rPr>
          <w:rFonts w:hint="eastAsia"/>
          <w:szCs w:val="18"/>
        </w:rPr>
        <w:t>于特别复杂的特大桥梁和特长隧道项目主体工程以及其他有特殊要求的工程，还</w:t>
      </w:r>
      <w:r>
        <w:rPr>
          <w:rFonts w:hint="eastAsia"/>
          <w:szCs w:val="18"/>
          <w:lang w:eastAsia="zh-CN"/>
        </w:rPr>
        <w:t>可</w:t>
      </w:r>
      <w:r>
        <w:rPr>
          <w:rFonts w:hint="eastAsia"/>
          <w:szCs w:val="18"/>
        </w:rPr>
        <w:t>对其他</w:t>
      </w:r>
      <w:r>
        <w:rPr>
          <w:rFonts w:hint="eastAsia"/>
          <w:szCs w:val="18"/>
          <w:lang w:eastAsia="zh-CN"/>
        </w:rPr>
        <w:t>主要</w:t>
      </w:r>
      <w:r>
        <w:rPr>
          <w:rFonts w:hint="eastAsia"/>
          <w:szCs w:val="18"/>
        </w:rPr>
        <w:t>监理人员进行资格评审。</w:t>
      </w:r>
    </w:p>
  </w:footnote>
  <w:footnote w:id="2">
    <w:p w14:paraId="76E3EB3E">
      <w:pPr>
        <w:pStyle w:val="3"/>
        <w:spacing w:line="300" w:lineRule="atLeast"/>
        <w:ind w:left="180" w:hanging="180" w:hangingChars="100"/>
        <w:jc w:val="both"/>
      </w:pPr>
      <w:r>
        <w:rPr>
          <w:rStyle w:val="6"/>
        </w:rPr>
        <w:footnoteRef/>
      </w:r>
      <w:r>
        <w:rPr>
          <w:rFonts w:hint="eastAsia"/>
          <w:szCs w:val="18"/>
        </w:rPr>
        <w:t xml:space="preserve"> 本款规定仅适用于根据《关于发布公路工程从业企业资质名录的通知》（厅公路字〔</w:t>
      </w:r>
      <w:r>
        <w:rPr>
          <w:szCs w:val="18"/>
        </w:rPr>
        <w:t>2011</w:t>
      </w:r>
      <w:r>
        <w:rPr>
          <w:rFonts w:hint="eastAsia"/>
          <w:szCs w:val="18"/>
        </w:rPr>
        <w:t>〕</w:t>
      </w:r>
      <w:r>
        <w:rPr>
          <w:szCs w:val="18"/>
        </w:rPr>
        <w:t>114</w:t>
      </w:r>
      <w:r>
        <w:rPr>
          <w:rFonts w:hint="eastAsia"/>
          <w:szCs w:val="18"/>
        </w:rPr>
        <w:t>号）要求，招标人应通过名录对投标人资质条件进行审核的公路</w:t>
      </w:r>
      <w:r>
        <w:rPr>
          <w:rFonts w:hint="eastAsia"/>
          <w:szCs w:val="18"/>
          <w:lang w:eastAsia="zh-CN"/>
        </w:rPr>
        <w:t>施工</w:t>
      </w:r>
      <w:r>
        <w:rPr>
          <w:rFonts w:hint="eastAsia"/>
          <w:szCs w:val="18"/>
        </w:rPr>
        <w:t>监理企业</w:t>
      </w:r>
      <w:r>
        <w:rPr>
          <w:rFonts w:hint="eastAsia"/>
          <w:szCs w:val="18"/>
          <w:lang w:eastAsia="zh-CN"/>
        </w:rPr>
        <w:t>；</w:t>
      </w:r>
      <w:r>
        <w:rPr>
          <w:rFonts w:hint="eastAsia"/>
          <w:szCs w:val="18"/>
        </w:rPr>
        <w:t>如前款文件中规定的资质已由省级相关部门负责审核、审批，则不做要求。</w:t>
      </w:r>
    </w:p>
  </w:footnote>
  <w:footnote w:id="3">
    <w:p w14:paraId="1EFD1FFA">
      <w:pPr>
        <w:pStyle w:val="3"/>
        <w:spacing w:line="280" w:lineRule="atLeast"/>
        <w:ind w:left="180" w:hanging="180" w:hangingChars="100"/>
        <w:jc w:val="both"/>
        <w:rPr>
          <w:szCs w:val="18"/>
        </w:rPr>
      </w:pPr>
      <w:r>
        <w:rPr>
          <w:rStyle w:val="6"/>
        </w:rPr>
        <w:footnoteRef/>
      </w:r>
      <w:r>
        <w:rPr>
          <w:rFonts w:hint="eastAsia"/>
          <w:szCs w:val="18"/>
        </w:rPr>
        <w:t xml:space="preserve"> 各评分因素权重分值范围如下：</w:t>
      </w:r>
      <w:r>
        <w:rPr>
          <w:szCs w:val="18"/>
        </w:rPr>
        <w:t>技术建议书</w:t>
      </w:r>
      <w:r>
        <w:rPr>
          <w:rFonts w:hint="eastAsia"/>
          <w:szCs w:val="18"/>
        </w:rPr>
        <w:t>2</w:t>
      </w:r>
      <w:r>
        <w:rPr>
          <w:rFonts w:hint="eastAsia"/>
          <w:szCs w:val="18"/>
          <w:lang w:eastAsia="zh-CN"/>
        </w:rPr>
        <w:t>5</w:t>
      </w:r>
      <w:r>
        <w:rPr>
          <w:rFonts w:hint="eastAsia"/>
          <w:szCs w:val="18"/>
          <w:lang w:val="en-US" w:eastAsia="zh-CN"/>
        </w:rPr>
        <w:t>~35</w:t>
      </w:r>
      <w:r>
        <w:rPr>
          <w:szCs w:val="18"/>
        </w:rPr>
        <w:t>分</w:t>
      </w:r>
      <w:r>
        <w:rPr>
          <w:rFonts w:hint="eastAsia"/>
          <w:szCs w:val="18"/>
        </w:rPr>
        <w:t>；</w:t>
      </w:r>
      <w:r>
        <w:rPr>
          <w:szCs w:val="18"/>
        </w:rPr>
        <w:t>主要人员</w:t>
      </w:r>
      <w:r>
        <w:rPr>
          <w:rFonts w:hint="eastAsia"/>
          <w:szCs w:val="18"/>
          <w:lang w:eastAsia="zh-CN"/>
        </w:rPr>
        <w:t>25</w:t>
      </w:r>
      <w:r>
        <w:rPr>
          <w:rFonts w:hint="eastAsia"/>
          <w:szCs w:val="18"/>
        </w:rPr>
        <w:t>~4</w:t>
      </w:r>
      <w:r>
        <w:rPr>
          <w:rFonts w:hint="eastAsia"/>
          <w:szCs w:val="18"/>
          <w:lang w:eastAsia="zh-CN"/>
        </w:rPr>
        <w:t>0</w:t>
      </w:r>
      <w:r>
        <w:rPr>
          <w:szCs w:val="18"/>
        </w:rPr>
        <w:t>分</w:t>
      </w:r>
      <w:r>
        <w:rPr>
          <w:rFonts w:hint="eastAsia"/>
          <w:szCs w:val="18"/>
        </w:rPr>
        <w:t>；技术能力0~</w:t>
      </w:r>
      <w:r>
        <w:rPr>
          <w:szCs w:val="18"/>
        </w:rPr>
        <w:t>5分</w:t>
      </w:r>
      <w:r>
        <w:rPr>
          <w:rFonts w:hint="eastAsia"/>
          <w:szCs w:val="18"/>
        </w:rPr>
        <w:t>；</w:t>
      </w:r>
      <w:r>
        <w:rPr>
          <w:szCs w:val="18"/>
        </w:rPr>
        <w:t>业绩10</w:t>
      </w:r>
      <w:r>
        <w:rPr>
          <w:rFonts w:hint="eastAsia"/>
          <w:szCs w:val="18"/>
        </w:rPr>
        <w:t>~</w:t>
      </w:r>
      <w:r>
        <w:rPr>
          <w:szCs w:val="18"/>
        </w:rPr>
        <w:t>2</w:t>
      </w:r>
      <w:r>
        <w:rPr>
          <w:rFonts w:hint="eastAsia"/>
          <w:szCs w:val="18"/>
          <w:lang w:eastAsia="zh-CN"/>
        </w:rPr>
        <w:t>5</w:t>
      </w:r>
      <w:r>
        <w:rPr>
          <w:szCs w:val="18"/>
        </w:rPr>
        <w:t>分</w:t>
      </w:r>
      <w:r>
        <w:rPr>
          <w:rFonts w:hint="eastAsia"/>
          <w:szCs w:val="18"/>
        </w:rPr>
        <w:t>；</w:t>
      </w:r>
      <w:r>
        <w:rPr>
          <w:szCs w:val="18"/>
        </w:rPr>
        <w:t>履约信誉10分</w:t>
      </w:r>
      <w:r>
        <w:rPr>
          <w:rFonts w:hint="eastAsia"/>
          <w:szCs w:val="18"/>
        </w:rPr>
        <w:t>。</w:t>
      </w:r>
    </w:p>
  </w:footnote>
  <w:footnote w:id="4">
    <w:p w14:paraId="6C4F4E2F">
      <w:pPr>
        <w:pStyle w:val="3"/>
        <w:spacing w:line="300" w:lineRule="atLeast"/>
        <w:ind w:left="100" w:hanging="100"/>
        <w:jc w:val="both"/>
        <w:rPr>
          <w:szCs w:val="18"/>
        </w:rPr>
      </w:pPr>
      <w:r>
        <w:rPr>
          <w:rStyle w:val="6"/>
          <w:szCs w:val="18"/>
        </w:rPr>
        <w:footnoteRef/>
      </w:r>
      <w:r>
        <w:rPr>
          <w:rFonts w:hint="eastAsia"/>
          <w:szCs w:val="18"/>
          <w:lang w:eastAsia="zh-CN"/>
        </w:rPr>
        <w:t xml:space="preserve"> </w:t>
      </w:r>
      <w:r>
        <w:rPr>
          <w:rFonts w:hint="eastAsia"/>
        </w:rPr>
        <w:t>评标价权重分值不宜超过10分。</w:t>
      </w:r>
    </w:p>
  </w:footnote>
  <w:footnote w:id="5">
    <w:p w14:paraId="746EFABD">
      <w:pPr>
        <w:pStyle w:val="3"/>
        <w:spacing w:line="300" w:lineRule="atLeast"/>
        <w:ind w:left="100" w:hanging="100"/>
        <w:jc w:val="both"/>
        <w:rPr>
          <w:szCs w:val="18"/>
        </w:rPr>
      </w:pPr>
      <w:r>
        <w:rPr>
          <w:rStyle w:val="6"/>
          <w:szCs w:val="18"/>
        </w:rPr>
        <w:footnoteRef/>
      </w:r>
      <w:r>
        <w:rPr>
          <w:szCs w:val="18"/>
        </w:rPr>
        <w:t xml:space="preserve"> </w:t>
      </w:r>
      <w:r>
        <w:rPr>
          <w:rFonts w:hint="eastAsia"/>
          <w:szCs w:val="18"/>
        </w:rPr>
        <w:t>招标人可依据招标项目特点和实际需要，选择或制定适合项目的评标基准价计算方法。与评标基准价计算或评标价得分计算相关的所有系数（如有），其具体数值或随机抽取的数值区间均应在评标办法中予以明确。</w:t>
      </w:r>
    </w:p>
  </w:footnote>
  <w:footnote w:id="6">
    <w:p w14:paraId="4923C697">
      <w:pPr>
        <w:pStyle w:val="3"/>
        <w:spacing w:line="300" w:lineRule="atLeast"/>
        <w:ind w:left="180" w:hanging="180" w:hangingChars="100"/>
        <w:rPr>
          <w:szCs w:val="18"/>
        </w:rPr>
      </w:pPr>
      <w:r>
        <w:rPr>
          <w:rStyle w:val="6"/>
          <w:szCs w:val="18"/>
        </w:rPr>
        <w:footnoteRef/>
      </w:r>
      <w:r>
        <w:rPr>
          <w:rFonts w:hint="eastAsia"/>
          <w:szCs w:val="18"/>
        </w:rPr>
        <w:t xml:space="preserve"> 招标人应根据项目具体情况确定各评分因素及评分因素权重分值，并对各评分因素进行细分（如有）、确定各评分因素细分项的分值，各评分因素权重分值合计应为100分。</w:t>
      </w:r>
      <w:r>
        <w:rPr>
          <w:szCs w:val="18"/>
        </w:rPr>
        <w:t>各</w:t>
      </w:r>
      <w:r>
        <w:rPr>
          <w:rFonts w:hint="eastAsia"/>
          <w:szCs w:val="18"/>
        </w:rPr>
        <w:t>评分因素（</w:t>
      </w:r>
      <w:r>
        <w:rPr>
          <w:szCs w:val="18"/>
        </w:rPr>
        <w:t>评标价和履约信誉评分项除外</w:t>
      </w:r>
      <w:r>
        <w:rPr>
          <w:rFonts w:hint="eastAsia"/>
          <w:szCs w:val="18"/>
        </w:rPr>
        <w:t>）</w:t>
      </w:r>
      <w:r>
        <w:rPr>
          <w:szCs w:val="18"/>
        </w:rPr>
        <w:t>得分</w:t>
      </w:r>
      <w:r>
        <w:rPr>
          <w:rFonts w:hint="eastAsia"/>
          <w:szCs w:val="18"/>
        </w:rPr>
        <w:t>一般不得</w:t>
      </w:r>
      <w:r>
        <w:rPr>
          <w:szCs w:val="18"/>
        </w:rPr>
        <w:t>低于其权重分</w:t>
      </w:r>
      <w:r>
        <w:rPr>
          <w:rFonts w:hint="eastAsia"/>
          <w:szCs w:val="18"/>
        </w:rPr>
        <w:t>值</w:t>
      </w:r>
      <w:r>
        <w:rPr>
          <w:szCs w:val="18"/>
        </w:rPr>
        <w:t>的60%，且各</w:t>
      </w:r>
      <w:r>
        <w:rPr>
          <w:rFonts w:hint="eastAsia"/>
          <w:szCs w:val="18"/>
        </w:rPr>
        <w:t>评分因素</w:t>
      </w:r>
      <w:r>
        <w:rPr>
          <w:szCs w:val="18"/>
        </w:rPr>
        <w:t>得分应以评标委员会</w:t>
      </w:r>
      <w:r>
        <w:rPr>
          <w:rFonts w:hint="eastAsia"/>
          <w:szCs w:val="18"/>
        </w:rPr>
        <w:t>各成员</w:t>
      </w:r>
      <w:r>
        <w:rPr>
          <w:szCs w:val="18"/>
        </w:rPr>
        <w:t>的打分平均值确定，</w:t>
      </w:r>
      <w:r>
        <w:rPr>
          <w:rFonts w:hint="eastAsia"/>
          <w:szCs w:val="18"/>
        </w:rPr>
        <w:t>评标委员会成员总数为</w:t>
      </w:r>
      <w:r>
        <w:rPr>
          <w:rFonts w:hint="eastAsia"/>
          <w:szCs w:val="18"/>
          <w:lang w:eastAsia="zh-CN"/>
        </w:rPr>
        <w:t>7</w:t>
      </w:r>
      <w:r>
        <w:rPr>
          <w:rFonts w:hint="eastAsia"/>
          <w:szCs w:val="18"/>
        </w:rPr>
        <w:t>人以上时，</w:t>
      </w:r>
      <w:r>
        <w:rPr>
          <w:szCs w:val="18"/>
        </w:rPr>
        <w:t>该平均值以去掉一个最高分和一个最低分后计算。评标委员会成员</w:t>
      </w:r>
      <w:r>
        <w:rPr>
          <w:rFonts w:hint="eastAsia"/>
          <w:szCs w:val="18"/>
        </w:rPr>
        <w:t>对某一项评分因素的</w:t>
      </w:r>
      <w:r>
        <w:rPr>
          <w:szCs w:val="18"/>
        </w:rPr>
        <w:t>评分低于权重分</w:t>
      </w:r>
      <w:r>
        <w:rPr>
          <w:rFonts w:hint="eastAsia"/>
          <w:szCs w:val="18"/>
        </w:rPr>
        <w:t>值</w:t>
      </w:r>
      <w:r>
        <w:rPr>
          <w:szCs w:val="18"/>
        </w:rPr>
        <w:t>60%的，应在评标报告中作出说明。</w:t>
      </w:r>
    </w:p>
  </w:footnote>
  <w:footnote w:id="7">
    <w:p w14:paraId="698CF62F">
      <w:pPr>
        <w:pStyle w:val="3"/>
        <w:spacing w:line="320" w:lineRule="atLeast"/>
        <w:ind w:firstLine="0"/>
        <w:rPr>
          <w:rFonts w:hint="eastAsia"/>
        </w:rPr>
      </w:pPr>
      <w:r>
        <w:rPr>
          <w:rStyle w:val="6"/>
          <w:szCs w:val="18"/>
        </w:rPr>
        <w:footnoteRef/>
      </w:r>
      <w:r>
        <w:rPr>
          <w:rStyle w:val="6"/>
          <w:rFonts w:hint="eastAsia"/>
          <w:szCs w:val="18"/>
        </w:rPr>
        <w:t xml:space="preserve"> </w:t>
      </w:r>
      <w:r>
        <w:rPr>
          <w:rFonts w:hint="eastAsia"/>
          <w:szCs w:val="18"/>
        </w:rPr>
        <w:t>招标人应列明各评分因素或各评分因素细分项(如有)的评分标准并作为评标委员会进行评分的依据。</w:t>
      </w:r>
    </w:p>
  </w:footnote>
  <w:footnote w:id="8">
    <w:p w14:paraId="1046EBB7">
      <w:pPr>
        <w:pStyle w:val="3"/>
        <w:spacing w:line="300" w:lineRule="atLeast"/>
        <w:ind w:left="180" w:hanging="180" w:hangingChars="100"/>
        <w:rPr>
          <w:rStyle w:val="6"/>
          <w:rFonts w:hint="eastAsia"/>
          <w:szCs w:val="18"/>
        </w:rPr>
      </w:pPr>
      <w:r>
        <w:rPr>
          <w:rStyle w:val="6"/>
          <w:szCs w:val="18"/>
        </w:rPr>
        <w:footnoteRef/>
      </w:r>
      <w:r>
        <w:rPr>
          <w:rFonts w:hint="eastAsia"/>
          <w:szCs w:val="18"/>
        </w:rPr>
        <w:t xml:space="preserve"> 招标人可</w:t>
      </w:r>
      <w:r>
        <w:rPr>
          <w:rFonts w:hint="eastAsia"/>
          <w:szCs w:val="18"/>
          <w:lang w:eastAsia="zh-CN"/>
        </w:rPr>
        <w:t>根据辽宁省交通运输厅</w:t>
      </w:r>
      <w:r>
        <w:rPr>
          <w:rFonts w:hint="eastAsia"/>
          <w:szCs w:val="18"/>
        </w:rPr>
        <w:t>的有关规定</w:t>
      </w:r>
      <w:r>
        <w:rPr>
          <w:rFonts w:hint="eastAsia"/>
          <w:szCs w:val="18"/>
          <w:lang w:eastAsia="zh-CN"/>
        </w:rPr>
        <w:t>，按照</w:t>
      </w:r>
      <w:r>
        <w:rPr>
          <w:rFonts w:hint="eastAsia"/>
          <w:szCs w:val="18"/>
        </w:rPr>
        <w:t>投标人的信用评级结果对其履约信用进行评分，但不得任意设置歧视性条款并不得任意设立行政许可。</w:t>
      </w:r>
    </w:p>
    <w:p w14:paraId="5E730A71">
      <w:pPr>
        <w:pStyle w:val="3"/>
        <w:ind w:firstLine="0"/>
        <w:rPr>
          <w:rFonts w:hint="eastAsia"/>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5FFC38"/>
    <w:multiLevelType w:val="singleLevel"/>
    <w:tmpl w:val="425FFC3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18"/>
    <w:footnote w:id="19"/>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D96921"/>
    <w:rsid w:val="04D96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240" w:after="240" w:line="240" w:lineRule="atLeast"/>
      <w:outlineLvl w:val="0"/>
    </w:pPr>
    <w:rPr>
      <w:rFonts w:eastAsia="黑体"/>
      <w:bCs/>
      <w:kern w:val="44"/>
      <w:sz w:val="24"/>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note text"/>
    <w:basedOn w:val="1"/>
    <w:qFormat/>
    <w:uiPriority w:val="0"/>
    <w:pPr>
      <w:adjustRightInd w:val="0"/>
      <w:snapToGrid w:val="0"/>
      <w:spacing w:line="420" w:lineRule="atLeast"/>
      <w:ind w:firstLine="454"/>
      <w:jc w:val="left"/>
      <w:textAlignment w:val="baseline"/>
    </w:pPr>
    <w:rPr>
      <w:kern w:val="0"/>
      <w:sz w:val="18"/>
      <w:szCs w:val="20"/>
    </w:rPr>
  </w:style>
  <w:style w:type="character" w:styleId="6">
    <w:name w:val="footnote reference"/>
    <w:qFormat/>
    <w:uiPriority w:val="0"/>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2026-03-23T07:27:00Z</dcterms:created>
  <dc:creator>Administrator</dc:creator>
  <cp:lastModifiedBy>Administrator</cp:lastModifiedBy>
  <dcterms:modified xsi:type="dcterms:W3CDTF">2026-03-23T07:28:23Z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5B5DF4E9C876499A86D78C776D971C71_11</vt:lpwstr>
  </property>
  <property fmtid="{D5CDD505-2E9C-101B-9397-08002B2CF9AE}" pid="4" name="KSOTemplateDocerSaveRecord">
    <vt:lpwstr>eyJoZGlkIjoiNWZkNzIxMDBiN2VjODg0NjI1YjBjNjYzYjJjNmY5MTIiLCJ1c2VySWQiOiIxMjA0NTQ4NDQ4In0=</vt:lpwstr>
  </property>
</Properties>
</file>