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2026年凌源市儿童及婴幼儿服装产品质量监督抽查实施细则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1DF6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6231A95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53218820">
            <w:pPr>
              <w:widowControl/>
              <w:jc w:val="center"/>
              <w:textAlignment w:val="center"/>
              <w:rPr>
                <w:rFonts w:ascii="宋体" w:hAnsi="宋体" w:cs="宋体"/>
                <w:color w:val="000000"/>
                <w:szCs w:val="21"/>
              </w:rPr>
            </w:pPr>
            <w:r>
              <w:rPr>
                <w:rFonts w:hint="eastAsia" w:ascii="宋体" w:hAnsi="宋体" w:cs="宋体"/>
                <w:color w:val="000000"/>
                <w:szCs w:val="21"/>
              </w:rPr>
              <w:t>儿童及婴幼儿服装</w:t>
            </w:r>
          </w:p>
        </w:tc>
        <w:tc>
          <w:tcPr>
            <w:tcW w:w="1602" w:type="dxa"/>
            <w:vAlign w:val="center"/>
          </w:tcPr>
          <w:p w14:paraId="29B6BF5D">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2件</w:t>
            </w:r>
          </w:p>
        </w:tc>
        <w:tc>
          <w:tcPr>
            <w:tcW w:w="1850" w:type="dxa"/>
            <w:vAlign w:val="center"/>
          </w:tcPr>
          <w:p w14:paraId="57596A68">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2件</w:t>
            </w:r>
          </w:p>
        </w:tc>
        <w:tc>
          <w:tcPr>
            <w:tcW w:w="1788" w:type="dxa"/>
            <w:vAlign w:val="center"/>
          </w:tcPr>
          <w:p w14:paraId="11B07465">
            <w:pPr>
              <w:widowControl/>
              <w:jc w:val="center"/>
              <w:textAlignment w:val="center"/>
              <w:rPr>
                <w:rFonts w:ascii="宋体" w:hAnsi="宋体" w:cs="宋体"/>
                <w:color w:val="000000"/>
                <w:szCs w:val="21"/>
              </w:rPr>
            </w:pPr>
            <w:r>
              <w:rPr>
                <w:rFonts w:hint="eastAsia" w:ascii="宋体" w:hAnsi="宋体" w:cs="宋体"/>
                <w:color w:val="000000"/>
                <w:szCs w:val="21"/>
              </w:rPr>
              <w:t>2件</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儿童及婴幼儿服装</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widowControl/>
              <w:jc w:val="center"/>
              <w:textAlignment w:val="center"/>
              <w:rPr>
                <w:rFonts w:ascii="宋体" w:hAnsi="宋体" w:cs="宋体"/>
                <w:szCs w:val="21"/>
              </w:rPr>
            </w:pPr>
            <w:r>
              <w:rPr>
                <w:rFonts w:hint="eastAsia" w:ascii="宋体" w:hAnsi="宋体" w:cs="宋体"/>
                <w:szCs w:val="21"/>
              </w:rPr>
              <w:t>纤维含量</w:t>
            </w:r>
          </w:p>
        </w:tc>
        <w:tc>
          <w:tcPr>
            <w:tcW w:w="3662" w:type="dxa"/>
            <w:vAlign w:val="center"/>
          </w:tcPr>
          <w:p w14:paraId="5FA16B6A">
            <w:pPr>
              <w:snapToGrid w:val="0"/>
              <w:jc w:val="center"/>
              <w:rPr>
                <w:rFonts w:hint="eastAsia" w:ascii="宋体" w:hAnsi="宋体" w:cs="宋体"/>
                <w:szCs w:val="21"/>
              </w:rPr>
            </w:pPr>
            <w:r>
              <w:rPr>
                <w:rFonts w:hint="eastAsia" w:ascii="宋体" w:hAnsi="宋体" w:cs="宋体"/>
                <w:szCs w:val="21"/>
              </w:rPr>
              <w:t>GB/T 2910.1-2009</w:t>
            </w:r>
          </w:p>
          <w:p w14:paraId="37640CD0">
            <w:pPr>
              <w:snapToGrid w:val="0"/>
              <w:jc w:val="center"/>
              <w:rPr>
                <w:rFonts w:hint="eastAsia" w:ascii="宋体" w:hAnsi="宋体" w:cs="宋体"/>
                <w:szCs w:val="21"/>
              </w:rPr>
            </w:pPr>
            <w:r>
              <w:rPr>
                <w:rFonts w:hint="eastAsia" w:ascii="宋体" w:hAnsi="宋体" w:cs="宋体"/>
                <w:szCs w:val="21"/>
              </w:rPr>
              <w:t>GB/T 2910.2-2009</w:t>
            </w:r>
          </w:p>
          <w:p w14:paraId="71613FE7">
            <w:pPr>
              <w:snapToGrid w:val="0"/>
              <w:jc w:val="center"/>
              <w:rPr>
                <w:rFonts w:hint="eastAsia" w:ascii="宋体" w:hAnsi="宋体" w:cs="宋体"/>
                <w:szCs w:val="21"/>
              </w:rPr>
            </w:pPr>
            <w:r>
              <w:rPr>
                <w:rFonts w:hint="eastAsia" w:ascii="宋体" w:hAnsi="宋体" w:cs="宋体"/>
                <w:szCs w:val="21"/>
              </w:rPr>
              <w:t>GB/T 2910.3-2009</w:t>
            </w:r>
          </w:p>
          <w:p w14:paraId="18B2D589">
            <w:pPr>
              <w:snapToGrid w:val="0"/>
              <w:jc w:val="center"/>
              <w:rPr>
                <w:rFonts w:hint="eastAsia" w:ascii="宋体" w:hAnsi="宋体" w:cs="宋体"/>
                <w:szCs w:val="21"/>
              </w:rPr>
            </w:pPr>
            <w:r>
              <w:rPr>
                <w:rFonts w:hint="eastAsia" w:ascii="宋体" w:hAnsi="宋体" w:cs="宋体"/>
                <w:szCs w:val="21"/>
              </w:rPr>
              <w:t>GB/T 2910.4-2009</w:t>
            </w:r>
          </w:p>
          <w:p w14:paraId="48E41BE5">
            <w:pPr>
              <w:snapToGrid w:val="0"/>
              <w:jc w:val="center"/>
              <w:rPr>
                <w:rFonts w:hint="eastAsia" w:ascii="宋体" w:hAnsi="宋体" w:cs="宋体"/>
                <w:szCs w:val="21"/>
              </w:rPr>
            </w:pPr>
            <w:r>
              <w:rPr>
                <w:rFonts w:hint="eastAsia" w:ascii="宋体" w:hAnsi="宋体" w:cs="宋体"/>
                <w:szCs w:val="21"/>
              </w:rPr>
              <w:t>GB/T 2910.5-2009</w:t>
            </w:r>
          </w:p>
          <w:p w14:paraId="42C27B5A">
            <w:pPr>
              <w:snapToGrid w:val="0"/>
              <w:jc w:val="center"/>
              <w:rPr>
                <w:rFonts w:hint="eastAsia" w:ascii="宋体" w:hAnsi="宋体" w:cs="宋体"/>
                <w:szCs w:val="21"/>
              </w:rPr>
            </w:pPr>
            <w:r>
              <w:rPr>
                <w:rFonts w:hint="eastAsia" w:ascii="宋体" w:hAnsi="宋体" w:cs="宋体"/>
                <w:szCs w:val="21"/>
              </w:rPr>
              <w:t>GB/T 2910.6-2009</w:t>
            </w:r>
          </w:p>
          <w:p w14:paraId="1CDD2EA0">
            <w:pPr>
              <w:snapToGrid w:val="0"/>
              <w:jc w:val="center"/>
              <w:rPr>
                <w:rFonts w:hint="eastAsia" w:ascii="宋体" w:hAnsi="宋体" w:cs="宋体"/>
                <w:szCs w:val="21"/>
              </w:rPr>
            </w:pPr>
            <w:r>
              <w:rPr>
                <w:rFonts w:hint="eastAsia" w:ascii="宋体" w:hAnsi="宋体" w:cs="宋体"/>
                <w:szCs w:val="21"/>
              </w:rPr>
              <w:t xml:space="preserve">GB/T 2910.7-2009  </w:t>
            </w:r>
          </w:p>
          <w:p w14:paraId="46ED835A">
            <w:pPr>
              <w:snapToGrid w:val="0"/>
              <w:jc w:val="center"/>
              <w:rPr>
                <w:rFonts w:hint="eastAsia" w:ascii="宋体" w:hAnsi="宋体" w:cs="宋体"/>
                <w:szCs w:val="21"/>
              </w:rPr>
            </w:pPr>
            <w:r>
              <w:rPr>
                <w:rFonts w:hint="eastAsia" w:ascii="宋体" w:hAnsi="宋体" w:cs="宋体"/>
                <w:szCs w:val="21"/>
              </w:rPr>
              <w:t>GB/T 2910.7-2025</w:t>
            </w:r>
          </w:p>
          <w:p w14:paraId="4DF5E5B9">
            <w:pPr>
              <w:snapToGrid w:val="0"/>
              <w:jc w:val="center"/>
              <w:rPr>
                <w:rFonts w:hint="eastAsia" w:ascii="宋体" w:hAnsi="宋体" w:cs="宋体"/>
                <w:szCs w:val="21"/>
              </w:rPr>
            </w:pPr>
            <w:r>
              <w:rPr>
                <w:rFonts w:hint="eastAsia" w:ascii="宋体" w:hAnsi="宋体" w:cs="宋体"/>
                <w:szCs w:val="21"/>
              </w:rPr>
              <w:t>GB/T 2910.8-2009</w:t>
            </w:r>
          </w:p>
          <w:p w14:paraId="199FCDE6">
            <w:pPr>
              <w:snapToGrid w:val="0"/>
              <w:jc w:val="center"/>
              <w:rPr>
                <w:rFonts w:hint="eastAsia" w:ascii="宋体" w:hAnsi="宋体" w:cs="宋体"/>
                <w:szCs w:val="21"/>
              </w:rPr>
            </w:pPr>
            <w:r>
              <w:rPr>
                <w:rFonts w:hint="eastAsia" w:ascii="宋体" w:hAnsi="宋体" w:cs="宋体"/>
                <w:szCs w:val="21"/>
              </w:rPr>
              <w:t>GB/T 2910.9-2009</w:t>
            </w:r>
          </w:p>
          <w:p w14:paraId="666462FF">
            <w:pPr>
              <w:snapToGrid w:val="0"/>
              <w:jc w:val="center"/>
              <w:rPr>
                <w:rFonts w:hint="eastAsia" w:ascii="宋体" w:hAnsi="宋体" w:cs="宋体"/>
                <w:szCs w:val="21"/>
              </w:rPr>
            </w:pPr>
            <w:r>
              <w:rPr>
                <w:rFonts w:hint="eastAsia" w:ascii="宋体" w:hAnsi="宋体" w:cs="宋体"/>
                <w:szCs w:val="21"/>
              </w:rPr>
              <w:t>GB/T 2910.10-2009</w:t>
            </w:r>
          </w:p>
          <w:p w14:paraId="3C8D462C">
            <w:pPr>
              <w:snapToGrid w:val="0"/>
              <w:jc w:val="center"/>
              <w:rPr>
                <w:rFonts w:hint="eastAsia" w:ascii="宋体" w:hAnsi="宋体" w:cs="宋体"/>
                <w:szCs w:val="21"/>
              </w:rPr>
            </w:pPr>
            <w:r>
              <w:rPr>
                <w:rFonts w:hint="eastAsia" w:ascii="宋体" w:hAnsi="宋体" w:cs="宋体"/>
                <w:szCs w:val="21"/>
              </w:rPr>
              <w:t>GB/T 2910.11-2009</w:t>
            </w:r>
          </w:p>
          <w:p w14:paraId="5CACAB75">
            <w:pPr>
              <w:snapToGrid w:val="0"/>
              <w:jc w:val="center"/>
              <w:rPr>
                <w:rFonts w:hint="eastAsia" w:ascii="宋体" w:hAnsi="宋体" w:cs="宋体"/>
                <w:szCs w:val="21"/>
              </w:rPr>
            </w:pPr>
            <w:r>
              <w:rPr>
                <w:rFonts w:hint="eastAsia" w:ascii="宋体" w:hAnsi="宋体" w:cs="宋体"/>
                <w:szCs w:val="21"/>
              </w:rPr>
              <w:t>GB/T 2910.11-2024</w:t>
            </w:r>
          </w:p>
          <w:p w14:paraId="4B7A580E">
            <w:pPr>
              <w:snapToGrid w:val="0"/>
              <w:jc w:val="center"/>
              <w:rPr>
                <w:rFonts w:hint="eastAsia" w:ascii="宋体" w:hAnsi="宋体" w:cs="宋体"/>
                <w:szCs w:val="21"/>
              </w:rPr>
            </w:pPr>
            <w:r>
              <w:rPr>
                <w:rFonts w:hint="eastAsia" w:ascii="宋体" w:hAnsi="宋体" w:cs="宋体"/>
                <w:szCs w:val="21"/>
              </w:rPr>
              <w:t>GB/T 2910.12-2009</w:t>
            </w:r>
          </w:p>
          <w:p w14:paraId="22E348D1">
            <w:pPr>
              <w:snapToGrid w:val="0"/>
              <w:jc w:val="center"/>
              <w:rPr>
                <w:rFonts w:hint="eastAsia" w:ascii="宋体" w:hAnsi="宋体" w:cs="宋体"/>
                <w:szCs w:val="21"/>
              </w:rPr>
            </w:pPr>
            <w:r>
              <w:rPr>
                <w:rFonts w:hint="eastAsia" w:ascii="宋体" w:hAnsi="宋体" w:cs="宋体"/>
                <w:szCs w:val="21"/>
              </w:rPr>
              <w:t>GB/T 2910.13-2009</w:t>
            </w:r>
          </w:p>
          <w:p w14:paraId="7E3FEAF0">
            <w:pPr>
              <w:snapToGrid w:val="0"/>
              <w:jc w:val="center"/>
              <w:rPr>
                <w:rFonts w:hint="eastAsia" w:ascii="宋体" w:hAnsi="宋体" w:cs="宋体"/>
                <w:szCs w:val="21"/>
              </w:rPr>
            </w:pPr>
            <w:r>
              <w:rPr>
                <w:rFonts w:hint="eastAsia" w:ascii="宋体" w:hAnsi="宋体" w:cs="宋体"/>
                <w:szCs w:val="21"/>
              </w:rPr>
              <w:t>GB/T 2910.14-2009</w:t>
            </w:r>
          </w:p>
          <w:p w14:paraId="61EBFA8D">
            <w:pPr>
              <w:snapToGrid w:val="0"/>
              <w:jc w:val="center"/>
              <w:rPr>
                <w:rFonts w:hint="eastAsia" w:ascii="宋体" w:hAnsi="宋体" w:cs="宋体"/>
                <w:szCs w:val="21"/>
              </w:rPr>
            </w:pPr>
            <w:r>
              <w:rPr>
                <w:rFonts w:hint="eastAsia" w:ascii="宋体" w:hAnsi="宋体" w:cs="宋体"/>
                <w:szCs w:val="21"/>
              </w:rPr>
              <w:t>GB/T 2910.15-2009</w:t>
            </w:r>
          </w:p>
          <w:p w14:paraId="706F9863">
            <w:pPr>
              <w:snapToGrid w:val="0"/>
              <w:jc w:val="center"/>
              <w:rPr>
                <w:rFonts w:hint="eastAsia" w:ascii="宋体" w:hAnsi="宋体" w:cs="宋体"/>
                <w:szCs w:val="21"/>
              </w:rPr>
            </w:pPr>
            <w:r>
              <w:rPr>
                <w:rFonts w:hint="eastAsia" w:ascii="宋体" w:hAnsi="宋体" w:cs="宋体"/>
                <w:szCs w:val="21"/>
              </w:rPr>
              <w:t>GB/T 2910.16-2009</w:t>
            </w:r>
          </w:p>
          <w:p w14:paraId="4DF032B7">
            <w:pPr>
              <w:snapToGrid w:val="0"/>
              <w:jc w:val="center"/>
              <w:rPr>
                <w:rFonts w:hint="eastAsia" w:ascii="宋体" w:hAnsi="宋体" w:cs="宋体"/>
                <w:szCs w:val="21"/>
              </w:rPr>
            </w:pPr>
            <w:r>
              <w:rPr>
                <w:rFonts w:hint="eastAsia" w:ascii="宋体" w:hAnsi="宋体" w:cs="宋体"/>
                <w:szCs w:val="21"/>
              </w:rPr>
              <w:t>GB/T 2010.17-2009</w:t>
            </w:r>
          </w:p>
          <w:p w14:paraId="7D81CAF4">
            <w:pPr>
              <w:snapToGrid w:val="0"/>
              <w:jc w:val="center"/>
              <w:rPr>
                <w:rFonts w:hint="eastAsia" w:ascii="宋体" w:hAnsi="宋体" w:cs="宋体"/>
                <w:szCs w:val="21"/>
              </w:rPr>
            </w:pPr>
            <w:r>
              <w:rPr>
                <w:rFonts w:hint="eastAsia" w:ascii="宋体" w:hAnsi="宋体" w:cs="宋体"/>
                <w:szCs w:val="21"/>
              </w:rPr>
              <w:t>GB/T 2010.18-2009</w:t>
            </w:r>
          </w:p>
          <w:p w14:paraId="2130FEA9">
            <w:pPr>
              <w:snapToGrid w:val="0"/>
              <w:jc w:val="center"/>
              <w:rPr>
                <w:rFonts w:hint="eastAsia" w:ascii="宋体" w:hAnsi="宋体" w:cs="宋体"/>
                <w:szCs w:val="21"/>
              </w:rPr>
            </w:pPr>
            <w:r>
              <w:rPr>
                <w:rFonts w:hint="eastAsia" w:ascii="宋体" w:hAnsi="宋体" w:cs="宋体"/>
                <w:szCs w:val="21"/>
              </w:rPr>
              <w:t>GB/T 2010.19-2009</w:t>
            </w:r>
          </w:p>
          <w:p w14:paraId="2799AA8F">
            <w:pPr>
              <w:snapToGrid w:val="0"/>
              <w:jc w:val="center"/>
              <w:rPr>
                <w:rFonts w:hint="eastAsia" w:ascii="宋体" w:hAnsi="宋体" w:cs="宋体"/>
                <w:szCs w:val="21"/>
              </w:rPr>
            </w:pPr>
            <w:r>
              <w:rPr>
                <w:rFonts w:hint="eastAsia" w:ascii="宋体" w:hAnsi="宋体" w:cs="宋体"/>
                <w:szCs w:val="21"/>
              </w:rPr>
              <w:t>GB/T 2010.20-2009</w:t>
            </w:r>
          </w:p>
          <w:p w14:paraId="1223E875">
            <w:pPr>
              <w:snapToGrid w:val="0"/>
              <w:jc w:val="center"/>
              <w:rPr>
                <w:rFonts w:hint="eastAsia" w:ascii="宋体" w:hAnsi="宋体" w:cs="宋体"/>
                <w:szCs w:val="21"/>
              </w:rPr>
            </w:pPr>
            <w:r>
              <w:rPr>
                <w:rFonts w:hint="eastAsia" w:ascii="宋体" w:hAnsi="宋体" w:cs="宋体"/>
                <w:szCs w:val="21"/>
              </w:rPr>
              <w:t>GB/T 2010.21-2009</w:t>
            </w:r>
          </w:p>
          <w:p w14:paraId="1A514E19">
            <w:pPr>
              <w:snapToGrid w:val="0"/>
              <w:jc w:val="center"/>
              <w:rPr>
                <w:rFonts w:hint="eastAsia" w:ascii="宋体" w:hAnsi="宋体" w:cs="宋体"/>
                <w:szCs w:val="21"/>
              </w:rPr>
            </w:pPr>
            <w:r>
              <w:rPr>
                <w:rFonts w:hint="eastAsia" w:ascii="宋体" w:hAnsi="宋体" w:cs="宋体"/>
                <w:szCs w:val="21"/>
              </w:rPr>
              <w:t>GB/T 2010.22-2009</w:t>
            </w:r>
          </w:p>
          <w:p w14:paraId="4309273B">
            <w:pPr>
              <w:snapToGrid w:val="0"/>
              <w:jc w:val="center"/>
              <w:rPr>
                <w:rFonts w:hint="eastAsia" w:ascii="宋体" w:hAnsi="宋体" w:cs="宋体"/>
                <w:szCs w:val="21"/>
              </w:rPr>
            </w:pPr>
            <w:r>
              <w:rPr>
                <w:rFonts w:hint="eastAsia" w:ascii="宋体" w:hAnsi="宋体" w:cs="宋体"/>
                <w:szCs w:val="21"/>
              </w:rPr>
              <w:t>GB/T 2010.23-2009</w:t>
            </w:r>
          </w:p>
          <w:p w14:paraId="1ED66C7B">
            <w:pPr>
              <w:snapToGrid w:val="0"/>
              <w:jc w:val="center"/>
              <w:rPr>
                <w:rFonts w:hint="eastAsia" w:ascii="宋体" w:hAnsi="宋体" w:cs="宋体"/>
                <w:szCs w:val="21"/>
              </w:rPr>
            </w:pPr>
            <w:r>
              <w:rPr>
                <w:rFonts w:hint="eastAsia" w:ascii="宋体" w:hAnsi="宋体" w:cs="宋体"/>
                <w:szCs w:val="21"/>
              </w:rPr>
              <w:t>GB/T 2010.24-2009</w:t>
            </w:r>
          </w:p>
          <w:p w14:paraId="227C81F2">
            <w:pPr>
              <w:snapToGrid w:val="0"/>
              <w:jc w:val="center"/>
              <w:rPr>
                <w:rFonts w:hint="eastAsia" w:ascii="宋体" w:hAnsi="宋体" w:cs="宋体"/>
                <w:szCs w:val="21"/>
              </w:rPr>
            </w:pPr>
            <w:r>
              <w:rPr>
                <w:rFonts w:hint="eastAsia" w:ascii="宋体" w:hAnsi="宋体" w:cs="宋体"/>
                <w:szCs w:val="21"/>
              </w:rPr>
              <w:t>GB/T 2010.25-2009</w:t>
            </w:r>
          </w:p>
          <w:p w14:paraId="45EDC2B0">
            <w:pPr>
              <w:snapToGrid w:val="0"/>
              <w:jc w:val="center"/>
              <w:rPr>
                <w:rFonts w:hint="eastAsia" w:ascii="宋体" w:hAnsi="宋体" w:cs="宋体"/>
                <w:szCs w:val="21"/>
              </w:rPr>
            </w:pPr>
            <w:r>
              <w:rPr>
                <w:rFonts w:hint="eastAsia" w:ascii="宋体" w:hAnsi="宋体" w:cs="宋体"/>
                <w:szCs w:val="21"/>
              </w:rPr>
              <w:t>GB/T 2010.26-2009</w:t>
            </w:r>
          </w:p>
          <w:p w14:paraId="37F91915">
            <w:pPr>
              <w:snapToGrid w:val="0"/>
              <w:jc w:val="center"/>
              <w:rPr>
                <w:rFonts w:ascii="宋体" w:hAnsi="宋体" w:cs="宋体"/>
                <w:szCs w:val="21"/>
              </w:rPr>
            </w:pPr>
            <w:r>
              <w:rPr>
                <w:rFonts w:hint="eastAsia" w:ascii="宋体" w:hAnsi="宋体" w:cs="宋体"/>
                <w:szCs w:val="21"/>
              </w:rPr>
              <w:t>GB/T 2010.101-2009</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widowControl/>
              <w:jc w:val="center"/>
              <w:textAlignment w:val="center"/>
              <w:rPr>
                <w:rFonts w:ascii="宋体" w:hAnsi="宋体" w:cs="宋体"/>
                <w:szCs w:val="21"/>
              </w:rPr>
            </w:pPr>
            <w:r>
              <w:rPr>
                <w:rFonts w:hint="eastAsia" w:ascii="宋体" w:hAnsi="宋体" w:cs="宋体"/>
                <w:szCs w:val="21"/>
              </w:rPr>
              <w:t>pH值</w:t>
            </w:r>
          </w:p>
        </w:tc>
        <w:tc>
          <w:tcPr>
            <w:tcW w:w="3662" w:type="dxa"/>
            <w:vAlign w:val="center"/>
          </w:tcPr>
          <w:p w14:paraId="52CFC23D">
            <w:pPr>
              <w:snapToGrid w:val="0"/>
              <w:jc w:val="center"/>
              <w:rPr>
                <w:rFonts w:hint="eastAsia" w:ascii="宋体" w:hAnsi="宋体" w:cs="宋体"/>
                <w:color w:val="000000"/>
                <w:szCs w:val="21"/>
              </w:rPr>
            </w:pPr>
            <w:r>
              <w:rPr>
                <w:rFonts w:hint="eastAsia" w:ascii="宋体" w:hAnsi="宋体" w:cs="宋体"/>
                <w:color w:val="000000"/>
                <w:szCs w:val="21"/>
              </w:rPr>
              <w:t>GB/T 7573-2009</w:t>
            </w:r>
          </w:p>
          <w:p w14:paraId="48BA302C">
            <w:pPr>
              <w:snapToGrid w:val="0"/>
              <w:jc w:val="center"/>
              <w:rPr>
                <w:rFonts w:ascii="宋体" w:hAnsi="宋体" w:cs="宋体"/>
                <w:color w:val="000000"/>
                <w:szCs w:val="21"/>
              </w:rPr>
            </w:pPr>
            <w:r>
              <w:rPr>
                <w:rFonts w:hint="eastAsia" w:ascii="宋体" w:hAnsi="宋体" w:cs="宋体"/>
                <w:color w:val="000000"/>
                <w:szCs w:val="21"/>
              </w:rPr>
              <w:t>GB/T 7573-2025</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widowControl/>
              <w:jc w:val="center"/>
              <w:textAlignment w:val="center"/>
              <w:rPr>
                <w:rFonts w:ascii="宋体" w:hAnsi="宋体" w:cs="宋体"/>
                <w:szCs w:val="21"/>
              </w:rPr>
            </w:pPr>
            <w:r>
              <w:rPr>
                <w:rFonts w:hint="eastAsia" w:ascii="宋体" w:hAnsi="宋体" w:cs="宋体"/>
                <w:szCs w:val="21"/>
              </w:rPr>
              <w:t>异味</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 18401-2010</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widowControl/>
              <w:jc w:val="center"/>
              <w:textAlignment w:val="center"/>
              <w:rPr>
                <w:rFonts w:ascii="宋体" w:hAnsi="宋体" w:cs="宋体"/>
                <w:szCs w:val="21"/>
              </w:rPr>
            </w:pPr>
            <w:r>
              <w:rPr>
                <w:rFonts w:hint="eastAsia" w:ascii="宋体" w:hAnsi="宋体" w:cs="宋体"/>
                <w:szCs w:val="21"/>
              </w:rPr>
              <w:t>耐皂洗色牢度</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GB/T 3921-2008</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widowControl/>
              <w:jc w:val="center"/>
              <w:textAlignment w:val="center"/>
              <w:rPr>
                <w:rFonts w:ascii="宋体" w:hAnsi="宋体" w:cs="宋体"/>
                <w:szCs w:val="21"/>
              </w:rPr>
            </w:pPr>
            <w:r>
              <w:rPr>
                <w:rFonts w:hint="eastAsia" w:ascii="宋体" w:hAnsi="宋体" w:cs="宋体"/>
                <w:szCs w:val="21"/>
              </w:rPr>
              <w:t>耐汗渍色牢度</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GB/T 3922-2013</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widowControl/>
              <w:jc w:val="center"/>
              <w:textAlignment w:val="center"/>
              <w:rPr>
                <w:rFonts w:ascii="宋体" w:hAnsi="宋体" w:cs="宋体"/>
                <w:szCs w:val="21"/>
              </w:rPr>
            </w:pPr>
            <w:r>
              <w:rPr>
                <w:rFonts w:hint="eastAsia" w:ascii="宋体" w:hAnsi="宋体" w:cs="宋体"/>
                <w:szCs w:val="21"/>
              </w:rPr>
              <w:t>耐水色牢度</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GB/T 5713-2013</w:t>
            </w:r>
          </w:p>
        </w:tc>
      </w:tr>
      <w:tr w14:paraId="4BF4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F78CDD">
            <w:pPr>
              <w:widowControl/>
              <w:numPr>
                <w:ilvl w:val="0"/>
                <w:numId w:val="1"/>
              </w:numPr>
              <w:jc w:val="center"/>
              <w:textAlignment w:val="center"/>
              <w:rPr>
                <w:rFonts w:ascii="宋体" w:hAnsi="宋体" w:cs="宋体"/>
                <w:kern w:val="0"/>
                <w:szCs w:val="21"/>
              </w:rPr>
            </w:pPr>
          </w:p>
        </w:tc>
        <w:tc>
          <w:tcPr>
            <w:tcW w:w="4033" w:type="dxa"/>
            <w:vAlign w:val="center"/>
          </w:tcPr>
          <w:p w14:paraId="33148234">
            <w:pPr>
              <w:widowControl/>
              <w:jc w:val="center"/>
              <w:textAlignment w:val="center"/>
              <w:rPr>
                <w:rFonts w:ascii="宋体" w:hAnsi="宋体" w:cs="宋体"/>
                <w:szCs w:val="21"/>
              </w:rPr>
            </w:pPr>
            <w:r>
              <w:rPr>
                <w:rFonts w:hint="eastAsia" w:ascii="宋体" w:hAnsi="宋体" w:cs="宋体"/>
                <w:szCs w:val="21"/>
              </w:rPr>
              <w:t>耐摩擦色牢度</w:t>
            </w:r>
          </w:p>
        </w:tc>
        <w:tc>
          <w:tcPr>
            <w:tcW w:w="3662" w:type="dxa"/>
            <w:vAlign w:val="center"/>
          </w:tcPr>
          <w:p w14:paraId="48FD5BE2">
            <w:pPr>
              <w:snapToGrid w:val="0"/>
              <w:jc w:val="center"/>
              <w:rPr>
                <w:rFonts w:hint="eastAsia" w:ascii="宋体" w:hAnsi="宋体" w:cs="宋体"/>
                <w:color w:val="000000"/>
                <w:szCs w:val="21"/>
              </w:rPr>
            </w:pPr>
            <w:r>
              <w:rPr>
                <w:rFonts w:hint="eastAsia" w:ascii="宋体" w:hAnsi="宋体" w:cs="宋体"/>
                <w:color w:val="000000"/>
                <w:szCs w:val="21"/>
              </w:rPr>
              <w:t>GB/T 3920-2008</w:t>
            </w:r>
          </w:p>
          <w:p w14:paraId="5E807529">
            <w:pPr>
              <w:snapToGrid w:val="0"/>
              <w:jc w:val="center"/>
              <w:rPr>
                <w:rFonts w:ascii="宋体" w:hAnsi="宋体" w:cs="宋体"/>
                <w:color w:val="000000"/>
                <w:szCs w:val="21"/>
              </w:rPr>
            </w:pPr>
            <w:r>
              <w:rPr>
                <w:rFonts w:hint="eastAsia" w:ascii="宋体" w:hAnsi="宋体" w:cs="宋体"/>
                <w:color w:val="000000"/>
                <w:szCs w:val="21"/>
              </w:rPr>
              <w:t>GB/T 3920-2024</w:t>
            </w:r>
          </w:p>
        </w:tc>
      </w:tr>
      <w:tr w14:paraId="1D74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1C383B4">
            <w:pPr>
              <w:widowControl/>
              <w:numPr>
                <w:ilvl w:val="0"/>
                <w:numId w:val="1"/>
              </w:numPr>
              <w:jc w:val="center"/>
              <w:textAlignment w:val="center"/>
              <w:rPr>
                <w:rFonts w:ascii="宋体" w:hAnsi="宋体" w:cs="宋体"/>
                <w:kern w:val="0"/>
                <w:szCs w:val="21"/>
              </w:rPr>
            </w:pPr>
          </w:p>
        </w:tc>
        <w:tc>
          <w:tcPr>
            <w:tcW w:w="4033" w:type="dxa"/>
            <w:vAlign w:val="center"/>
          </w:tcPr>
          <w:p w14:paraId="4C1A82B4">
            <w:pPr>
              <w:widowControl/>
              <w:jc w:val="center"/>
              <w:textAlignment w:val="center"/>
              <w:rPr>
                <w:rFonts w:ascii="宋体" w:hAnsi="宋体" w:cs="宋体"/>
                <w:szCs w:val="21"/>
              </w:rPr>
            </w:pPr>
            <w:r>
              <w:rPr>
                <w:rFonts w:hint="eastAsia" w:ascii="宋体" w:hAnsi="宋体" w:cs="宋体"/>
                <w:szCs w:val="21"/>
              </w:rPr>
              <w:t>标识</w:t>
            </w:r>
          </w:p>
        </w:tc>
        <w:tc>
          <w:tcPr>
            <w:tcW w:w="3662" w:type="dxa"/>
            <w:vAlign w:val="center"/>
          </w:tcPr>
          <w:p w14:paraId="464EA405">
            <w:pPr>
              <w:snapToGrid w:val="0"/>
              <w:jc w:val="center"/>
              <w:rPr>
                <w:rFonts w:ascii="宋体" w:hAnsi="宋体" w:cs="宋体"/>
                <w:color w:val="000000"/>
                <w:szCs w:val="21"/>
              </w:rPr>
            </w:pPr>
            <w:r>
              <w:rPr>
                <w:rFonts w:hint="eastAsia" w:ascii="宋体" w:hAnsi="宋体" w:cs="宋体"/>
                <w:color w:val="000000"/>
                <w:szCs w:val="21"/>
              </w:rPr>
              <w:t>GB 31701-2015</w:t>
            </w:r>
          </w:p>
        </w:tc>
      </w:tr>
    </w:tbl>
    <w:p w14:paraId="1EBA56A9">
      <w:pPr>
        <w:snapToGrid w:val="0"/>
        <w:spacing w:line="440" w:lineRule="exact"/>
      </w:pPr>
      <w:bookmarkStart w:id="0" w:name="OLE_LINK3"/>
      <w:bookmarkStart w:id="1" w:name="OLE_LINK4"/>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73386E87">
      <w:pPr>
        <w:adjustRightInd w:val="0"/>
        <w:snapToGrid w:val="0"/>
        <w:spacing w:line="440" w:lineRule="exact"/>
        <w:ind w:firstLine="420" w:firstLineChars="200"/>
        <w:rPr>
          <w:rFonts w:ascii="宋体" w:hAnsi="宋体" w:cs="宋体"/>
          <w:szCs w:val="21"/>
        </w:rPr>
      </w:pPr>
      <w:r>
        <w:rPr>
          <w:rFonts w:hint="eastAsia" w:ascii="宋体" w:hAnsi="宋体" w:cs="宋体"/>
          <w:szCs w:val="21"/>
        </w:rPr>
        <w:t>GB 31701-2015婴幼儿及儿童纺织产品安全技术规范</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43169C6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AF838A6"/>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DF5034"/>
    <w:rsid w:val="0FFE1D4D"/>
    <w:rsid w:val="1021389E"/>
    <w:rsid w:val="103E61F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13B6F"/>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8397A"/>
    <w:rsid w:val="250A6257"/>
    <w:rsid w:val="25401C79"/>
    <w:rsid w:val="25414951"/>
    <w:rsid w:val="25626093"/>
    <w:rsid w:val="256B669F"/>
    <w:rsid w:val="25787665"/>
    <w:rsid w:val="257B0F03"/>
    <w:rsid w:val="25D0124F"/>
    <w:rsid w:val="25D32AED"/>
    <w:rsid w:val="25D87C9C"/>
    <w:rsid w:val="25DC4098"/>
    <w:rsid w:val="25FA56E9"/>
    <w:rsid w:val="25FA62CC"/>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DFA1730"/>
    <w:rsid w:val="3E183FFB"/>
    <w:rsid w:val="3E4405D4"/>
    <w:rsid w:val="3E704F26"/>
    <w:rsid w:val="3E7569E0"/>
    <w:rsid w:val="3E776CA6"/>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6276D"/>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CE7418"/>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CE94821"/>
    <w:rsid w:val="4D03307E"/>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6D2921"/>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755</Words>
  <Characters>1267</Characters>
  <Lines>6</Lines>
  <Paragraphs>1</Paragraphs>
  <TotalTime>53</TotalTime>
  <ScaleCrop>false</ScaleCrop>
  <LinksUpToDate>false</LinksUpToDate>
  <CharactersWithSpaces>1312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2026-06-02T08:11:30Z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