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D71657">
      <w:pPr>
        <w:pStyle w:val="4"/>
        <w:jc w:val="center"/>
        <w:rPr>
          <w:rFonts w:hint="eastAsia" w:ascii="宋体" w:hAnsi="宋体" w:cs="宋体"/>
          <w:b/>
          <w:bCs/>
          <w:sz w:val="32"/>
          <w:szCs w:val="32"/>
          <w:lang w:val="en-US" w:eastAsia="zh-CN"/>
        </w:rPr>
      </w:pPr>
      <w:r>
        <w:rPr>
          <w:rFonts w:hint="eastAsia" w:ascii="宋体" w:hAnsi="宋体" w:cs="宋体"/>
          <w:b/>
          <w:bCs/>
          <w:sz w:val="32"/>
          <w:szCs w:val="32"/>
        </w:rPr>
        <w:t>2026年凌源市</w:t>
      </w:r>
      <w:r>
        <w:rPr>
          <w:rFonts w:hint="eastAsia" w:ascii="宋体" w:hAnsi="宋体" w:cs="宋体"/>
          <w:b/>
          <w:bCs/>
          <w:sz w:val="32"/>
          <w:szCs w:val="32"/>
          <w:lang w:val="en-US" w:eastAsia="zh-CN"/>
        </w:rPr>
        <w:t>商品零售包装袋</w:t>
      </w:r>
    </w:p>
    <w:p w14:paraId="0A470CFD">
      <w:pPr>
        <w:pStyle w:val="4"/>
        <w:jc w:val="center"/>
      </w:pPr>
      <w:r>
        <w:rPr>
          <w:rFonts w:hint="eastAsia" w:ascii="宋体" w:hAnsi="宋体" w:cs="宋体"/>
          <w:b/>
          <w:bCs/>
          <w:sz w:val="32"/>
          <w:szCs w:val="32"/>
        </w:rPr>
        <w:t>产品质量监督抽查实施细则</w:t>
      </w:r>
    </w:p>
    <w:p w14:paraId="7F8D212D">
      <w:pPr>
        <w:snapToGrid w:val="0"/>
        <w:spacing w:line="440" w:lineRule="exact"/>
        <w:rPr>
          <w:rFonts w:ascii="宋体" w:hAnsi="宋体" w:cs="宋体"/>
          <w:b/>
          <w:bCs/>
          <w:szCs w:val="21"/>
        </w:rPr>
      </w:pPr>
      <w:r>
        <w:rPr>
          <w:rFonts w:hint="eastAsia" w:ascii="宋体" w:hAnsi="宋体" w:cs="宋体"/>
          <w:b/>
          <w:bCs/>
          <w:szCs w:val="21"/>
        </w:rPr>
        <w:t>1 抽样方法</w:t>
      </w:r>
    </w:p>
    <w:p w14:paraId="57B22D43">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45D2F8A9">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51017967">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16980A56">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4443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68B76C20">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3B85C428">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0262ED65">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1FAEBBA8">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7A824501">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3F50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1FD2DF">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2639" w:type="dxa"/>
            <w:vAlign w:val="center"/>
          </w:tcPr>
          <w:p w14:paraId="56F57DB2">
            <w:pPr>
              <w:widowControl/>
              <w:jc w:val="center"/>
              <w:textAlignment w:val="center"/>
              <w:rPr>
                <w:rFonts w:hint="eastAsia" w:ascii="宋体" w:hAnsi="宋体" w:cs="宋体"/>
                <w:color w:val="000000"/>
                <w:szCs w:val="21"/>
              </w:rPr>
            </w:pPr>
            <w:r>
              <w:rPr>
                <w:rFonts w:hint="eastAsia" w:ascii="宋体" w:hAnsi="宋体" w:cs="宋体"/>
                <w:color w:val="000000"/>
                <w:szCs w:val="21"/>
              </w:rPr>
              <w:t>商品零售包装袋</w:t>
            </w:r>
          </w:p>
        </w:tc>
        <w:tc>
          <w:tcPr>
            <w:tcW w:w="1602" w:type="dxa"/>
            <w:vAlign w:val="center"/>
          </w:tcPr>
          <w:p w14:paraId="419C230B">
            <w:pPr>
              <w:widowControl/>
              <w:jc w:val="center"/>
              <w:textAlignment w:val="center"/>
              <w:rPr>
                <w:rFonts w:hint="default" w:ascii="宋体" w:hAnsi="宋体" w:cs="宋体"/>
                <w:color w:val="000000"/>
                <w:szCs w:val="21"/>
                <w:lang w:val="en-US" w:eastAsia="zh-CN"/>
              </w:rPr>
            </w:pPr>
            <w:r>
              <w:rPr>
                <w:rFonts w:hint="eastAsia"/>
                <w:lang w:val="en-US" w:eastAsia="zh-CN"/>
              </w:rPr>
              <w:t>100个</w:t>
            </w:r>
          </w:p>
        </w:tc>
        <w:tc>
          <w:tcPr>
            <w:tcW w:w="1850" w:type="dxa"/>
            <w:vAlign w:val="center"/>
          </w:tcPr>
          <w:p w14:paraId="05D497BD">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50个</w:t>
            </w:r>
          </w:p>
        </w:tc>
        <w:tc>
          <w:tcPr>
            <w:tcW w:w="1788" w:type="dxa"/>
            <w:vAlign w:val="center"/>
          </w:tcPr>
          <w:p w14:paraId="0145FAFE">
            <w:pPr>
              <w:widowControl/>
              <w:jc w:val="center"/>
              <w:textAlignment w:val="center"/>
              <w:rPr>
                <w:rFonts w:hint="eastAsia" w:ascii="宋体" w:hAnsi="宋体" w:cs="宋体"/>
                <w:color w:val="000000"/>
                <w:szCs w:val="21"/>
              </w:rPr>
            </w:pPr>
            <w:r>
              <w:rPr>
                <w:rFonts w:hint="eastAsia" w:ascii="宋体" w:hAnsi="宋体" w:cs="宋体"/>
                <w:color w:val="000000"/>
                <w:szCs w:val="21"/>
              </w:rPr>
              <w:t>50个</w:t>
            </w:r>
          </w:p>
        </w:tc>
      </w:tr>
    </w:tbl>
    <w:p w14:paraId="16EDEEE5">
      <w:pPr>
        <w:snapToGrid w:val="0"/>
        <w:spacing w:line="440" w:lineRule="exact"/>
        <w:rPr>
          <w:rFonts w:ascii="宋体" w:hAnsi="宋体" w:cs="宋体"/>
          <w:b/>
          <w:bCs/>
          <w:szCs w:val="21"/>
        </w:rPr>
      </w:pPr>
      <w:bookmarkStart w:id="4" w:name="_GoBack"/>
      <w:bookmarkEnd w:id="4"/>
      <w:r>
        <w:rPr>
          <w:rFonts w:hint="eastAsia" w:ascii="宋体" w:hAnsi="宋体" w:cs="宋体"/>
          <w:b/>
          <w:bCs/>
          <w:szCs w:val="21"/>
        </w:rPr>
        <w:t>2 检验依据</w:t>
      </w:r>
    </w:p>
    <w:p w14:paraId="724C496B"/>
    <w:p w14:paraId="782FF2D0">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rPr>
        <w:t>商品零售包装袋</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D9A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6F57F58">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3043CC6B">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65A25BDD">
            <w:pPr>
              <w:snapToGrid w:val="0"/>
              <w:jc w:val="center"/>
              <w:rPr>
                <w:rFonts w:ascii="宋体" w:hAnsi="宋体" w:cs="宋体"/>
                <w:szCs w:val="21"/>
              </w:rPr>
            </w:pPr>
            <w:r>
              <w:rPr>
                <w:rFonts w:hint="eastAsia" w:ascii="宋体" w:hAnsi="宋体" w:cs="宋体"/>
                <w:szCs w:val="21"/>
              </w:rPr>
              <w:t>检验方法</w:t>
            </w:r>
          </w:p>
        </w:tc>
      </w:tr>
      <w:tr w14:paraId="34EF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4ADA504">
            <w:pPr>
              <w:widowControl/>
              <w:numPr>
                <w:ilvl w:val="0"/>
                <w:numId w:val="1"/>
              </w:numPr>
              <w:jc w:val="center"/>
              <w:textAlignment w:val="center"/>
              <w:rPr>
                <w:rFonts w:ascii="宋体" w:hAnsi="宋体" w:cs="宋体"/>
                <w:kern w:val="0"/>
                <w:szCs w:val="21"/>
              </w:rPr>
            </w:pPr>
          </w:p>
        </w:tc>
        <w:tc>
          <w:tcPr>
            <w:tcW w:w="4033" w:type="dxa"/>
            <w:vAlign w:val="center"/>
          </w:tcPr>
          <w:p w14:paraId="5DDB945B">
            <w:pPr>
              <w:snapToGrid w:val="0"/>
              <w:jc w:val="center"/>
              <w:rPr>
                <w:rFonts w:ascii="宋体" w:hAnsi="宋体" w:cs="宋体"/>
                <w:color w:val="000000"/>
                <w:szCs w:val="21"/>
              </w:rPr>
            </w:pPr>
            <w:r>
              <w:rPr>
                <w:rFonts w:hint="eastAsia" w:ascii="宋体" w:hAnsi="宋体" w:cs="宋体"/>
                <w:color w:val="000000"/>
                <w:szCs w:val="21"/>
              </w:rPr>
              <w:t>漏水性</w:t>
            </w:r>
          </w:p>
        </w:tc>
        <w:tc>
          <w:tcPr>
            <w:tcW w:w="3662" w:type="dxa"/>
            <w:vAlign w:val="center"/>
          </w:tcPr>
          <w:p w14:paraId="37F91915">
            <w:pPr>
              <w:snapToGrid w:val="0"/>
              <w:jc w:val="center"/>
              <w:rPr>
                <w:rFonts w:ascii="宋体" w:hAnsi="宋体" w:cs="宋体"/>
                <w:szCs w:val="21"/>
              </w:rPr>
            </w:pPr>
            <w:r>
              <w:rPr>
                <w:rFonts w:hint="eastAsia" w:ascii="宋体" w:hAnsi="宋体" w:cs="宋体"/>
                <w:szCs w:val="21"/>
              </w:rPr>
              <w:t>BB/T0039-2013</w:t>
            </w:r>
          </w:p>
        </w:tc>
      </w:tr>
      <w:tr w14:paraId="00B5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97E0BB2">
            <w:pPr>
              <w:widowControl/>
              <w:numPr>
                <w:ilvl w:val="0"/>
                <w:numId w:val="1"/>
              </w:numPr>
              <w:jc w:val="center"/>
              <w:textAlignment w:val="center"/>
              <w:rPr>
                <w:rFonts w:ascii="宋体" w:hAnsi="宋体" w:cs="宋体"/>
                <w:kern w:val="0"/>
                <w:szCs w:val="21"/>
              </w:rPr>
            </w:pPr>
          </w:p>
        </w:tc>
        <w:tc>
          <w:tcPr>
            <w:tcW w:w="4033" w:type="dxa"/>
            <w:vAlign w:val="center"/>
          </w:tcPr>
          <w:p w14:paraId="11F57738">
            <w:pPr>
              <w:snapToGrid w:val="0"/>
              <w:jc w:val="center"/>
              <w:rPr>
                <w:rFonts w:ascii="宋体" w:hAnsi="宋体" w:cs="宋体"/>
                <w:color w:val="000000"/>
                <w:szCs w:val="21"/>
              </w:rPr>
            </w:pPr>
            <w:r>
              <w:rPr>
                <w:rFonts w:hint="eastAsia" w:ascii="宋体" w:hAnsi="宋体" w:cs="宋体"/>
                <w:color w:val="000000"/>
                <w:szCs w:val="21"/>
              </w:rPr>
              <w:t>感官</w:t>
            </w:r>
          </w:p>
        </w:tc>
        <w:tc>
          <w:tcPr>
            <w:tcW w:w="3662" w:type="dxa"/>
            <w:vAlign w:val="center"/>
          </w:tcPr>
          <w:p w14:paraId="48BA302C">
            <w:pPr>
              <w:snapToGrid w:val="0"/>
              <w:jc w:val="center"/>
              <w:rPr>
                <w:rFonts w:ascii="宋体" w:hAnsi="宋体" w:cs="宋体"/>
                <w:color w:val="000000"/>
                <w:szCs w:val="21"/>
              </w:rPr>
            </w:pPr>
            <w:r>
              <w:rPr>
                <w:rFonts w:hint="eastAsia" w:ascii="宋体" w:hAnsi="宋体" w:cs="宋体"/>
                <w:color w:val="000000"/>
                <w:szCs w:val="21"/>
              </w:rPr>
              <w:t>BB/T0039-2013</w:t>
            </w:r>
          </w:p>
        </w:tc>
      </w:tr>
      <w:tr w14:paraId="0BCF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160A7C42">
            <w:pPr>
              <w:widowControl/>
              <w:numPr>
                <w:ilvl w:val="0"/>
                <w:numId w:val="1"/>
              </w:numPr>
              <w:jc w:val="center"/>
              <w:textAlignment w:val="center"/>
              <w:rPr>
                <w:rFonts w:ascii="宋体" w:hAnsi="宋体" w:cs="宋体"/>
                <w:kern w:val="0"/>
                <w:szCs w:val="21"/>
              </w:rPr>
            </w:pPr>
          </w:p>
        </w:tc>
        <w:tc>
          <w:tcPr>
            <w:tcW w:w="4033" w:type="dxa"/>
            <w:vAlign w:val="center"/>
          </w:tcPr>
          <w:p w14:paraId="34203AD3">
            <w:pPr>
              <w:snapToGrid w:val="0"/>
              <w:jc w:val="center"/>
              <w:rPr>
                <w:rFonts w:ascii="宋体" w:hAnsi="宋体" w:cs="宋体"/>
                <w:color w:val="000000"/>
                <w:szCs w:val="21"/>
              </w:rPr>
            </w:pPr>
            <w:r>
              <w:rPr>
                <w:rFonts w:hint="eastAsia" w:ascii="宋体" w:hAnsi="宋体" w:cs="宋体"/>
                <w:color w:val="000000"/>
                <w:szCs w:val="21"/>
              </w:rPr>
              <w:t>浸泡液</w:t>
            </w:r>
          </w:p>
        </w:tc>
        <w:tc>
          <w:tcPr>
            <w:tcW w:w="3662" w:type="dxa"/>
            <w:vAlign w:val="center"/>
          </w:tcPr>
          <w:p w14:paraId="0F296168">
            <w:pPr>
              <w:snapToGrid w:val="0"/>
              <w:jc w:val="center"/>
              <w:rPr>
                <w:rFonts w:ascii="宋体" w:hAnsi="宋体" w:cs="宋体"/>
                <w:color w:val="000000"/>
                <w:szCs w:val="21"/>
              </w:rPr>
            </w:pPr>
            <w:r>
              <w:rPr>
                <w:rFonts w:hint="eastAsia" w:ascii="宋体" w:hAnsi="宋体" w:cs="宋体"/>
                <w:color w:val="000000"/>
                <w:szCs w:val="21"/>
              </w:rPr>
              <w:t>GB4806.7-2023</w:t>
            </w:r>
          </w:p>
        </w:tc>
      </w:tr>
      <w:tr w14:paraId="23B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F544A40">
            <w:pPr>
              <w:widowControl/>
              <w:numPr>
                <w:ilvl w:val="0"/>
                <w:numId w:val="1"/>
              </w:numPr>
              <w:jc w:val="center"/>
              <w:textAlignment w:val="center"/>
              <w:rPr>
                <w:rFonts w:ascii="宋体" w:hAnsi="宋体" w:cs="宋体"/>
                <w:kern w:val="0"/>
                <w:szCs w:val="21"/>
              </w:rPr>
            </w:pPr>
          </w:p>
        </w:tc>
        <w:tc>
          <w:tcPr>
            <w:tcW w:w="4033" w:type="dxa"/>
            <w:vAlign w:val="center"/>
          </w:tcPr>
          <w:p w14:paraId="53B34C94">
            <w:pPr>
              <w:snapToGrid w:val="0"/>
              <w:jc w:val="center"/>
              <w:rPr>
                <w:rFonts w:ascii="宋体" w:hAnsi="宋体" w:cs="宋体"/>
                <w:color w:val="000000"/>
                <w:szCs w:val="21"/>
              </w:rPr>
            </w:pPr>
            <w:r>
              <w:rPr>
                <w:rFonts w:hint="eastAsia" w:ascii="宋体" w:hAnsi="宋体" w:cs="宋体"/>
                <w:color w:val="000000"/>
                <w:szCs w:val="21"/>
              </w:rPr>
              <w:t>总迁移量</w:t>
            </w:r>
          </w:p>
        </w:tc>
        <w:tc>
          <w:tcPr>
            <w:tcW w:w="3662" w:type="dxa"/>
            <w:vAlign w:val="center"/>
          </w:tcPr>
          <w:p w14:paraId="1ECBF02D">
            <w:pPr>
              <w:snapToGrid w:val="0"/>
              <w:jc w:val="center"/>
              <w:rPr>
                <w:rFonts w:ascii="宋体" w:hAnsi="宋体" w:cs="宋体"/>
                <w:color w:val="000000"/>
                <w:szCs w:val="21"/>
              </w:rPr>
            </w:pPr>
            <w:r>
              <w:rPr>
                <w:rFonts w:hint="eastAsia" w:ascii="宋体" w:hAnsi="宋体" w:cs="宋体"/>
                <w:color w:val="000000"/>
                <w:szCs w:val="21"/>
              </w:rPr>
              <w:t>GB31604.8-2021</w:t>
            </w:r>
          </w:p>
        </w:tc>
      </w:tr>
      <w:tr w14:paraId="0EE1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B45B0B2">
            <w:pPr>
              <w:widowControl/>
              <w:numPr>
                <w:ilvl w:val="0"/>
                <w:numId w:val="1"/>
              </w:numPr>
              <w:jc w:val="center"/>
              <w:textAlignment w:val="center"/>
              <w:rPr>
                <w:rFonts w:ascii="宋体" w:hAnsi="宋体" w:cs="宋体"/>
                <w:kern w:val="0"/>
                <w:szCs w:val="21"/>
              </w:rPr>
            </w:pPr>
          </w:p>
        </w:tc>
        <w:tc>
          <w:tcPr>
            <w:tcW w:w="4033" w:type="dxa"/>
            <w:vAlign w:val="center"/>
          </w:tcPr>
          <w:p w14:paraId="59BB1A90">
            <w:pPr>
              <w:snapToGrid w:val="0"/>
              <w:jc w:val="center"/>
              <w:rPr>
                <w:rFonts w:ascii="宋体" w:hAnsi="宋体" w:cs="宋体"/>
                <w:color w:val="000000"/>
                <w:szCs w:val="21"/>
              </w:rPr>
            </w:pPr>
            <w:r>
              <w:rPr>
                <w:rFonts w:hint="eastAsia" w:ascii="宋体" w:hAnsi="宋体" w:cs="宋体"/>
                <w:color w:val="000000"/>
                <w:szCs w:val="21"/>
              </w:rPr>
              <w:t>高锰酸钾消耗量</w:t>
            </w:r>
          </w:p>
        </w:tc>
        <w:tc>
          <w:tcPr>
            <w:tcW w:w="3662" w:type="dxa"/>
            <w:vAlign w:val="center"/>
          </w:tcPr>
          <w:p w14:paraId="70C980D4">
            <w:pPr>
              <w:snapToGrid w:val="0"/>
              <w:jc w:val="center"/>
              <w:rPr>
                <w:rFonts w:ascii="宋体" w:hAnsi="宋体" w:cs="宋体"/>
                <w:color w:val="000000"/>
                <w:szCs w:val="21"/>
              </w:rPr>
            </w:pPr>
            <w:r>
              <w:rPr>
                <w:rFonts w:hint="eastAsia" w:ascii="宋体" w:hAnsi="宋体" w:cs="宋体"/>
                <w:color w:val="000000"/>
                <w:szCs w:val="21"/>
              </w:rPr>
              <w:t>GB31604.2-2016</w:t>
            </w:r>
          </w:p>
        </w:tc>
      </w:tr>
      <w:tr w14:paraId="6E42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9A8AF94">
            <w:pPr>
              <w:widowControl/>
              <w:numPr>
                <w:ilvl w:val="0"/>
                <w:numId w:val="1"/>
              </w:numPr>
              <w:jc w:val="center"/>
              <w:textAlignment w:val="center"/>
              <w:rPr>
                <w:rFonts w:ascii="宋体" w:hAnsi="宋体" w:cs="宋体"/>
                <w:kern w:val="0"/>
                <w:szCs w:val="21"/>
              </w:rPr>
            </w:pPr>
          </w:p>
        </w:tc>
        <w:tc>
          <w:tcPr>
            <w:tcW w:w="4033" w:type="dxa"/>
            <w:vAlign w:val="center"/>
          </w:tcPr>
          <w:p w14:paraId="54D45A86">
            <w:pPr>
              <w:snapToGrid w:val="0"/>
              <w:jc w:val="center"/>
              <w:rPr>
                <w:rFonts w:ascii="宋体" w:hAnsi="宋体" w:cs="宋体"/>
                <w:color w:val="000000"/>
                <w:szCs w:val="21"/>
              </w:rPr>
            </w:pPr>
            <w:r>
              <w:rPr>
                <w:rFonts w:hint="eastAsia" w:ascii="宋体" w:hAnsi="宋体" w:cs="宋体"/>
                <w:color w:val="000000"/>
                <w:szCs w:val="21"/>
              </w:rPr>
              <w:t>重金属(以Pb计)</w:t>
            </w:r>
          </w:p>
        </w:tc>
        <w:tc>
          <w:tcPr>
            <w:tcW w:w="3662" w:type="dxa"/>
            <w:vAlign w:val="center"/>
          </w:tcPr>
          <w:p w14:paraId="4C2F7A89">
            <w:pPr>
              <w:snapToGrid w:val="0"/>
              <w:jc w:val="center"/>
              <w:rPr>
                <w:rFonts w:ascii="宋体" w:hAnsi="宋体" w:cs="宋体"/>
                <w:color w:val="000000"/>
                <w:szCs w:val="21"/>
              </w:rPr>
            </w:pPr>
            <w:r>
              <w:rPr>
                <w:rFonts w:hint="eastAsia" w:ascii="宋体" w:hAnsi="宋体" w:cs="宋体"/>
                <w:color w:val="000000"/>
                <w:szCs w:val="21"/>
              </w:rPr>
              <w:t>GB31604.9-2016</w:t>
            </w:r>
          </w:p>
        </w:tc>
      </w:tr>
    </w:tbl>
    <w:p w14:paraId="5E69072E">
      <w:pPr>
        <w:snapToGrid w:val="0"/>
        <w:spacing w:line="440" w:lineRule="exact"/>
      </w:pPr>
      <w:bookmarkStart w:id="0" w:name="OLE_LINK3"/>
      <w:bookmarkStart w:id="1" w:name="OLE_LINK4"/>
    </w:p>
    <w:p w14:paraId="28ED80D9">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4497B705">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6681B725">
      <w:pPr>
        <w:spacing w:line="440" w:lineRule="exact"/>
        <w:rPr>
          <w:rFonts w:ascii="宋体" w:hAnsi="宋体" w:cs="宋体"/>
          <w:b/>
          <w:bCs/>
          <w:szCs w:val="21"/>
        </w:rPr>
      </w:pPr>
      <w:r>
        <w:rPr>
          <w:rFonts w:hint="eastAsia" w:ascii="宋体" w:hAnsi="宋体" w:cs="宋体"/>
          <w:b/>
          <w:bCs/>
          <w:szCs w:val="21"/>
        </w:rPr>
        <w:t>3 判定规则</w:t>
      </w:r>
    </w:p>
    <w:p w14:paraId="4CD79694">
      <w:pPr>
        <w:snapToGrid w:val="0"/>
        <w:spacing w:line="440" w:lineRule="exact"/>
        <w:rPr>
          <w:rFonts w:ascii="宋体" w:hAnsi="宋体" w:cs="宋体"/>
          <w:szCs w:val="21"/>
        </w:rPr>
      </w:pPr>
      <w:r>
        <w:rPr>
          <w:rFonts w:hint="eastAsia" w:ascii="宋体" w:hAnsi="宋体" w:cs="宋体"/>
          <w:szCs w:val="21"/>
        </w:rPr>
        <w:t>3.1依据标准</w:t>
      </w:r>
      <w:bookmarkStart w:id="2" w:name="_Hlk32567754"/>
    </w:p>
    <w:p w14:paraId="75F9D86F">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BB/T0039-2013</w:t>
      </w:r>
      <w:r>
        <w:rPr>
          <w:rFonts w:hint="eastAsia" w:ascii="宋体" w:hAnsi="宋体" w:cs="宋体"/>
          <w:szCs w:val="21"/>
          <w:lang w:val="en-US" w:eastAsia="zh-CN"/>
        </w:rPr>
        <w:t xml:space="preserve"> </w:t>
      </w:r>
      <w:r>
        <w:rPr>
          <w:rFonts w:hint="eastAsia" w:ascii="宋体" w:hAnsi="宋体" w:cs="宋体"/>
          <w:szCs w:val="21"/>
        </w:rPr>
        <w:t>商品零售包装袋</w:t>
      </w:r>
    </w:p>
    <w:p w14:paraId="16F327FB">
      <w:pPr>
        <w:adjustRightInd w:val="0"/>
        <w:snapToGrid w:val="0"/>
        <w:spacing w:line="440" w:lineRule="exact"/>
        <w:ind w:firstLine="420" w:firstLineChars="200"/>
        <w:rPr>
          <w:rFonts w:hint="eastAsia" w:ascii="宋体" w:hAnsi="宋体" w:eastAsia="宋体" w:cs="宋体"/>
          <w:szCs w:val="21"/>
          <w:lang w:val="en-US" w:eastAsia="zh-CN"/>
        </w:rPr>
      </w:pPr>
      <w:r>
        <w:rPr>
          <w:rFonts w:hint="eastAsia" w:ascii="宋体" w:hAnsi="宋体" w:cs="宋体"/>
          <w:szCs w:val="21"/>
        </w:rPr>
        <w:t>GB4806.7-2023</w:t>
      </w:r>
      <w:r>
        <w:rPr>
          <w:rFonts w:hint="eastAsia" w:ascii="宋体" w:hAnsi="宋体" w:cs="宋体"/>
          <w:szCs w:val="21"/>
          <w:lang w:val="en-US" w:eastAsia="zh-CN"/>
        </w:rPr>
        <w:t xml:space="preserve"> 食品安全国家标准 食品接触用塑料材料及制品</w:t>
      </w:r>
    </w:p>
    <w:p w14:paraId="2A1167C2">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2628EC4B">
      <w:pPr>
        <w:snapToGrid w:val="0"/>
        <w:spacing w:line="440" w:lineRule="exact"/>
        <w:rPr>
          <w:rFonts w:ascii="宋体" w:hAnsi="宋体" w:cs="宋体"/>
          <w:szCs w:val="21"/>
        </w:rPr>
      </w:pPr>
      <w:r>
        <w:rPr>
          <w:rFonts w:hint="eastAsia" w:ascii="宋体" w:hAnsi="宋体" w:cs="宋体"/>
          <w:szCs w:val="21"/>
        </w:rPr>
        <w:t>3.2判定原则</w:t>
      </w:r>
    </w:p>
    <w:p w14:paraId="5E75FD1A">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6DA7A64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1E2EC82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3E5CF66C">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357DB31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648B9290">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6A4C66C8"/>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45052">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79E43AE">
    <w:pPr>
      <w:pStyle w:val="6"/>
      <w:ind w:right="360"/>
    </w:pPr>
  </w:p>
  <w:p w14:paraId="085CEF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2A893">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2201210">
    <w:pPr>
      <w:pStyle w:val="6"/>
      <w:ind w:right="360"/>
    </w:pPr>
  </w:p>
  <w:p w14:paraId="7C7E1DB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08D4">
    <w:pPr>
      <w:pStyle w:val="7"/>
      <w:pBdr>
        <w:bottom w:val="none" w:color="auto" w:sz="0" w:space="0"/>
      </w:pBdr>
    </w:pPr>
  </w:p>
  <w:p w14:paraId="0314E5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2581"/>
    <w:rsid w:val="002930EC"/>
    <w:rsid w:val="002A2CA8"/>
    <w:rsid w:val="002B06D1"/>
    <w:rsid w:val="002C26CA"/>
    <w:rsid w:val="002F4989"/>
    <w:rsid w:val="00313C45"/>
    <w:rsid w:val="00350B26"/>
    <w:rsid w:val="00394ED9"/>
    <w:rsid w:val="003B6862"/>
    <w:rsid w:val="003C5973"/>
    <w:rsid w:val="00465A97"/>
    <w:rsid w:val="005B43C1"/>
    <w:rsid w:val="006A3596"/>
    <w:rsid w:val="006B44D0"/>
    <w:rsid w:val="006E0810"/>
    <w:rsid w:val="006F1E7D"/>
    <w:rsid w:val="007E7C89"/>
    <w:rsid w:val="00862CDD"/>
    <w:rsid w:val="00882AA4"/>
    <w:rsid w:val="009328DD"/>
    <w:rsid w:val="0095662B"/>
    <w:rsid w:val="00991ADF"/>
    <w:rsid w:val="009A2E8C"/>
    <w:rsid w:val="009A6D44"/>
    <w:rsid w:val="009C512B"/>
    <w:rsid w:val="00A83620"/>
    <w:rsid w:val="00A9708B"/>
    <w:rsid w:val="00AF4C10"/>
    <w:rsid w:val="00AF665B"/>
    <w:rsid w:val="00B0493F"/>
    <w:rsid w:val="00B37BD1"/>
    <w:rsid w:val="00B47494"/>
    <w:rsid w:val="00B52690"/>
    <w:rsid w:val="00B77EA1"/>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4063FE"/>
    <w:rsid w:val="01527EDF"/>
    <w:rsid w:val="015920E6"/>
    <w:rsid w:val="015B6D94"/>
    <w:rsid w:val="01687703"/>
    <w:rsid w:val="016C71F3"/>
    <w:rsid w:val="01852063"/>
    <w:rsid w:val="01A85D51"/>
    <w:rsid w:val="01B446F6"/>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7A317B"/>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291CB1"/>
    <w:rsid w:val="0B3F3282"/>
    <w:rsid w:val="0B8C3FEE"/>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3E61F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311E8E"/>
    <w:rsid w:val="155B6F0B"/>
    <w:rsid w:val="15602773"/>
    <w:rsid w:val="1562473D"/>
    <w:rsid w:val="15695ACC"/>
    <w:rsid w:val="1574621E"/>
    <w:rsid w:val="157B75AD"/>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6445B"/>
    <w:rsid w:val="168801D3"/>
    <w:rsid w:val="169F72CB"/>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982224"/>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CE3E6A"/>
    <w:rsid w:val="1CD37CCF"/>
    <w:rsid w:val="1CF540E9"/>
    <w:rsid w:val="1CFA34AD"/>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35DD8"/>
    <w:rsid w:val="1FC55FF4"/>
    <w:rsid w:val="1FD437F1"/>
    <w:rsid w:val="1FD47FE6"/>
    <w:rsid w:val="1FDA1374"/>
    <w:rsid w:val="20120487"/>
    <w:rsid w:val="20124FB2"/>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040BE2"/>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BC7A55"/>
    <w:rsid w:val="2ECD0A22"/>
    <w:rsid w:val="2ED56370"/>
    <w:rsid w:val="2F0361F1"/>
    <w:rsid w:val="2F0C295D"/>
    <w:rsid w:val="2F2457F2"/>
    <w:rsid w:val="2F2B74F6"/>
    <w:rsid w:val="2F307202"/>
    <w:rsid w:val="2F656EAC"/>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35D81"/>
    <w:rsid w:val="34AB35B3"/>
    <w:rsid w:val="34E645EB"/>
    <w:rsid w:val="34FB796B"/>
    <w:rsid w:val="35470E02"/>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282471"/>
    <w:rsid w:val="38365E89"/>
    <w:rsid w:val="3842422E"/>
    <w:rsid w:val="386817BB"/>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C3B6C"/>
    <w:rsid w:val="39BD78E5"/>
    <w:rsid w:val="39D32C64"/>
    <w:rsid w:val="39D41265"/>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DFA1730"/>
    <w:rsid w:val="3E183FFB"/>
    <w:rsid w:val="3E4405D4"/>
    <w:rsid w:val="3E704F26"/>
    <w:rsid w:val="3E7569E0"/>
    <w:rsid w:val="3E7E3AE6"/>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DC2D46"/>
    <w:rsid w:val="40E37C31"/>
    <w:rsid w:val="40E439A9"/>
    <w:rsid w:val="40EE65D6"/>
    <w:rsid w:val="410B53D9"/>
    <w:rsid w:val="41101981"/>
    <w:rsid w:val="411E6EBB"/>
    <w:rsid w:val="412F7A54"/>
    <w:rsid w:val="413D1A37"/>
    <w:rsid w:val="4144514D"/>
    <w:rsid w:val="414D77A0"/>
    <w:rsid w:val="414F176A"/>
    <w:rsid w:val="417E7959"/>
    <w:rsid w:val="418331C2"/>
    <w:rsid w:val="41AF037B"/>
    <w:rsid w:val="41B91FC2"/>
    <w:rsid w:val="421309EA"/>
    <w:rsid w:val="421A3B26"/>
    <w:rsid w:val="423B584A"/>
    <w:rsid w:val="424E37D0"/>
    <w:rsid w:val="4250579A"/>
    <w:rsid w:val="42707BEA"/>
    <w:rsid w:val="42823479"/>
    <w:rsid w:val="428A7F46"/>
    <w:rsid w:val="42935686"/>
    <w:rsid w:val="429A4C67"/>
    <w:rsid w:val="429A6A15"/>
    <w:rsid w:val="42B626C1"/>
    <w:rsid w:val="42E139C5"/>
    <w:rsid w:val="42E45EE2"/>
    <w:rsid w:val="43140575"/>
    <w:rsid w:val="43321CFE"/>
    <w:rsid w:val="435377DB"/>
    <w:rsid w:val="436E4771"/>
    <w:rsid w:val="438438A3"/>
    <w:rsid w:val="438F5E4E"/>
    <w:rsid w:val="43993170"/>
    <w:rsid w:val="43A01E09"/>
    <w:rsid w:val="43BB30E7"/>
    <w:rsid w:val="43BD0C0D"/>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4D923C6"/>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8D482F"/>
    <w:rsid w:val="468E6891"/>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7F72214"/>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A606E3"/>
    <w:rsid w:val="4CD831FD"/>
    <w:rsid w:val="4CDF7E46"/>
    <w:rsid w:val="4CE4545C"/>
    <w:rsid w:val="4D1D271C"/>
    <w:rsid w:val="4D2E0486"/>
    <w:rsid w:val="4D3F6B37"/>
    <w:rsid w:val="4D5325E2"/>
    <w:rsid w:val="4D626ED4"/>
    <w:rsid w:val="4D9B5D22"/>
    <w:rsid w:val="4DD21759"/>
    <w:rsid w:val="4E1C4782"/>
    <w:rsid w:val="4E1F4272"/>
    <w:rsid w:val="4E261AA5"/>
    <w:rsid w:val="4E5B79A0"/>
    <w:rsid w:val="4E6F6FA8"/>
    <w:rsid w:val="4E867C5E"/>
    <w:rsid w:val="4E8C5DAC"/>
    <w:rsid w:val="4EB64BD7"/>
    <w:rsid w:val="4ED137BE"/>
    <w:rsid w:val="4ED27537"/>
    <w:rsid w:val="4EE259CC"/>
    <w:rsid w:val="4EEA30EF"/>
    <w:rsid w:val="4EEC23A6"/>
    <w:rsid w:val="4EF456FF"/>
    <w:rsid w:val="4F196F13"/>
    <w:rsid w:val="4F29184C"/>
    <w:rsid w:val="4F2953A8"/>
    <w:rsid w:val="4F4246BC"/>
    <w:rsid w:val="4F495A4B"/>
    <w:rsid w:val="4F512B51"/>
    <w:rsid w:val="4F6A5955"/>
    <w:rsid w:val="4F730D1A"/>
    <w:rsid w:val="4F795F9C"/>
    <w:rsid w:val="4FA233AD"/>
    <w:rsid w:val="4FB1539E"/>
    <w:rsid w:val="4FEA0478"/>
    <w:rsid w:val="4FEB08B0"/>
    <w:rsid w:val="5015592D"/>
    <w:rsid w:val="501E0C85"/>
    <w:rsid w:val="50287A13"/>
    <w:rsid w:val="502D711A"/>
    <w:rsid w:val="506643DA"/>
    <w:rsid w:val="507765E7"/>
    <w:rsid w:val="50792360"/>
    <w:rsid w:val="50AF18DD"/>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2732EA2"/>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AD082A"/>
    <w:rsid w:val="54B5627E"/>
    <w:rsid w:val="54BE2A37"/>
    <w:rsid w:val="54D9517B"/>
    <w:rsid w:val="54E63D3C"/>
    <w:rsid w:val="551469F9"/>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8D0913"/>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CE32A8"/>
    <w:rsid w:val="5AF947C9"/>
    <w:rsid w:val="5B0A4CC1"/>
    <w:rsid w:val="5B286E5C"/>
    <w:rsid w:val="5B525C87"/>
    <w:rsid w:val="5B7976B8"/>
    <w:rsid w:val="5B8B1199"/>
    <w:rsid w:val="5BC00E43"/>
    <w:rsid w:val="5BE30FD5"/>
    <w:rsid w:val="5BFB00CD"/>
    <w:rsid w:val="5C0D1BAE"/>
    <w:rsid w:val="5C2752F2"/>
    <w:rsid w:val="5C283ECF"/>
    <w:rsid w:val="5C50666A"/>
    <w:rsid w:val="5C583771"/>
    <w:rsid w:val="5C6120AB"/>
    <w:rsid w:val="5C6C4246"/>
    <w:rsid w:val="5C8974C8"/>
    <w:rsid w:val="5C95407D"/>
    <w:rsid w:val="5C9F6BCD"/>
    <w:rsid w:val="5CC74453"/>
    <w:rsid w:val="5CD050B5"/>
    <w:rsid w:val="5CEA65A2"/>
    <w:rsid w:val="5D4C5668"/>
    <w:rsid w:val="5D6F0ADD"/>
    <w:rsid w:val="5D72616D"/>
    <w:rsid w:val="5D753EAF"/>
    <w:rsid w:val="5DDE1A54"/>
    <w:rsid w:val="5DE76B45"/>
    <w:rsid w:val="5DFC012C"/>
    <w:rsid w:val="5E0D40E7"/>
    <w:rsid w:val="5E443CB2"/>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129B1"/>
    <w:rsid w:val="60563B24"/>
    <w:rsid w:val="60681AA9"/>
    <w:rsid w:val="606C77EB"/>
    <w:rsid w:val="60797B9D"/>
    <w:rsid w:val="608D150F"/>
    <w:rsid w:val="60A2320D"/>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4E57B6C"/>
    <w:rsid w:val="65047D7F"/>
    <w:rsid w:val="65091AAC"/>
    <w:rsid w:val="650E0E71"/>
    <w:rsid w:val="651E6BDA"/>
    <w:rsid w:val="652C7549"/>
    <w:rsid w:val="653528A1"/>
    <w:rsid w:val="653A1C66"/>
    <w:rsid w:val="656211BC"/>
    <w:rsid w:val="658C6270"/>
    <w:rsid w:val="659B647C"/>
    <w:rsid w:val="65A176F1"/>
    <w:rsid w:val="65D8147F"/>
    <w:rsid w:val="660C45AF"/>
    <w:rsid w:val="661001E2"/>
    <w:rsid w:val="662B4B98"/>
    <w:rsid w:val="66320B8F"/>
    <w:rsid w:val="6639016F"/>
    <w:rsid w:val="663D12E2"/>
    <w:rsid w:val="665925BF"/>
    <w:rsid w:val="667C4500"/>
    <w:rsid w:val="669058B5"/>
    <w:rsid w:val="66AA4BC9"/>
    <w:rsid w:val="66BA2932"/>
    <w:rsid w:val="66CD6B09"/>
    <w:rsid w:val="66DC0AFB"/>
    <w:rsid w:val="66DE0D17"/>
    <w:rsid w:val="66F916AD"/>
    <w:rsid w:val="670267B3"/>
    <w:rsid w:val="670C3554"/>
    <w:rsid w:val="673254D6"/>
    <w:rsid w:val="67346B89"/>
    <w:rsid w:val="674F599C"/>
    <w:rsid w:val="67515045"/>
    <w:rsid w:val="67593DA7"/>
    <w:rsid w:val="676B07FC"/>
    <w:rsid w:val="67705E13"/>
    <w:rsid w:val="6773145F"/>
    <w:rsid w:val="677A27ED"/>
    <w:rsid w:val="677F388C"/>
    <w:rsid w:val="678216A2"/>
    <w:rsid w:val="679C3E9C"/>
    <w:rsid w:val="67A930D3"/>
    <w:rsid w:val="67C021CA"/>
    <w:rsid w:val="67D04B25"/>
    <w:rsid w:val="68146A3F"/>
    <w:rsid w:val="682E182A"/>
    <w:rsid w:val="6867517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C75A92"/>
    <w:rsid w:val="69E55F18"/>
    <w:rsid w:val="69F61ED3"/>
    <w:rsid w:val="6A2152D6"/>
    <w:rsid w:val="6A42336B"/>
    <w:rsid w:val="6A5E63F6"/>
    <w:rsid w:val="6A641533"/>
    <w:rsid w:val="6A771266"/>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67142"/>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95244"/>
    <w:rsid w:val="6D6D109E"/>
    <w:rsid w:val="6D725D15"/>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C61DE"/>
    <w:rsid w:val="6EFF7A7C"/>
    <w:rsid w:val="6F046E40"/>
    <w:rsid w:val="6F435BBB"/>
    <w:rsid w:val="6F742582"/>
    <w:rsid w:val="6F7C2E7B"/>
    <w:rsid w:val="6F7F4719"/>
    <w:rsid w:val="6F83245B"/>
    <w:rsid w:val="6F993A2D"/>
    <w:rsid w:val="6FA04AC2"/>
    <w:rsid w:val="6FAA5C3A"/>
    <w:rsid w:val="6FAC3760"/>
    <w:rsid w:val="6FCA1E38"/>
    <w:rsid w:val="6FCF744E"/>
    <w:rsid w:val="6FF11ABB"/>
    <w:rsid w:val="702F4391"/>
    <w:rsid w:val="703F031D"/>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1B50E1"/>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55192F"/>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5675FB"/>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DE33C7"/>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CC7507"/>
    <w:rsid w:val="7FE17456"/>
    <w:rsid w:val="7FE44850"/>
    <w:rsid w:val="7FE505C8"/>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687</Words>
  <Characters>798</Characters>
  <Lines>6</Lines>
  <Paragraphs>1</Paragraphs>
  <TotalTime>4</TotalTime>
  <ScaleCrop>false</ScaleCrop>
  <LinksUpToDate>false</LinksUpToDate>
  <CharactersWithSpaces>805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2026-06-02T08:11:52Z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