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93976">
      <w:pPr>
        <w:pStyle w:val="4"/>
        <w:jc w:val="center"/>
      </w:pPr>
      <w:r>
        <w:rPr>
          <w:rFonts w:hint="eastAsia" w:ascii="宋体" w:hAnsi="宋体" w:cs="宋体"/>
          <w:b/>
          <w:bCs/>
          <w:sz w:val="32"/>
          <w:szCs w:val="32"/>
        </w:rPr>
        <w:t>2026年凌源市</w:t>
      </w:r>
      <w:r>
        <w:rPr>
          <w:rFonts w:hint="eastAsia" w:ascii="宋体" w:hAnsi="宋体" w:cs="宋体"/>
          <w:b/>
          <w:bCs/>
          <w:sz w:val="32"/>
          <w:szCs w:val="32"/>
          <w:lang w:eastAsia="zh-CN"/>
        </w:rPr>
        <w:t>电风扇</w:t>
      </w:r>
      <w:r>
        <w:rPr>
          <w:rFonts w:hint="eastAsia" w:ascii="宋体" w:hAnsi="宋体" w:cs="宋体"/>
          <w:b/>
          <w:bCs/>
          <w:sz w:val="32"/>
          <w:szCs w:val="32"/>
        </w:rPr>
        <w:t>产品质量监督抽查实施细则</w:t>
      </w:r>
    </w:p>
    <w:p w14:paraId="7C567A00">
      <w:pPr>
        <w:snapToGrid w:val="0"/>
        <w:spacing w:line="440" w:lineRule="exact"/>
        <w:rPr>
          <w:rFonts w:ascii="宋体" w:hAnsi="宋体" w:cs="宋体"/>
          <w:b/>
          <w:bCs/>
          <w:szCs w:val="21"/>
        </w:rPr>
      </w:pPr>
      <w:r>
        <w:rPr>
          <w:rFonts w:hint="eastAsia" w:ascii="宋体" w:hAnsi="宋体" w:cs="宋体"/>
          <w:b/>
          <w:bCs/>
          <w:szCs w:val="21"/>
        </w:rPr>
        <w:t>1 抽样方法</w:t>
      </w:r>
    </w:p>
    <w:p w14:paraId="21F21756">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36FB72A3">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p>
    <w:p w14:paraId="73708737">
      <w:pPr>
        <w:snapToGrid w:val="0"/>
        <w:spacing w:line="440" w:lineRule="exact"/>
        <w:ind w:firstLine="420" w:firstLineChars="200"/>
        <w:rPr>
          <w:rFonts w:ascii="宋体" w:hAnsi="宋体" w:cs="宋体"/>
          <w:szCs w:val="21"/>
        </w:rPr>
      </w:pPr>
      <w:r>
        <w:rPr>
          <w:rFonts w:hint="eastAsia" w:ascii="宋体" w:hAnsi="宋体" w:cs="宋体"/>
          <w:szCs w:val="21"/>
        </w:rPr>
        <w:t>每批次产品抽样数量见表1。</w:t>
      </w:r>
    </w:p>
    <w:p w14:paraId="1055E2E9">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2F027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257DCFAC">
            <w:pPr>
              <w:widowControl/>
              <w:jc w:val="center"/>
              <w:textAlignment w:val="center"/>
              <w:rPr>
                <w:rFonts w:ascii="宋体" w:hAnsi="宋体" w:cs="宋体"/>
                <w:color w:val="000000"/>
                <w:szCs w:val="21"/>
              </w:rPr>
            </w:pPr>
            <w:r>
              <w:rPr>
                <w:rFonts w:hint="eastAsia" w:ascii="宋体" w:hAnsi="宋体" w:cs="宋体"/>
                <w:color w:val="000000"/>
                <w:szCs w:val="21"/>
              </w:rPr>
              <w:t>序号</w:t>
            </w:r>
          </w:p>
        </w:tc>
        <w:tc>
          <w:tcPr>
            <w:tcW w:w="2639" w:type="dxa"/>
            <w:vAlign w:val="center"/>
          </w:tcPr>
          <w:p w14:paraId="23467533">
            <w:pPr>
              <w:widowControl/>
              <w:jc w:val="center"/>
              <w:textAlignment w:val="center"/>
              <w:rPr>
                <w:rFonts w:ascii="宋体" w:hAnsi="宋体" w:cs="宋体"/>
                <w:color w:val="000000"/>
                <w:szCs w:val="21"/>
              </w:rPr>
            </w:pPr>
            <w:r>
              <w:rPr>
                <w:rFonts w:hint="eastAsia" w:ascii="宋体" w:hAnsi="宋体" w:cs="宋体"/>
                <w:color w:val="000000"/>
                <w:szCs w:val="21"/>
              </w:rPr>
              <w:t>产品名称</w:t>
            </w:r>
          </w:p>
        </w:tc>
        <w:tc>
          <w:tcPr>
            <w:tcW w:w="1602" w:type="dxa"/>
            <w:vAlign w:val="center"/>
          </w:tcPr>
          <w:p w14:paraId="288BB41E">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14:paraId="7216B81E">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14:paraId="31C24632">
            <w:pPr>
              <w:widowControl/>
              <w:jc w:val="center"/>
              <w:textAlignment w:val="center"/>
              <w:rPr>
                <w:rFonts w:ascii="宋体" w:hAnsi="宋体" w:cs="宋体"/>
                <w:color w:val="000000"/>
                <w:szCs w:val="21"/>
              </w:rPr>
            </w:pPr>
            <w:r>
              <w:rPr>
                <w:rFonts w:hint="eastAsia" w:ascii="宋体" w:hAnsi="宋体" w:cs="宋体"/>
                <w:color w:val="000000"/>
                <w:szCs w:val="21"/>
              </w:rPr>
              <w:t>备样数量</w:t>
            </w:r>
          </w:p>
        </w:tc>
      </w:tr>
      <w:tr w14:paraId="44F86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88" w:type="dxa"/>
            <w:vAlign w:val="center"/>
          </w:tcPr>
          <w:p w14:paraId="74AF1715">
            <w:pPr>
              <w:widowControl/>
              <w:jc w:val="center"/>
              <w:textAlignment w:val="center"/>
              <w:rPr>
                <w:rFonts w:ascii="宋体" w:hAnsi="宋体" w:cs="宋体"/>
                <w:color w:val="000000"/>
                <w:szCs w:val="21"/>
              </w:rPr>
            </w:pPr>
            <w:r>
              <w:rPr>
                <w:rFonts w:hint="eastAsia" w:ascii="宋体" w:hAnsi="宋体" w:cs="宋体"/>
                <w:color w:val="000000"/>
                <w:szCs w:val="21"/>
              </w:rPr>
              <w:t>1</w:t>
            </w:r>
          </w:p>
        </w:tc>
        <w:tc>
          <w:tcPr>
            <w:tcW w:w="2639" w:type="dxa"/>
            <w:vAlign w:val="center"/>
          </w:tcPr>
          <w:p w14:paraId="66F8FAAA">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szCs w:val="21"/>
                <w:lang w:eastAsia="zh-CN"/>
              </w:rPr>
              <w:t>电风扇</w:t>
            </w:r>
          </w:p>
        </w:tc>
        <w:tc>
          <w:tcPr>
            <w:tcW w:w="1602" w:type="dxa"/>
            <w:vAlign w:val="center"/>
          </w:tcPr>
          <w:p w14:paraId="2FA5191E">
            <w:pPr>
              <w:widowControl/>
              <w:jc w:val="center"/>
              <w:textAlignment w:val="center"/>
              <w:rPr>
                <w:rFonts w:ascii="宋体" w:hAnsi="宋体" w:cs="宋体"/>
                <w:color w:val="000000"/>
                <w:szCs w:val="21"/>
              </w:rPr>
            </w:pPr>
            <w:r>
              <w:rPr>
                <w:rFonts w:hint="eastAsia" w:ascii="宋体" w:hAnsi="宋体" w:cs="宋体"/>
                <w:color w:val="000000"/>
                <w:szCs w:val="21"/>
              </w:rPr>
              <w:t>2个</w:t>
            </w:r>
          </w:p>
        </w:tc>
        <w:tc>
          <w:tcPr>
            <w:tcW w:w="1850" w:type="dxa"/>
            <w:vAlign w:val="center"/>
          </w:tcPr>
          <w:p w14:paraId="1D800315">
            <w:pPr>
              <w:widowControl/>
              <w:jc w:val="center"/>
              <w:textAlignment w:val="center"/>
              <w:rPr>
                <w:rFonts w:ascii="宋体" w:hAnsi="宋体" w:cs="宋体"/>
                <w:color w:val="000000"/>
                <w:szCs w:val="21"/>
              </w:rPr>
            </w:pPr>
            <w:bookmarkStart w:id="0" w:name="OLE_LINK5"/>
            <w:bookmarkStart w:id="1" w:name="OLE_LINK6"/>
            <w:r>
              <w:rPr>
                <w:rFonts w:hint="eastAsia" w:ascii="宋体" w:hAnsi="宋体" w:cs="宋体"/>
                <w:color w:val="000000"/>
                <w:szCs w:val="21"/>
              </w:rPr>
              <w:t>1个</w:t>
            </w:r>
            <w:bookmarkEnd w:id="0"/>
            <w:bookmarkEnd w:id="1"/>
          </w:p>
        </w:tc>
        <w:tc>
          <w:tcPr>
            <w:tcW w:w="1788" w:type="dxa"/>
            <w:vAlign w:val="center"/>
          </w:tcPr>
          <w:p w14:paraId="5605F0B0">
            <w:pPr>
              <w:widowControl/>
              <w:jc w:val="center"/>
              <w:textAlignment w:val="center"/>
              <w:rPr>
                <w:rFonts w:ascii="宋体" w:hAnsi="宋体" w:cs="宋体"/>
                <w:color w:val="000000"/>
                <w:szCs w:val="21"/>
              </w:rPr>
            </w:pPr>
            <w:r>
              <w:rPr>
                <w:rFonts w:hint="eastAsia" w:ascii="宋体" w:hAnsi="宋体" w:cs="宋体"/>
                <w:color w:val="000000"/>
                <w:szCs w:val="21"/>
              </w:rPr>
              <w:t>1个</w:t>
            </w:r>
          </w:p>
        </w:tc>
      </w:tr>
    </w:tbl>
    <w:p w14:paraId="37785EC2">
      <w:pPr>
        <w:pStyle w:val="2"/>
        <w:ind w:firstLine="0" w:firstLineChars="0"/>
      </w:pPr>
    </w:p>
    <w:p w14:paraId="035878ED">
      <w:pPr>
        <w:snapToGrid w:val="0"/>
        <w:spacing w:line="440" w:lineRule="exact"/>
        <w:rPr>
          <w:rFonts w:ascii="宋体" w:hAnsi="宋体" w:cs="宋体"/>
          <w:b/>
          <w:bCs/>
          <w:szCs w:val="21"/>
        </w:rPr>
      </w:pPr>
      <w:r>
        <w:rPr>
          <w:rFonts w:hint="eastAsia" w:ascii="宋体" w:hAnsi="宋体" w:cs="宋体"/>
          <w:b/>
          <w:bCs/>
          <w:szCs w:val="21"/>
        </w:rPr>
        <w:t>2 检验依据</w:t>
      </w:r>
    </w:p>
    <w:p w14:paraId="7F20F217"/>
    <w:p w14:paraId="38173FEE">
      <w:pPr>
        <w:spacing w:line="440" w:lineRule="exact"/>
        <w:jc w:val="center"/>
        <w:rPr>
          <w:rFonts w:ascii="宋体" w:hAnsi="宋体" w:cs="宋体"/>
          <w:szCs w:val="21"/>
        </w:rPr>
      </w:pPr>
      <w:r>
        <w:rPr>
          <w:rFonts w:hint="eastAsia" w:ascii="宋体" w:hAnsi="宋体" w:cs="宋体"/>
          <w:szCs w:val="21"/>
        </w:rPr>
        <w:t>表2</w:t>
      </w:r>
      <w:r>
        <w:rPr>
          <w:rFonts w:hint="eastAsia" w:ascii="宋体" w:hAnsi="宋体" w:cs="宋体"/>
          <w:color w:val="000000"/>
          <w:szCs w:val="21"/>
          <w:lang w:eastAsia="zh-CN"/>
        </w:rPr>
        <w:t>电风扇</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27B64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2653E2B">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216BCD10">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71ECB327">
            <w:pPr>
              <w:snapToGrid w:val="0"/>
              <w:jc w:val="center"/>
              <w:rPr>
                <w:rFonts w:ascii="宋体" w:hAnsi="宋体" w:cs="宋体"/>
                <w:szCs w:val="21"/>
              </w:rPr>
            </w:pPr>
            <w:r>
              <w:rPr>
                <w:rFonts w:hint="eastAsia" w:ascii="宋体" w:hAnsi="宋体" w:cs="宋体"/>
                <w:szCs w:val="21"/>
              </w:rPr>
              <w:t>检验方法</w:t>
            </w:r>
          </w:p>
        </w:tc>
      </w:tr>
      <w:tr w14:paraId="016D9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2C4AFDCC">
            <w:pPr>
              <w:widowControl/>
              <w:numPr>
                <w:ilvl w:val="0"/>
                <w:numId w:val="1"/>
              </w:numPr>
              <w:jc w:val="center"/>
              <w:textAlignment w:val="center"/>
              <w:rPr>
                <w:rFonts w:ascii="宋体" w:hAnsi="宋体" w:cs="宋体"/>
                <w:kern w:val="0"/>
                <w:szCs w:val="21"/>
              </w:rPr>
            </w:pPr>
          </w:p>
        </w:tc>
        <w:tc>
          <w:tcPr>
            <w:tcW w:w="4033" w:type="dxa"/>
            <w:vAlign w:val="center"/>
          </w:tcPr>
          <w:p w14:paraId="0B4AA1C6">
            <w:pPr>
              <w:snapToGrid w:val="0"/>
              <w:jc w:val="center"/>
              <w:rPr>
                <w:rFonts w:ascii="宋体" w:hAnsi="宋体" w:cs="宋体"/>
                <w:color w:val="000000"/>
                <w:szCs w:val="21"/>
              </w:rPr>
            </w:pPr>
            <w:r>
              <w:rPr>
                <w:rFonts w:hint="eastAsia" w:ascii="宋体" w:hAnsi="宋体" w:cs="宋体"/>
                <w:color w:val="000000"/>
                <w:szCs w:val="21"/>
                <w:lang w:val="en-US" w:eastAsia="zh-CN"/>
              </w:rPr>
              <w:t>对触及带电部件的防护</w:t>
            </w:r>
          </w:p>
        </w:tc>
        <w:tc>
          <w:tcPr>
            <w:tcW w:w="3662" w:type="dxa"/>
            <w:vAlign w:val="center"/>
          </w:tcPr>
          <w:p w14:paraId="3508EC5B">
            <w:pPr>
              <w:snapToGrid w:val="0"/>
              <w:jc w:val="center"/>
              <w:rPr>
                <w:rFonts w:ascii="宋体" w:hAnsi="宋体" w:cs="宋体"/>
                <w:szCs w:val="21"/>
              </w:rPr>
            </w:pPr>
            <w:r>
              <w:rPr>
                <w:rFonts w:hint="eastAsia" w:ascii="宋体" w:hAnsi="宋体" w:cs="宋体"/>
                <w:szCs w:val="21"/>
              </w:rPr>
              <w:t>GB 4706.1-2005 GB 4706.27-2008</w:t>
            </w:r>
          </w:p>
        </w:tc>
      </w:tr>
      <w:tr w14:paraId="58C44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43FD8545">
            <w:pPr>
              <w:widowControl/>
              <w:numPr>
                <w:ilvl w:val="0"/>
                <w:numId w:val="1"/>
              </w:numPr>
              <w:jc w:val="center"/>
              <w:textAlignment w:val="center"/>
              <w:rPr>
                <w:rFonts w:ascii="宋体" w:hAnsi="宋体" w:cs="宋体"/>
                <w:kern w:val="0"/>
                <w:szCs w:val="21"/>
              </w:rPr>
            </w:pPr>
          </w:p>
        </w:tc>
        <w:tc>
          <w:tcPr>
            <w:tcW w:w="4033" w:type="dxa"/>
            <w:vAlign w:val="center"/>
          </w:tcPr>
          <w:p w14:paraId="4C40A177">
            <w:pPr>
              <w:snapToGrid w:val="0"/>
              <w:jc w:val="center"/>
              <w:rPr>
                <w:rFonts w:ascii="宋体" w:hAnsi="宋体" w:cs="宋体"/>
                <w:color w:val="000000"/>
                <w:szCs w:val="21"/>
              </w:rPr>
            </w:pPr>
            <w:r>
              <w:rPr>
                <w:rFonts w:hint="eastAsia" w:ascii="宋体" w:hAnsi="宋体" w:cs="宋体"/>
                <w:color w:val="000000"/>
                <w:szCs w:val="21"/>
                <w:lang w:val="en-US" w:eastAsia="zh-CN"/>
              </w:rPr>
              <w:t>工作温度下的泄漏电流和电气强度</w:t>
            </w:r>
          </w:p>
        </w:tc>
        <w:tc>
          <w:tcPr>
            <w:tcW w:w="3662" w:type="dxa"/>
            <w:vAlign w:val="center"/>
          </w:tcPr>
          <w:p w14:paraId="5DBF1A23">
            <w:pPr>
              <w:snapToGrid w:val="0"/>
              <w:jc w:val="center"/>
              <w:rPr>
                <w:rFonts w:ascii="宋体" w:hAnsi="宋体" w:cs="宋体"/>
                <w:color w:val="000000"/>
                <w:szCs w:val="21"/>
              </w:rPr>
            </w:pPr>
            <w:r>
              <w:rPr>
                <w:rFonts w:hint="eastAsia" w:ascii="宋体" w:hAnsi="宋体" w:cs="宋体"/>
                <w:color w:val="000000"/>
                <w:szCs w:val="21"/>
              </w:rPr>
              <w:t>GB/T12113-2003</w:t>
            </w:r>
          </w:p>
        </w:tc>
      </w:tr>
      <w:tr w14:paraId="602C2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2" w:type="dxa"/>
            <w:vAlign w:val="center"/>
          </w:tcPr>
          <w:p w14:paraId="5B04B5B7">
            <w:pPr>
              <w:widowControl/>
              <w:numPr>
                <w:ilvl w:val="0"/>
                <w:numId w:val="1"/>
              </w:numPr>
              <w:jc w:val="center"/>
              <w:textAlignment w:val="center"/>
              <w:rPr>
                <w:rFonts w:ascii="宋体" w:hAnsi="宋体" w:cs="宋体"/>
                <w:kern w:val="0"/>
                <w:szCs w:val="21"/>
              </w:rPr>
            </w:pPr>
          </w:p>
        </w:tc>
        <w:tc>
          <w:tcPr>
            <w:tcW w:w="4033" w:type="dxa"/>
            <w:vAlign w:val="center"/>
          </w:tcPr>
          <w:p w14:paraId="793D1556">
            <w:pPr>
              <w:snapToGrid w:val="0"/>
              <w:jc w:val="center"/>
              <w:rPr>
                <w:rFonts w:ascii="宋体" w:hAnsi="宋体" w:cs="宋体"/>
                <w:color w:val="000000"/>
                <w:szCs w:val="21"/>
              </w:rPr>
            </w:pPr>
            <w:r>
              <w:rPr>
                <w:rFonts w:hint="eastAsia" w:ascii="宋体" w:hAnsi="宋体" w:cs="宋体"/>
                <w:color w:val="000000"/>
                <w:szCs w:val="21"/>
                <w:lang w:val="en-US" w:eastAsia="zh-CN"/>
              </w:rPr>
              <w:t>稳定性和机械危险</w:t>
            </w:r>
          </w:p>
        </w:tc>
        <w:tc>
          <w:tcPr>
            <w:tcW w:w="3662" w:type="dxa"/>
            <w:vAlign w:val="center"/>
          </w:tcPr>
          <w:p w14:paraId="7412A242">
            <w:pPr>
              <w:snapToGrid w:val="0"/>
              <w:jc w:val="center"/>
              <w:rPr>
                <w:rFonts w:ascii="宋体" w:hAnsi="宋体" w:cs="宋体"/>
                <w:color w:val="000000"/>
                <w:szCs w:val="21"/>
              </w:rPr>
            </w:pPr>
            <w:r>
              <w:rPr>
                <w:rFonts w:hint="eastAsia" w:ascii="宋体" w:hAnsi="宋体" w:cs="宋体"/>
                <w:color w:val="000000"/>
                <w:szCs w:val="21"/>
              </w:rPr>
              <w:t>GB 4706.1-2005 GB 4706.27-2008</w:t>
            </w:r>
          </w:p>
        </w:tc>
      </w:tr>
      <w:tr w14:paraId="6341E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7C3A678">
            <w:pPr>
              <w:widowControl/>
              <w:numPr>
                <w:ilvl w:val="0"/>
                <w:numId w:val="1"/>
              </w:numPr>
              <w:jc w:val="center"/>
              <w:textAlignment w:val="center"/>
              <w:rPr>
                <w:rFonts w:ascii="宋体" w:hAnsi="宋体" w:cs="宋体"/>
                <w:kern w:val="0"/>
                <w:szCs w:val="21"/>
              </w:rPr>
            </w:pPr>
          </w:p>
        </w:tc>
        <w:tc>
          <w:tcPr>
            <w:tcW w:w="4033" w:type="dxa"/>
            <w:vAlign w:val="center"/>
          </w:tcPr>
          <w:p w14:paraId="5173AE71">
            <w:pPr>
              <w:snapToGrid w:val="0"/>
              <w:jc w:val="center"/>
              <w:rPr>
                <w:rFonts w:ascii="宋体" w:hAnsi="宋体" w:cs="宋体"/>
                <w:color w:val="000000"/>
                <w:szCs w:val="21"/>
              </w:rPr>
            </w:pPr>
            <w:r>
              <w:rPr>
                <w:rFonts w:hint="eastAsia" w:ascii="宋体" w:hAnsi="宋体" w:cs="宋体"/>
                <w:color w:val="000000"/>
                <w:szCs w:val="21"/>
                <w:lang w:val="en-US" w:eastAsia="zh-CN"/>
              </w:rPr>
              <w:t>机械强度</w:t>
            </w:r>
          </w:p>
        </w:tc>
        <w:tc>
          <w:tcPr>
            <w:tcW w:w="3662" w:type="dxa"/>
            <w:vAlign w:val="center"/>
          </w:tcPr>
          <w:p w14:paraId="2322D1A8">
            <w:pPr>
              <w:snapToGrid w:val="0"/>
              <w:jc w:val="center"/>
              <w:rPr>
                <w:rFonts w:ascii="宋体" w:hAnsi="宋体" w:cs="宋体"/>
                <w:color w:val="000000"/>
                <w:szCs w:val="21"/>
              </w:rPr>
            </w:pPr>
            <w:r>
              <w:rPr>
                <w:rFonts w:hint="eastAsia" w:ascii="宋体" w:hAnsi="宋体" w:cs="宋体"/>
                <w:color w:val="000000"/>
                <w:szCs w:val="21"/>
              </w:rPr>
              <w:t>GB 4706.1-2005 GB 4706.27-2008</w:t>
            </w:r>
          </w:p>
        </w:tc>
      </w:tr>
      <w:tr w14:paraId="3565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634D4BF9">
            <w:pPr>
              <w:widowControl/>
              <w:numPr>
                <w:ilvl w:val="0"/>
                <w:numId w:val="1"/>
              </w:numPr>
              <w:jc w:val="center"/>
              <w:textAlignment w:val="center"/>
              <w:rPr>
                <w:rFonts w:ascii="宋体" w:hAnsi="宋体" w:cs="宋体"/>
                <w:kern w:val="0"/>
                <w:szCs w:val="21"/>
              </w:rPr>
            </w:pPr>
          </w:p>
        </w:tc>
        <w:tc>
          <w:tcPr>
            <w:tcW w:w="4033" w:type="dxa"/>
            <w:vAlign w:val="center"/>
          </w:tcPr>
          <w:p w14:paraId="34D193EF">
            <w:pPr>
              <w:snapToGrid w:val="0"/>
              <w:jc w:val="center"/>
              <w:rPr>
                <w:rFonts w:ascii="宋体" w:hAnsi="宋体" w:cs="宋体"/>
                <w:color w:val="000000"/>
                <w:szCs w:val="21"/>
              </w:rPr>
            </w:pPr>
            <w:r>
              <w:rPr>
                <w:rFonts w:hint="eastAsia" w:ascii="宋体" w:hAnsi="宋体" w:cs="宋体"/>
                <w:color w:val="000000"/>
                <w:szCs w:val="21"/>
                <w:lang w:val="en-US" w:eastAsia="zh-CN"/>
              </w:rPr>
              <w:t>结构</w:t>
            </w:r>
          </w:p>
        </w:tc>
        <w:tc>
          <w:tcPr>
            <w:tcW w:w="3662" w:type="dxa"/>
            <w:vAlign w:val="center"/>
          </w:tcPr>
          <w:p w14:paraId="2B9F414D">
            <w:pPr>
              <w:snapToGrid w:val="0"/>
              <w:jc w:val="center"/>
              <w:rPr>
                <w:rFonts w:ascii="宋体" w:hAnsi="宋体" w:cs="宋体"/>
                <w:color w:val="000000"/>
                <w:szCs w:val="21"/>
              </w:rPr>
            </w:pPr>
            <w:r>
              <w:rPr>
                <w:rFonts w:hint="eastAsia" w:ascii="宋体" w:hAnsi="宋体" w:cs="宋体"/>
                <w:color w:val="000000"/>
                <w:szCs w:val="21"/>
              </w:rPr>
              <w:t>GB 4706.1-2005 GB 4706.27-2008</w:t>
            </w:r>
          </w:p>
        </w:tc>
      </w:tr>
      <w:tr w14:paraId="46567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4A2AA0A8">
            <w:pPr>
              <w:widowControl/>
              <w:numPr>
                <w:ilvl w:val="0"/>
                <w:numId w:val="1"/>
              </w:numPr>
              <w:jc w:val="center"/>
              <w:textAlignment w:val="center"/>
              <w:rPr>
                <w:rFonts w:ascii="宋体" w:hAnsi="宋体" w:cs="宋体"/>
                <w:kern w:val="0"/>
                <w:szCs w:val="21"/>
              </w:rPr>
            </w:pPr>
          </w:p>
        </w:tc>
        <w:tc>
          <w:tcPr>
            <w:tcW w:w="4033" w:type="dxa"/>
            <w:vAlign w:val="center"/>
          </w:tcPr>
          <w:p w14:paraId="46F9195B">
            <w:pPr>
              <w:snapToGrid w:val="0"/>
              <w:jc w:val="center"/>
              <w:rPr>
                <w:rFonts w:ascii="宋体" w:hAnsi="宋体" w:cs="宋体"/>
                <w:color w:val="000000"/>
                <w:szCs w:val="21"/>
              </w:rPr>
            </w:pPr>
            <w:r>
              <w:rPr>
                <w:rFonts w:hint="eastAsia" w:ascii="宋体" w:hAnsi="宋体" w:cs="宋体"/>
                <w:color w:val="000000"/>
                <w:szCs w:val="21"/>
                <w:lang w:val="en-US" w:eastAsia="zh-CN"/>
              </w:rPr>
              <w:t>电源连接和外部软线</w:t>
            </w:r>
          </w:p>
        </w:tc>
        <w:tc>
          <w:tcPr>
            <w:tcW w:w="3662" w:type="dxa"/>
            <w:vAlign w:val="center"/>
          </w:tcPr>
          <w:p w14:paraId="5AE92FD2">
            <w:pPr>
              <w:snapToGrid w:val="0"/>
              <w:jc w:val="center"/>
              <w:rPr>
                <w:rFonts w:ascii="宋体" w:hAnsi="宋体" w:cs="宋体"/>
                <w:color w:val="000000"/>
                <w:szCs w:val="21"/>
              </w:rPr>
            </w:pPr>
            <w:r>
              <w:rPr>
                <w:rFonts w:hint="eastAsia" w:ascii="宋体" w:hAnsi="宋体" w:cs="宋体"/>
                <w:color w:val="000000"/>
                <w:szCs w:val="21"/>
              </w:rPr>
              <w:t>GB 4706.1-2005 GB 4706.27-2008</w:t>
            </w:r>
          </w:p>
        </w:tc>
      </w:tr>
      <w:tr w14:paraId="28952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BCA3001">
            <w:pPr>
              <w:widowControl/>
              <w:numPr>
                <w:ilvl w:val="0"/>
                <w:numId w:val="1"/>
              </w:numPr>
              <w:jc w:val="center"/>
              <w:textAlignment w:val="center"/>
              <w:rPr>
                <w:rFonts w:ascii="宋体" w:hAnsi="宋体" w:cs="宋体"/>
                <w:kern w:val="0"/>
                <w:szCs w:val="21"/>
              </w:rPr>
            </w:pPr>
          </w:p>
        </w:tc>
        <w:tc>
          <w:tcPr>
            <w:tcW w:w="4033" w:type="dxa"/>
            <w:vAlign w:val="center"/>
          </w:tcPr>
          <w:p w14:paraId="226F328D">
            <w:pPr>
              <w:snapToGrid w:val="0"/>
              <w:jc w:val="center"/>
              <w:rPr>
                <w:rFonts w:ascii="宋体" w:hAnsi="宋体" w:cs="宋体"/>
                <w:color w:val="000000"/>
                <w:szCs w:val="21"/>
              </w:rPr>
            </w:pPr>
            <w:r>
              <w:rPr>
                <w:rFonts w:hint="eastAsia" w:ascii="宋体" w:hAnsi="宋体" w:cs="宋体"/>
                <w:color w:val="000000"/>
                <w:szCs w:val="21"/>
                <w:lang w:val="en-US" w:eastAsia="zh-CN"/>
              </w:rPr>
              <w:t>接地措施</w:t>
            </w:r>
          </w:p>
        </w:tc>
        <w:tc>
          <w:tcPr>
            <w:tcW w:w="3662" w:type="dxa"/>
            <w:vAlign w:val="center"/>
          </w:tcPr>
          <w:p w14:paraId="338C5871">
            <w:pPr>
              <w:snapToGrid w:val="0"/>
              <w:jc w:val="center"/>
              <w:rPr>
                <w:rFonts w:ascii="宋体" w:hAnsi="宋体" w:cs="宋体"/>
                <w:color w:val="000000"/>
                <w:szCs w:val="21"/>
              </w:rPr>
            </w:pPr>
            <w:r>
              <w:rPr>
                <w:rFonts w:hint="eastAsia" w:ascii="宋体" w:hAnsi="宋体" w:cs="宋体"/>
                <w:color w:val="000000"/>
                <w:szCs w:val="21"/>
              </w:rPr>
              <w:t>GB 4706.1-2005</w:t>
            </w:r>
          </w:p>
        </w:tc>
      </w:tr>
      <w:tr w14:paraId="7D562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34252DD7">
            <w:pPr>
              <w:widowControl/>
              <w:numPr>
                <w:ilvl w:val="0"/>
                <w:numId w:val="1"/>
              </w:numPr>
              <w:jc w:val="center"/>
              <w:textAlignment w:val="center"/>
              <w:rPr>
                <w:rFonts w:ascii="宋体" w:hAnsi="宋体" w:cs="宋体"/>
                <w:kern w:val="0"/>
                <w:szCs w:val="21"/>
              </w:rPr>
            </w:pPr>
          </w:p>
        </w:tc>
        <w:tc>
          <w:tcPr>
            <w:tcW w:w="4033" w:type="dxa"/>
            <w:vAlign w:val="center"/>
          </w:tcPr>
          <w:p w14:paraId="4723A110">
            <w:pPr>
              <w:snapToGrid w:val="0"/>
              <w:jc w:val="center"/>
              <w:rPr>
                <w:rFonts w:ascii="宋体" w:hAnsi="宋体" w:cs="宋体"/>
                <w:color w:val="000000"/>
                <w:szCs w:val="21"/>
              </w:rPr>
            </w:pPr>
            <w:r>
              <w:rPr>
                <w:rFonts w:hint="eastAsia" w:ascii="宋体" w:hAnsi="宋体" w:cs="宋体"/>
                <w:color w:val="000000"/>
                <w:szCs w:val="21"/>
                <w:lang w:val="en-US" w:eastAsia="zh-CN"/>
              </w:rPr>
              <w:t>电气间隙、爬电距离和固体绝缘</w:t>
            </w:r>
          </w:p>
        </w:tc>
        <w:tc>
          <w:tcPr>
            <w:tcW w:w="3662" w:type="dxa"/>
            <w:vAlign w:val="center"/>
          </w:tcPr>
          <w:p w14:paraId="4AE53785">
            <w:pPr>
              <w:snapToGrid w:val="0"/>
              <w:jc w:val="center"/>
              <w:rPr>
                <w:rFonts w:ascii="宋体" w:hAnsi="宋体" w:cs="宋体"/>
                <w:color w:val="000000"/>
                <w:szCs w:val="21"/>
              </w:rPr>
            </w:pPr>
            <w:r>
              <w:rPr>
                <w:rFonts w:hint="eastAsia" w:ascii="宋体" w:hAnsi="宋体" w:cs="宋体"/>
                <w:color w:val="000000"/>
                <w:szCs w:val="21"/>
              </w:rPr>
              <w:t>GB 4706.1-2005 GB 4706.27-2008</w:t>
            </w:r>
          </w:p>
        </w:tc>
      </w:tr>
    </w:tbl>
    <w:p w14:paraId="631046F6">
      <w:pPr>
        <w:snapToGrid w:val="0"/>
        <w:spacing w:line="440" w:lineRule="exact"/>
      </w:pPr>
      <w:bookmarkStart w:id="2" w:name="OLE_LINK3"/>
      <w:bookmarkStart w:id="3" w:name="OLE_LINK4"/>
    </w:p>
    <w:p w14:paraId="3D521DBC">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12AD9ED9">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w:t>
      </w:r>
      <w:bookmarkEnd w:id="2"/>
      <w:bookmarkEnd w:id="3"/>
      <w:r>
        <w:rPr>
          <w:rFonts w:hint="eastAsia" w:ascii="宋体" w:hAnsi="宋体" w:cs="宋体"/>
          <w:szCs w:val="21"/>
        </w:rPr>
        <w:t>是不注日期的文件，其最新版本适用于本细则。</w:t>
      </w:r>
    </w:p>
    <w:p w14:paraId="748627DF">
      <w:pPr>
        <w:spacing w:line="440" w:lineRule="exact"/>
        <w:rPr>
          <w:rFonts w:ascii="宋体" w:hAnsi="宋体" w:cs="宋体"/>
          <w:b/>
          <w:bCs/>
          <w:szCs w:val="21"/>
        </w:rPr>
      </w:pPr>
      <w:r>
        <w:rPr>
          <w:rFonts w:hint="eastAsia" w:ascii="宋体" w:hAnsi="宋体" w:cs="宋体"/>
          <w:b/>
          <w:bCs/>
          <w:szCs w:val="21"/>
        </w:rPr>
        <w:t>3 判定规则</w:t>
      </w:r>
    </w:p>
    <w:p w14:paraId="3DBB8AA3">
      <w:pPr>
        <w:snapToGrid w:val="0"/>
        <w:spacing w:line="440" w:lineRule="exact"/>
        <w:rPr>
          <w:rFonts w:ascii="宋体" w:hAnsi="宋体" w:cs="宋体"/>
          <w:szCs w:val="21"/>
        </w:rPr>
      </w:pPr>
      <w:r>
        <w:rPr>
          <w:rFonts w:hint="eastAsia" w:ascii="宋体" w:hAnsi="宋体" w:cs="宋体"/>
          <w:szCs w:val="21"/>
        </w:rPr>
        <w:t>3.1依据标准</w:t>
      </w:r>
      <w:bookmarkStart w:id="4" w:name="_Hlk32567754"/>
    </w:p>
    <w:p w14:paraId="5B139C75">
      <w:pPr>
        <w:adjustRightInd w:val="0"/>
        <w:snapToGrid w:val="0"/>
        <w:spacing w:line="440" w:lineRule="exact"/>
        <w:ind w:firstLine="420" w:firstLineChars="200"/>
        <w:rPr>
          <w:rFonts w:hint="eastAsia" w:ascii="宋体" w:hAnsi="宋体" w:cs="宋体"/>
          <w:szCs w:val="21"/>
        </w:rPr>
      </w:pPr>
      <w:r>
        <w:rPr>
          <w:rFonts w:ascii="宋体" w:hAnsi="宋体" w:cs="宋体"/>
          <w:szCs w:val="21"/>
        </w:rPr>
        <w:t>GB 4706.1-2005</w:t>
      </w:r>
      <w:r>
        <w:rPr>
          <w:rFonts w:hint="eastAsia" w:ascii="宋体" w:hAnsi="宋体" w:cs="宋体"/>
          <w:szCs w:val="21"/>
        </w:rPr>
        <w:t>家用和类似用途电器的安全 第1部分：通用要求</w:t>
      </w:r>
    </w:p>
    <w:p w14:paraId="77246967">
      <w:pPr>
        <w:adjustRightInd w:val="0"/>
        <w:snapToGrid w:val="0"/>
        <w:spacing w:line="440" w:lineRule="exact"/>
        <w:ind w:firstLine="420" w:firstLineChars="200"/>
        <w:rPr>
          <w:rFonts w:hint="eastAsia" w:ascii="宋体" w:hAnsi="宋体" w:cs="宋体"/>
          <w:szCs w:val="21"/>
        </w:rPr>
      </w:pPr>
      <w:r>
        <w:rPr>
          <w:rFonts w:hint="eastAsia" w:ascii="宋体" w:hAnsi="宋体" w:cs="宋体"/>
          <w:szCs w:val="21"/>
        </w:rPr>
        <w:t>GB 4706.27-2008家用和类似用途电器的安全 第2部分：电风扇和调速器的特殊要求</w:t>
      </w:r>
    </w:p>
    <w:p w14:paraId="5ED1F0AD">
      <w:pPr>
        <w:adjustRightInd w:val="0"/>
        <w:snapToGrid w:val="0"/>
        <w:spacing w:line="440" w:lineRule="exact"/>
        <w:ind w:firstLine="420" w:firstLineChars="200"/>
        <w:rPr>
          <w:rFonts w:ascii="宋体" w:hAnsi="宋体" w:cs="宋体"/>
          <w:szCs w:val="21"/>
        </w:rPr>
      </w:pPr>
      <w:bookmarkStart w:id="6" w:name="_GoBack"/>
      <w:bookmarkEnd w:id="6"/>
      <w:r>
        <w:rPr>
          <w:rFonts w:hint="eastAsia" w:ascii="宋体" w:hAnsi="宋体" w:cs="宋体"/>
          <w:szCs w:val="21"/>
        </w:rPr>
        <w:t>现行有效的企业标准、团体标准、地方标准及产品明示质量要求</w:t>
      </w:r>
    </w:p>
    <w:bookmarkEnd w:id="4"/>
    <w:p w14:paraId="5D120576">
      <w:pPr>
        <w:snapToGrid w:val="0"/>
        <w:spacing w:line="440" w:lineRule="exact"/>
        <w:rPr>
          <w:rFonts w:ascii="宋体" w:hAnsi="宋体" w:cs="宋体"/>
          <w:szCs w:val="21"/>
        </w:rPr>
      </w:pPr>
      <w:r>
        <w:rPr>
          <w:rFonts w:hint="eastAsia" w:ascii="宋体" w:hAnsi="宋体" w:cs="宋体"/>
          <w:szCs w:val="21"/>
        </w:rPr>
        <w:t>3.2判定原则</w:t>
      </w:r>
    </w:p>
    <w:p w14:paraId="43F3001D">
      <w:pPr>
        <w:snapToGrid w:val="0"/>
        <w:spacing w:line="440" w:lineRule="exact"/>
        <w:ind w:firstLine="420" w:firstLineChars="200"/>
        <w:rPr>
          <w:rFonts w:ascii="宋体" w:hAnsi="宋体" w:cs="宋体"/>
          <w:szCs w:val="21"/>
        </w:rPr>
      </w:pPr>
      <w:bookmarkStart w:id="5"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0B0B2A71">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5D5873CB">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4CBE19C7">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193476AB">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1980B3EA">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5"/>
    </w:p>
    <w:p w14:paraId="0CAE2B3D"/>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50DAA">
    <w:pPr>
      <w:pStyle w:val="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34D43A4A">
    <w:pPr>
      <w:pStyle w:val="6"/>
      <w:ind w:right="360"/>
    </w:pPr>
  </w:p>
  <w:p w14:paraId="7D1E654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B456A">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5075C7A2">
    <w:pPr>
      <w:pStyle w:val="6"/>
      <w:ind w:right="360"/>
    </w:pPr>
  </w:p>
  <w:p w14:paraId="1638A72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0B28F">
    <w:pPr>
      <w:pStyle w:val="7"/>
      <w:pBdr>
        <w:bottom w:val="none" w:color="auto" w:sz="0" w:space="0"/>
      </w:pBdr>
    </w:pPr>
  </w:p>
  <w:p w14:paraId="40C3C6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01152E"/>
    <w:rsid w:val="000C48B1"/>
    <w:rsid w:val="000E2904"/>
    <w:rsid w:val="00102581"/>
    <w:rsid w:val="002930EC"/>
    <w:rsid w:val="002A2CA8"/>
    <w:rsid w:val="002C26CA"/>
    <w:rsid w:val="002F4989"/>
    <w:rsid w:val="00313C45"/>
    <w:rsid w:val="00350B26"/>
    <w:rsid w:val="00394ED9"/>
    <w:rsid w:val="003B6862"/>
    <w:rsid w:val="003C5973"/>
    <w:rsid w:val="00465A97"/>
    <w:rsid w:val="005B43C1"/>
    <w:rsid w:val="006B44D0"/>
    <w:rsid w:val="006E0810"/>
    <w:rsid w:val="006F1E7D"/>
    <w:rsid w:val="007E7C89"/>
    <w:rsid w:val="00862CDD"/>
    <w:rsid w:val="00882AA4"/>
    <w:rsid w:val="009328DD"/>
    <w:rsid w:val="00991ADF"/>
    <w:rsid w:val="009A2E8C"/>
    <w:rsid w:val="009A6D44"/>
    <w:rsid w:val="009C512B"/>
    <w:rsid w:val="00A83620"/>
    <w:rsid w:val="00A9708B"/>
    <w:rsid w:val="00AF4C10"/>
    <w:rsid w:val="00AF665B"/>
    <w:rsid w:val="00B0493F"/>
    <w:rsid w:val="00B37BD1"/>
    <w:rsid w:val="00B47494"/>
    <w:rsid w:val="00B52690"/>
    <w:rsid w:val="00B92181"/>
    <w:rsid w:val="00C40995"/>
    <w:rsid w:val="00C6119B"/>
    <w:rsid w:val="00CB3F35"/>
    <w:rsid w:val="00CF21B6"/>
    <w:rsid w:val="00D12FB8"/>
    <w:rsid w:val="00D3335C"/>
    <w:rsid w:val="00D732CB"/>
    <w:rsid w:val="00DF03D5"/>
    <w:rsid w:val="00E04D8F"/>
    <w:rsid w:val="00E648A6"/>
    <w:rsid w:val="00E87CE4"/>
    <w:rsid w:val="00F1128C"/>
    <w:rsid w:val="00F652D2"/>
    <w:rsid w:val="01090B26"/>
    <w:rsid w:val="010F3B4F"/>
    <w:rsid w:val="01127559"/>
    <w:rsid w:val="012375FA"/>
    <w:rsid w:val="012A6BDB"/>
    <w:rsid w:val="012F2443"/>
    <w:rsid w:val="014063FE"/>
    <w:rsid w:val="01527EDF"/>
    <w:rsid w:val="015920E6"/>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832D5D"/>
    <w:rsid w:val="05854D43"/>
    <w:rsid w:val="059A6126"/>
    <w:rsid w:val="05B80C59"/>
    <w:rsid w:val="05D45367"/>
    <w:rsid w:val="05FE0636"/>
    <w:rsid w:val="06035C4C"/>
    <w:rsid w:val="06093262"/>
    <w:rsid w:val="06253E14"/>
    <w:rsid w:val="064E336B"/>
    <w:rsid w:val="06A50AB1"/>
    <w:rsid w:val="06A765D7"/>
    <w:rsid w:val="06B31420"/>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D4742C"/>
    <w:rsid w:val="08EB3229"/>
    <w:rsid w:val="091361A6"/>
    <w:rsid w:val="0946657C"/>
    <w:rsid w:val="094E5430"/>
    <w:rsid w:val="09505959"/>
    <w:rsid w:val="095D372A"/>
    <w:rsid w:val="096864F2"/>
    <w:rsid w:val="09736C45"/>
    <w:rsid w:val="098D41AA"/>
    <w:rsid w:val="09904F74"/>
    <w:rsid w:val="09992B4F"/>
    <w:rsid w:val="099E1F14"/>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9B2395"/>
    <w:rsid w:val="0BB53545"/>
    <w:rsid w:val="0BC639A4"/>
    <w:rsid w:val="0BD22349"/>
    <w:rsid w:val="0BD240F7"/>
    <w:rsid w:val="0BEB340A"/>
    <w:rsid w:val="0BFC5617"/>
    <w:rsid w:val="0C0149DC"/>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4650B3"/>
    <w:rsid w:val="10675755"/>
    <w:rsid w:val="10767F2A"/>
    <w:rsid w:val="107751B2"/>
    <w:rsid w:val="108005C5"/>
    <w:rsid w:val="10944070"/>
    <w:rsid w:val="10947BCD"/>
    <w:rsid w:val="10AF2C58"/>
    <w:rsid w:val="10D95F27"/>
    <w:rsid w:val="10EA5A3E"/>
    <w:rsid w:val="10F42D61"/>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F0080"/>
    <w:rsid w:val="13385187"/>
    <w:rsid w:val="135D3910"/>
    <w:rsid w:val="13623FB2"/>
    <w:rsid w:val="13652229"/>
    <w:rsid w:val="13655850"/>
    <w:rsid w:val="13685340"/>
    <w:rsid w:val="137141F5"/>
    <w:rsid w:val="13737F6D"/>
    <w:rsid w:val="1379754E"/>
    <w:rsid w:val="1384217A"/>
    <w:rsid w:val="138A175B"/>
    <w:rsid w:val="13A40300"/>
    <w:rsid w:val="13C63C31"/>
    <w:rsid w:val="13F54E26"/>
    <w:rsid w:val="13FA41EA"/>
    <w:rsid w:val="14027543"/>
    <w:rsid w:val="142B0848"/>
    <w:rsid w:val="145E0C1D"/>
    <w:rsid w:val="14627FE2"/>
    <w:rsid w:val="14C91E0F"/>
    <w:rsid w:val="14D3578A"/>
    <w:rsid w:val="14DE58BA"/>
    <w:rsid w:val="14EC6584"/>
    <w:rsid w:val="15167ED2"/>
    <w:rsid w:val="155B6F0B"/>
    <w:rsid w:val="15602773"/>
    <w:rsid w:val="1562473D"/>
    <w:rsid w:val="15695ACC"/>
    <w:rsid w:val="1574621E"/>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801D3"/>
    <w:rsid w:val="16A24B17"/>
    <w:rsid w:val="16A448E1"/>
    <w:rsid w:val="16A97510"/>
    <w:rsid w:val="16BC7E7D"/>
    <w:rsid w:val="16CD5BE6"/>
    <w:rsid w:val="16D451C7"/>
    <w:rsid w:val="16E64AA2"/>
    <w:rsid w:val="16F24B51"/>
    <w:rsid w:val="16FF6CDE"/>
    <w:rsid w:val="17011D34"/>
    <w:rsid w:val="171153F7"/>
    <w:rsid w:val="17127A9D"/>
    <w:rsid w:val="1752433D"/>
    <w:rsid w:val="17742506"/>
    <w:rsid w:val="177E3384"/>
    <w:rsid w:val="17A27073"/>
    <w:rsid w:val="17AE3C6A"/>
    <w:rsid w:val="17BD20FF"/>
    <w:rsid w:val="17DB2585"/>
    <w:rsid w:val="17FD6923"/>
    <w:rsid w:val="18003D99"/>
    <w:rsid w:val="180E64B6"/>
    <w:rsid w:val="18147845"/>
    <w:rsid w:val="1844012A"/>
    <w:rsid w:val="184E4A60"/>
    <w:rsid w:val="186859E8"/>
    <w:rsid w:val="18700F1F"/>
    <w:rsid w:val="18826EA4"/>
    <w:rsid w:val="188E75F7"/>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D37CCF"/>
    <w:rsid w:val="1CF540E9"/>
    <w:rsid w:val="1D181B85"/>
    <w:rsid w:val="1D320E99"/>
    <w:rsid w:val="1D4330A6"/>
    <w:rsid w:val="1D444728"/>
    <w:rsid w:val="1D5E3A3C"/>
    <w:rsid w:val="1D921938"/>
    <w:rsid w:val="1DC064A5"/>
    <w:rsid w:val="1DC31AF1"/>
    <w:rsid w:val="1DCD471E"/>
    <w:rsid w:val="1DD67A76"/>
    <w:rsid w:val="1DD71E52"/>
    <w:rsid w:val="1DDC2BB3"/>
    <w:rsid w:val="1DE859FC"/>
    <w:rsid w:val="1E0B5246"/>
    <w:rsid w:val="1E197963"/>
    <w:rsid w:val="1E4E1D03"/>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920158"/>
    <w:rsid w:val="219F0AC7"/>
    <w:rsid w:val="21A1039B"/>
    <w:rsid w:val="21A41C3A"/>
    <w:rsid w:val="21AE2AB8"/>
    <w:rsid w:val="21D76876"/>
    <w:rsid w:val="21ED35E0"/>
    <w:rsid w:val="21F030D1"/>
    <w:rsid w:val="22445A9B"/>
    <w:rsid w:val="22456F79"/>
    <w:rsid w:val="2250591D"/>
    <w:rsid w:val="225418B2"/>
    <w:rsid w:val="22774BA5"/>
    <w:rsid w:val="229C0B63"/>
    <w:rsid w:val="22AA7723"/>
    <w:rsid w:val="22B97967"/>
    <w:rsid w:val="22CC58EC"/>
    <w:rsid w:val="22E91FFA"/>
    <w:rsid w:val="231E77CA"/>
    <w:rsid w:val="23240E85"/>
    <w:rsid w:val="23264FFC"/>
    <w:rsid w:val="23492A98"/>
    <w:rsid w:val="234C07DB"/>
    <w:rsid w:val="235651D1"/>
    <w:rsid w:val="237613B4"/>
    <w:rsid w:val="237F470C"/>
    <w:rsid w:val="23876120"/>
    <w:rsid w:val="239C706C"/>
    <w:rsid w:val="23A128D5"/>
    <w:rsid w:val="23DF233A"/>
    <w:rsid w:val="23FC3FAF"/>
    <w:rsid w:val="24003A9F"/>
    <w:rsid w:val="24013373"/>
    <w:rsid w:val="240F76C7"/>
    <w:rsid w:val="24467603"/>
    <w:rsid w:val="24577437"/>
    <w:rsid w:val="2460600B"/>
    <w:rsid w:val="24727DCD"/>
    <w:rsid w:val="247C6455"/>
    <w:rsid w:val="248E0874"/>
    <w:rsid w:val="249266C1"/>
    <w:rsid w:val="24A020D2"/>
    <w:rsid w:val="24AA7567"/>
    <w:rsid w:val="24AC1531"/>
    <w:rsid w:val="24AC7783"/>
    <w:rsid w:val="24B2466D"/>
    <w:rsid w:val="24BE1264"/>
    <w:rsid w:val="24CA7C09"/>
    <w:rsid w:val="24D92627"/>
    <w:rsid w:val="24E0567E"/>
    <w:rsid w:val="24E45B48"/>
    <w:rsid w:val="2503311B"/>
    <w:rsid w:val="250A6257"/>
    <w:rsid w:val="25401C79"/>
    <w:rsid w:val="25414951"/>
    <w:rsid w:val="25626093"/>
    <w:rsid w:val="256B669F"/>
    <w:rsid w:val="25787665"/>
    <w:rsid w:val="257B0F03"/>
    <w:rsid w:val="25D0124F"/>
    <w:rsid w:val="25D32AED"/>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CD0A22"/>
    <w:rsid w:val="2ED56370"/>
    <w:rsid w:val="2F0361F1"/>
    <w:rsid w:val="2F0C295D"/>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5557DE"/>
    <w:rsid w:val="346C4839"/>
    <w:rsid w:val="346D235F"/>
    <w:rsid w:val="347436ED"/>
    <w:rsid w:val="34831B82"/>
    <w:rsid w:val="348F22D5"/>
    <w:rsid w:val="34AB35B3"/>
    <w:rsid w:val="34E645EB"/>
    <w:rsid w:val="34FB796B"/>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365E89"/>
    <w:rsid w:val="3842422E"/>
    <w:rsid w:val="38743CBC"/>
    <w:rsid w:val="388D2FD0"/>
    <w:rsid w:val="388F0AF6"/>
    <w:rsid w:val="38935966"/>
    <w:rsid w:val="38CC7F9C"/>
    <w:rsid w:val="38CF183A"/>
    <w:rsid w:val="38D429AD"/>
    <w:rsid w:val="38EC5F48"/>
    <w:rsid w:val="38F31085"/>
    <w:rsid w:val="38F571B0"/>
    <w:rsid w:val="38F82B3F"/>
    <w:rsid w:val="39235B63"/>
    <w:rsid w:val="393618B9"/>
    <w:rsid w:val="396C0E37"/>
    <w:rsid w:val="396F26D5"/>
    <w:rsid w:val="39812B34"/>
    <w:rsid w:val="39BD78E5"/>
    <w:rsid w:val="39D32C64"/>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D94D90"/>
    <w:rsid w:val="3AD95350"/>
    <w:rsid w:val="3ADB2718"/>
    <w:rsid w:val="3AF80B2A"/>
    <w:rsid w:val="3B245E6D"/>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D7415"/>
    <w:rsid w:val="3DA46DF1"/>
    <w:rsid w:val="3DAA0180"/>
    <w:rsid w:val="3DCE0312"/>
    <w:rsid w:val="3DE73A20"/>
    <w:rsid w:val="3DEC0798"/>
    <w:rsid w:val="3DF24001"/>
    <w:rsid w:val="3E183FFB"/>
    <w:rsid w:val="3E4405D4"/>
    <w:rsid w:val="3E704F26"/>
    <w:rsid w:val="3E7569E0"/>
    <w:rsid w:val="3E7E3AE6"/>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B91FC2"/>
    <w:rsid w:val="421309EA"/>
    <w:rsid w:val="421A3B26"/>
    <w:rsid w:val="423B584A"/>
    <w:rsid w:val="424E37D0"/>
    <w:rsid w:val="4250579A"/>
    <w:rsid w:val="42707BEA"/>
    <w:rsid w:val="42823479"/>
    <w:rsid w:val="428A7F46"/>
    <w:rsid w:val="42935686"/>
    <w:rsid w:val="429A4C67"/>
    <w:rsid w:val="429A6A15"/>
    <w:rsid w:val="42E139C5"/>
    <w:rsid w:val="42E45EE2"/>
    <w:rsid w:val="43140575"/>
    <w:rsid w:val="43321CFE"/>
    <w:rsid w:val="435377DB"/>
    <w:rsid w:val="436E4771"/>
    <w:rsid w:val="438438A3"/>
    <w:rsid w:val="43993170"/>
    <w:rsid w:val="43A01E09"/>
    <w:rsid w:val="43BB30E7"/>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C91E02"/>
    <w:rsid w:val="48E22EC4"/>
    <w:rsid w:val="49064E04"/>
    <w:rsid w:val="49227764"/>
    <w:rsid w:val="492E7EB7"/>
    <w:rsid w:val="494E5881"/>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85ABC"/>
    <w:rsid w:val="4BA601D9"/>
    <w:rsid w:val="4BB44E97"/>
    <w:rsid w:val="4BD25472"/>
    <w:rsid w:val="4C211F55"/>
    <w:rsid w:val="4C443C3C"/>
    <w:rsid w:val="4C520360"/>
    <w:rsid w:val="4C6B1ADF"/>
    <w:rsid w:val="4C76404F"/>
    <w:rsid w:val="4C806C7C"/>
    <w:rsid w:val="4C83051A"/>
    <w:rsid w:val="4CD831FD"/>
    <w:rsid w:val="4CDF7E46"/>
    <w:rsid w:val="4D1D271C"/>
    <w:rsid w:val="4D2E0486"/>
    <w:rsid w:val="4D3F6B37"/>
    <w:rsid w:val="4D5325E2"/>
    <w:rsid w:val="4D626ED4"/>
    <w:rsid w:val="4D9B5D22"/>
    <w:rsid w:val="4DD21759"/>
    <w:rsid w:val="4E1F4272"/>
    <w:rsid w:val="4E261AA5"/>
    <w:rsid w:val="4E5B79A0"/>
    <w:rsid w:val="4E6F6FA8"/>
    <w:rsid w:val="4E867C5E"/>
    <w:rsid w:val="4E8C5DAC"/>
    <w:rsid w:val="4EB64BD7"/>
    <w:rsid w:val="4ED137BE"/>
    <w:rsid w:val="4ED27537"/>
    <w:rsid w:val="4EE259CC"/>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837A94"/>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C6A91"/>
    <w:rsid w:val="5A6E45B7"/>
    <w:rsid w:val="5A8B6F17"/>
    <w:rsid w:val="5A900282"/>
    <w:rsid w:val="5AAF235F"/>
    <w:rsid w:val="5AF947C9"/>
    <w:rsid w:val="5B0A4CC1"/>
    <w:rsid w:val="5B286E5C"/>
    <w:rsid w:val="5B525C87"/>
    <w:rsid w:val="5B7976B8"/>
    <w:rsid w:val="5B8B1199"/>
    <w:rsid w:val="5BC00E43"/>
    <w:rsid w:val="5BE30FD5"/>
    <w:rsid w:val="5BFB00CD"/>
    <w:rsid w:val="5C0D1BAE"/>
    <w:rsid w:val="5C2752F2"/>
    <w:rsid w:val="5C283ECF"/>
    <w:rsid w:val="5C583771"/>
    <w:rsid w:val="5C6120AB"/>
    <w:rsid w:val="5C6C4246"/>
    <w:rsid w:val="5C95407D"/>
    <w:rsid w:val="5C9F6BCD"/>
    <w:rsid w:val="5CC74453"/>
    <w:rsid w:val="5CD050B5"/>
    <w:rsid w:val="5CEA65A2"/>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E16"/>
    <w:rsid w:val="5F5F6BC4"/>
    <w:rsid w:val="5F8623A3"/>
    <w:rsid w:val="5FB23198"/>
    <w:rsid w:val="5FF26C90"/>
    <w:rsid w:val="60025ECE"/>
    <w:rsid w:val="601654D5"/>
    <w:rsid w:val="60172FFB"/>
    <w:rsid w:val="60340051"/>
    <w:rsid w:val="604162CA"/>
    <w:rsid w:val="604A32BB"/>
    <w:rsid w:val="604A517F"/>
    <w:rsid w:val="60563B24"/>
    <w:rsid w:val="60681AA9"/>
    <w:rsid w:val="606C77EB"/>
    <w:rsid w:val="60797B9D"/>
    <w:rsid w:val="608D150F"/>
    <w:rsid w:val="60A2320D"/>
    <w:rsid w:val="60C34F31"/>
    <w:rsid w:val="610C025B"/>
    <w:rsid w:val="610C2B17"/>
    <w:rsid w:val="611F2AAF"/>
    <w:rsid w:val="6127639D"/>
    <w:rsid w:val="612B40D2"/>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53CF6"/>
    <w:rsid w:val="64240A08"/>
    <w:rsid w:val="642B176B"/>
    <w:rsid w:val="64346872"/>
    <w:rsid w:val="64591E34"/>
    <w:rsid w:val="64966BE4"/>
    <w:rsid w:val="64A532CB"/>
    <w:rsid w:val="64A86918"/>
    <w:rsid w:val="64A961BF"/>
    <w:rsid w:val="64B452BD"/>
    <w:rsid w:val="64B96D77"/>
    <w:rsid w:val="64BB489D"/>
    <w:rsid w:val="64C33752"/>
    <w:rsid w:val="64E262CE"/>
    <w:rsid w:val="65047D7F"/>
    <w:rsid w:val="65091AAC"/>
    <w:rsid w:val="650E0E71"/>
    <w:rsid w:val="652C7549"/>
    <w:rsid w:val="653528A1"/>
    <w:rsid w:val="658C6270"/>
    <w:rsid w:val="659B647C"/>
    <w:rsid w:val="65A176F1"/>
    <w:rsid w:val="65D8147F"/>
    <w:rsid w:val="660C45AF"/>
    <w:rsid w:val="661001E2"/>
    <w:rsid w:val="662B4B98"/>
    <w:rsid w:val="66320B8F"/>
    <w:rsid w:val="6639016F"/>
    <w:rsid w:val="665925BF"/>
    <w:rsid w:val="667C4500"/>
    <w:rsid w:val="66AA4BC9"/>
    <w:rsid w:val="66BA2932"/>
    <w:rsid w:val="66CD6B09"/>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D5EAE"/>
    <w:rsid w:val="687A681D"/>
    <w:rsid w:val="687B58DA"/>
    <w:rsid w:val="6880291B"/>
    <w:rsid w:val="68A815DC"/>
    <w:rsid w:val="68AE4302"/>
    <w:rsid w:val="68D51CA5"/>
    <w:rsid w:val="68F4037D"/>
    <w:rsid w:val="6908207B"/>
    <w:rsid w:val="69146C72"/>
    <w:rsid w:val="691B1DAE"/>
    <w:rsid w:val="692A0243"/>
    <w:rsid w:val="69344C1E"/>
    <w:rsid w:val="693C3AD3"/>
    <w:rsid w:val="69401815"/>
    <w:rsid w:val="69461A26"/>
    <w:rsid w:val="69B53FB1"/>
    <w:rsid w:val="69E55F18"/>
    <w:rsid w:val="69F61ED3"/>
    <w:rsid w:val="6A2152D6"/>
    <w:rsid w:val="6A42336B"/>
    <w:rsid w:val="6A5E63F6"/>
    <w:rsid w:val="6A641533"/>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D109E"/>
    <w:rsid w:val="6D725D15"/>
    <w:rsid w:val="6D8F4B19"/>
    <w:rsid w:val="6DB26B4C"/>
    <w:rsid w:val="6DD8201C"/>
    <w:rsid w:val="6DFD1A54"/>
    <w:rsid w:val="6E147A0C"/>
    <w:rsid w:val="6E35746E"/>
    <w:rsid w:val="6E900B48"/>
    <w:rsid w:val="6E9E7CDC"/>
    <w:rsid w:val="6EAE47E3"/>
    <w:rsid w:val="6EC5360B"/>
    <w:rsid w:val="6ED053E9"/>
    <w:rsid w:val="6EE64C0C"/>
    <w:rsid w:val="6EF02E8D"/>
    <w:rsid w:val="6EF8049C"/>
    <w:rsid w:val="6EFF7A7C"/>
    <w:rsid w:val="6F742582"/>
    <w:rsid w:val="6F7C2E7B"/>
    <w:rsid w:val="6F7F4719"/>
    <w:rsid w:val="6F83245B"/>
    <w:rsid w:val="6F993A2D"/>
    <w:rsid w:val="6FA04AC2"/>
    <w:rsid w:val="6FAA5C3A"/>
    <w:rsid w:val="6FAC3760"/>
    <w:rsid w:val="6FCA1E38"/>
    <w:rsid w:val="6FCF744E"/>
    <w:rsid w:val="6FF11ABB"/>
    <w:rsid w:val="702F4391"/>
    <w:rsid w:val="703F2826"/>
    <w:rsid w:val="70453BB5"/>
    <w:rsid w:val="705B5186"/>
    <w:rsid w:val="706758D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27981"/>
    <w:rsid w:val="72D31822"/>
    <w:rsid w:val="72E444E7"/>
    <w:rsid w:val="72E70F53"/>
    <w:rsid w:val="73075151"/>
    <w:rsid w:val="73353A6C"/>
    <w:rsid w:val="73557ED4"/>
    <w:rsid w:val="7366202C"/>
    <w:rsid w:val="736E51D0"/>
    <w:rsid w:val="73AD7AA7"/>
    <w:rsid w:val="73B73449"/>
    <w:rsid w:val="73CE15C2"/>
    <w:rsid w:val="73E57241"/>
    <w:rsid w:val="73E922D7"/>
    <w:rsid w:val="743261FE"/>
    <w:rsid w:val="74343D24"/>
    <w:rsid w:val="743B1556"/>
    <w:rsid w:val="744C3764"/>
    <w:rsid w:val="744D3038"/>
    <w:rsid w:val="7456238C"/>
    <w:rsid w:val="745D327B"/>
    <w:rsid w:val="74744A68"/>
    <w:rsid w:val="74A54C22"/>
    <w:rsid w:val="74BA06CD"/>
    <w:rsid w:val="74C27582"/>
    <w:rsid w:val="74C432FA"/>
    <w:rsid w:val="74D379E1"/>
    <w:rsid w:val="74DC6EED"/>
    <w:rsid w:val="74F71921"/>
    <w:rsid w:val="75006207"/>
    <w:rsid w:val="75022074"/>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770854"/>
    <w:rsid w:val="76966F18"/>
    <w:rsid w:val="76992564"/>
    <w:rsid w:val="76AE6010"/>
    <w:rsid w:val="76B31878"/>
    <w:rsid w:val="771A5453"/>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6F1F5A"/>
    <w:rsid w:val="7A85352B"/>
    <w:rsid w:val="7AB20098"/>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944E8"/>
    <w:rsid w:val="7EFB200E"/>
    <w:rsid w:val="7F044C6C"/>
    <w:rsid w:val="7F39083A"/>
    <w:rsid w:val="7F6D458E"/>
    <w:rsid w:val="7F8D69DE"/>
    <w:rsid w:val="7F901CBD"/>
    <w:rsid w:val="7F95670B"/>
    <w:rsid w:val="7FA53D28"/>
    <w:rsid w:val="7FAC150E"/>
    <w:rsid w:val="7FCB608F"/>
    <w:rsid w:val="7FE17456"/>
    <w:rsid w:val="7FE44850"/>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766</Words>
  <Characters>973</Characters>
  <Lines>7</Lines>
  <Paragraphs>2</Paragraphs>
  <TotalTime>2</TotalTime>
  <ScaleCrop>false</ScaleCrop>
  <LinksUpToDate>false</LinksUpToDate>
  <CharactersWithSpaces>996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2026-06-03T00:40:47Z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