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93976">
      <w:pPr>
        <w:pStyle w:val="4"/>
        <w:jc w:val="center"/>
      </w:pPr>
      <w:r>
        <w:rPr>
          <w:rFonts w:hint="eastAsia" w:ascii="宋体" w:hAnsi="宋体" w:cs="宋体"/>
          <w:b/>
          <w:bCs/>
          <w:sz w:val="32"/>
          <w:szCs w:val="32"/>
        </w:rPr>
        <w:t>2026年凌源市</w:t>
      </w:r>
      <w:r>
        <w:rPr>
          <w:rFonts w:hint="eastAsia" w:ascii="宋体" w:hAnsi="宋体" w:cs="宋体"/>
          <w:b/>
          <w:bCs/>
          <w:sz w:val="32"/>
          <w:szCs w:val="32"/>
          <w:lang w:eastAsia="zh-CN"/>
        </w:rPr>
        <w:t>车用柴油</w:t>
      </w:r>
      <w:bookmarkStart w:id="4" w:name="_GoBack"/>
      <w:bookmarkEnd w:id="4"/>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车用柴油</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4</w:t>
            </w:r>
            <w:r>
              <w:rPr>
                <w:rFonts w:hint="eastAsia" w:ascii="宋体" w:hAnsi="宋体" w:cs="宋体"/>
                <w:color w:val="000000"/>
                <w:szCs w:val="21"/>
              </w:rPr>
              <w:t>L</w:t>
            </w:r>
          </w:p>
        </w:tc>
        <w:tc>
          <w:tcPr>
            <w:tcW w:w="1850" w:type="dxa"/>
            <w:vAlign w:val="center"/>
          </w:tcPr>
          <w:p w14:paraId="1D800315">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2L</w:t>
            </w:r>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rPr>
              <w:t>2L</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车用柴油</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硫含量</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SH/T 0689-2000</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酸度</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GB/T 258-2016</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闪点</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GB/T 261-2021</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铜片腐蚀</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GB/T 5096-2017</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水含量</w:t>
            </w:r>
          </w:p>
        </w:tc>
        <w:tc>
          <w:tcPr>
            <w:tcW w:w="3662" w:type="dxa"/>
            <w:vAlign w:val="center"/>
          </w:tcPr>
          <w:p w14:paraId="4882CBA2">
            <w:pPr>
              <w:snapToGrid w:val="0"/>
              <w:jc w:val="center"/>
              <w:rPr>
                <w:rFonts w:hint="eastAsia" w:ascii="宋体" w:hAnsi="宋体" w:cs="宋体"/>
                <w:color w:val="000000"/>
                <w:szCs w:val="21"/>
              </w:rPr>
            </w:pPr>
            <w:r>
              <w:rPr>
                <w:rFonts w:hint="eastAsia" w:ascii="宋体" w:hAnsi="宋体" w:cs="宋体"/>
                <w:color w:val="000000"/>
                <w:szCs w:val="21"/>
              </w:rPr>
              <w:t xml:space="preserve">GB 19147-2016 </w:t>
            </w:r>
          </w:p>
          <w:p w14:paraId="2B9F414D">
            <w:pPr>
              <w:snapToGrid w:val="0"/>
              <w:jc w:val="center"/>
              <w:rPr>
                <w:rFonts w:ascii="宋体" w:hAnsi="宋体" w:cs="宋体"/>
                <w:color w:val="000000"/>
                <w:szCs w:val="21"/>
              </w:rPr>
            </w:pPr>
            <w:r>
              <w:rPr>
                <w:rFonts w:hint="eastAsia" w:ascii="宋体" w:hAnsi="宋体" w:cs="宋体"/>
                <w:color w:val="000000"/>
                <w:szCs w:val="21"/>
              </w:rPr>
              <w:t>GB 19147-2016/XG1-2018 GB/T 260-2016 SH/T 0246-1992 GB/T 11133-2015</w:t>
            </w:r>
          </w:p>
        </w:tc>
      </w:tr>
      <w:tr w14:paraId="465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A2AA0A8">
            <w:pPr>
              <w:widowControl/>
              <w:numPr>
                <w:ilvl w:val="0"/>
                <w:numId w:val="1"/>
              </w:numPr>
              <w:jc w:val="center"/>
              <w:textAlignment w:val="center"/>
              <w:rPr>
                <w:rFonts w:ascii="宋体" w:hAnsi="宋体" w:cs="宋体"/>
                <w:kern w:val="0"/>
                <w:szCs w:val="21"/>
              </w:rPr>
            </w:pPr>
          </w:p>
        </w:tc>
        <w:tc>
          <w:tcPr>
            <w:tcW w:w="4033" w:type="dxa"/>
            <w:vAlign w:val="center"/>
          </w:tcPr>
          <w:p w14:paraId="46F9195B">
            <w:pPr>
              <w:snapToGrid w:val="0"/>
              <w:jc w:val="center"/>
              <w:rPr>
                <w:rFonts w:ascii="宋体" w:hAnsi="宋体" w:cs="宋体"/>
                <w:color w:val="000000"/>
                <w:szCs w:val="21"/>
              </w:rPr>
            </w:pPr>
            <w:r>
              <w:rPr>
                <w:rFonts w:hint="eastAsia" w:ascii="宋体" w:hAnsi="宋体" w:cs="宋体"/>
                <w:color w:val="000000"/>
                <w:szCs w:val="21"/>
                <w:lang w:val="en-US" w:eastAsia="zh-CN"/>
              </w:rPr>
              <w:t>运动粘度</w:t>
            </w:r>
          </w:p>
        </w:tc>
        <w:tc>
          <w:tcPr>
            <w:tcW w:w="3662" w:type="dxa"/>
            <w:vAlign w:val="center"/>
          </w:tcPr>
          <w:p w14:paraId="5AE92FD2">
            <w:pPr>
              <w:snapToGrid w:val="0"/>
              <w:jc w:val="center"/>
              <w:rPr>
                <w:rFonts w:ascii="宋体" w:hAnsi="宋体" w:cs="宋体"/>
                <w:color w:val="000000"/>
                <w:szCs w:val="21"/>
              </w:rPr>
            </w:pPr>
            <w:r>
              <w:rPr>
                <w:rFonts w:hint="eastAsia" w:ascii="宋体" w:hAnsi="宋体" w:cs="宋体"/>
                <w:color w:val="000000"/>
                <w:szCs w:val="21"/>
              </w:rPr>
              <w:t>GB/T 265-1988</w:t>
            </w:r>
          </w:p>
        </w:tc>
      </w:tr>
      <w:tr w14:paraId="2895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BCA3001">
            <w:pPr>
              <w:widowControl/>
              <w:numPr>
                <w:ilvl w:val="0"/>
                <w:numId w:val="1"/>
              </w:numPr>
              <w:jc w:val="center"/>
              <w:textAlignment w:val="center"/>
              <w:rPr>
                <w:rFonts w:ascii="宋体" w:hAnsi="宋体" w:cs="宋体"/>
                <w:kern w:val="0"/>
                <w:szCs w:val="21"/>
              </w:rPr>
            </w:pPr>
          </w:p>
        </w:tc>
        <w:tc>
          <w:tcPr>
            <w:tcW w:w="4033" w:type="dxa"/>
            <w:vAlign w:val="center"/>
          </w:tcPr>
          <w:p w14:paraId="226F328D">
            <w:pPr>
              <w:snapToGrid w:val="0"/>
              <w:jc w:val="center"/>
              <w:rPr>
                <w:rFonts w:ascii="宋体" w:hAnsi="宋体" w:cs="宋体"/>
                <w:color w:val="000000"/>
                <w:szCs w:val="21"/>
              </w:rPr>
            </w:pPr>
            <w:r>
              <w:rPr>
                <w:rFonts w:hint="eastAsia" w:ascii="宋体" w:hAnsi="宋体" w:cs="宋体"/>
                <w:color w:val="000000"/>
                <w:szCs w:val="21"/>
                <w:lang w:val="en-US" w:eastAsia="zh-CN"/>
              </w:rPr>
              <w:t>凝点</w:t>
            </w:r>
          </w:p>
        </w:tc>
        <w:tc>
          <w:tcPr>
            <w:tcW w:w="3662" w:type="dxa"/>
            <w:vAlign w:val="center"/>
          </w:tcPr>
          <w:p w14:paraId="338C5871">
            <w:pPr>
              <w:snapToGrid w:val="0"/>
              <w:jc w:val="center"/>
              <w:rPr>
                <w:rFonts w:ascii="宋体" w:hAnsi="宋体" w:cs="宋体"/>
                <w:color w:val="000000"/>
                <w:szCs w:val="21"/>
              </w:rPr>
            </w:pPr>
            <w:r>
              <w:rPr>
                <w:rFonts w:hint="eastAsia" w:ascii="宋体" w:hAnsi="宋体" w:cs="宋体"/>
                <w:color w:val="000000"/>
                <w:szCs w:val="21"/>
              </w:rPr>
              <w:t>GB/T 510-2018</w:t>
            </w:r>
          </w:p>
        </w:tc>
      </w:tr>
      <w:tr w14:paraId="7D56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252DD7">
            <w:pPr>
              <w:widowControl/>
              <w:numPr>
                <w:ilvl w:val="0"/>
                <w:numId w:val="1"/>
              </w:numPr>
              <w:jc w:val="center"/>
              <w:textAlignment w:val="center"/>
              <w:rPr>
                <w:rFonts w:ascii="宋体" w:hAnsi="宋体" w:cs="宋体"/>
                <w:kern w:val="0"/>
                <w:szCs w:val="21"/>
              </w:rPr>
            </w:pPr>
          </w:p>
        </w:tc>
        <w:tc>
          <w:tcPr>
            <w:tcW w:w="4033" w:type="dxa"/>
            <w:vAlign w:val="center"/>
          </w:tcPr>
          <w:p w14:paraId="4723A110">
            <w:pPr>
              <w:snapToGrid w:val="0"/>
              <w:jc w:val="center"/>
              <w:rPr>
                <w:rFonts w:ascii="宋体" w:hAnsi="宋体" w:cs="宋体"/>
                <w:color w:val="000000"/>
                <w:szCs w:val="21"/>
              </w:rPr>
            </w:pPr>
            <w:r>
              <w:rPr>
                <w:rFonts w:hint="eastAsia" w:ascii="宋体" w:hAnsi="宋体" w:cs="宋体"/>
                <w:color w:val="000000"/>
                <w:szCs w:val="21"/>
                <w:lang w:val="en-US" w:eastAsia="zh-CN"/>
              </w:rPr>
              <w:t>冷滤点</w:t>
            </w:r>
          </w:p>
        </w:tc>
        <w:tc>
          <w:tcPr>
            <w:tcW w:w="3662" w:type="dxa"/>
            <w:vAlign w:val="center"/>
          </w:tcPr>
          <w:p w14:paraId="4AE53785">
            <w:pPr>
              <w:snapToGrid w:val="0"/>
              <w:jc w:val="center"/>
              <w:rPr>
                <w:rFonts w:ascii="宋体" w:hAnsi="宋体" w:cs="宋体"/>
                <w:color w:val="000000"/>
                <w:szCs w:val="21"/>
              </w:rPr>
            </w:pPr>
            <w:r>
              <w:rPr>
                <w:rFonts w:hint="eastAsia" w:ascii="宋体" w:hAnsi="宋体" w:cs="宋体"/>
                <w:color w:val="000000"/>
                <w:szCs w:val="21"/>
              </w:rPr>
              <w:t>NB/SH/T 0248-2019</w:t>
            </w:r>
          </w:p>
        </w:tc>
      </w:tr>
      <w:tr w14:paraId="0EF0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D354594">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4C1314C7">
            <w:pPr>
              <w:snapToGrid w:val="0"/>
              <w:jc w:val="center"/>
              <w:rPr>
                <w:rFonts w:ascii="宋体" w:hAnsi="宋体" w:cs="宋体"/>
                <w:color w:val="000000"/>
                <w:szCs w:val="21"/>
              </w:rPr>
            </w:pPr>
            <w:r>
              <w:rPr>
                <w:rFonts w:hint="eastAsia" w:ascii="宋体" w:hAnsi="宋体" w:cs="宋体"/>
                <w:color w:val="000000"/>
                <w:szCs w:val="21"/>
                <w:lang w:val="en-US" w:eastAsia="zh-CN"/>
              </w:rPr>
              <w:t>总污染物含量</w:t>
            </w:r>
          </w:p>
        </w:tc>
        <w:tc>
          <w:tcPr>
            <w:tcW w:w="3662" w:type="dxa"/>
            <w:vAlign w:val="center"/>
          </w:tcPr>
          <w:p w14:paraId="08420FE6">
            <w:pPr>
              <w:snapToGrid w:val="0"/>
              <w:jc w:val="center"/>
              <w:rPr>
                <w:rFonts w:ascii="宋体" w:hAnsi="宋体" w:cs="宋体"/>
                <w:color w:val="000000"/>
                <w:szCs w:val="21"/>
              </w:rPr>
            </w:pPr>
            <w:r>
              <w:rPr>
                <w:rFonts w:hint="eastAsia" w:ascii="宋体" w:hAnsi="宋体" w:cs="宋体"/>
                <w:color w:val="000000"/>
                <w:szCs w:val="21"/>
              </w:rPr>
              <w:t>GB/T 33400-2016</w:t>
            </w:r>
          </w:p>
        </w:tc>
      </w:tr>
    </w:tbl>
    <w:p w14:paraId="4BF23B42">
      <w:pPr>
        <w:snapToGrid w:val="0"/>
        <w:spacing w:line="440" w:lineRule="exact"/>
      </w:pPr>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01CC292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 19147-2016 车用柴油</w:t>
      </w:r>
    </w:p>
    <w:p w14:paraId="5ED1F0AD">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F66AC0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1AE9"/>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C23B1B"/>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574A4"/>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572E1C"/>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70803"/>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6830DB"/>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E0874"/>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68092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F0DD5"/>
    <w:rsid w:val="2ECD0A22"/>
    <w:rsid w:val="2ED56370"/>
    <w:rsid w:val="2F0361F1"/>
    <w:rsid w:val="2F0C295D"/>
    <w:rsid w:val="2F0F1C76"/>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0E664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A832CF"/>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B946C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53C"/>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1CE5"/>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79309A"/>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871F4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DB435C"/>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670</Words>
  <Characters>840</Characters>
  <Lines>7</Lines>
  <Paragraphs>2</Paragraphs>
  <TotalTime>0</TotalTime>
  <ScaleCrop>false</ScaleCrop>
  <LinksUpToDate>false</LinksUpToDate>
  <CharactersWithSpaces>863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2026-06-03T00:49:24Z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