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0CFD">
      <w:pPr>
        <w:pStyle w:val="4"/>
        <w:jc w:val="center"/>
      </w:pPr>
      <w:r>
        <w:rPr>
          <w:rFonts w:hint="eastAsia" w:ascii="宋体" w:hAnsi="宋体" w:cs="宋体"/>
          <w:b/>
          <w:bCs/>
          <w:sz w:val="32"/>
          <w:szCs w:val="32"/>
        </w:rPr>
        <w:t>2026年凌源市</w:t>
      </w:r>
      <w:r>
        <w:rPr>
          <w:rFonts w:hint="eastAsia" w:ascii="宋体" w:hAnsi="宋体" w:cs="宋体"/>
          <w:b/>
          <w:bCs/>
          <w:sz w:val="32"/>
          <w:szCs w:val="32"/>
          <w:lang w:val="en-US" w:eastAsia="zh-CN"/>
        </w:rPr>
        <w:t>配装眼镜</w:t>
      </w:r>
      <w:r>
        <w:rPr>
          <w:rFonts w:hint="eastAsia" w:ascii="宋体" w:hAnsi="宋体" w:cs="宋体"/>
          <w:b/>
          <w:bCs/>
          <w:sz w:val="32"/>
          <w:szCs w:val="32"/>
        </w:rPr>
        <w:t>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3F5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1FD2DF">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56F57DB2">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szCs w:val="21"/>
                <w:lang w:eastAsia="zh-CN"/>
              </w:rPr>
              <w:t>配装眼镜</w:t>
            </w:r>
          </w:p>
        </w:tc>
        <w:tc>
          <w:tcPr>
            <w:tcW w:w="1602" w:type="dxa"/>
            <w:vAlign w:val="center"/>
          </w:tcPr>
          <w:p w14:paraId="419C230B">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2</w:t>
            </w:r>
            <w:r>
              <w:rPr>
                <w:rFonts w:hint="default" w:ascii="宋体" w:hAnsi="宋体" w:cs="宋体"/>
                <w:color w:val="000000"/>
                <w:szCs w:val="21"/>
                <w:lang w:val="en-US" w:eastAsia="zh-CN"/>
              </w:rPr>
              <w:t>副</w:t>
            </w:r>
          </w:p>
        </w:tc>
        <w:tc>
          <w:tcPr>
            <w:tcW w:w="1850" w:type="dxa"/>
            <w:vAlign w:val="center"/>
          </w:tcPr>
          <w:p w14:paraId="05D497BD">
            <w:pPr>
              <w:widowControl/>
              <w:jc w:val="center"/>
              <w:textAlignment w:val="center"/>
              <w:rPr>
                <w:rFonts w:hint="default" w:ascii="宋体" w:hAnsi="宋体" w:cs="宋体"/>
                <w:color w:val="000000"/>
                <w:szCs w:val="21"/>
                <w:lang w:val="en-US" w:eastAsia="zh-CN"/>
              </w:rPr>
            </w:pPr>
            <w:r>
              <w:rPr>
                <w:rFonts w:hint="default" w:ascii="宋体" w:hAnsi="宋体" w:cs="宋体"/>
                <w:color w:val="000000"/>
                <w:szCs w:val="21"/>
                <w:lang w:val="en-US" w:eastAsia="zh-CN"/>
              </w:rPr>
              <w:t>1副</w:t>
            </w:r>
          </w:p>
        </w:tc>
        <w:tc>
          <w:tcPr>
            <w:tcW w:w="1788" w:type="dxa"/>
            <w:vAlign w:val="center"/>
          </w:tcPr>
          <w:p w14:paraId="0145FAFE">
            <w:pPr>
              <w:widowControl/>
              <w:jc w:val="center"/>
              <w:textAlignment w:val="center"/>
              <w:rPr>
                <w:rFonts w:hint="eastAsia" w:ascii="宋体" w:hAnsi="宋体" w:cs="宋体"/>
                <w:color w:val="000000"/>
                <w:szCs w:val="21"/>
              </w:rPr>
            </w:pPr>
            <w:r>
              <w:rPr>
                <w:rFonts w:hint="eastAsia" w:ascii="宋体" w:hAnsi="宋体" w:cs="宋体"/>
                <w:color w:val="000000"/>
                <w:szCs w:val="21"/>
              </w:rPr>
              <w:t>1副</w:t>
            </w:r>
          </w:p>
        </w:tc>
      </w:tr>
    </w:tbl>
    <w:p w14:paraId="16EDEEE5">
      <w:pPr>
        <w:snapToGrid w:val="0"/>
        <w:spacing w:line="440" w:lineRule="exact"/>
        <w:rPr>
          <w:rFonts w:ascii="宋体" w:hAnsi="宋体" w:cs="宋体"/>
          <w:b/>
          <w:bCs/>
          <w:szCs w:val="21"/>
        </w:rPr>
      </w:pPr>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lang w:eastAsia="zh-CN"/>
        </w:rPr>
        <w:t>配装眼镜</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外观质量</w:t>
            </w:r>
          </w:p>
        </w:tc>
        <w:tc>
          <w:tcPr>
            <w:tcW w:w="3662" w:type="dxa"/>
            <w:vAlign w:val="center"/>
          </w:tcPr>
          <w:p w14:paraId="37F91915">
            <w:pPr>
              <w:snapToGrid w:val="0"/>
              <w:jc w:val="center"/>
              <w:rPr>
                <w:rFonts w:ascii="宋体" w:hAnsi="宋体" w:cs="宋体"/>
                <w:szCs w:val="21"/>
              </w:rPr>
            </w:pPr>
            <w:r>
              <w:rPr>
                <w:rFonts w:hint="eastAsia" w:ascii="宋体" w:hAnsi="宋体" w:cs="宋体"/>
                <w:szCs w:val="21"/>
              </w:rPr>
              <w:t>GB/T 14214-2019</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顶焦度允差</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GB 45184-2024</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厚度允差</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GB/T 13511.1-2025</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镜片可见光光透射比τv</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GB 10810.3-2006</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两镜片光学中心水平距离偏差</w:t>
            </w:r>
          </w:p>
        </w:tc>
        <w:tc>
          <w:tcPr>
            <w:tcW w:w="3662" w:type="dxa"/>
            <w:vAlign w:val="center"/>
          </w:tcPr>
          <w:p w14:paraId="70C980D4">
            <w:pPr>
              <w:snapToGrid w:val="0"/>
              <w:jc w:val="center"/>
              <w:rPr>
                <w:rFonts w:ascii="宋体" w:hAnsi="宋体" w:cs="宋体"/>
                <w:color w:val="000000"/>
                <w:szCs w:val="21"/>
              </w:rPr>
            </w:pPr>
            <w:r>
              <w:rPr>
                <w:rFonts w:hint="eastAsia" w:ascii="宋体" w:hAnsi="宋体" w:cs="宋体"/>
                <w:color w:val="000000"/>
                <w:szCs w:val="21"/>
              </w:rPr>
              <w:t>GB 13511.1-2011</w:t>
            </w:r>
          </w:p>
        </w:tc>
      </w:tr>
      <w:tr w14:paraId="6E42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9A8AF94">
            <w:pPr>
              <w:widowControl/>
              <w:numPr>
                <w:ilvl w:val="0"/>
                <w:numId w:val="1"/>
              </w:numPr>
              <w:jc w:val="center"/>
              <w:textAlignment w:val="center"/>
              <w:rPr>
                <w:rFonts w:ascii="宋体" w:hAnsi="宋体" w:cs="宋体"/>
                <w:kern w:val="0"/>
                <w:szCs w:val="21"/>
              </w:rPr>
            </w:pPr>
          </w:p>
        </w:tc>
        <w:tc>
          <w:tcPr>
            <w:tcW w:w="4033" w:type="dxa"/>
            <w:vAlign w:val="center"/>
          </w:tcPr>
          <w:p w14:paraId="54D45A86">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水平光学中心与眼瞳的单侧偏差</w:t>
            </w:r>
          </w:p>
        </w:tc>
        <w:tc>
          <w:tcPr>
            <w:tcW w:w="3662" w:type="dxa"/>
            <w:vAlign w:val="center"/>
          </w:tcPr>
          <w:p w14:paraId="4C2F7A89">
            <w:pPr>
              <w:snapToGrid w:val="0"/>
              <w:jc w:val="center"/>
              <w:rPr>
                <w:rFonts w:ascii="宋体" w:hAnsi="宋体" w:cs="宋体"/>
                <w:color w:val="000000"/>
                <w:szCs w:val="21"/>
              </w:rPr>
            </w:pPr>
            <w:r>
              <w:rPr>
                <w:rFonts w:hint="eastAsia" w:ascii="宋体" w:hAnsi="宋体" w:cs="宋体"/>
                <w:color w:val="000000"/>
                <w:szCs w:val="21"/>
              </w:rPr>
              <w:t>GB 13511.1-2011</w:t>
            </w:r>
          </w:p>
        </w:tc>
      </w:tr>
      <w:tr w14:paraId="2ED7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1FB716C">
            <w:pPr>
              <w:widowControl/>
              <w:numPr>
                <w:ilvl w:val="0"/>
                <w:numId w:val="1"/>
              </w:numPr>
              <w:jc w:val="center"/>
              <w:textAlignment w:val="center"/>
              <w:rPr>
                <w:rFonts w:ascii="宋体" w:hAnsi="宋体" w:cs="宋体"/>
                <w:kern w:val="0"/>
                <w:szCs w:val="21"/>
              </w:rPr>
            </w:pPr>
            <w:bookmarkStart w:id="0" w:name="OLE_LINK4"/>
            <w:bookmarkStart w:id="1" w:name="OLE_LINK3"/>
          </w:p>
        </w:tc>
        <w:tc>
          <w:tcPr>
            <w:tcW w:w="4033" w:type="dxa"/>
            <w:vAlign w:val="center"/>
          </w:tcPr>
          <w:p w14:paraId="445217ED">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光学中心垂直互差</w:t>
            </w:r>
          </w:p>
        </w:tc>
        <w:tc>
          <w:tcPr>
            <w:tcW w:w="3662" w:type="dxa"/>
            <w:vAlign w:val="center"/>
          </w:tcPr>
          <w:p w14:paraId="7E8801CF">
            <w:pPr>
              <w:snapToGrid w:val="0"/>
              <w:jc w:val="center"/>
              <w:rPr>
                <w:rFonts w:ascii="宋体" w:hAnsi="宋体" w:cs="宋体"/>
                <w:color w:val="000000"/>
                <w:szCs w:val="21"/>
              </w:rPr>
            </w:pPr>
            <w:r>
              <w:rPr>
                <w:rFonts w:hint="eastAsia" w:ascii="宋体" w:hAnsi="宋体" w:cs="宋体"/>
                <w:color w:val="000000"/>
                <w:szCs w:val="21"/>
              </w:rPr>
              <w:t>GB 13511.1-2011</w:t>
            </w:r>
          </w:p>
        </w:tc>
      </w:tr>
      <w:tr w14:paraId="1EB3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56FC51D2">
            <w:pPr>
              <w:widowControl/>
              <w:numPr>
                <w:ilvl w:val="0"/>
                <w:numId w:val="1"/>
              </w:numPr>
              <w:jc w:val="center"/>
              <w:textAlignment w:val="center"/>
              <w:rPr>
                <w:rFonts w:ascii="宋体" w:hAnsi="宋体" w:cs="宋体"/>
                <w:kern w:val="0"/>
                <w:szCs w:val="21"/>
              </w:rPr>
            </w:pPr>
          </w:p>
        </w:tc>
        <w:tc>
          <w:tcPr>
            <w:tcW w:w="4033" w:type="dxa"/>
            <w:vAlign w:val="center"/>
          </w:tcPr>
          <w:p w14:paraId="70E8C051">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装配质量</w:t>
            </w:r>
          </w:p>
        </w:tc>
        <w:tc>
          <w:tcPr>
            <w:tcW w:w="3662" w:type="dxa"/>
            <w:vAlign w:val="center"/>
          </w:tcPr>
          <w:p w14:paraId="608D6B09">
            <w:pPr>
              <w:snapToGrid w:val="0"/>
              <w:jc w:val="center"/>
              <w:rPr>
                <w:rFonts w:ascii="宋体" w:hAnsi="宋体" w:cs="宋体"/>
                <w:color w:val="000000"/>
                <w:szCs w:val="21"/>
              </w:rPr>
            </w:pPr>
            <w:r>
              <w:rPr>
                <w:rFonts w:hint="eastAsia" w:ascii="宋体" w:hAnsi="宋体" w:cs="宋体"/>
                <w:color w:val="000000"/>
                <w:szCs w:val="21"/>
              </w:rPr>
              <w:t>GB 13511.1-2011</w:t>
            </w:r>
          </w:p>
        </w:tc>
      </w:tr>
    </w:tbl>
    <w:p w14:paraId="26EF295A">
      <w:pPr>
        <w:snapToGrid w:val="0"/>
        <w:spacing w:line="440" w:lineRule="exact"/>
      </w:pPr>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7C3ABAC3">
      <w:pPr>
        <w:adjustRightInd w:val="0"/>
        <w:snapToGrid w:val="0"/>
        <w:spacing w:line="440" w:lineRule="exact"/>
        <w:ind w:firstLine="420" w:firstLineChars="200"/>
        <w:rPr>
          <w:rFonts w:hint="eastAsia" w:ascii="宋体" w:hAnsi="宋体" w:cs="宋体"/>
          <w:szCs w:val="21"/>
          <w:lang w:eastAsia="zh-CN"/>
        </w:rPr>
      </w:pPr>
      <w:r>
        <w:rPr>
          <w:rFonts w:hint="eastAsia" w:ascii="宋体" w:hAnsi="宋体" w:cs="宋体"/>
          <w:szCs w:val="21"/>
        </w:rPr>
        <w:t>GB/T 13511.1-2025</w:t>
      </w:r>
      <w:r>
        <w:rPr>
          <w:rFonts w:hint="eastAsia" w:ascii="宋体" w:hAnsi="宋体" w:cs="宋体"/>
          <w:szCs w:val="21"/>
          <w:lang w:val="en-US" w:eastAsia="zh-CN"/>
        </w:rPr>
        <w:t xml:space="preserve"> </w:t>
      </w:r>
      <w:r>
        <w:rPr>
          <w:rFonts w:hint="eastAsia" w:ascii="宋体" w:hAnsi="宋体" w:cs="宋体"/>
          <w:szCs w:val="21"/>
          <w:lang w:eastAsia="zh-CN"/>
        </w:rPr>
        <w:t>配装眼镜 第1部分：单焦和多焦定配眼镜</w:t>
      </w:r>
      <w:bookmarkStart w:id="4" w:name="_GoBack"/>
      <w:bookmarkEnd w:id="4"/>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3897946B"/>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550AC"/>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3730A5"/>
    <w:rsid w:val="014063FE"/>
    <w:rsid w:val="01527EDF"/>
    <w:rsid w:val="015920E6"/>
    <w:rsid w:val="015B6D94"/>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5E2B6B"/>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7A317B"/>
    <w:rsid w:val="05832D5D"/>
    <w:rsid w:val="05854D43"/>
    <w:rsid w:val="059A6126"/>
    <w:rsid w:val="05A172D2"/>
    <w:rsid w:val="05B41169"/>
    <w:rsid w:val="05B80C59"/>
    <w:rsid w:val="05D45367"/>
    <w:rsid w:val="05FE0636"/>
    <w:rsid w:val="06035C4C"/>
    <w:rsid w:val="06093262"/>
    <w:rsid w:val="06253E14"/>
    <w:rsid w:val="064E336B"/>
    <w:rsid w:val="06A50AB1"/>
    <w:rsid w:val="06A765D7"/>
    <w:rsid w:val="06B31420"/>
    <w:rsid w:val="06D1542A"/>
    <w:rsid w:val="06F3181D"/>
    <w:rsid w:val="070103DE"/>
    <w:rsid w:val="071E0F8F"/>
    <w:rsid w:val="074A238C"/>
    <w:rsid w:val="075375B0"/>
    <w:rsid w:val="07593D76"/>
    <w:rsid w:val="078057A6"/>
    <w:rsid w:val="079C0106"/>
    <w:rsid w:val="07A56FBB"/>
    <w:rsid w:val="07AA2823"/>
    <w:rsid w:val="07B40FAC"/>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3E61FE"/>
    <w:rsid w:val="104650B3"/>
    <w:rsid w:val="10675755"/>
    <w:rsid w:val="10765998"/>
    <w:rsid w:val="10767F2A"/>
    <w:rsid w:val="107751B2"/>
    <w:rsid w:val="108005C5"/>
    <w:rsid w:val="10944070"/>
    <w:rsid w:val="10947BCD"/>
    <w:rsid w:val="10AF2C58"/>
    <w:rsid w:val="10D95F27"/>
    <w:rsid w:val="10EA5A3E"/>
    <w:rsid w:val="10F42D61"/>
    <w:rsid w:val="114E247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536A6"/>
    <w:rsid w:val="132F0080"/>
    <w:rsid w:val="13385187"/>
    <w:rsid w:val="135D3910"/>
    <w:rsid w:val="13623FB2"/>
    <w:rsid w:val="13652229"/>
    <w:rsid w:val="13655850"/>
    <w:rsid w:val="13685340"/>
    <w:rsid w:val="137141F5"/>
    <w:rsid w:val="13737F6D"/>
    <w:rsid w:val="1379754E"/>
    <w:rsid w:val="1384217A"/>
    <w:rsid w:val="138A175B"/>
    <w:rsid w:val="138E2FF9"/>
    <w:rsid w:val="13A40300"/>
    <w:rsid w:val="13C63C31"/>
    <w:rsid w:val="13F54E26"/>
    <w:rsid w:val="13FA41EA"/>
    <w:rsid w:val="14027543"/>
    <w:rsid w:val="142B0848"/>
    <w:rsid w:val="145E0C1D"/>
    <w:rsid w:val="14627FE2"/>
    <w:rsid w:val="14C91E0F"/>
    <w:rsid w:val="14D3578A"/>
    <w:rsid w:val="14DB226E"/>
    <w:rsid w:val="14DE58BA"/>
    <w:rsid w:val="14EC6584"/>
    <w:rsid w:val="15167ED2"/>
    <w:rsid w:val="15311E8E"/>
    <w:rsid w:val="153E6AC2"/>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9F72CB"/>
    <w:rsid w:val="16A24B17"/>
    <w:rsid w:val="16A448E1"/>
    <w:rsid w:val="16A97510"/>
    <w:rsid w:val="16BC7E7D"/>
    <w:rsid w:val="16CD5BE6"/>
    <w:rsid w:val="16D451C7"/>
    <w:rsid w:val="16E64AA2"/>
    <w:rsid w:val="16F24B51"/>
    <w:rsid w:val="16F5338F"/>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22604"/>
    <w:rsid w:val="1844012A"/>
    <w:rsid w:val="184E4A60"/>
    <w:rsid w:val="186859E8"/>
    <w:rsid w:val="18700F1F"/>
    <w:rsid w:val="18826EA4"/>
    <w:rsid w:val="188744BB"/>
    <w:rsid w:val="188E75F7"/>
    <w:rsid w:val="18982224"/>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9A47BD"/>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5E7A6C"/>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86727A"/>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1F7620D"/>
    <w:rsid w:val="22445A9B"/>
    <w:rsid w:val="22456F79"/>
    <w:rsid w:val="2250591D"/>
    <w:rsid w:val="225418B2"/>
    <w:rsid w:val="22774BA5"/>
    <w:rsid w:val="22835243"/>
    <w:rsid w:val="229C0B63"/>
    <w:rsid w:val="22AA7723"/>
    <w:rsid w:val="22B97967"/>
    <w:rsid w:val="22CC58EC"/>
    <w:rsid w:val="22E91FFA"/>
    <w:rsid w:val="23040BE2"/>
    <w:rsid w:val="231E77CA"/>
    <w:rsid w:val="23240E85"/>
    <w:rsid w:val="23264FFC"/>
    <w:rsid w:val="23492A98"/>
    <w:rsid w:val="234C07DB"/>
    <w:rsid w:val="235651D1"/>
    <w:rsid w:val="237613B4"/>
    <w:rsid w:val="237F470C"/>
    <w:rsid w:val="23876120"/>
    <w:rsid w:val="239C706C"/>
    <w:rsid w:val="23A128D5"/>
    <w:rsid w:val="23BC14BC"/>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30CCB"/>
    <w:rsid w:val="24E45B48"/>
    <w:rsid w:val="2503311B"/>
    <w:rsid w:val="250A6257"/>
    <w:rsid w:val="25401C79"/>
    <w:rsid w:val="25414951"/>
    <w:rsid w:val="25626093"/>
    <w:rsid w:val="256B669F"/>
    <w:rsid w:val="25787665"/>
    <w:rsid w:val="257B0F03"/>
    <w:rsid w:val="25D0124F"/>
    <w:rsid w:val="25D32AED"/>
    <w:rsid w:val="25D54AB7"/>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467056"/>
    <w:rsid w:val="2A8B2288"/>
    <w:rsid w:val="2A9F7442"/>
    <w:rsid w:val="2AA1140C"/>
    <w:rsid w:val="2AB96756"/>
    <w:rsid w:val="2AF94DA4"/>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5A5D16"/>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C7A55"/>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850D4"/>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920EBF"/>
    <w:rsid w:val="34AB35B3"/>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282471"/>
    <w:rsid w:val="38365E89"/>
    <w:rsid w:val="3842422E"/>
    <w:rsid w:val="386817BB"/>
    <w:rsid w:val="38743CBC"/>
    <w:rsid w:val="388D2FD0"/>
    <w:rsid w:val="388F0AF6"/>
    <w:rsid w:val="38935966"/>
    <w:rsid w:val="38CC7F9C"/>
    <w:rsid w:val="38CF183A"/>
    <w:rsid w:val="38D429AD"/>
    <w:rsid w:val="38EC5F48"/>
    <w:rsid w:val="38F31085"/>
    <w:rsid w:val="38F571B0"/>
    <w:rsid w:val="38F82B3F"/>
    <w:rsid w:val="39235B63"/>
    <w:rsid w:val="393618B9"/>
    <w:rsid w:val="39671A73"/>
    <w:rsid w:val="396C0E37"/>
    <w:rsid w:val="396F26D5"/>
    <w:rsid w:val="39812B34"/>
    <w:rsid w:val="39B44A86"/>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4F61D0"/>
    <w:rsid w:val="3B677B08"/>
    <w:rsid w:val="3B84690C"/>
    <w:rsid w:val="3B9D5C20"/>
    <w:rsid w:val="3BB014AF"/>
    <w:rsid w:val="3BBB7E54"/>
    <w:rsid w:val="3BC44F5A"/>
    <w:rsid w:val="3BC96A15"/>
    <w:rsid w:val="3BD74C8E"/>
    <w:rsid w:val="3BDA652C"/>
    <w:rsid w:val="3BDC04F6"/>
    <w:rsid w:val="3BF66F2E"/>
    <w:rsid w:val="3C025A83"/>
    <w:rsid w:val="3C1E28BD"/>
    <w:rsid w:val="3C20321B"/>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665F1"/>
    <w:rsid w:val="3D595B76"/>
    <w:rsid w:val="3D5D7415"/>
    <w:rsid w:val="3DA46DF1"/>
    <w:rsid w:val="3DAA0180"/>
    <w:rsid w:val="3DCE0312"/>
    <w:rsid w:val="3DE73A20"/>
    <w:rsid w:val="3DEC0798"/>
    <w:rsid w:val="3DF24001"/>
    <w:rsid w:val="3DFA1730"/>
    <w:rsid w:val="3E183FFB"/>
    <w:rsid w:val="3E4405D4"/>
    <w:rsid w:val="3E704F26"/>
    <w:rsid w:val="3E7569E0"/>
    <w:rsid w:val="3E7C1B1C"/>
    <w:rsid w:val="3E7E3AE6"/>
    <w:rsid w:val="3E86299B"/>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823479"/>
    <w:rsid w:val="428A7F46"/>
    <w:rsid w:val="42935686"/>
    <w:rsid w:val="429A4C67"/>
    <w:rsid w:val="429A6A15"/>
    <w:rsid w:val="42B06238"/>
    <w:rsid w:val="42B626C1"/>
    <w:rsid w:val="42E139C5"/>
    <w:rsid w:val="42E45EE2"/>
    <w:rsid w:val="43140575"/>
    <w:rsid w:val="43321CFE"/>
    <w:rsid w:val="435377DB"/>
    <w:rsid w:val="436E4771"/>
    <w:rsid w:val="438438A3"/>
    <w:rsid w:val="43993170"/>
    <w:rsid w:val="43A01E09"/>
    <w:rsid w:val="43BB30E7"/>
    <w:rsid w:val="43BD0C0D"/>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8D482F"/>
    <w:rsid w:val="468E6891"/>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8868CD"/>
    <w:rsid w:val="49951C31"/>
    <w:rsid w:val="49A85EBB"/>
    <w:rsid w:val="49AD4524"/>
    <w:rsid w:val="49BF6D61"/>
    <w:rsid w:val="49CF3448"/>
    <w:rsid w:val="49DC5B65"/>
    <w:rsid w:val="49DE18DD"/>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A606E3"/>
    <w:rsid w:val="4CD831FD"/>
    <w:rsid w:val="4CDF7E46"/>
    <w:rsid w:val="4CE4545C"/>
    <w:rsid w:val="4D1D096E"/>
    <w:rsid w:val="4D1D271C"/>
    <w:rsid w:val="4D2E0486"/>
    <w:rsid w:val="4D3F6B37"/>
    <w:rsid w:val="4D5325E2"/>
    <w:rsid w:val="4D626ED4"/>
    <w:rsid w:val="4D9B5D22"/>
    <w:rsid w:val="4DD21759"/>
    <w:rsid w:val="4E0C3682"/>
    <w:rsid w:val="4E1F4272"/>
    <w:rsid w:val="4E261AA5"/>
    <w:rsid w:val="4E5B79A0"/>
    <w:rsid w:val="4E6F6FA8"/>
    <w:rsid w:val="4E867C5E"/>
    <w:rsid w:val="4E8C5DAC"/>
    <w:rsid w:val="4EB64BD7"/>
    <w:rsid w:val="4ED137BE"/>
    <w:rsid w:val="4ED27537"/>
    <w:rsid w:val="4EE259CC"/>
    <w:rsid w:val="4EEA30EF"/>
    <w:rsid w:val="4EEC23A6"/>
    <w:rsid w:val="4EF456FF"/>
    <w:rsid w:val="4F196F13"/>
    <w:rsid w:val="4F1B2C8C"/>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5755E3"/>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1F7091"/>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9B5060"/>
    <w:rsid w:val="58CE57F1"/>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3F0176"/>
    <w:rsid w:val="5A492DA3"/>
    <w:rsid w:val="5A582FE6"/>
    <w:rsid w:val="5A6220B6"/>
    <w:rsid w:val="5A6C6A91"/>
    <w:rsid w:val="5A6E45B7"/>
    <w:rsid w:val="5A8B6F17"/>
    <w:rsid w:val="5A900282"/>
    <w:rsid w:val="5AAF235F"/>
    <w:rsid w:val="5ACE32A8"/>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8974C8"/>
    <w:rsid w:val="5C95407D"/>
    <w:rsid w:val="5C9F6BCD"/>
    <w:rsid w:val="5CC74453"/>
    <w:rsid w:val="5CD050B5"/>
    <w:rsid w:val="5CEA65A2"/>
    <w:rsid w:val="5D35013A"/>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681AA9"/>
    <w:rsid w:val="606C77EB"/>
    <w:rsid w:val="60797B9D"/>
    <w:rsid w:val="608D150F"/>
    <w:rsid w:val="60A2320D"/>
    <w:rsid w:val="60C34F31"/>
    <w:rsid w:val="60CC028A"/>
    <w:rsid w:val="610C025B"/>
    <w:rsid w:val="610C2B17"/>
    <w:rsid w:val="611F2AAF"/>
    <w:rsid w:val="6127639D"/>
    <w:rsid w:val="612B40D2"/>
    <w:rsid w:val="61306055"/>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3A1C66"/>
    <w:rsid w:val="658C6270"/>
    <w:rsid w:val="659B647C"/>
    <w:rsid w:val="65A176F1"/>
    <w:rsid w:val="65D8147F"/>
    <w:rsid w:val="66012783"/>
    <w:rsid w:val="660C45AF"/>
    <w:rsid w:val="661001E2"/>
    <w:rsid w:val="662B4B98"/>
    <w:rsid w:val="66320B8F"/>
    <w:rsid w:val="6639016F"/>
    <w:rsid w:val="665925BF"/>
    <w:rsid w:val="667C4500"/>
    <w:rsid w:val="66AA4BC9"/>
    <w:rsid w:val="66BA2932"/>
    <w:rsid w:val="66CD6B09"/>
    <w:rsid w:val="66CF4630"/>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7517A"/>
    <w:rsid w:val="686D5EAE"/>
    <w:rsid w:val="687A681D"/>
    <w:rsid w:val="687B58DA"/>
    <w:rsid w:val="6880291B"/>
    <w:rsid w:val="68A815DC"/>
    <w:rsid w:val="68A84362"/>
    <w:rsid w:val="68AE4302"/>
    <w:rsid w:val="68D51CA5"/>
    <w:rsid w:val="68F4037D"/>
    <w:rsid w:val="6908207B"/>
    <w:rsid w:val="69146C72"/>
    <w:rsid w:val="691B1DAE"/>
    <w:rsid w:val="692A0243"/>
    <w:rsid w:val="69344C1E"/>
    <w:rsid w:val="693C3AD3"/>
    <w:rsid w:val="69401815"/>
    <w:rsid w:val="69461A26"/>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253200"/>
    <w:rsid w:val="6E35746E"/>
    <w:rsid w:val="6E900B48"/>
    <w:rsid w:val="6E9E7CDC"/>
    <w:rsid w:val="6EAE47E3"/>
    <w:rsid w:val="6EC5360B"/>
    <w:rsid w:val="6ED053E9"/>
    <w:rsid w:val="6EE64C0C"/>
    <w:rsid w:val="6EF02E8D"/>
    <w:rsid w:val="6EF8049C"/>
    <w:rsid w:val="6EFC61DE"/>
    <w:rsid w:val="6EFF7A7C"/>
    <w:rsid w:val="6F435BBB"/>
    <w:rsid w:val="6F742582"/>
    <w:rsid w:val="6F7C2E7B"/>
    <w:rsid w:val="6F7F4719"/>
    <w:rsid w:val="6F83245B"/>
    <w:rsid w:val="6F936FE2"/>
    <w:rsid w:val="6F993A2D"/>
    <w:rsid w:val="6FA04AC2"/>
    <w:rsid w:val="6FAA5C3A"/>
    <w:rsid w:val="6FAC3760"/>
    <w:rsid w:val="6FCA1E38"/>
    <w:rsid w:val="6FCF744E"/>
    <w:rsid w:val="6FF11ABB"/>
    <w:rsid w:val="702F4391"/>
    <w:rsid w:val="703F031D"/>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111FA0"/>
    <w:rsid w:val="722A3062"/>
    <w:rsid w:val="725325B9"/>
    <w:rsid w:val="728409C4"/>
    <w:rsid w:val="729130E1"/>
    <w:rsid w:val="72A66B8C"/>
    <w:rsid w:val="72D27981"/>
    <w:rsid w:val="72D31822"/>
    <w:rsid w:val="72E444E7"/>
    <w:rsid w:val="72E70F53"/>
    <w:rsid w:val="73075151"/>
    <w:rsid w:val="73353A6C"/>
    <w:rsid w:val="73557ED4"/>
    <w:rsid w:val="7366202C"/>
    <w:rsid w:val="736E51D0"/>
    <w:rsid w:val="739F04BA"/>
    <w:rsid w:val="73AD7AA7"/>
    <w:rsid w:val="73B73449"/>
    <w:rsid w:val="73CE15C2"/>
    <w:rsid w:val="73E57241"/>
    <w:rsid w:val="73E922D7"/>
    <w:rsid w:val="743261FE"/>
    <w:rsid w:val="74343D24"/>
    <w:rsid w:val="743B1556"/>
    <w:rsid w:val="744C3764"/>
    <w:rsid w:val="744D3038"/>
    <w:rsid w:val="7456238C"/>
    <w:rsid w:val="745D327B"/>
    <w:rsid w:val="74744A68"/>
    <w:rsid w:val="74A54C22"/>
    <w:rsid w:val="74AA048A"/>
    <w:rsid w:val="74BA06CD"/>
    <w:rsid w:val="74C27582"/>
    <w:rsid w:val="74C432FA"/>
    <w:rsid w:val="74D379E1"/>
    <w:rsid w:val="74DC6EED"/>
    <w:rsid w:val="74F71921"/>
    <w:rsid w:val="75006207"/>
    <w:rsid w:val="75022074"/>
    <w:rsid w:val="751B50E1"/>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770854"/>
    <w:rsid w:val="76966F18"/>
    <w:rsid w:val="76992564"/>
    <w:rsid w:val="76AE6010"/>
    <w:rsid w:val="76B31878"/>
    <w:rsid w:val="771A5453"/>
    <w:rsid w:val="77212C85"/>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5675FB"/>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40C80"/>
    <w:rsid w:val="7EF944E8"/>
    <w:rsid w:val="7EFB200E"/>
    <w:rsid w:val="7F044C6C"/>
    <w:rsid w:val="7F39083A"/>
    <w:rsid w:val="7F6D458E"/>
    <w:rsid w:val="7F8D69DE"/>
    <w:rsid w:val="7F901CBD"/>
    <w:rsid w:val="7F95670B"/>
    <w:rsid w:val="7FA53D28"/>
    <w:rsid w:val="7FAC150E"/>
    <w:rsid w:val="7FCB608F"/>
    <w:rsid w:val="7FE17456"/>
    <w:rsid w:val="7FE44850"/>
    <w:rsid w:val="7FE505C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724</Words>
  <Characters>854</Characters>
  <Lines>6</Lines>
  <Paragraphs>1</Paragraphs>
  <TotalTime>1</TotalTime>
  <ScaleCrop>false</ScaleCrop>
  <LinksUpToDate>false</LinksUpToDate>
  <CharactersWithSpaces>872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2026-06-02T08:14:13Z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