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82" w:rsidRDefault="00004982" w:rsidP="00004982">
      <w:pPr>
        <w:pStyle w:val="New"/>
        <w:spacing w:line="700" w:lineRule="exact"/>
        <w:ind w:left="5250" w:firstLine="640"/>
        <w:jc w:val="center"/>
        <w:rPr>
          <w:rFonts w:ascii="方正大标宋简体" w:eastAsia="方正大标宋简体" w:hAnsi="仿宋_GB2312"/>
          <w:sz w:val="32"/>
          <w:szCs w:val="32"/>
        </w:rPr>
      </w:pPr>
      <w:bookmarkStart w:id="0" w:name="bookmark4"/>
      <w:bookmarkStart w:id="1" w:name="bookmark5"/>
      <w:bookmarkStart w:id="2" w:name="bookmark3"/>
    </w:p>
    <w:p w:rsidR="00004982" w:rsidRDefault="00004982" w:rsidP="00004982">
      <w:pPr>
        <w:pStyle w:val="New"/>
        <w:tabs>
          <w:tab w:val="left" w:pos="4680"/>
        </w:tabs>
        <w:spacing w:line="780" w:lineRule="exact"/>
        <w:jc w:val="lef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ab/>
      </w:r>
    </w:p>
    <w:p w:rsidR="00004982" w:rsidRDefault="00004982" w:rsidP="00004982">
      <w:pPr>
        <w:spacing w:line="780" w:lineRule="exact"/>
        <w:ind w:right="1120"/>
        <w:rPr>
          <w:sz w:val="32"/>
          <w:szCs w:val="32"/>
        </w:rPr>
      </w:pPr>
    </w:p>
    <w:p w:rsidR="00004982" w:rsidRDefault="00004982" w:rsidP="00004982">
      <w:pPr>
        <w:tabs>
          <w:tab w:val="left" w:pos="8280"/>
        </w:tabs>
        <w:wordWrap w:val="0"/>
        <w:spacing w:line="780" w:lineRule="exact"/>
        <w:ind w:right="-58" w:firstLineChars="300" w:firstLine="964"/>
        <w:jc w:val="righ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朝环审〔2025〕7号</w:t>
      </w:r>
    </w:p>
    <w:bookmarkEnd w:id="0"/>
    <w:bookmarkEnd w:id="1"/>
    <w:bookmarkEnd w:id="2"/>
    <w:p w:rsidR="00004982" w:rsidRDefault="00004982" w:rsidP="00004982">
      <w:pPr>
        <w:spacing w:line="500" w:lineRule="exact"/>
        <w:rPr>
          <w:sz w:val="44"/>
          <w:szCs w:val="44"/>
        </w:rPr>
      </w:pPr>
    </w:p>
    <w:p w:rsidR="003C3095" w:rsidRPr="003C3095" w:rsidRDefault="003C3095" w:rsidP="003C3095">
      <w:pPr>
        <w:spacing w:line="50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3C3095">
        <w:rPr>
          <w:rFonts w:ascii="方正小标宋简体" w:eastAsia="方正小标宋简体" w:hAnsi="Calibri" w:cs="Times New Roman" w:hint="eastAsia"/>
          <w:sz w:val="44"/>
          <w:szCs w:val="44"/>
        </w:rPr>
        <w:t>关于北票市龙兴矿业有限公司选矿厂</w:t>
      </w:r>
    </w:p>
    <w:p w:rsidR="003C3095" w:rsidRPr="003C3095" w:rsidRDefault="003C3095" w:rsidP="003C3095">
      <w:pPr>
        <w:spacing w:line="50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3C3095">
        <w:rPr>
          <w:rFonts w:ascii="方正小标宋简体" w:eastAsia="方正小标宋简体" w:hAnsi="Calibri" w:cs="Times New Roman" w:hint="eastAsia"/>
          <w:sz w:val="44"/>
          <w:szCs w:val="44"/>
        </w:rPr>
        <w:t>建设项目环境影响报告书的批复</w:t>
      </w:r>
    </w:p>
    <w:p w:rsidR="003C3095" w:rsidRPr="003C3095" w:rsidRDefault="003C3095" w:rsidP="003C3095">
      <w:pPr>
        <w:spacing w:line="50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</w:p>
    <w:p w:rsidR="003C3095" w:rsidRPr="003C3095" w:rsidRDefault="003C3095" w:rsidP="003C3095">
      <w:pPr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北票市龙兴矿业有限公司：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你单位报送的《北票市龙兴矿业有限公司选矿厂建设项目环境影响报告书》（以下简称《报告书》）收悉。根据《环境影响评价法》及有关规定，依据评估意见，经研究，批复如下：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一、北票市龙兴矿业有限公司选矿厂建设项目（以下简称“项目”），位于朝阳市北票市龙潭镇龙潭村，占地面积8568.23m</w:t>
      </w:r>
      <w:r w:rsidRPr="003C3095">
        <w:rPr>
          <w:rFonts w:ascii="仿宋_GB2312" w:eastAsia="仿宋_GB2312" w:hAnsi="Calibri" w:cs="Times New Roman" w:hint="eastAsia"/>
          <w:sz w:val="32"/>
          <w:szCs w:val="32"/>
          <w:vertAlign w:val="superscript"/>
        </w:rPr>
        <w:t>2</w:t>
      </w:r>
      <w:r w:rsidRPr="003C3095">
        <w:rPr>
          <w:rFonts w:ascii="仿宋_GB2312" w:eastAsia="仿宋_GB2312" w:hAnsi="Calibri" w:cs="Times New Roman" w:hint="eastAsia"/>
          <w:sz w:val="32"/>
          <w:szCs w:val="32"/>
        </w:rPr>
        <w:t>。项目充分利用原有矿山办公区，新建原矿仓、尾矿暂存库、破碎车间、磨矿车间、精粉库、浮选主厂房、尾矿干排车间、高位水池等。工艺采用“破碎+磨矿+浮选+压滤”工艺流程，尾矿采取干排处置，年处理金矿石量6万t，矿石全部来自企业自有矿山，金精矿产量 4241t/a。项目总投资1570万元，环保投资为96.5万元，占总投资的6.15%。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根据北票市自然资源局出具的情况说明，项目用地性质</w:t>
      </w:r>
      <w:r w:rsidRPr="003C3095">
        <w:rPr>
          <w:rFonts w:ascii="仿宋_GB2312" w:eastAsia="仿宋_GB2312" w:hAnsi="Calibri" w:cs="Times New Roman" w:hint="eastAsia"/>
          <w:sz w:val="32"/>
          <w:szCs w:val="32"/>
        </w:rPr>
        <w:lastRenderedPageBreak/>
        <w:t>为工业用地，符合《北票市国土空间总体规划（2021—2035年）》。项目符合国家产业政策，从环境保护角度分析，同意按照《报告书》中所列建设项目的性质、规模、地点、污染防治和生态保护措施进行建设。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二、项目在全面落实《报告书》提出的各项环境保护措施的基础上，建设运营过程中须重点做好以下工作：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（一）厂区至自有矿山道路采用半硬化，运输车辆要苫盖严密，运输廊道等要做好封闭，确保运输过程中扬尘污染得到有效控制；建设全封闭的原矿仓、破碎车间、磨矿车间、浮选主厂房、精粉库、尾矿干排车间和尾矿暂存库，厂界颗粒物浓度应满足《大气污染物综合排放标准》（GB16297-1996）无组织排放浓度限值要求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（二）项目破碎机入料口、皮带机前端和卸粉料仓应设置集气罩，收集的粉尘通过布袋除尘器处理，处理后废气通过15m高排气筒排放，有组织颗粒物浓度应满足《大气污染物综合排放标准》（GB16297- 1996）表2排放限值的要求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（三）项目生产废水主要为精矿过滤水和压滤废水，精矿过滤水经过滤机过滤后收集至车间沉淀池，沉淀后循环利用；压滤废水排至车间外高位水池沉淀后回用选矿工艺。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（四）项目应合理布局，选取低噪声设备并对主要噪声源采取隔声、减振等措施，运营期厂界噪声应满足《工业企业厂界环境噪声排放标准》（GB12348-2008）中2类功能区</w:t>
      </w:r>
      <w:r w:rsidRPr="003C3095">
        <w:rPr>
          <w:rFonts w:ascii="仿宋_GB2312" w:eastAsia="仿宋_GB2312" w:hAnsi="Calibri" w:cs="Times New Roman" w:hint="eastAsia"/>
          <w:sz w:val="32"/>
          <w:szCs w:val="32"/>
        </w:rPr>
        <w:lastRenderedPageBreak/>
        <w:t>标准要求。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（五）项目运营期产生的一般固体废物主要是除尘灰、废布袋、沉淀池底泥、浮选药剂二号油废包装物和尾矿。除尘灰回用于生产工艺，废布袋由厂家回收，沉淀池底泥定期清掏，返回选矿工艺，二号油包装废铁桶由厂家回收，尾矿外售综合利用；项目危险废物为浮选药剂丁基黄药及丁铵黑药的废包装物、废机油和废油桶，暂存于危废贮存点，定期委托有资质单位处置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三、强化环境风险防范和环保设施安全生产。做好应急物资储备，按照相关规定编制和备案突发环境事件应急预案，并与当地政府及其相关部门应急预案做好衔接，定期进行应急培训和演练，有效防范和应对环境风险。严格落实环保设备设施安全生产工作要求，健全企业内部污染防治设施稳定运行和管理责任制度，委托有相应资质的设计单位对重点环保设施进行设计，并定期做好环保设备设施安全风险辨识评估和隐患排查治理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四、建设项目需要配套建设的环境保护设施，必须与主体工程同时设计、同时施工、同时投产使用。项目排污前，应按照《排污许可管理条例》等相关法律法规，及时履行排污许可相关手续。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你单位应当按照规定的标准和程序，对配套建设的环境保护设施进行验收，经验收合格，方可投入使用；未经验收</w:t>
      </w:r>
      <w:r w:rsidRPr="003C3095">
        <w:rPr>
          <w:rFonts w:ascii="仿宋_GB2312" w:eastAsia="仿宋_GB2312" w:hAnsi="Calibri" w:cs="Times New Roman" w:hint="eastAsia"/>
          <w:sz w:val="32"/>
          <w:szCs w:val="32"/>
        </w:rPr>
        <w:lastRenderedPageBreak/>
        <w:t>或者验收不合格的，不得投入使用。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五、此批复仅限于《报告书》确定的建设内容，建设项目的环境影响评价文件经批准后，建设项目的性质、规模、地点、采用的生产工艺或者防治污染、防止生态破坏的措施发生重大变动的，应重新报批建设项目环境影响评价文件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自批准之日起超过五年，方决定该项目开工建设的，其环境影响评价文件应报我局重新审核。</w:t>
      </w:r>
    </w:p>
    <w:p w:rsidR="003C3095" w:rsidRPr="003C3095" w:rsidRDefault="003C3095" w:rsidP="003C309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六、请朝阳市生态环境局北票分局负责对本项目进行监督管理。</w:t>
      </w:r>
    </w:p>
    <w:p w:rsidR="003C3095" w:rsidRPr="003C3095" w:rsidRDefault="003C3095" w:rsidP="003C3095">
      <w:pPr>
        <w:rPr>
          <w:rFonts w:ascii="Calibri" w:eastAsia="宋体" w:hAnsi="Calibri" w:cs="Times New Roman" w:hint="eastAsia"/>
        </w:rPr>
      </w:pPr>
    </w:p>
    <w:p w:rsidR="003C3095" w:rsidRPr="003C3095" w:rsidRDefault="003C3095" w:rsidP="003C3095">
      <w:pPr>
        <w:rPr>
          <w:rFonts w:ascii="Calibri" w:eastAsia="宋体" w:hAnsi="Calibri" w:cs="Times New Roman" w:hint="eastAsia"/>
        </w:rPr>
      </w:pPr>
    </w:p>
    <w:p w:rsidR="003C3095" w:rsidRPr="003C3095" w:rsidRDefault="003C3095" w:rsidP="003C3095">
      <w:pPr>
        <w:ind w:firstLineChars="1373" w:firstLine="4394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朝阳市生态环境局</w:t>
      </w:r>
    </w:p>
    <w:p w:rsidR="003C3095" w:rsidRPr="003C3095" w:rsidRDefault="003C3095" w:rsidP="003C3095">
      <w:pPr>
        <w:ind w:firstLineChars="1373" w:firstLine="4394"/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2025年3月2</w:t>
      </w:r>
      <w:r w:rsidR="00FF35D0">
        <w:rPr>
          <w:rFonts w:ascii="仿宋_GB2312" w:eastAsia="仿宋_GB2312" w:hint="eastAsia"/>
          <w:sz w:val="32"/>
          <w:szCs w:val="32"/>
        </w:rPr>
        <w:t>8</w:t>
      </w:r>
      <w:r w:rsidRPr="003C3095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3C3095" w:rsidRPr="003C3095" w:rsidRDefault="003C3095" w:rsidP="003C3095">
      <w:pPr>
        <w:rPr>
          <w:rFonts w:ascii="仿宋_GB2312" w:eastAsia="仿宋_GB2312" w:hAnsi="Calibri" w:cs="Times New Roman" w:hint="eastAsia"/>
          <w:sz w:val="32"/>
          <w:szCs w:val="32"/>
        </w:rPr>
      </w:pPr>
      <w:r w:rsidRPr="003C3095">
        <w:rPr>
          <w:rFonts w:ascii="仿宋_GB2312" w:eastAsia="仿宋_GB2312" w:hAnsi="Calibri" w:cs="Times New Roman" w:hint="eastAsia"/>
          <w:sz w:val="32"/>
          <w:szCs w:val="32"/>
        </w:rPr>
        <w:t>（此件主动公开）</w:t>
      </w:r>
    </w:p>
    <w:p w:rsidR="00000000" w:rsidRDefault="00545760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Default="00004982">
      <w:pPr>
        <w:rPr>
          <w:rFonts w:hint="eastAsia"/>
        </w:rPr>
      </w:pPr>
    </w:p>
    <w:p w:rsidR="00004982" w:rsidRPr="00004982" w:rsidRDefault="00004982" w:rsidP="00004982"/>
    <w:p w:rsidR="00004982" w:rsidRPr="00004982" w:rsidRDefault="00004982" w:rsidP="00004982">
      <w:pPr>
        <w:spacing w:line="3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00498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004982" w:rsidRPr="00004982" w:rsidRDefault="00004982" w:rsidP="00004982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抄送：朝阳市生态环境局北票分局                                     </w:t>
      </w:r>
    </w:p>
    <w:p w:rsidR="00004982" w:rsidRPr="00004982" w:rsidRDefault="00004982" w:rsidP="00004982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朝阳市生态环境局                       2025年3月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28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日印发 </w:t>
      </w:r>
    </w:p>
    <w:p w:rsidR="00004982" w:rsidRPr="00004982" w:rsidRDefault="00004982" w:rsidP="00004982">
      <w:pPr>
        <w:spacing w:line="320" w:lineRule="exact"/>
        <w:rPr>
          <w:rFonts w:ascii="仿宋_GB2312" w:eastAsia="仿宋_GB2312" w:hAnsi="Calibri" w:cs="Times New Roman"/>
          <w:szCs w:val="24"/>
        </w:rPr>
      </w:pPr>
      <w:r w:rsidRPr="00004982">
        <w:rPr>
          <w:rFonts w:ascii="仿宋_GB2312" w:eastAsia="仿宋_GB2312" w:hAnsi="仿宋_GB2312" w:cs="仿宋_GB2312" w:hint="eastAsia"/>
          <w:szCs w:val="21"/>
        </w:rPr>
        <w:t>朝文备注3908                                                        共印11份</w:t>
      </w:r>
      <w:r w:rsidRPr="00004982">
        <w:rPr>
          <w:rFonts w:ascii="仿宋_GB2312" w:eastAsia="仿宋_GB2312" w:hAnsi="Calibri" w:cs="Times New Roman"/>
          <w:szCs w:val="24"/>
        </w:rPr>
        <w:pict>
          <v:line id="_x0000_s2142" style="position:absolute;left:0;text-align:left;z-index:2516910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33" style="position:absolute;left:0;text-align:left;z-index:2516817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2134" style="position:absolute;left:0;text-align:left;z-index:2516828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35" style="position:absolute;left:0;text-align:left;z-index:2516838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36" style="position:absolute;left:0;text-align:left;z-index:2516848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37" style="position:absolute;left:0;text-align:left;z-index:2516858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38" style="position:absolute;left:0;text-align:left;z-index:2516869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39" style="position:absolute;left:0;text-align:left;z-index:2516879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2140" style="position:absolute;left:0;text-align:left;z-index:2516889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41" style="position:absolute;left:0;text-align:left;z-index:2516899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 stroked="f"/>
        </w:pict>
      </w:r>
      <w:r w:rsidRPr="00004982">
        <w:rPr>
          <w:rFonts w:ascii="仿宋_GB2312" w:eastAsia="仿宋_GB2312" w:hAnsi="Times New Roman" w:cs="Times New Roman"/>
          <w:sz w:val="24"/>
          <w:szCs w:val="24"/>
        </w:rPr>
        <w:pict>
          <v:line id="直线 3" o:spid="_x0000_s2132" style="position:absolute;left:0;text-align:left;z-index:2516807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23" style="position:absolute;left:0;text-align:left;z-index:2516715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2124" style="position:absolute;left:0;text-align:left;z-index:2516725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25" style="position:absolute;left:0;text-align:left;z-index:2516736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26" style="position:absolute;left:0;text-align:left;z-index:2516746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27" style="position:absolute;left:0;text-align:left;z-index:2516756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28" style="position:absolute;left:0;text-align:left;z-index:2516766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29" style="position:absolute;left:0;text-align:left;z-index:2516776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2130" style="position:absolute;left:0;text-align:left;z-index:2516787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31" style="position:absolute;left:0;text-align:left;z-index:2516797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4"/>
          <w:szCs w:val="24"/>
        </w:rPr>
        <w:pict>
          <v:line id="_x0000_s2122" style="position:absolute;left:0;text-align:left;z-index:2516705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13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2114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15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16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17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18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19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2120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8"/>
          <w:szCs w:val="24"/>
        </w:rPr>
        <w:pict>
          <v:line id="_x0000_s2121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Times New Roman" w:cs="Times New Roman"/>
          <w:sz w:val="24"/>
          <w:szCs w:val="24"/>
        </w:rPr>
        <w:pict>
          <v:line id="_x0000_s2112" style="position:absolute;left:0;text-align:left;z-index:251658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</w:p>
    <w:sectPr w:rsidR="00004982" w:rsidRPr="000049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760" w:rsidRDefault="00545760" w:rsidP="003C3095">
      <w:r>
        <w:separator/>
      </w:r>
    </w:p>
  </w:endnote>
  <w:endnote w:type="continuationSeparator" w:id="1">
    <w:p w:rsidR="00545760" w:rsidRDefault="00545760" w:rsidP="003C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4454"/>
      <w:docPartObj>
        <w:docPartGallery w:val="Page Numbers (Bottom of Page)"/>
        <w:docPartUnique/>
      </w:docPartObj>
    </w:sdtPr>
    <w:sdtContent>
      <w:p w:rsidR="00220EF2" w:rsidRDefault="00220EF2">
        <w:pPr>
          <w:pStyle w:val="a4"/>
          <w:jc w:val="center"/>
        </w:pPr>
        <w:fldSimple w:instr=" PAGE   \* MERGEFORMAT ">
          <w:r w:rsidR="00283A00" w:rsidRPr="00283A00">
            <w:rPr>
              <w:noProof/>
              <w:lang w:val="zh-CN"/>
            </w:rPr>
            <w:t>1</w:t>
          </w:r>
        </w:fldSimple>
      </w:p>
    </w:sdtContent>
  </w:sdt>
  <w:p w:rsidR="00220EF2" w:rsidRDefault="00220E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760" w:rsidRDefault="00545760" w:rsidP="003C3095">
      <w:r>
        <w:separator/>
      </w:r>
    </w:p>
  </w:footnote>
  <w:footnote w:type="continuationSeparator" w:id="1">
    <w:p w:rsidR="00545760" w:rsidRDefault="00545760" w:rsidP="003C3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095"/>
    <w:rsid w:val="00004982"/>
    <w:rsid w:val="00220EF2"/>
    <w:rsid w:val="00283A00"/>
    <w:rsid w:val="003C3095"/>
    <w:rsid w:val="00545760"/>
    <w:rsid w:val="00FF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095"/>
    <w:rPr>
      <w:sz w:val="18"/>
      <w:szCs w:val="18"/>
    </w:rPr>
  </w:style>
  <w:style w:type="paragraph" w:customStyle="1" w:styleId="New">
    <w:name w:val="正文 New"/>
    <w:uiPriority w:val="99"/>
    <w:qFormat/>
    <w:rsid w:val="0000498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291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cp:lastPrinted>2025-03-28T03:37:00Z</cp:lastPrinted>
  <dcterms:created xsi:type="dcterms:W3CDTF">2025-03-28T03:33:00Z</dcterms:created>
  <dcterms:modified xsi:type="dcterms:W3CDTF">2025-03-28T05:46:00Z</dcterms:modified>
</cp:coreProperties>
</file>