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2F1EA">
      <w:pPr>
        <w:tabs>
          <w:tab w:val="left" w:pos="8280"/>
        </w:tabs>
        <w:wordWrap w:val="0"/>
        <w:spacing w:line="780" w:lineRule="exact"/>
        <w:ind w:right="-58" w:firstLine="960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朝环审〔202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1E5ACFCE">
      <w:pPr>
        <w:spacing w:line="500" w:lineRule="exact"/>
        <w:rPr>
          <w:sz w:val="44"/>
          <w:szCs w:val="44"/>
        </w:rPr>
      </w:pPr>
    </w:p>
    <w:p w14:paraId="23BA7996"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</w:rPr>
        <w:t>关于</w:t>
      </w: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  <w:lang w:val="en-US" w:eastAsia="zh-CN"/>
        </w:rPr>
        <w:t>凌源钢铁集团有限责任公司焦炉装备升级公辅工程</w:t>
      </w: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</w:rPr>
        <w:t>环境影响报告</w:t>
      </w: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  <w:lang w:val="en-US" w:eastAsia="zh-CN"/>
        </w:rPr>
        <w:t>表</w:t>
      </w:r>
      <w:r>
        <w:rPr>
          <w:rFonts w:hint="eastAsia" w:ascii="方正大标宋简体" w:hAnsi="方正小标宋简体" w:eastAsia="方正大标宋简体" w:cs="方正小标宋简体"/>
          <w:kern w:val="0"/>
          <w:sz w:val="44"/>
          <w:szCs w:val="44"/>
        </w:rPr>
        <w:t>的批复</w:t>
      </w:r>
    </w:p>
    <w:p w14:paraId="15D9AB1C">
      <w:pPr>
        <w:pStyle w:val="16"/>
        <w:rPr>
          <w:rFonts w:hint="eastAsia"/>
          <w:lang w:val="en-US" w:eastAsia="zh-CN"/>
        </w:rPr>
      </w:pPr>
    </w:p>
    <w:p w14:paraId="6FAB909F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凌源钢铁集团有限责任公司：</w:t>
      </w:r>
    </w:p>
    <w:p w14:paraId="4A16B75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你单位报送的《凌源钢铁集团有限责任公司焦炉装备升级公辅工程环境影响报告表》（以下简称《报告表》）收悉。根据《中华人民共和国环境影响评价法》及有关规定，依据评估意见，经研究，批复如下：</w:t>
      </w:r>
    </w:p>
    <w:p w14:paraId="6876B6C0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一、凌源钢铁集团有限责任公司焦炉装备升级公辅工程（以下简称“项目”），建设地点位于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新焦化区域跨三官营子河敷设至能源管控中心热电一区，建设方式分为架空和埋地，架空类布设在同一管廊，埋地类布设在同一管沟。项目分为三项：一是新建包括水类管线部分(架空管廊1400km、埋地管沟1300km）、气类管线部分（架空管廊2090km、埋地管沟70km）及电力线路部分（10kV线路1.5km、66kV线路1.9km）；二是改造工程包括轧钢、烧结、白灰等区域与新建管网相连的高炉煤气、焦炉煤气、氮气、给排水和热力管网等共计0.86km；三是拆除工程包括12MW发电机组、管道、附属设施和厂房等。项目总投资13347.61万元，其中环保投资33万元，占总投资的0.25%。</w:t>
      </w:r>
    </w:p>
    <w:p w14:paraId="43C7CCE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项目符合国家产业政策，用地性质为工业用地。从环境保护角度分析，同意按照《报告表》中所列建设项目的性质、规模、地点、生产工艺、污染防治措施进行建设。</w:t>
      </w:r>
    </w:p>
    <w:p w14:paraId="131ACA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二、项目建设和运营期间，应严格落实</w:t>
      </w:r>
      <w:r>
        <w:rPr>
          <w:rFonts w:hint="eastAsia" w:ascii="仿宋_GB2312" w:eastAsia="仿宋_GB2312"/>
          <w:color w:val="auto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报告表</w:t>
      </w:r>
      <w:r>
        <w:rPr>
          <w:rFonts w:hint="eastAsia" w:ascii="仿宋_GB2312" w:eastAsia="仿宋_GB2312"/>
          <w:color w:val="auto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中的污染防治和风险防范措施，并重点做好以下工作。</w:t>
      </w:r>
    </w:p>
    <w:p w14:paraId="6C184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（一）项目应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设置封闭围挡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，施工场地内的土方、砂石等易产尘物料应苫盖或密闭存放，同时应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采取有效措施防止物料被雨水冲刷流失，进入水体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。运输车辆应采取密闭措施，防止物料沿途抛洒和扬尘飞扬。施工道路和作业区域应定期洒水降尘，减少施工扬尘产生。</w:t>
      </w:r>
    </w:p>
    <w:p w14:paraId="7AD8D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项目实施过程中应加强管理，采取少占地、少破坏植被的原则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沟槽开挖过程严格限定在放线范围，不得越界开挖。埋地线路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采用分层开挖、分层回填的方式，减少对土壤结构和植被根系的破坏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6C2A2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（三）强化环境风险防范。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危险化学品管道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应设置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检测报警装置及联锁装置，确保泄漏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第一时间切断气源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，运营期间应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设置警示安全标志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建设单位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建立突发大气环境风险事故预警系统，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做好应急物资储备，按照相关规定编制和备案突发环境事件应急预案，并与当地政府及其相关部门应急预案做好衔接，定期进行应急培训和演练，并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加强对管道沿线的监督检查工作，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有效防范和应对环境风险。</w:t>
      </w:r>
    </w:p>
    <w:p w14:paraId="61E17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、建设项目需要配套建设的环境保护设施，必须与主体工程同时设计、同时施工、同时投产使用。你单位应当按照规定的标准和程序，对配套建设的环境保护设施进行验收，经验收合格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，方可投入使用；未经验收或者验收不合格的，不得投入使用。</w:t>
      </w:r>
    </w:p>
    <w:p w14:paraId="608D0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此批复仅限于《报告表》确定的建设内容，建设项目的环境影响评价文件经批准后，建设项目的性质、规模、地点、采用的生产工艺或者防治污染、防止生态破坏的措施发生重大变动的，应重新报批建设项目环境影响评价文件。</w:t>
      </w:r>
    </w:p>
    <w:p w14:paraId="79DE9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自批准之日起超过五年，方决定该项目开工建设的，其环境影响评价文件应报我局重新审核。</w:t>
      </w:r>
    </w:p>
    <w:p w14:paraId="5A04B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朝阳市生态环境保护综合行政执法队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负责对项目进行监督管理。</w:t>
      </w:r>
    </w:p>
    <w:p w14:paraId="5E42E46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1420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朝阳市生态环境局</w:t>
      </w:r>
    </w:p>
    <w:p w14:paraId="44DA9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E1DF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03E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39F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6D9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43F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F2B6647-976F-41CC-8523-CFAD9985765F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AA83BBFD-15D2-4D2E-8622-A872665E13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3010897-E1DA-4B52-B036-107AA2DCE3C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12FF6"/>
    <w:multiLevelType w:val="singleLevel"/>
    <w:tmpl w:val="CA812FF6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ZjVlZTNjYjIxMzEyY2Y2ZmI1NGJhOWYzZTQxMmUifQ=="/>
  </w:docVars>
  <w:rsids>
    <w:rsidRoot w:val="00000000"/>
    <w:rsid w:val="013037F7"/>
    <w:rsid w:val="049D40CD"/>
    <w:rsid w:val="09172EEF"/>
    <w:rsid w:val="096534DA"/>
    <w:rsid w:val="09BC2BF4"/>
    <w:rsid w:val="0D38442D"/>
    <w:rsid w:val="0D700701"/>
    <w:rsid w:val="11E55B7C"/>
    <w:rsid w:val="151B08BC"/>
    <w:rsid w:val="187B65D3"/>
    <w:rsid w:val="19770B99"/>
    <w:rsid w:val="1B830F69"/>
    <w:rsid w:val="1E0A5687"/>
    <w:rsid w:val="25CB6BE4"/>
    <w:rsid w:val="2A6C7288"/>
    <w:rsid w:val="2AD26378"/>
    <w:rsid w:val="2D9F0DAE"/>
    <w:rsid w:val="2DF2788F"/>
    <w:rsid w:val="302441D2"/>
    <w:rsid w:val="311C17EC"/>
    <w:rsid w:val="32797109"/>
    <w:rsid w:val="33ED196A"/>
    <w:rsid w:val="35C20178"/>
    <w:rsid w:val="3B17029C"/>
    <w:rsid w:val="3E3976F9"/>
    <w:rsid w:val="42A15AFD"/>
    <w:rsid w:val="482D38B6"/>
    <w:rsid w:val="484543F4"/>
    <w:rsid w:val="486B30FE"/>
    <w:rsid w:val="490E3D3A"/>
    <w:rsid w:val="4C740989"/>
    <w:rsid w:val="52C55631"/>
    <w:rsid w:val="54681ED8"/>
    <w:rsid w:val="54AC46B6"/>
    <w:rsid w:val="566C3050"/>
    <w:rsid w:val="5E421FE3"/>
    <w:rsid w:val="60367146"/>
    <w:rsid w:val="619C0522"/>
    <w:rsid w:val="6C054BC0"/>
    <w:rsid w:val="6C903131"/>
    <w:rsid w:val="764D503E"/>
    <w:rsid w:val="7C533D06"/>
    <w:rsid w:val="7CC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next w:val="5"/>
    <w:qFormat/>
    <w:uiPriority w:val="0"/>
    <w:rPr>
      <w:sz w:val="28"/>
    </w:rPr>
  </w:style>
  <w:style w:type="paragraph" w:styleId="5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425"/>
    </w:pPr>
    <w:rPr>
      <w:sz w:val="24"/>
    </w:rPr>
  </w:style>
  <w:style w:type="paragraph" w:styleId="7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样式5"/>
    <w:basedOn w:val="9"/>
    <w:qFormat/>
    <w:uiPriority w:val="0"/>
    <w:pPr>
      <w:tabs>
        <w:tab w:val="left" w:pos="0"/>
        <w:tab w:val="left" w:pos="870"/>
        <w:tab w:val="left" w:pos="1080"/>
        <w:tab w:val="left" w:pos="3150"/>
      </w:tabs>
      <w:snapToGrid w:val="0"/>
      <w:ind w:firstLine="510"/>
    </w:pPr>
  </w:style>
  <w:style w:type="paragraph" w:customStyle="1" w:styleId="9">
    <w:name w:val="正文1"/>
    <w:basedOn w:val="10"/>
    <w:next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ind w:firstLine="200"/>
      <w:jc w:val="both"/>
    </w:pPr>
    <w:rPr>
      <w:rFonts w:ascii="Calibri" w:hAnsi="Calibri"/>
      <w:szCs w:val="20"/>
    </w:rPr>
  </w:style>
  <w:style w:type="paragraph" w:customStyle="1" w:styleId="10">
    <w:name w:val="正文首行缩进 2 + Times New Roman"/>
    <w:basedOn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autoSpaceDE w:val="0"/>
      <w:autoSpaceDN w:val="0"/>
      <w:spacing w:line="360" w:lineRule="auto"/>
      <w:ind w:firstLine="480" w:firstLineChars="200"/>
      <w:jc w:val="left"/>
    </w:pPr>
    <w:rPr>
      <w:color w:val="0070C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样式 样式 样式 四号 左侧:  1.53 厘米 + 首行缩进:  2 字符 + 居中 左侧:  2 字符 首行缩进:  2..."/>
    <w:basedOn w:val="17"/>
    <w:qFormat/>
    <w:uiPriority w:val="0"/>
    <w:pPr>
      <w:spacing w:line="240" w:lineRule="auto"/>
      <w:ind w:firstLine="0" w:firstLineChars="0"/>
      <w:jc w:val="center"/>
    </w:pPr>
  </w:style>
  <w:style w:type="paragraph" w:customStyle="1" w:styleId="17">
    <w:name w:val="样式 样式 四号 左侧:  1.53 厘米 + 首行缩进:  2 字符"/>
    <w:basedOn w:val="18"/>
    <w:qFormat/>
    <w:uiPriority w:val="0"/>
    <w:pPr>
      <w:ind w:left="200" w:leftChars="200"/>
    </w:pPr>
    <w:rPr>
      <w:szCs w:val="20"/>
    </w:rPr>
  </w:style>
  <w:style w:type="paragraph" w:customStyle="1" w:styleId="18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paragraph" w:customStyle="1" w:styleId="19">
    <w:name w:val="0正文"/>
    <w:basedOn w:val="6"/>
    <w:qFormat/>
    <w:uiPriority w:val="0"/>
    <w:pPr>
      <w:ind w:firstLine="720" w:firstLineChars="200"/>
    </w:pPr>
    <w:rPr>
      <w:szCs w:val="22"/>
    </w:rPr>
  </w:style>
  <w:style w:type="paragraph" w:customStyle="1" w:styleId="20">
    <w:name w:val="正文样式1"/>
    <w:basedOn w:val="1"/>
    <w:qFormat/>
    <w:uiPriority w:val="99"/>
    <w:pPr>
      <w:adjustRightInd w:val="0"/>
      <w:spacing w:line="360" w:lineRule="auto"/>
      <w:ind w:firstLine="510"/>
      <w:textAlignment w:val="baseline"/>
    </w:pPr>
    <w:rPr>
      <w:spacing w:val="8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1255</Words>
  <Characters>1314</Characters>
  <Lines>0</Lines>
  <Paragraphs>0</Paragraphs>
  <TotalTime>0</TotalTime>
  <ScaleCrop>false</ScaleCrop>
  <LinksUpToDate>false</LinksUpToDate>
  <CharactersWithSpaces>1316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2024-10-14T01:45:00Z</dcterms:created>
  <dc:creator>Administrator</dc:creator>
  <cp:lastModifiedBy>WPS_1394355750</cp:lastModifiedBy>
  <cp:lastPrinted>2025-04-21T06:44:00Z</cp:lastPrinted>
  <dcterms:modified xsi:type="dcterms:W3CDTF">2025-04-23T07:05:27Z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D13BB46837114FABA8B7EB8AFDC9EC56_12</vt:lpwstr>
  </property>
  <property fmtid="{D5CDD505-2E9C-101B-9397-08002B2CF9AE}" pid="4" name="KSOTemplateDocerSaveRecord">
    <vt:lpwstr>eyJoZGlkIjoiZTM2ZjVlZTNjYjIxMzEyY2Y2ZmI1NGJhOWYzZTQxMmUiLCJ1c2VySWQiOiIxMzk0MzU1NzUwIn0=</vt:lpwstr>
  </property>
</Properties>
</file>