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仿宋_GB2312" w:hAnsi="仿宋_GB2312" w:eastAsia="仿宋_GB2312" w:cs="仿宋_GB2312"/>
          <w:color w:val="auto"/>
          <w:sz w:val="36"/>
          <w:szCs w:val="36"/>
          <w:highlight w:val="none"/>
          <w:lang w:val="en-US" w:eastAsia="zh-CN"/>
        </w:rPr>
      </w:pPr>
      <w:r>
        <w:rPr>
          <w:rFonts w:hint="eastAsia" w:eastAsia="宋体"/>
          <w:lang w:eastAsia="zh-CN"/>
        </w:rPr>
        <w:drawing>
          <wp:anchor distT="0" distB="0" distL="114300" distR="114300" simplePos="0" relativeHeight="251659264" behindDoc="0" locked="0" layoutInCell="1" allowOverlap="1">
            <wp:simplePos x="0" y="0"/>
            <wp:positionH relativeFrom="column">
              <wp:posOffset>-708025</wp:posOffset>
            </wp:positionH>
            <wp:positionV relativeFrom="paragraph">
              <wp:posOffset>-1018540</wp:posOffset>
            </wp:positionV>
            <wp:extent cx="7088505" cy="10027285"/>
            <wp:effectExtent l="0" t="0" r="17145" b="12065"/>
            <wp:wrapNone/>
            <wp:docPr id="6" name="图片 6" descr="5df876be28936a0d2252756107806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5df876be28936a0d22527561078062e"/>
                    <pic:cNvPicPr>
                      <a:picLocks noChangeAspect="1"/>
                    </pic:cNvPicPr>
                  </pic:nvPicPr>
                  <pic:blipFill>
                    <a:blip r:embed="rId9"/>
                    <a:stretch>
                      <a:fillRect/>
                    </a:stretch>
                  </pic:blipFill>
                  <pic:spPr>
                    <a:xfrm>
                      <a:off x="0" y="0"/>
                      <a:ext cx="7088505" cy="10027285"/>
                    </a:xfrm>
                    <a:prstGeom prst="rect">
                      <a:avLst/>
                    </a:prstGeom>
                  </pic:spPr>
                </pic:pic>
              </a:graphicData>
            </a:graphic>
          </wp:anchor>
        </w:drawing>
      </w:r>
      <w:r>
        <w:rPr>
          <w:rFonts w:hint="eastAsia" w:ascii="仿宋_GB2312" w:hAnsi="仿宋_GB2312" w:eastAsia="仿宋_GB2312" w:cs="仿宋_GB2312"/>
          <w:color w:val="auto"/>
          <w:sz w:val="36"/>
          <w:szCs w:val="36"/>
          <w:highlight w:val="none"/>
          <w:lang w:val="en-US" w:eastAsia="zh-CN"/>
        </w:rPr>
        <w:t xml:space="preserve">            </w:t>
      </w:r>
    </w:p>
    <w:p>
      <w:pPr>
        <w:rPr>
          <w:rFonts w:ascii="仿宋_GB2312" w:hAnsi="仿宋_GB2312" w:eastAsia="仿宋_GB2312" w:cs="仿宋_GB2312"/>
          <w:color w:val="auto"/>
          <w:sz w:val="36"/>
          <w:szCs w:val="36"/>
          <w:highlight w:val="none"/>
        </w:rPr>
      </w:pPr>
    </w:p>
    <w:p>
      <w:pPr>
        <w:rPr>
          <w:rFonts w:ascii="仿宋_GB2312" w:hAnsi="仿宋_GB2312" w:eastAsia="仿宋_GB2312" w:cs="仿宋_GB2312"/>
          <w:color w:val="auto"/>
          <w:sz w:val="36"/>
          <w:szCs w:val="36"/>
          <w:highlight w:val="none"/>
        </w:rPr>
      </w:pPr>
    </w:p>
    <w:p>
      <w:pPr>
        <w:rPr>
          <w:rFonts w:ascii="仿宋_GB2312" w:hAnsi="仿宋_GB2312" w:eastAsia="仿宋_GB2312" w:cs="仿宋_GB2312"/>
          <w:color w:val="auto"/>
          <w:sz w:val="36"/>
          <w:szCs w:val="36"/>
          <w:highlight w:val="none"/>
        </w:rPr>
      </w:pPr>
    </w:p>
    <w:p>
      <w:pPr>
        <w:rPr>
          <w:rFonts w:ascii="仿宋_GB2312" w:hAnsi="仿宋_GB2312" w:eastAsia="仿宋_GB2312" w:cs="仿宋_GB2312"/>
          <w:color w:val="auto"/>
          <w:sz w:val="36"/>
          <w:szCs w:val="36"/>
          <w:highlight w:val="none"/>
        </w:rPr>
      </w:pPr>
    </w:p>
    <w:p>
      <w:pPr>
        <w:adjustRightInd w:val="0"/>
        <w:snapToGrid w:val="0"/>
        <w:jc w:val="center"/>
        <w:outlineLvl w:val="0"/>
        <w:rPr>
          <w:rFonts w:ascii="方正小标宋_GBK" w:eastAsia="方正小标宋_GBK"/>
          <w:b w:val="0"/>
          <w:bCs/>
          <w:color w:val="auto"/>
          <w:sz w:val="72"/>
          <w:szCs w:val="72"/>
          <w:highlight w:val="none"/>
        </w:rPr>
      </w:pPr>
      <w:r>
        <w:rPr>
          <w:rFonts w:hint="eastAsia" w:ascii="方正小标宋_GBK" w:eastAsia="方正小标宋_GBK"/>
          <w:b w:val="0"/>
          <w:bCs/>
          <w:color w:val="auto"/>
          <w:sz w:val="72"/>
          <w:szCs w:val="72"/>
          <w:highlight w:val="none"/>
        </w:rPr>
        <w:t>建设项目影响报告表</w:t>
      </w:r>
    </w:p>
    <w:p>
      <w:pPr>
        <w:adjustRightInd w:val="0"/>
        <w:snapToGrid w:val="0"/>
        <w:spacing w:before="192" w:beforeLines="80"/>
        <w:jc w:val="center"/>
        <w:rPr>
          <w:rFonts w:ascii="楷体_GB2312" w:eastAsia="楷体_GB2312"/>
          <w:bCs/>
          <w:color w:val="auto"/>
          <w:sz w:val="48"/>
          <w:szCs w:val="48"/>
          <w:highlight w:val="none"/>
        </w:rPr>
      </w:pPr>
      <w:r>
        <w:rPr>
          <w:rFonts w:hint="eastAsia" w:ascii="楷体_GB2312" w:eastAsia="楷体_GB2312"/>
          <w:bCs/>
          <w:color w:val="auto"/>
          <w:sz w:val="48"/>
          <w:szCs w:val="48"/>
          <w:highlight w:val="none"/>
        </w:rPr>
        <w:t>（污染影响类）</w:t>
      </w:r>
    </w:p>
    <w:p>
      <w:pPr>
        <w:adjustRightInd w:val="0"/>
        <w:snapToGrid w:val="0"/>
        <w:spacing w:line="288" w:lineRule="auto"/>
        <w:jc w:val="center"/>
        <w:outlineLvl w:val="0"/>
        <w:rPr>
          <w:rFonts w:ascii="华文仿宋" w:hAnsi="华文仿宋" w:eastAsia="华文仿宋" w:cs="华文仿宋"/>
          <w:color w:val="auto"/>
          <w:kern w:val="44"/>
          <w:sz w:val="44"/>
          <w:szCs w:val="44"/>
          <w:highlight w:val="none"/>
        </w:rPr>
      </w:pPr>
    </w:p>
    <w:p>
      <w:pPr>
        <w:jc w:val="center"/>
        <w:rPr>
          <w:rFonts w:eastAsia="仿宋"/>
          <w:color w:val="auto"/>
          <w:sz w:val="52"/>
          <w:szCs w:val="52"/>
          <w:highlight w:val="none"/>
        </w:rPr>
      </w:pPr>
      <w:r>
        <w:rPr>
          <w:rFonts w:hint="eastAsia" w:eastAsia="仿宋"/>
          <w:color w:val="auto"/>
          <w:sz w:val="52"/>
          <w:szCs w:val="52"/>
          <w:highlight w:val="none"/>
        </w:rPr>
        <w:t xml:space="preserve"> </w:t>
      </w:r>
    </w:p>
    <w:p>
      <w:pPr>
        <w:ind w:firstLine="1040"/>
        <w:rPr>
          <w:rFonts w:eastAsia="仿宋"/>
          <w:color w:val="auto"/>
          <w:sz w:val="44"/>
          <w:szCs w:val="44"/>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keepNext w:val="0"/>
        <w:keepLines w:val="0"/>
        <w:pageBreakBefore w:val="0"/>
        <w:widowControl w:val="0"/>
        <w:kinsoku/>
        <w:wordWrap/>
        <w:overflowPunct/>
        <w:topLinePunct w:val="0"/>
        <w:autoSpaceDE/>
        <w:autoSpaceDN/>
        <w:bidi w:val="0"/>
        <w:adjustRightInd w:val="0"/>
        <w:snapToGrid w:val="0"/>
        <w:spacing w:line="288" w:lineRule="auto"/>
        <w:ind w:firstLine="420"/>
        <w:textAlignment w:val="auto"/>
        <w:rPr>
          <w:rFonts w:hint="default" w:ascii="仿宋_GB2312" w:eastAsia="仿宋_GB2312"/>
          <w:color w:val="auto"/>
          <w:sz w:val="36"/>
          <w:szCs w:val="36"/>
          <w:highlight w:val="none"/>
          <w:u w:val="single"/>
          <w:lang w:val="en-US" w:eastAsia="zh-CN"/>
        </w:rPr>
      </w:pPr>
      <w:r>
        <w:rPr>
          <w:rFonts w:hint="eastAsia" w:ascii="仿宋_GB2312" w:eastAsia="仿宋_GB2312"/>
          <w:color w:val="auto"/>
          <w:sz w:val="36"/>
          <w:szCs w:val="36"/>
          <w:highlight w:val="none"/>
        </w:rPr>
        <w:t>项目名称：</w:t>
      </w:r>
      <w:r>
        <w:rPr>
          <w:rFonts w:hint="eastAsia" w:ascii="仿宋_GB2312" w:eastAsia="仿宋_GB2312"/>
          <w:color w:val="auto"/>
          <w:sz w:val="36"/>
          <w:szCs w:val="36"/>
          <w:highlight w:val="none"/>
          <w:u w:val="single"/>
          <w:lang w:val="en-US" w:eastAsia="zh-CN"/>
        </w:rPr>
        <w:t xml:space="preserve">  辽宁二道沟黄金矿业有限责任公司    </w:t>
      </w:r>
    </w:p>
    <w:p>
      <w:pPr>
        <w:keepNext w:val="0"/>
        <w:keepLines w:val="0"/>
        <w:pageBreakBefore w:val="0"/>
        <w:widowControl w:val="0"/>
        <w:kinsoku/>
        <w:wordWrap/>
        <w:overflowPunct/>
        <w:topLinePunct w:val="0"/>
        <w:autoSpaceDE/>
        <w:autoSpaceDN/>
        <w:bidi w:val="0"/>
        <w:adjustRightInd w:val="0"/>
        <w:snapToGrid w:val="0"/>
        <w:spacing w:line="288" w:lineRule="auto"/>
        <w:ind w:firstLine="420"/>
        <w:textAlignment w:val="auto"/>
        <w:rPr>
          <w:rFonts w:hint="default" w:ascii="仿宋_GB2312" w:eastAsia="仿宋_GB2312"/>
          <w:color w:val="auto"/>
          <w:sz w:val="36"/>
          <w:szCs w:val="36"/>
          <w:highlight w:val="none"/>
          <w:u w:val="single"/>
          <w:lang w:val="en-US" w:eastAsia="zh-CN"/>
        </w:rPr>
      </w:pPr>
      <w:r>
        <w:rPr>
          <w:rFonts w:hint="eastAsia" w:ascii="仿宋_GB2312" w:eastAsia="仿宋_GB2312"/>
          <w:color w:val="auto"/>
          <w:sz w:val="36"/>
          <w:szCs w:val="36"/>
          <w:highlight w:val="none"/>
          <w:u w:val="single"/>
          <w:lang w:val="en-US" w:eastAsia="zh-CN"/>
        </w:rPr>
        <w:t xml:space="preserve">                 危险废物贮存项目             </w:t>
      </w:r>
    </w:p>
    <w:p>
      <w:pPr>
        <w:keepNext w:val="0"/>
        <w:keepLines w:val="0"/>
        <w:pageBreakBefore w:val="0"/>
        <w:widowControl w:val="0"/>
        <w:kinsoku/>
        <w:wordWrap/>
        <w:overflowPunct/>
        <w:topLinePunct w:val="0"/>
        <w:autoSpaceDE/>
        <w:autoSpaceDN/>
        <w:bidi w:val="0"/>
        <w:adjustRightInd w:val="0"/>
        <w:snapToGrid w:val="0"/>
        <w:spacing w:line="288" w:lineRule="auto"/>
        <w:ind w:firstLine="334"/>
        <w:textAlignment w:val="auto"/>
        <w:rPr>
          <w:rFonts w:ascii="仿宋_GB2312" w:eastAsia="仿宋_GB2312"/>
          <w:color w:val="auto"/>
          <w:sz w:val="36"/>
          <w:szCs w:val="36"/>
          <w:highlight w:val="none"/>
          <w:u w:val="single"/>
        </w:rPr>
      </w:pPr>
      <w:r>
        <w:rPr>
          <w:rFonts w:hint="eastAsia" w:ascii="仿宋_GB2312" w:eastAsia="仿宋_GB2312"/>
          <w:color w:val="auto"/>
          <w:sz w:val="36"/>
          <w:szCs w:val="36"/>
          <w:highlight w:val="none"/>
        </w:rPr>
        <w:t>建设单位（盖章）：</w:t>
      </w:r>
      <w:r>
        <w:rPr>
          <w:rFonts w:hint="eastAsia" w:ascii="仿宋_GB2312" w:eastAsia="仿宋_GB2312"/>
          <w:color w:val="auto"/>
          <w:sz w:val="36"/>
          <w:szCs w:val="36"/>
          <w:highlight w:val="none"/>
          <w:u w:val="single"/>
          <w:lang w:val="en-US" w:eastAsia="zh-CN"/>
        </w:rPr>
        <w:t>辽宁二道沟黄金矿业有限责任公司</w:t>
      </w:r>
      <w:r>
        <w:rPr>
          <w:rFonts w:hint="eastAsia" w:ascii="仿宋_GB2312" w:eastAsia="仿宋_GB2312"/>
          <w:color w:val="auto"/>
          <w:sz w:val="36"/>
          <w:szCs w:val="36"/>
          <w:highlight w:val="none"/>
          <w:u w:val="single"/>
        </w:rPr>
        <w:t xml:space="preserve"> </w:t>
      </w:r>
    </w:p>
    <w:p>
      <w:pPr>
        <w:keepNext w:val="0"/>
        <w:keepLines w:val="0"/>
        <w:pageBreakBefore w:val="0"/>
        <w:widowControl w:val="0"/>
        <w:kinsoku/>
        <w:wordWrap/>
        <w:overflowPunct/>
        <w:topLinePunct w:val="0"/>
        <w:autoSpaceDE/>
        <w:autoSpaceDN/>
        <w:bidi w:val="0"/>
        <w:adjustRightInd w:val="0"/>
        <w:snapToGrid w:val="0"/>
        <w:spacing w:line="288" w:lineRule="auto"/>
        <w:ind w:firstLine="420"/>
        <w:textAlignment w:val="auto"/>
        <w:rPr>
          <w:rFonts w:ascii="仿宋_GB2312" w:eastAsia="仿宋_GB2312"/>
          <w:color w:val="auto"/>
          <w:sz w:val="36"/>
          <w:szCs w:val="36"/>
          <w:highlight w:val="none"/>
          <w:u w:val="single"/>
        </w:rPr>
      </w:pPr>
      <w:r>
        <w:rPr>
          <w:rFonts w:hint="eastAsia" w:ascii="仿宋_GB2312" w:eastAsia="仿宋_GB2312"/>
          <w:color w:val="auto"/>
          <w:sz w:val="36"/>
          <w:szCs w:val="36"/>
          <w:highlight w:val="none"/>
        </w:rPr>
        <w:t>编制日期：</w:t>
      </w:r>
      <w:r>
        <w:rPr>
          <w:rFonts w:hint="eastAsia" w:ascii="仿宋_GB2312" w:eastAsia="仿宋_GB2312"/>
          <w:color w:val="auto"/>
          <w:sz w:val="36"/>
          <w:szCs w:val="36"/>
          <w:highlight w:val="none"/>
          <w:u w:val="single"/>
        </w:rPr>
        <w:t xml:space="preserve"> </w:t>
      </w:r>
      <w:r>
        <w:rPr>
          <w:rFonts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lang w:val="en-US" w:eastAsia="zh-CN"/>
        </w:rPr>
        <w:t xml:space="preserve">    </w:t>
      </w:r>
      <w:r>
        <w:rPr>
          <w:rFonts w:hint="eastAsia" w:ascii="仿宋_GB2312" w:eastAsia="仿宋_GB2312"/>
          <w:color w:val="auto"/>
          <w:sz w:val="36"/>
          <w:szCs w:val="36"/>
          <w:highlight w:val="none"/>
          <w:u w:val="single"/>
        </w:rPr>
        <w:t xml:space="preserve">  </w:t>
      </w:r>
      <w:r>
        <w:rPr>
          <w:rFonts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rPr>
        <w:t>202</w:t>
      </w:r>
      <w:r>
        <w:rPr>
          <w:rFonts w:hint="eastAsia" w:ascii="仿宋_GB2312" w:eastAsia="仿宋_GB2312"/>
          <w:color w:val="auto"/>
          <w:sz w:val="36"/>
          <w:szCs w:val="36"/>
          <w:highlight w:val="none"/>
          <w:u w:val="single"/>
          <w:lang w:val="en-US" w:eastAsia="zh-CN"/>
        </w:rPr>
        <w:t>5</w:t>
      </w:r>
      <w:r>
        <w:rPr>
          <w:rFonts w:hint="eastAsia" w:ascii="仿宋_GB2312" w:eastAsia="仿宋_GB2312"/>
          <w:color w:val="auto"/>
          <w:sz w:val="36"/>
          <w:szCs w:val="36"/>
          <w:highlight w:val="none"/>
          <w:u w:val="single"/>
        </w:rPr>
        <w:t>年</w:t>
      </w:r>
      <w:r>
        <w:rPr>
          <w:rFonts w:hint="eastAsia" w:ascii="仿宋_GB2312" w:eastAsia="仿宋_GB2312"/>
          <w:color w:val="auto"/>
          <w:sz w:val="36"/>
          <w:szCs w:val="36"/>
          <w:highlight w:val="none"/>
          <w:u w:val="single"/>
          <w:lang w:val="en-US" w:eastAsia="zh-CN"/>
        </w:rPr>
        <w:t>3</w:t>
      </w:r>
      <w:r>
        <w:rPr>
          <w:rFonts w:hint="eastAsia" w:ascii="仿宋_GB2312" w:eastAsia="仿宋_GB2312"/>
          <w:color w:val="auto"/>
          <w:sz w:val="36"/>
          <w:szCs w:val="36"/>
          <w:highlight w:val="none"/>
          <w:u w:val="single"/>
        </w:rPr>
        <w:t>月</w:t>
      </w:r>
      <w:r>
        <w:rPr>
          <w:rFonts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lang w:val="en-US" w:eastAsia="zh-CN"/>
        </w:rPr>
        <w:t xml:space="preserve"> </w:t>
      </w:r>
      <w:r>
        <w:rPr>
          <w:rFonts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rPr>
        <w:t xml:space="preserve"> </w:t>
      </w:r>
    </w:p>
    <w:p>
      <w:pPr>
        <w:adjustRightInd w:val="0"/>
        <w:snapToGrid w:val="0"/>
        <w:spacing w:line="288" w:lineRule="auto"/>
        <w:ind w:firstLine="1040"/>
        <w:rPr>
          <w:rFonts w:ascii="仿宋_GB2312" w:eastAsia="仿宋_GB2312"/>
          <w:color w:val="auto"/>
          <w:sz w:val="36"/>
          <w:szCs w:val="36"/>
          <w:highlight w:val="none"/>
          <w:u w:val="single"/>
        </w:rPr>
      </w:pPr>
      <w:bookmarkStart w:id="0" w:name="_Hlk57884087"/>
    </w:p>
    <w:p>
      <w:pPr>
        <w:adjustRightInd w:val="0"/>
        <w:snapToGrid w:val="0"/>
        <w:spacing w:line="288" w:lineRule="auto"/>
        <w:ind w:firstLine="1040"/>
        <w:rPr>
          <w:rFonts w:ascii="仿宋_GB2312" w:eastAsia="仿宋_GB2312"/>
          <w:color w:val="auto"/>
          <w:sz w:val="36"/>
          <w:szCs w:val="36"/>
          <w:highlight w:val="none"/>
        </w:rPr>
      </w:pPr>
    </w:p>
    <w:p>
      <w:pPr>
        <w:adjustRightInd w:val="0"/>
        <w:snapToGrid w:val="0"/>
        <w:spacing w:line="288" w:lineRule="auto"/>
        <w:rPr>
          <w:rFonts w:ascii="仿宋_GB2312" w:eastAsia="仿宋_GB2312"/>
          <w:color w:val="auto"/>
          <w:sz w:val="36"/>
          <w:szCs w:val="36"/>
          <w:highlight w:val="none"/>
        </w:rPr>
      </w:pPr>
    </w:p>
    <w:p>
      <w:pPr>
        <w:adjustRightInd w:val="0"/>
        <w:snapToGrid w:val="0"/>
        <w:spacing w:line="288" w:lineRule="auto"/>
        <w:ind w:firstLine="1040"/>
        <w:rPr>
          <w:rFonts w:ascii="仿宋_GB2312" w:eastAsia="仿宋_GB2312"/>
          <w:color w:val="auto"/>
          <w:sz w:val="36"/>
          <w:szCs w:val="36"/>
          <w:highlight w:val="none"/>
        </w:rPr>
      </w:pPr>
    </w:p>
    <w:p>
      <w:pPr>
        <w:adjustRightInd w:val="0"/>
        <w:snapToGrid w:val="0"/>
        <w:spacing w:line="288" w:lineRule="auto"/>
        <w:ind w:firstLine="1040"/>
        <w:rPr>
          <w:rFonts w:ascii="仿宋_GB2312" w:eastAsia="仿宋_GB2312"/>
          <w:color w:val="auto"/>
          <w:sz w:val="36"/>
          <w:szCs w:val="36"/>
          <w:highlight w:val="none"/>
        </w:rPr>
      </w:pPr>
    </w:p>
    <w:bookmarkEnd w:id="0"/>
    <w:p>
      <w:pPr>
        <w:adjustRightInd w:val="0"/>
        <w:snapToGrid w:val="0"/>
        <w:spacing w:line="288" w:lineRule="auto"/>
        <w:jc w:val="center"/>
        <w:rPr>
          <w:rFonts w:hint="eastAsia" w:ascii="楷体_GB2312" w:eastAsia="楷体_GB2312"/>
          <w:color w:val="auto"/>
          <w:sz w:val="36"/>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楷体_GB2312" w:eastAsia="楷体_GB2312"/>
          <w:color w:val="auto"/>
          <w:sz w:val="36"/>
          <w:szCs w:val="36"/>
          <w:highlight w:val="none"/>
        </w:rPr>
        <w:t>中华人民共和国生态环境部</w:t>
      </w:r>
    </w:p>
    <w:p>
      <w:pPr>
        <w:pStyle w:val="6"/>
        <w:ind w:left="0" w:leftChars="0" w:firstLine="0" w:firstLineChars="0"/>
        <w:rPr>
          <w:rFonts w:hint="eastAsia" w:eastAsia="宋体"/>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eastAsia="宋体"/>
          <w:lang w:eastAsia="zh-CN"/>
        </w:rPr>
        <w:drawing>
          <wp:inline distT="0" distB="0" distL="114300" distR="114300">
            <wp:extent cx="6023610" cy="8521065"/>
            <wp:effectExtent l="0" t="0" r="15240" b="13335"/>
            <wp:docPr id="31" name="图片 31" descr="c50f9363a6f9a3ef140e4bfc1bcc2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50f9363a6f9a3ef140e4bfc1bcc2a9"/>
                    <pic:cNvPicPr>
                      <a:picLocks noChangeAspect="1"/>
                    </pic:cNvPicPr>
                  </pic:nvPicPr>
                  <pic:blipFill>
                    <a:blip r:embed="rId10"/>
                    <a:stretch>
                      <a:fillRect/>
                    </a:stretch>
                  </pic:blipFill>
                  <pic:spPr>
                    <a:xfrm>
                      <a:off x="0" y="0"/>
                      <a:ext cx="6023610" cy="8521065"/>
                    </a:xfrm>
                    <a:prstGeom prst="rect">
                      <a:avLst/>
                    </a:prstGeom>
                  </pic:spPr>
                </pic:pic>
              </a:graphicData>
            </a:graphic>
          </wp:inline>
        </w:drawing>
      </w:r>
    </w:p>
    <w:p>
      <w:pPr>
        <w:rPr>
          <w:rFonts w:hint="eastAsia"/>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drawing>
          <wp:inline distT="0" distB="0" distL="114300" distR="114300">
            <wp:extent cx="5746750" cy="8241665"/>
            <wp:effectExtent l="0" t="0" r="6350" b="698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11"/>
                    <a:stretch>
                      <a:fillRect/>
                    </a:stretch>
                  </pic:blipFill>
                  <pic:spPr>
                    <a:xfrm>
                      <a:off x="0" y="0"/>
                      <a:ext cx="5746750" cy="8241665"/>
                    </a:xfrm>
                    <a:prstGeom prst="rect">
                      <a:avLst/>
                    </a:prstGeom>
                    <a:noFill/>
                    <a:ln>
                      <a:noFill/>
                    </a:ln>
                  </pic:spPr>
                </pic:pic>
              </a:graphicData>
            </a:graphic>
          </wp:inline>
        </w:drawing>
      </w:r>
    </w:p>
    <w:p>
      <w:pPr>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一、建设项目基本情况</w:t>
      </w:r>
    </w:p>
    <w:tbl>
      <w:tblPr>
        <w:tblStyle w:val="15"/>
        <w:tblW w:w="8870"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216"/>
        <w:gridCol w:w="2231"/>
        <w:gridCol w:w="2300"/>
        <w:gridCol w:w="31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200" w:hRule="atLeast"/>
          <w:jc w:val="center"/>
        </w:trPr>
        <w:tc>
          <w:tcPr>
            <w:tcW w:w="1216"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建设项目名称</w:t>
            </w:r>
          </w:p>
        </w:tc>
        <w:tc>
          <w:tcPr>
            <w:tcW w:w="7654" w:type="dxa"/>
            <w:gridSpan w:val="3"/>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辽宁二道沟黄金矿业有限责任公司危险废物贮存项目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0" w:hRule="atLeast"/>
          <w:jc w:val="center"/>
        </w:trPr>
        <w:tc>
          <w:tcPr>
            <w:tcW w:w="1216"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项目代码</w:t>
            </w:r>
          </w:p>
        </w:tc>
        <w:tc>
          <w:tcPr>
            <w:tcW w:w="7654" w:type="dxa"/>
            <w:gridSpan w:val="3"/>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0" w:hRule="atLeast"/>
          <w:jc w:val="center"/>
        </w:trPr>
        <w:tc>
          <w:tcPr>
            <w:tcW w:w="1216"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建设单位联系人</w:t>
            </w:r>
          </w:p>
        </w:tc>
        <w:tc>
          <w:tcPr>
            <w:tcW w:w="2231" w:type="dxa"/>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张爽</w:t>
            </w:r>
          </w:p>
        </w:tc>
        <w:tc>
          <w:tcPr>
            <w:tcW w:w="2300" w:type="dxa"/>
            <w:vAlign w:val="center"/>
          </w:tcPr>
          <w:p>
            <w:pPr>
              <w:adjustRightInd w:val="0"/>
              <w:snapToGrid w:val="0"/>
              <w:jc w:val="center"/>
              <w:rPr>
                <w:color w:val="auto"/>
                <w:szCs w:val="21"/>
                <w:highlight w:val="none"/>
              </w:rPr>
            </w:pPr>
            <w:r>
              <w:rPr>
                <w:rFonts w:hint="eastAsia"/>
                <w:color w:val="auto"/>
                <w:szCs w:val="21"/>
                <w:highlight w:val="none"/>
              </w:rPr>
              <w:t>联系方式</w:t>
            </w:r>
          </w:p>
        </w:tc>
        <w:tc>
          <w:tcPr>
            <w:tcW w:w="3123" w:type="dxa"/>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15042128706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0" w:hRule="atLeast"/>
          <w:jc w:val="center"/>
        </w:trPr>
        <w:tc>
          <w:tcPr>
            <w:tcW w:w="1216"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建设地点</w:t>
            </w:r>
          </w:p>
        </w:tc>
        <w:tc>
          <w:tcPr>
            <w:tcW w:w="7654" w:type="dxa"/>
            <w:gridSpan w:val="3"/>
            <w:vAlign w:val="center"/>
          </w:tcPr>
          <w:p>
            <w:pPr>
              <w:adjustRightInd w:val="0"/>
              <w:snapToGrid w:val="0"/>
              <w:jc w:val="center"/>
              <w:rPr>
                <w:rFonts w:hint="eastAsia" w:eastAsia="宋体"/>
                <w:color w:val="auto"/>
                <w:highlight w:val="none"/>
                <w:lang w:eastAsia="zh-CN"/>
              </w:rPr>
            </w:pPr>
            <w:r>
              <w:rPr>
                <w:rFonts w:hint="eastAsia"/>
                <w:color w:val="auto"/>
                <w:highlight w:val="none"/>
                <w:lang w:eastAsia="zh-CN"/>
              </w:rPr>
              <w:t>辽宁省北票市龙潭镇</w:t>
            </w:r>
            <w:r>
              <w:rPr>
                <w:rFonts w:hint="eastAsia"/>
                <w:color w:val="auto"/>
                <w:szCs w:val="21"/>
                <w:highlight w:val="none"/>
                <w:lang w:eastAsia="zh-CN"/>
              </w:rPr>
              <w:t>辽宁二道沟黄金矿业有限责任公司厂区内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0" w:hRule="atLeast"/>
          <w:jc w:val="center"/>
        </w:trPr>
        <w:tc>
          <w:tcPr>
            <w:tcW w:w="1216"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地理坐标</w:t>
            </w:r>
          </w:p>
        </w:tc>
        <w:tc>
          <w:tcPr>
            <w:tcW w:w="7654" w:type="dxa"/>
            <w:gridSpan w:val="3"/>
            <w:vAlign w:val="center"/>
          </w:tcPr>
          <w:p>
            <w:pPr>
              <w:jc w:val="center"/>
              <w:rPr>
                <w:color w:val="auto"/>
                <w:szCs w:val="21"/>
                <w:highlight w:val="none"/>
              </w:rPr>
            </w:pPr>
            <w:r>
              <w:rPr>
                <w:rFonts w:hint="eastAsia"/>
                <w:color w:val="auto"/>
                <w:szCs w:val="21"/>
                <w:highlight w:val="none"/>
              </w:rPr>
              <w:t>（</w:t>
            </w:r>
            <w:r>
              <w:rPr>
                <w:color w:val="auto"/>
                <w:szCs w:val="21"/>
                <w:highlight w:val="none"/>
                <w:u w:val="single"/>
              </w:rPr>
              <w:t xml:space="preserve"> </w:t>
            </w:r>
            <w:r>
              <w:rPr>
                <w:rFonts w:hint="eastAsia"/>
                <w:color w:val="auto"/>
                <w:szCs w:val="21"/>
                <w:highlight w:val="none"/>
                <w:u w:val="single"/>
                <w:lang w:val="en-US" w:eastAsia="zh-CN"/>
              </w:rPr>
              <w:t>120</w:t>
            </w:r>
            <w:r>
              <w:rPr>
                <w:color w:val="auto"/>
                <w:szCs w:val="21"/>
                <w:highlight w:val="none"/>
                <w:u w:val="single"/>
              </w:rPr>
              <w:t xml:space="preserve"> </w:t>
            </w:r>
            <w:r>
              <w:rPr>
                <w:rFonts w:hint="eastAsia"/>
                <w:color w:val="auto"/>
                <w:szCs w:val="21"/>
                <w:highlight w:val="none"/>
              </w:rPr>
              <w:t>度</w:t>
            </w:r>
            <w:r>
              <w:rPr>
                <w:color w:val="auto"/>
                <w:szCs w:val="21"/>
                <w:highlight w:val="none"/>
                <w:u w:val="single"/>
              </w:rPr>
              <w:t xml:space="preserve"> </w:t>
            </w:r>
            <w:r>
              <w:rPr>
                <w:rFonts w:hint="eastAsia"/>
                <w:color w:val="auto"/>
                <w:szCs w:val="21"/>
                <w:highlight w:val="none"/>
                <w:u w:val="single"/>
                <w:lang w:val="en-US" w:eastAsia="zh-CN"/>
              </w:rPr>
              <w:t>24</w:t>
            </w:r>
            <w:r>
              <w:rPr>
                <w:color w:val="auto"/>
                <w:szCs w:val="21"/>
                <w:highlight w:val="none"/>
                <w:u w:val="single"/>
              </w:rPr>
              <w:t xml:space="preserve"> </w:t>
            </w:r>
            <w:r>
              <w:rPr>
                <w:rFonts w:hint="eastAsia"/>
                <w:color w:val="auto"/>
                <w:szCs w:val="21"/>
                <w:highlight w:val="none"/>
              </w:rPr>
              <w:t>分</w:t>
            </w:r>
            <w:r>
              <w:rPr>
                <w:color w:val="auto"/>
                <w:szCs w:val="21"/>
                <w:highlight w:val="none"/>
                <w:u w:val="single"/>
              </w:rPr>
              <w:t xml:space="preserve"> </w:t>
            </w:r>
            <w:r>
              <w:rPr>
                <w:rFonts w:hint="eastAsia"/>
                <w:color w:val="auto"/>
                <w:szCs w:val="21"/>
                <w:highlight w:val="none"/>
                <w:u w:val="single"/>
                <w:lang w:val="en-US" w:eastAsia="zh-CN"/>
              </w:rPr>
              <w:t>34.670</w:t>
            </w:r>
            <w:r>
              <w:rPr>
                <w:color w:val="auto"/>
                <w:szCs w:val="21"/>
                <w:highlight w:val="none"/>
                <w:u w:val="single"/>
              </w:rPr>
              <w:t xml:space="preserve"> </w:t>
            </w:r>
            <w:r>
              <w:rPr>
                <w:rFonts w:hint="eastAsia"/>
                <w:color w:val="auto"/>
                <w:szCs w:val="21"/>
                <w:highlight w:val="none"/>
              </w:rPr>
              <w:t>秒</w:t>
            </w:r>
            <w:r>
              <w:rPr>
                <w:rFonts w:hint="eastAsia"/>
                <w:color w:val="auto"/>
                <w:szCs w:val="21"/>
                <w:highlight w:val="none"/>
                <w:lang w:eastAsia="zh-CN"/>
              </w:rPr>
              <w:t>，</w:t>
            </w:r>
            <w:r>
              <w:rPr>
                <w:color w:val="auto"/>
                <w:szCs w:val="21"/>
                <w:highlight w:val="none"/>
                <w:u w:val="single"/>
              </w:rPr>
              <w:t xml:space="preserve"> </w:t>
            </w:r>
            <w:r>
              <w:rPr>
                <w:rFonts w:hint="eastAsia"/>
                <w:color w:val="auto"/>
                <w:szCs w:val="21"/>
                <w:highlight w:val="none"/>
                <w:u w:val="single"/>
              </w:rPr>
              <w:t>41</w:t>
            </w:r>
            <w:r>
              <w:rPr>
                <w:color w:val="auto"/>
                <w:szCs w:val="21"/>
                <w:highlight w:val="none"/>
                <w:u w:val="single"/>
              </w:rPr>
              <w:t xml:space="preserve"> </w:t>
            </w:r>
            <w:r>
              <w:rPr>
                <w:rFonts w:hint="eastAsia"/>
                <w:color w:val="auto"/>
                <w:szCs w:val="21"/>
                <w:highlight w:val="none"/>
              </w:rPr>
              <w:t>度</w:t>
            </w:r>
            <w:r>
              <w:rPr>
                <w:color w:val="auto"/>
                <w:szCs w:val="21"/>
                <w:highlight w:val="none"/>
                <w:u w:val="single"/>
              </w:rPr>
              <w:t xml:space="preserve"> </w:t>
            </w:r>
            <w:r>
              <w:rPr>
                <w:rFonts w:hint="eastAsia"/>
                <w:color w:val="auto"/>
                <w:szCs w:val="21"/>
                <w:highlight w:val="none"/>
                <w:u w:val="single"/>
                <w:lang w:val="en-US" w:eastAsia="zh-CN"/>
              </w:rPr>
              <w:t>56</w:t>
            </w:r>
            <w:r>
              <w:rPr>
                <w:color w:val="auto"/>
                <w:szCs w:val="21"/>
                <w:highlight w:val="none"/>
                <w:u w:val="single"/>
              </w:rPr>
              <w:t xml:space="preserve"> </w:t>
            </w:r>
            <w:r>
              <w:rPr>
                <w:rFonts w:hint="eastAsia"/>
                <w:color w:val="auto"/>
                <w:szCs w:val="21"/>
                <w:highlight w:val="none"/>
              </w:rPr>
              <w:t>分</w:t>
            </w:r>
            <w:r>
              <w:rPr>
                <w:color w:val="auto"/>
                <w:szCs w:val="21"/>
                <w:highlight w:val="none"/>
                <w:u w:val="single"/>
              </w:rPr>
              <w:t xml:space="preserve"> </w:t>
            </w:r>
            <w:r>
              <w:rPr>
                <w:rFonts w:hint="eastAsia"/>
                <w:color w:val="auto"/>
                <w:szCs w:val="21"/>
                <w:highlight w:val="none"/>
                <w:u w:val="single"/>
                <w:lang w:val="en-US" w:eastAsia="zh-CN"/>
              </w:rPr>
              <w:t>45.890</w:t>
            </w:r>
            <w:r>
              <w:rPr>
                <w:color w:val="auto"/>
                <w:szCs w:val="21"/>
                <w:highlight w:val="none"/>
                <w:u w:val="single"/>
              </w:rPr>
              <w:t xml:space="preserve"> </w:t>
            </w:r>
            <w:r>
              <w:rPr>
                <w:rFonts w:hint="eastAsia"/>
                <w:color w:val="auto"/>
                <w:szCs w:val="21"/>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0" w:hRule="atLeast"/>
          <w:jc w:val="center"/>
        </w:trPr>
        <w:tc>
          <w:tcPr>
            <w:tcW w:w="1216"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国民经济</w:t>
            </w:r>
          </w:p>
          <w:p>
            <w:pPr>
              <w:adjustRightInd w:val="0"/>
              <w:snapToGrid w:val="0"/>
              <w:jc w:val="center"/>
              <w:rPr>
                <w:color w:val="auto"/>
                <w:szCs w:val="21"/>
                <w:highlight w:val="none"/>
              </w:rPr>
            </w:pPr>
            <w:r>
              <w:rPr>
                <w:rFonts w:hint="eastAsia"/>
                <w:color w:val="auto"/>
                <w:szCs w:val="21"/>
                <w:highlight w:val="none"/>
              </w:rPr>
              <w:t>行业类别</w:t>
            </w:r>
          </w:p>
        </w:tc>
        <w:tc>
          <w:tcPr>
            <w:tcW w:w="2231"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B0921 金矿采选</w:t>
            </w:r>
          </w:p>
        </w:tc>
        <w:tc>
          <w:tcPr>
            <w:tcW w:w="2300" w:type="dxa"/>
            <w:vAlign w:val="center"/>
          </w:tcPr>
          <w:p>
            <w:pPr>
              <w:adjustRightInd w:val="0"/>
              <w:snapToGrid w:val="0"/>
              <w:jc w:val="center"/>
              <w:rPr>
                <w:color w:val="auto"/>
                <w:szCs w:val="21"/>
                <w:highlight w:val="none"/>
              </w:rPr>
            </w:pPr>
            <w:bookmarkStart w:id="1" w:name="_Hlk49843745"/>
            <w:r>
              <w:rPr>
                <w:rFonts w:hint="eastAsia"/>
                <w:color w:val="auto"/>
                <w:szCs w:val="21"/>
                <w:highlight w:val="none"/>
              </w:rPr>
              <w:t>建设项目</w:t>
            </w:r>
          </w:p>
          <w:p>
            <w:pPr>
              <w:adjustRightInd w:val="0"/>
              <w:snapToGrid w:val="0"/>
              <w:jc w:val="center"/>
              <w:rPr>
                <w:color w:val="auto"/>
                <w:szCs w:val="21"/>
                <w:highlight w:val="none"/>
              </w:rPr>
            </w:pPr>
            <w:r>
              <w:rPr>
                <w:rFonts w:hint="eastAsia"/>
                <w:color w:val="auto"/>
                <w:szCs w:val="21"/>
                <w:highlight w:val="none"/>
              </w:rPr>
              <w:t>行业类别</w:t>
            </w:r>
            <w:bookmarkEnd w:id="1"/>
          </w:p>
        </w:tc>
        <w:tc>
          <w:tcPr>
            <w:tcW w:w="3123" w:type="dxa"/>
            <w:vAlign w:val="center"/>
          </w:tcPr>
          <w:p>
            <w:pPr>
              <w:adjustRightInd w:val="0"/>
              <w:snapToGrid w:val="0"/>
              <w:jc w:val="center"/>
              <w:rPr>
                <w:color w:val="auto"/>
                <w:szCs w:val="21"/>
                <w:highlight w:val="none"/>
              </w:rPr>
            </w:pPr>
            <w:r>
              <w:rPr>
                <w:color w:val="auto"/>
                <w:szCs w:val="32"/>
                <w:highlight w:val="none"/>
              </w:rPr>
              <w:t>四十七、</w:t>
            </w:r>
            <w:r>
              <w:rPr>
                <w:color w:val="auto"/>
                <w:highlight w:val="none"/>
              </w:rPr>
              <w:t>生态保护和环境治理业</w:t>
            </w:r>
            <w:r>
              <w:rPr>
                <w:color w:val="auto"/>
                <w:szCs w:val="32"/>
                <w:highlight w:val="none"/>
              </w:rPr>
              <w:t xml:space="preserve"> 101危险废物（不含医疗废物）利用及处置 其他</w:t>
            </w:r>
            <w:r>
              <w:rPr>
                <w:rFonts w:hint="eastAsia"/>
                <w:color w:val="auto"/>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216"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建设性质</w:t>
            </w:r>
          </w:p>
        </w:tc>
        <w:tc>
          <w:tcPr>
            <w:tcW w:w="2231" w:type="dxa"/>
            <w:vAlign w:val="center"/>
          </w:tcPr>
          <w:p>
            <w:pPr>
              <w:jc w:val="left"/>
              <w:rPr>
                <w:color w:val="auto"/>
                <w:szCs w:val="21"/>
                <w:highlight w:val="none"/>
              </w:rPr>
            </w:pPr>
            <w:r>
              <w:rPr>
                <w:rFonts w:hint="eastAsia"/>
                <w:color w:val="auto"/>
                <w:szCs w:val="21"/>
                <w:highlight w:val="none"/>
                <w:lang w:eastAsia="zh-CN"/>
              </w:rPr>
              <w:t>□</w:t>
            </w:r>
            <w:r>
              <w:rPr>
                <w:rFonts w:hint="eastAsia"/>
                <w:color w:val="auto"/>
                <w:szCs w:val="21"/>
                <w:highlight w:val="none"/>
              </w:rPr>
              <w:t>新建（迁建）</w:t>
            </w:r>
          </w:p>
          <w:p>
            <w:pPr>
              <w:jc w:val="left"/>
              <w:rPr>
                <w:color w:val="auto"/>
                <w:szCs w:val="21"/>
                <w:highlight w:val="none"/>
              </w:rPr>
            </w:pPr>
            <w:r>
              <w:rPr>
                <w:rFonts w:hint="eastAsia"/>
                <w:color w:val="auto"/>
                <w:szCs w:val="21"/>
                <w:highlight w:val="none"/>
                <w:lang w:eastAsia="zh-CN"/>
              </w:rPr>
              <w:t>☑</w:t>
            </w:r>
            <w:r>
              <w:rPr>
                <w:rFonts w:hint="eastAsia"/>
                <w:color w:val="auto"/>
                <w:szCs w:val="21"/>
                <w:highlight w:val="none"/>
              </w:rPr>
              <w:t>改建</w:t>
            </w:r>
          </w:p>
          <w:p>
            <w:pPr>
              <w:jc w:val="left"/>
              <w:rPr>
                <w:color w:val="auto"/>
                <w:szCs w:val="21"/>
                <w:highlight w:val="none"/>
              </w:rPr>
            </w:pPr>
            <w:r>
              <w:rPr>
                <w:rFonts w:hint="eastAsia"/>
                <w:color w:val="auto"/>
                <w:szCs w:val="21"/>
                <w:highlight w:val="none"/>
                <w:lang w:eastAsia="zh-CN"/>
              </w:rPr>
              <w:t>□</w:t>
            </w:r>
            <w:r>
              <w:rPr>
                <w:rFonts w:hint="eastAsia"/>
                <w:color w:val="auto"/>
                <w:szCs w:val="21"/>
                <w:highlight w:val="none"/>
              </w:rPr>
              <w:t>扩建</w:t>
            </w:r>
          </w:p>
          <w:p>
            <w:pPr>
              <w:jc w:val="left"/>
              <w:rPr>
                <w:color w:val="auto"/>
                <w:szCs w:val="21"/>
                <w:highlight w:val="none"/>
              </w:rPr>
            </w:pPr>
            <w:r>
              <w:rPr>
                <w:rFonts w:hint="eastAsia"/>
                <w:color w:val="auto"/>
                <w:szCs w:val="21"/>
                <w:highlight w:val="none"/>
                <w:lang w:eastAsia="zh-CN"/>
              </w:rPr>
              <w:t>□</w:t>
            </w:r>
            <w:r>
              <w:rPr>
                <w:rFonts w:hint="eastAsia"/>
                <w:color w:val="auto"/>
                <w:szCs w:val="21"/>
                <w:highlight w:val="none"/>
              </w:rPr>
              <w:t>技术改造</w:t>
            </w:r>
          </w:p>
        </w:tc>
        <w:tc>
          <w:tcPr>
            <w:tcW w:w="2300" w:type="dxa"/>
            <w:vAlign w:val="center"/>
          </w:tcPr>
          <w:p>
            <w:pPr>
              <w:adjustRightInd w:val="0"/>
              <w:snapToGrid w:val="0"/>
              <w:jc w:val="center"/>
              <w:rPr>
                <w:color w:val="auto"/>
                <w:szCs w:val="21"/>
                <w:highlight w:val="none"/>
              </w:rPr>
            </w:pPr>
            <w:r>
              <w:rPr>
                <w:rFonts w:hint="eastAsia"/>
                <w:color w:val="auto"/>
                <w:szCs w:val="21"/>
                <w:highlight w:val="none"/>
              </w:rPr>
              <w:t>建设项目</w:t>
            </w:r>
          </w:p>
          <w:p>
            <w:pPr>
              <w:adjustRightInd w:val="0"/>
              <w:snapToGrid w:val="0"/>
              <w:jc w:val="center"/>
              <w:rPr>
                <w:color w:val="auto"/>
                <w:szCs w:val="21"/>
                <w:highlight w:val="none"/>
              </w:rPr>
            </w:pPr>
            <w:r>
              <w:rPr>
                <w:rFonts w:hint="eastAsia"/>
                <w:color w:val="auto"/>
                <w:szCs w:val="21"/>
                <w:highlight w:val="none"/>
              </w:rPr>
              <w:t>申报情形</w:t>
            </w:r>
          </w:p>
        </w:tc>
        <w:tc>
          <w:tcPr>
            <w:tcW w:w="3123" w:type="dxa"/>
            <w:vAlign w:val="center"/>
          </w:tcPr>
          <w:p>
            <w:pPr>
              <w:jc w:val="left"/>
              <w:rPr>
                <w:color w:val="auto"/>
                <w:szCs w:val="21"/>
                <w:highlight w:val="none"/>
              </w:rPr>
            </w:pPr>
            <w:r>
              <w:rPr>
                <w:rFonts w:hint="eastAsia"/>
                <w:color w:val="auto"/>
                <w:szCs w:val="21"/>
                <w:highlight w:val="none"/>
              </w:rPr>
              <w:t>☑首次申报项目</w:t>
            </w:r>
            <w:r>
              <w:rPr>
                <w:color w:val="auto"/>
                <w:szCs w:val="21"/>
                <w:highlight w:val="none"/>
              </w:rPr>
              <w:t xml:space="preserve">             </w:t>
            </w:r>
          </w:p>
          <w:p>
            <w:pPr>
              <w:jc w:val="left"/>
              <w:rPr>
                <w:color w:val="auto"/>
                <w:szCs w:val="21"/>
                <w:highlight w:val="none"/>
              </w:rPr>
            </w:pPr>
            <w:r>
              <w:rPr>
                <w:rFonts w:hint="eastAsia"/>
                <w:color w:val="auto"/>
                <w:szCs w:val="21"/>
                <w:highlight w:val="none"/>
              </w:rPr>
              <w:t>□不予批准后再次申报项目</w:t>
            </w:r>
          </w:p>
          <w:p>
            <w:pPr>
              <w:jc w:val="left"/>
              <w:rPr>
                <w:color w:val="auto"/>
                <w:szCs w:val="21"/>
                <w:highlight w:val="none"/>
              </w:rPr>
            </w:pPr>
            <w:r>
              <w:rPr>
                <w:rFonts w:hint="eastAsia"/>
                <w:color w:val="auto"/>
                <w:szCs w:val="21"/>
                <w:highlight w:val="none"/>
              </w:rPr>
              <w:t>□超五年重新审核项目</w:t>
            </w:r>
            <w:r>
              <w:rPr>
                <w:color w:val="auto"/>
                <w:szCs w:val="21"/>
                <w:highlight w:val="none"/>
              </w:rPr>
              <w:t xml:space="preserve">     </w:t>
            </w:r>
          </w:p>
          <w:p>
            <w:pPr>
              <w:jc w:val="left"/>
              <w:rPr>
                <w:color w:val="auto"/>
                <w:szCs w:val="21"/>
                <w:highlight w:val="none"/>
              </w:rPr>
            </w:pPr>
            <w:r>
              <w:rPr>
                <w:rFonts w:hint="eastAsia"/>
                <w:color w:val="auto"/>
                <w:szCs w:val="21"/>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0" w:hRule="atLeast"/>
          <w:jc w:val="center"/>
        </w:trPr>
        <w:tc>
          <w:tcPr>
            <w:tcW w:w="1216"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项目审批（核准</w:t>
            </w:r>
            <w:r>
              <w:rPr>
                <w:color w:val="auto"/>
                <w:szCs w:val="21"/>
                <w:highlight w:val="none"/>
              </w:rPr>
              <w:t>/</w:t>
            </w:r>
            <w:r>
              <w:rPr>
                <w:rFonts w:hint="eastAsia"/>
                <w:color w:val="auto"/>
                <w:szCs w:val="21"/>
                <w:highlight w:val="none"/>
              </w:rPr>
              <w:t>备案）部门（选填）</w:t>
            </w:r>
          </w:p>
        </w:tc>
        <w:tc>
          <w:tcPr>
            <w:tcW w:w="2231" w:type="dxa"/>
            <w:vAlign w:val="center"/>
          </w:tcPr>
          <w:p>
            <w:pPr>
              <w:adjustRightInd w:val="0"/>
              <w:snapToGrid w:val="0"/>
              <w:jc w:val="center"/>
              <w:rPr>
                <w:color w:val="auto"/>
                <w:szCs w:val="21"/>
                <w:highlight w:val="none"/>
              </w:rPr>
            </w:pPr>
            <w:r>
              <w:rPr>
                <w:rFonts w:hint="eastAsia"/>
                <w:color w:val="auto"/>
                <w:szCs w:val="21"/>
                <w:highlight w:val="none"/>
                <w:lang w:val="en-US" w:eastAsia="zh-CN"/>
              </w:rPr>
              <w:t>/</w:t>
            </w:r>
          </w:p>
        </w:tc>
        <w:tc>
          <w:tcPr>
            <w:tcW w:w="2300" w:type="dxa"/>
            <w:vAlign w:val="center"/>
          </w:tcPr>
          <w:p>
            <w:pPr>
              <w:adjustRightInd w:val="0"/>
              <w:snapToGrid w:val="0"/>
              <w:jc w:val="center"/>
              <w:rPr>
                <w:color w:val="auto"/>
                <w:szCs w:val="21"/>
                <w:highlight w:val="none"/>
              </w:rPr>
            </w:pPr>
            <w:r>
              <w:rPr>
                <w:rFonts w:hint="eastAsia"/>
                <w:color w:val="auto"/>
                <w:szCs w:val="21"/>
                <w:highlight w:val="none"/>
              </w:rPr>
              <w:t>项目审批（核准</w:t>
            </w:r>
            <w:r>
              <w:rPr>
                <w:color w:val="auto"/>
                <w:szCs w:val="21"/>
                <w:highlight w:val="none"/>
              </w:rPr>
              <w:t>/</w:t>
            </w:r>
          </w:p>
          <w:p>
            <w:pPr>
              <w:adjustRightInd w:val="0"/>
              <w:snapToGrid w:val="0"/>
              <w:jc w:val="center"/>
              <w:rPr>
                <w:color w:val="auto"/>
                <w:szCs w:val="21"/>
                <w:highlight w:val="none"/>
              </w:rPr>
            </w:pPr>
            <w:r>
              <w:rPr>
                <w:rFonts w:hint="eastAsia"/>
                <w:color w:val="auto"/>
                <w:szCs w:val="21"/>
                <w:highlight w:val="none"/>
              </w:rPr>
              <w:t>备案）文号（选填）</w:t>
            </w:r>
          </w:p>
        </w:tc>
        <w:tc>
          <w:tcPr>
            <w:tcW w:w="3123" w:type="dxa"/>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0" w:hRule="atLeast"/>
          <w:jc w:val="center"/>
        </w:trPr>
        <w:tc>
          <w:tcPr>
            <w:tcW w:w="1216"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总投资（万元）</w:t>
            </w:r>
          </w:p>
        </w:tc>
        <w:tc>
          <w:tcPr>
            <w:tcW w:w="2231" w:type="dxa"/>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2.5</w:t>
            </w:r>
          </w:p>
        </w:tc>
        <w:tc>
          <w:tcPr>
            <w:tcW w:w="2300"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环保投资（万元）</w:t>
            </w:r>
          </w:p>
        </w:tc>
        <w:tc>
          <w:tcPr>
            <w:tcW w:w="3123" w:type="dxa"/>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0" w:hRule="atLeast"/>
          <w:jc w:val="center"/>
        </w:trPr>
        <w:tc>
          <w:tcPr>
            <w:tcW w:w="1216"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环保投资占比（</w:t>
            </w:r>
            <w:r>
              <w:rPr>
                <w:color w:val="auto"/>
                <w:szCs w:val="21"/>
                <w:highlight w:val="none"/>
              </w:rPr>
              <w:t>%</w:t>
            </w:r>
            <w:r>
              <w:rPr>
                <w:rFonts w:hint="eastAsia"/>
                <w:color w:val="auto"/>
                <w:szCs w:val="21"/>
                <w:highlight w:val="none"/>
              </w:rPr>
              <w:t>）</w:t>
            </w:r>
          </w:p>
        </w:tc>
        <w:tc>
          <w:tcPr>
            <w:tcW w:w="2231" w:type="dxa"/>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100</w:t>
            </w:r>
          </w:p>
        </w:tc>
        <w:tc>
          <w:tcPr>
            <w:tcW w:w="2300" w:type="dxa"/>
            <w:tcMar>
              <w:top w:w="16" w:type="dxa"/>
              <w:left w:w="16" w:type="dxa"/>
              <w:right w:w="16" w:type="dxa"/>
            </w:tcMar>
            <w:vAlign w:val="center"/>
          </w:tcPr>
          <w:p>
            <w:pPr>
              <w:adjustRightInd w:val="0"/>
              <w:snapToGrid w:val="0"/>
              <w:jc w:val="center"/>
              <w:rPr>
                <w:color w:val="auto"/>
                <w:szCs w:val="21"/>
                <w:highlight w:val="none"/>
              </w:rPr>
            </w:pPr>
            <w:r>
              <w:rPr>
                <w:rFonts w:hint="eastAsia"/>
                <w:color w:val="auto"/>
                <w:szCs w:val="21"/>
                <w:highlight w:val="none"/>
              </w:rPr>
              <w:t>施工工期</w:t>
            </w:r>
          </w:p>
        </w:tc>
        <w:tc>
          <w:tcPr>
            <w:tcW w:w="3123" w:type="dxa"/>
            <w:vAlign w:val="center"/>
          </w:tcPr>
          <w:p>
            <w:pPr>
              <w:adjustRightInd w:val="0"/>
              <w:snapToGrid w:val="0"/>
              <w:jc w:val="center"/>
              <w:rPr>
                <w:color w:val="auto"/>
                <w:szCs w:val="21"/>
                <w:highlight w:val="none"/>
              </w:rPr>
            </w:pPr>
            <w:r>
              <w:rPr>
                <w:rFonts w:hint="eastAsia"/>
                <w:color w:val="auto"/>
                <w:szCs w:val="21"/>
                <w:highlight w:val="none"/>
                <w:lang w:val="en-US" w:eastAsia="zh-CN"/>
              </w:rPr>
              <w:t>1</w:t>
            </w:r>
            <w:r>
              <w:rPr>
                <w:rFonts w:hint="eastAsia"/>
                <w:color w:val="auto"/>
                <w:szCs w:val="21"/>
                <w:highlight w:val="none"/>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Ex>
        <w:trPr>
          <w:trHeight w:val="0" w:hRule="atLeast"/>
          <w:jc w:val="center"/>
        </w:trPr>
        <w:tc>
          <w:tcPr>
            <w:tcW w:w="1216" w:type="dxa"/>
            <w:tcMar>
              <w:top w:w="16" w:type="dxa"/>
              <w:left w:w="16" w:type="dxa"/>
              <w:right w:w="16" w:type="dxa"/>
            </w:tcMar>
            <w:vAlign w:val="center"/>
          </w:tcPr>
          <w:p>
            <w:pPr>
              <w:adjustRightInd w:val="0"/>
              <w:snapToGrid w:val="0"/>
              <w:jc w:val="center"/>
              <w:rPr>
                <w:rFonts w:eastAsiaTheme="minorEastAsia"/>
                <w:color w:val="auto"/>
                <w:szCs w:val="21"/>
                <w:highlight w:val="none"/>
              </w:rPr>
            </w:pPr>
            <w:r>
              <w:rPr>
                <w:rFonts w:hint="eastAsia" w:eastAsiaTheme="minorEastAsia"/>
                <w:color w:val="auto"/>
                <w:szCs w:val="21"/>
                <w:highlight w:val="none"/>
              </w:rPr>
              <w:t>是否开工建设</w:t>
            </w:r>
          </w:p>
        </w:tc>
        <w:tc>
          <w:tcPr>
            <w:tcW w:w="2231" w:type="dxa"/>
            <w:vAlign w:val="center"/>
          </w:tcPr>
          <w:p>
            <w:pPr>
              <w:adjustRightInd w:val="0"/>
              <w:snapToGrid w:val="0"/>
              <w:rPr>
                <w:rFonts w:eastAsiaTheme="minorEastAsia"/>
                <w:color w:val="auto"/>
                <w:szCs w:val="21"/>
                <w:highlight w:val="none"/>
              </w:rPr>
            </w:pPr>
            <w:r>
              <w:rPr>
                <w:rFonts w:hint="eastAsia" w:eastAsiaTheme="minorEastAsia"/>
                <w:color w:val="auto"/>
                <w:szCs w:val="21"/>
                <w:highlight w:val="none"/>
              </w:rPr>
              <w:sym w:font="Wingdings" w:char="00FE"/>
            </w:r>
            <w:r>
              <w:rPr>
                <w:rFonts w:hint="eastAsia" w:eastAsiaTheme="minorEastAsia"/>
                <w:color w:val="auto"/>
                <w:szCs w:val="21"/>
                <w:highlight w:val="none"/>
              </w:rPr>
              <w:t>否</w:t>
            </w:r>
          </w:p>
          <w:p>
            <w:pPr>
              <w:adjustRightInd w:val="0"/>
              <w:snapToGrid w:val="0"/>
              <w:rPr>
                <w:rFonts w:eastAsiaTheme="minorEastAsia"/>
                <w:color w:val="auto"/>
                <w:szCs w:val="21"/>
                <w:highlight w:val="none"/>
              </w:rPr>
            </w:pPr>
            <w:r>
              <w:rPr>
                <w:rFonts w:hint="eastAsia" w:eastAsiaTheme="minorEastAsia"/>
                <w:color w:val="auto"/>
                <w:szCs w:val="21"/>
                <w:highlight w:val="none"/>
              </w:rPr>
              <w:sym w:font="Wingdings" w:char="00A8"/>
            </w:r>
            <w:r>
              <w:rPr>
                <w:rFonts w:hint="eastAsia" w:eastAsiaTheme="minorEastAsia"/>
                <w:color w:val="auto"/>
                <w:szCs w:val="21"/>
                <w:highlight w:val="none"/>
              </w:rPr>
              <w:t>是：</w:t>
            </w:r>
            <w:r>
              <w:rPr>
                <w:rFonts w:hint="eastAsia" w:eastAsiaTheme="minorEastAsia"/>
                <w:color w:val="auto"/>
                <w:szCs w:val="21"/>
                <w:highlight w:val="none"/>
                <w:u w:val="single"/>
              </w:rPr>
              <w:t xml:space="preserve">             </w:t>
            </w:r>
          </w:p>
        </w:tc>
        <w:tc>
          <w:tcPr>
            <w:tcW w:w="2300" w:type="dxa"/>
            <w:tcMar>
              <w:top w:w="16" w:type="dxa"/>
              <w:left w:w="16" w:type="dxa"/>
              <w:right w:w="16" w:type="dxa"/>
            </w:tcMar>
            <w:vAlign w:val="center"/>
          </w:tcPr>
          <w:p>
            <w:pPr>
              <w:adjustRightInd w:val="0"/>
              <w:snapToGrid w:val="0"/>
              <w:jc w:val="center"/>
              <w:rPr>
                <w:rFonts w:eastAsiaTheme="minorEastAsia"/>
                <w:color w:val="auto"/>
                <w:spacing w:val="-6"/>
                <w:szCs w:val="21"/>
                <w:highlight w:val="none"/>
              </w:rPr>
            </w:pPr>
            <w:r>
              <w:rPr>
                <w:rFonts w:hint="eastAsia" w:eastAsiaTheme="minorEastAsia"/>
                <w:color w:val="auto"/>
                <w:spacing w:val="-6"/>
                <w:szCs w:val="21"/>
                <w:highlight w:val="none"/>
              </w:rPr>
              <w:t>用地（用海）</w:t>
            </w:r>
          </w:p>
          <w:p>
            <w:pPr>
              <w:adjustRightInd w:val="0"/>
              <w:snapToGrid w:val="0"/>
              <w:jc w:val="center"/>
              <w:rPr>
                <w:rFonts w:eastAsiaTheme="minorEastAsia"/>
                <w:color w:val="auto"/>
                <w:szCs w:val="21"/>
                <w:highlight w:val="none"/>
              </w:rPr>
            </w:pPr>
            <w:r>
              <w:rPr>
                <w:rFonts w:hint="eastAsia" w:eastAsiaTheme="minorEastAsia"/>
                <w:color w:val="auto"/>
                <w:spacing w:val="-6"/>
                <w:szCs w:val="21"/>
                <w:highlight w:val="none"/>
              </w:rPr>
              <w:t>面积（</w:t>
            </w:r>
            <w:r>
              <w:rPr>
                <w:rFonts w:eastAsiaTheme="minorEastAsia"/>
                <w:color w:val="auto"/>
                <w:spacing w:val="-6"/>
                <w:szCs w:val="21"/>
                <w:highlight w:val="none"/>
              </w:rPr>
              <w:t>m</w:t>
            </w:r>
            <w:r>
              <w:rPr>
                <w:rFonts w:eastAsiaTheme="minorEastAsia"/>
                <w:color w:val="auto"/>
                <w:spacing w:val="-6"/>
                <w:szCs w:val="21"/>
                <w:highlight w:val="none"/>
                <w:vertAlign w:val="superscript"/>
              </w:rPr>
              <w:t>2</w:t>
            </w:r>
            <w:r>
              <w:rPr>
                <w:rFonts w:hint="eastAsia" w:eastAsiaTheme="minorEastAsia"/>
                <w:color w:val="auto"/>
                <w:spacing w:val="-6"/>
                <w:szCs w:val="21"/>
                <w:highlight w:val="none"/>
              </w:rPr>
              <w:t>）</w:t>
            </w:r>
          </w:p>
        </w:tc>
        <w:tc>
          <w:tcPr>
            <w:tcW w:w="3123" w:type="dxa"/>
            <w:vAlign w:val="center"/>
          </w:tcPr>
          <w:p>
            <w:pPr>
              <w:adjustRightInd w:val="0"/>
              <w:snapToGrid w:val="0"/>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16" w:type="dxa"/>
            <w:vAlign w:val="center"/>
          </w:tcPr>
          <w:p>
            <w:pPr>
              <w:autoSpaceDE w:val="0"/>
              <w:autoSpaceDN w:val="0"/>
              <w:adjustRightInd w:val="0"/>
              <w:snapToGrid w:val="0"/>
              <w:jc w:val="center"/>
              <w:rPr>
                <w:rFonts w:eastAsiaTheme="minorEastAsia"/>
                <w:color w:val="auto"/>
                <w:kern w:val="0"/>
                <w:szCs w:val="21"/>
                <w:highlight w:val="none"/>
              </w:rPr>
            </w:pPr>
            <w:r>
              <w:rPr>
                <w:rFonts w:hint="eastAsia" w:eastAsiaTheme="minorEastAsia"/>
                <w:color w:val="auto"/>
                <w:kern w:val="0"/>
                <w:szCs w:val="21"/>
                <w:highlight w:val="none"/>
              </w:rPr>
              <w:t>专项评价设置情况</w:t>
            </w:r>
          </w:p>
        </w:tc>
        <w:tc>
          <w:tcPr>
            <w:tcW w:w="7654" w:type="dxa"/>
            <w:gridSpan w:val="3"/>
            <w:vAlign w:val="center"/>
          </w:tcPr>
          <w:p>
            <w:pPr>
              <w:pStyle w:val="23"/>
              <w:numPr>
                <w:ilvl w:val="0"/>
                <w:numId w:val="2"/>
              </w:numPr>
              <w:tabs>
                <w:tab w:val="clear" w:pos="420"/>
                <w:tab w:val="clear" w:pos="6600"/>
              </w:tabs>
              <w:bidi w:val="0"/>
              <w:ind w:left="0" w:leftChars="0" w:firstLine="0" w:firstLineChars="0"/>
              <w:rPr>
                <w:color w:val="auto"/>
                <w:highlight w:val="none"/>
              </w:rPr>
            </w:pPr>
            <w:r>
              <w:rPr>
                <w:rFonts w:hint="eastAsia"/>
                <w:color w:val="auto"/>
                <w:highlight w:val="none"/>
                <w:lang w:val="en-US" w:eastAsia="zh-CN"/>
              </w:rPr>
              <w:t xml:space="preserve">   </w:t>
            </w:r>
            <w:r>
              <w:rPr>
                <w:rFonts w:hint="eastAsia"/>
                <w:color w:val="auto"/>
                <w:highlight w:val="none"/>
              </w:rPr>
              <w:t>专项评价设置原则表</w:t>
            </w:r>
          </w:p>
          <w:tbl>
            <w:tblPr>
              <w:tblStyle w:val="16"/>
              <w:tblW w:w="743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4"/>
              <w:gridCol w:w="2695"/>
              <w:gridCol w:w="2066"/>
              <w:gridCol w:w="12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4" w:hRule="atLeast"/>
                <w:jc w:val="center"/>
              </w:trPr>
              <w:tc>
                <w:tcPr>
                  <w:tcW w:w="1444" w:type="dxa"/>
                  <w:vAlign w:val="center"/>
                </w:tcPr>
                <w:p>
                  <w:pPr>
                    <w:pStyle w:val="25"/>
                    <w:rPr>
                      <w:rFonts w:hint="default"/>
                      <w:color w:val="auto"/>
                      <w:highlight w:val="none"/>
                    </w:rPr>
                  </w:pPr>
                  <w:r>
                    <w:rPr>
                      <w:color w:val="auto"/>
                      <w:highlight w:val="none"/>
                    </w:rPr>
                    <w:t>专项评价的类别</w:t>
                  </w:r>
                </w:p>
              </w:tc>
              <w:tc>
                <w:tcPr>
                  <w:tcW w:w="2695" w:type="dxa"/>
                  <w:vAlign w:val="center"/>
                </w:tcPr>
                <w:p>
                  <w:pPr>
                    <w:pStyle w:val="25"/>
                    <w:rPr>
                      <w:rFonts w:hint="default"/>
                      <w:color w:val="auto"/>
                      <w:highlight w:val="none"/>
                    </w:rPr>
                  </w:pPr>
                  <w:r>
                    <w:rPr>
                      <w:color w:val="auto"/>
                      <w:highlight w:val="none"/>
                    </w:rPr>
                    <w:t>设置原则</w:t>
                  </w:r>
                </w:p>
              </w:tc>
              <w:tc>
                <w:tcPr>
                  <w:tcW w:w="2066" w:type="dxa"/>
                  <w:vAlign w:val="center"/>
                </w:tcPr>
                <w:p>
                  <w:pPr>
                    <w:pStyle w:val="25"/>
                    <w:rPr>
                      <w:rFonts w:hint="default"/>
                      <w:color w:val="auto"/>
                      <w:highlight w:val="none"/>
                    </w:rPr>
                  </w:pPr>
                  <w:r>
                    <w:rPr>
                      <w:color w:val="auto"/>
                      <w:highlight w:val="none"/>
                    </w:rPr>
                    <w:t>本项目对应情况</w:t>
                  </w:r>
                </w:p>
              </w:tc>
              <w:tc>
                <w:tcPr>
                  <w:tcW w:w="1232" w:type="dxa"/>
                  <w:vAlign w:val="center"/>
                </w:tcPr>
                <w:p>
                  <w:pPr>
                    <w:pStyle w:val="25"/>
                    <w:rPr>
                      <w:rFonts w:hint="default"/>
                      <w:color w:val="auto"/>
                      <w:highlight w:val="none"/>
                    </w:rPr>
                  </w:pPr>
                  <w:r>
                    <w:rPr>
                      <w:color w:val="auto"/>
                      <w:highlight w:val="none"/>
                    </w:rPr>
                    <w:t>是否设置专项评价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39" w:hRule="atLeast"/>
                <w:jc w:val="center"/>
              </w:trPr>
              <w:tc>
                <w:tcPr>
                  <w:tcW w:w="1444" w:type="dxa"/>
                  <w:vAlign w:val="center"/>
                </w:tcPr>
                <w:p>
                  <w:pPr>
                    <w:pStyle w:val="22"/>
                    <w:rPr>
                      <w:color w:val="auto"/>
                      <w:highlight w:val="none"/>
                    </w:rPr>
                  </w:pPr>
                  <w:r>
                    <w:rPr>
                      <w:rFonts w:hint="eastAsia"/>
                      <w:color w:val="auto"/>
                      <w:highlight w:val="none"/>
                    </w:rPr>
                    <w:t>大气</w:t>
                  </w:r>
                </w:p>
              </w:tc>
              <w:tc>
                <w:tcPr>
                  <w:tcW w:w="2695" w:type="dxa"/>
                  <w:vAlign w:val="center"/>
                </w:tcPr>
                <w:p>
                  <w:pPr>
                    <w:pStyle w:val="22"/>
                    <w:rPr>
                      <w:color w:val="auto"/>
                      <w:highlight w:val="none"/>
                    </w:rPr>
                  </w:pPr>
                  <w:r>
                    <w:rPr>
                      <w:color w:val="auto"/>
                      <w:highlight w:val="none"/>
                    </w:rPr>
                    <w:t>排放废气含有毒有害污染物1、二噁英、苯并[a]芘、氰化物、氯气且厂界外500米范围内有环境空气保护目标2的建设项目</w:t>
                  </w:r>
                </w:p>
              </w:tc>
              <w:tc>
                <w:tcPr>
                  <w:tcW w:w="2066" w:type="dxa"/>
                  <w:vAlign w:val="center"/>
                </w:tcPr>
                <w:p>
                  <w:pPr>
                    <w:pStyle w:val="22"/>
                    <w:rPr>
                      <w:color w:val="auto"/>
                      <w:highlight w:val="none"/>
                    </w:rPr>
                  </w:pPr>
                  <w:r>
                    <w:rPr>
                      <w:rFonts w:hint="eastAsia"/>
                      <w:color w:val="auto"/>
                      <w:highlight w:val="none"/>
                    </w:rPr>
                    <w:t>本项目不排放此类废气</w:t>
                  </w:r>
                </w:p>
              </w:tc>
              <w:tc>
                <w:tcPr>
                  <w:tcW w:w="1232" w:type="dxa"/>
                  <w:vAlign w:val="center"/>
                </w:tcPr>
                <w:p>
                  <w:pPr>
                    <w:pStyle w:val="22"/>
                    <w:rPr>
                      <w:color w:val="auto"/>
                      <w:highlight w:val="none"/>
                    </w:rPr>
                  </w:pPr>
                  <w:r>
                    <w:rPr>
                      <w:rFonts w:hint="eastAsia"/>
                      <w:color w:val="auto"/>
                      <w:highlight w:val="none"/>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444" w:type="dxa"/>
                  <w:vAlign w:val="center"/>
                </w:tcPr>
                <w:p>
                  <w:pPr>
                    <w:pStyle w:val="22"/>
                    <w:rPr>
                      <w:color w:val="auto"/>
                      <w:highlight w:val="none"/>
                    </w:rPr>
                  </w:pPr>
                  <w:r>
                    <w:rPr>
                      <w:rFonts w:hint="eastAsia"/>
                      <w:color w:val="auto"/>
                      <w:highlight w:val="none"/>
                    </w:rPr>
                    <w:t>地表水</w:t>
                  </w:r>
                </w:p>
              </w:tc>
              <w:tc>
                <w:tcPr>
                  <w:tcW w:w="2695" w:type="dxa"/>
                  <w:vAlign w:val="center"/>
                </w:tcPr>
                <w:p>
                  <w:pPr>
                    <w:pStyle w:val="22"/>
                    <w:rPr>
                      <w:color w:val="auto"/>
                      <w:highlight w:val="none"/>
                    </w:rPr>
                  </w:pPr>
                  <w:r>
                    <w:rPr>
                      <w:color w:val="auto"/>
                      <w:highlight w:val="none"/>
                    </w:rPr>
                    <w:t>新增工业废水直排建设项目（槽罐车外送污水处理厂的除外）；新增废水直排的污水集中处理厂</w:t>
                  </w:r>
                </w:p>
              </w:tc>
              <w:tc>
                <w:tcPr>
                  <w:tcW w:w="2066"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项目无生产废水产生及排放；本项目不新增职工，无新增生活污水</w:t>
                  </w:r>
                </w:p>
              </w:tc>
              <w:tc>
                <w:tcPr>
                  <w:tcW w:w="1232" w:type="dxa"/>
                  <w:vAlign w:val="center"/>
                </w:tcPr>
                <w:p>
                  <w:pPr>
                    <w:pStyle w:val="22"/>
                    <w:rPr>
                      <w:color w:val="auto"/>
                      <w:highlight w:val="none"/>
                    </w:rPr>
                  </w:pPr>
                  <w:r>
                    <w:rPr>
                      <w:rFonts w:hint="eastAsia"/>
                      <w:color w:val="auto"/>
                      <w:highlight w:val="none"/>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444" w:type="dxa"/>
                  <w:vAlign w:val="center"/>
                </w:tcPr>
                <w:p>
                  <w:pPr>
                    <w:pStyle w:val="22"/>
                    <w:rPr>
                      <w:color w:val="auto"/>
                      <w:highlight w:val="none"/>
                    </w:rPr>
                  </w:pPr>
                  <w:r>
                    <w:rPr>
                      <w:rFonts w:hint="eastAsia"/>
                      <w:color w:val="auto"/>
                      <w:highlight w:val="none"/>
                    </w:rPr>
                    <w:t>环境风险</w:t>
                  </w:r>
                </w:p>
              </w:tc>
              <w:tc>
                <w:tcPr>
                  <w:tcW w:w="2695" w:type="dxa"/>
                  <w:vAlign w:val="center"/>
                </w:tcPr>
                <w:p>
                  <w:pPr>
                    <w:pStyle w:val="22"/>
                    <w:rPr>
                      <w:color w:val="auto"/>
                      <w:highlight w:val="none"/>
                    </w:rPr>
                  </w:pPr>
                  <w:r>
                    <w:rPr>
                      <w:color w:val="auto"/>
                      <w:highlight w:val="none"/>
                    </w:rPr>
                    <w:t>有毒有害和易燃易爆危险物质存储量超过临界量</w:t>
                  </w:r>
                  <w:r>
                    <w:rPr>
                      <w:color w:val="auto"/>
                      <w:highlight w:val="none"/>
                      <w:vertAlign w:val="superscript"/>
                    </w:rPr>
                    <w:t>3</w:t>
                  </w:r>
                  <w:r>
                    <w:rPr>
                      <w:color w:val="auto"/>
                      <w:highlight w:val="none"/>
                    </w:rPr>
                    <w:t>的建设项目</w:t>
                  </w:r>
                </w:p>
              </w:tc>
              <w:tc>
                <w:tcPr>
                  <w:tcW w:w="2066" w:type="dxa"/>
                  <w:vAlign w:val="center"/>
                </w:tcPr>
                <w:p>
                  <w:pPr>
                    <w:pStyle w:val="22"/>
                    <w:rPr>
                      <w:rFonts w:hint="eastAsia" w:eastAsiaTheme="minorEastAsia"/>
                      <w:color w:val="auto"/>
                      <w:highlight w:val="none"/>
                      <w:lang w:eastAsia="zh-CN"/>
                    </w:rPr>
                  </w:pPr>
                  <w:r>
                    <w:rPr>
                      <w:rFonts w:hint="eastAsia"/>
                      <w:color w:val="auto"/>
                      <w:highlight w:val="none"/>
                    </w:rPr>
                    <w:t>本项目涉及的有毒有害物质为</w:t>
                  </w:r>
                  <w:r>
                    <w:rPr>
                      <w:rFonts w:hint="eastAsia"/>
                      <w:color w:val="auto"/>
                      <w:highlight w:val="none"/>
                      <w:lang w:eastAsia="zh-CN"/>
                    </w:rPr>
                    <w:t>废油、硫酸等</w:t>
                  </w:r>
                  <w:r>
                    <w:rPr>
                      <w:rFonts w:hint="eastAsia"/>
                      <w:color w:val="auto"/>
                      <w:highlight w:val="none"/>
                    </w:rPr>
                    <w:t>，经计算，Q值为</w:t>
                  </w:r>
                  <w:r>
                    <w:rPr>
                      <w:rFonts w:hint="eastAsia"/>
                      <w:color w:val="auto"/>
                      <w:highlight w:val="none"/>
                      <w:lang w:eastAsia="zh-CN"/>
                    </w:rPr>
                    <w:t>0.00533，</w:t>
                  </w:r>
                  <w:r>
                    <w:rPr>
                      <w:rFonts w:hint="eastAsia"/>
                      <w:color w:val="auto"/>
                      <w:highlight w:val="none"/>
                    </w:rPr>
                    <w:t>Q＜1</w:t>
                  </w:r>
                </w:p>
              </w:tc>
              <w:tc>
                <w:tcPr>
                  <w:tcW w:w="1232" w:type="dxa"/>
                  <w:vAlign w:val="center"/>
                </w:tcPr>
                <w:p>
                  <w:pPr>
                    <w:pStyle w:val="22"/>
                    <w:rPr>
                      <w:color w:val="auto"/>
                      <w:highlight w:val="none"/>
                    </w:rPr>
                  </w:pPr>
                  <w:r>
                    <w:rPr>
                      <w:rFonts w:hint="eastAsia"/>
                      <w:color w:val="auto"/>
                      <w:highlight w:val="none"/>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58" w:hRule="atLeast"/>
                <w:jc w:val="center"/>
              </w:trPr>
              <w:tc>
                <w:tcPr>
                  <w:tcW w:w="1444" w:type="dxa"/>
                  <w:vAlign w:val="center"/>
                </w:tcPr>
                <w:p>
                  <w:pPr>
                    <w:pStyle w:val="22"/>
                    <w:rPr>
                      <w:color w:val="auto"/>
                      <w:highlight w:val="none"/>
                    </w:rPr>
                  </w:pPr>
                  <w:r>
                    <w:rPr>
                      <w:rFonts w:hint="eastAsia"/>
                      <w:color w:val="auto"/>
                      <w:highlight w:val="none"/>
                    </w:rPr>
                    <w:t>生态</w:t>
                  </w:r>
                </w:p>
              </w:tc>
              <w:tc>
                <w:tcPr>
                  <w:tcW w:w="2695" w:type="dxa"/>
                  <w:vAlign w:val="center"/>
                </w:tcPr>
                <w:p>
                  <w:pPr>
                    <w:pStyle w:val="22"/>
                    <w:rPr>
                      <w:color w:val="auto"/>
                      <w:highlight w:val="none"/>
                    </w:rPr>
                  </w:pPr>
                  <w:r>
                    <w:rPr>
                      <w:color w:val="auto"/>
                      <w:highlight w:val="none"/>
                    </w:rPr>
                    <w:t>取水口下游500米范围内有重要水生生物的自然产卵场、索饵场、越冬场和洄游通道的新增河道取水的污染类建设项目</w:t>
                  </w:r>
                </w:p>
              </w:tc>
              <w:tc>
                <w:tcPr>
                  <w:tcW w:w="2066" w:type="dxa"/>
                  <w:vAlign w:val="center"/>
                </w:tcPr>
                <w:p>
                  <w:pPr>
                    <w:pStyle w:val="22"/>
                    <w:rPr>
                      <w:color w:val="auto"/>
                      <w:highlight w:val="none"/>
                    </w:rPr>
                  </w:pPr>
                  <w:r>
                    <w:rPr>
                      <w:rFonts w:hint="eastAsia"/>
                      <w:color w:val="auto"/>
                      <w:highlight w:val="none"/>
                    </w:rPr>
                    <w:t>不涉及</w:t>
                  </w:r>
                </w:p>
              </w:tc>
              <w:tc>
                <w:tcPr>
                  <w:tcW w:w="1232" w:type="dxa"/>
                  <w:vAlign w:val="center"/>
                </w:tcPr>
                <w:p>
                  <w:pPr>
                    <w:pStyle w:val="22"/>
                    <w:rPr>
                      <w:color w:val="auto"/>
                      <w:highlight w:val="none"/>
                    </w:rPr>
                  </w:pPr>
                  <w:r>
                    <w:rPr>
                      <w:rFonts w:hint="eastAsia"/>
                      <w:color w:val="auto"/>
                      <w:highlight w:val="none"/>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41" w:hRule="atLeast"/>
                <w:jc w:val="center"/>
              </w:trPr>
              <w:tc>
                <w:tcPr>
                  <w:tcW w:w="1444" w:type="dxa"/>
                  <w:vAlign w:val="center"/>
                </w:tcPr>
                <w:p>
                  <w:pPr>
                    <w:pStyle w:val="22"/>
                    <w:rPr>
                      <w:color w:val="auto"/>
                      <w:highlight w:val="none"/>
                    </w:rPr>
                  </w:pPr>
                  <w:r>
                    <w:rPr>
                      <w:rFonts w:hint="eastAsia"/>
                      <w:color w:val="auto"/>
                      <w:highlight w:val="none"/>
                    </w:rPr>
                    <w:t>海洋</w:t>
                  </w:r>
                </w:p>
              </w:tc>
              <w:tc>
                <w:tcPr>
                  <w:tcW w:w="2695" w:type="dxa"/>
                  <w:vAlign w:val="center"/>
                </w:tcPr>
                <w:p>
                  <w:pPr>
                    <w:pStyle w:val="22"/>
                    <w:rPr>
                      <w:color w:val="auto"/>
                      <w:highlight w:val="none"/>
                    </w:rPr>
                  </w:pPr>
                  <w:r>
                    <w:rPr>
                      <w:color w:val="auto"/>
                      <w:highlight w:val="none"/>
                    </w:rPr>
                    <w:t>直接向海排放污染物的海洋工程建设项目</w:t>
                  </w:r>
                </w:p>
              </w:tc>
              <w:tc>
                <w:tcPr>
                  <w:tcW w:w="2066" w:type="dxa"/>
                  <w:vAlign w:val="center"/>
                </w:tcPr>
                <w:p>
                  <w:pPr>
                    <w:pStyle w:val="22"/>
                    <w:rPr>
                      <w:color w:val="auto"/>
                      <w:highlight w:val="none"/>
                    </w:rPr>
                  </w:pPr>
                  <w:r>
                    <w:rPr>
                      <w:rFonts w:hint="eastAsia"/>
                      <w:color w:val="auto"/>
                      <w:highlight w:val="none"/>
                    </w:rPr>
                    <w:t>不涉及</w:t>
                  </w:r>
                </w:p>
              </w:tc>
              <w:tc>
                <w:tcPr>
                  <w:tcW w:w="1232" w:type="dxa"/>
                  <w:vAlign w:val="center"/>
                </w:tcPr>
                <w:p>
                  <w:pPr>
                    <w:pStyle w:val="22"/>
                    <w:rPr>
                      <w:color w:val="auto"/>
                      <w:highlight w:val="none"/>
                    </w:rPr>
                  </w:pPr>
                  <w:r>
                    <w:rPr>
                      <w:rFonts w:hint="eastAsia"/>
                      <w:color w:val="auto"/>
                      <w:highlight w:val="none"/>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35" w:hRule="atLeast"/>
                <w:jc w:val="center"/>
              </w:trPr>
              <w:tc>
                <w:tcPr>
                  <w:tcW w:w="7437" w:type="dxa"/>
                  <w:gridSpan w:val="4"/>
                  <w:vAlign w:val="center"/>
                </w:tcPr>
                <w:p>
                  <w:pPr>
                    <w:pStyle w:val="22"/>
                    <w:jc w:val="left"/>
                    <w:rPr>
                      <w:color w:val="auto"/>
                      <w:highlight w:val="none"/>
                    </w:rPr>
                  </w:pPr>
                  <w:r>
                    <w:rPr>
                      <w:color w:val="auto"/>
                      <w:highlight w:val="none"/>
                    </w:rPr>
                    <w:t>注：1.废气中有毒有害污染物</w:t>
                  </w:r>
                  <w:r>
                    <w:rPr>
                      <w:rFonts w:hint="eastAsia"/>
                      <w:color w:val="auto"/>
                      <w:highlight w:val="none"/>
                    </w:rPr>
                    <w:t>指标</w:t>
                  </w:r>
                  <w:r>
                    <w:rPr>
                      <w:color w:val="auto"/>
                      <w:highlight w:val="none"/>
                    </w:rPr>
                    <w:t>纳入《有毒有害大气污染物名录》的污染物（不包括无排放标准的污染物）。</w:t>
                  </w:r>
                </w:p>
                <w:p>
                  <w:pPr>
                    <w:pStyle w:val="22"/>
                    <w:jc w:val="left"/>
                    <w:rPr>
                      <w:color w:val="auto"/>
                      <w:highlight w:val="none"/>
                    </w:rPr>
                  </w:pPr>
                  <w:r>
                    <w:rPr>
                      <w:color w:val="auto"/>
                      <w:highlight w:val="none"/>
                    </w:rPr>
                    <w:t>2.环境空气保护目标指自然保护区、风景名胜区、居住区、文化区和农村地区中人群较集中的区域。</w:t>
                  </w:r>
                </w:p>
                <w:p>
                  <w:pPr>
                    <w:pStyle w:val="22"/>
                    <w:jc w:val="left"/>
                    <w:rPr>
                      <w:color w:val="auto"/>
                      <w:highlight w:val="none"/>
                    </w:rPr>
                  </w:pPr>
                  <w:r>
                    <w:rPr>
                      <w:color w:val="auto"/>
                      <w:highlight w:val="none"/>
                    </w:rPr>
                    <w:t>3.临界量及其计算方法可参考《建设项目环境风险评价技术导则》（HJ169</w:t>
                  </w:r>
                  <w:r>
                    <w:rPr>
                      <w:rFonts w:hint="eastAsia"/>
                      <w:color w:val="auto"/>
                      <w:highlight w:val="none"/>
                    </w:rPr>
                    <w:t>-2018</w:t>
                  </w:r>
                  <w:r>
                    <w:rPr>
                      <w:color w:val="auto"/>
                      <w:highlight w:val="none"/>
                    </w:rPr>
                    <w:t>）附录B、附录C。</w:t>
                  </w:r>
                </w:p>
              </w:tc>
            </w:tr>
          </w:tbl>
          <w:p>
            <w:pPr>
              <w:autoSpaceDE w:val="0"/>
              <w:autoSpaceDN w:val="0"/>
              <w:adjustRightInd w:val="0"/>
              <w:snapToGrid w:val="0"/>
              <w:jc w:val="center"/>
              <w:rPr>
                <w:rFonts w:eastAsiaTheme="minorEastAsia"/>
                <w:color w:val="auto"/>
                <w:kern w:val="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16" w:type="dxa"/>
            <w:vAlign w:val="center"/>
          </w:tcPr>
          <w:p>
            <w:pPr>
              <w:autoSpaceDE w:val="0"/>
              <w:autoSpaceDN w:val="0"/>
              <w:adjustRightInd w:val="0"/>
              <w:snapToGrid w:val="0"/>
              <w:jc w:val="center"/>
              <w:rPr>
                <w:rFonts w:ascii="宋体" w:hAnsi="宋体" w:cs="宋体"/>
                <w:color w:val="auto"/>
                <w:kern w:val="0"/>
                <w:szCs w:val="21"/>
                <w:highlight w:val="none"/>
              </w:rPr>
            </w:pPr>
            <w:r>
              <w:rPr>
                <w:rFonts w:hint="eastAsia" w:ascii="宋体" w:hAnsi="宋体" w:cs="宋体"/>
                <w:color w:val="auto"/>
                <w:szCs w:val="21"/>
                <w:highlight w:val="none"/>
              </w:rPr>
              <w:t>规划情况</w:t>
            </w:r>
          </w:p>
        </w:tc>
        <w:tc>
          <w:tcPr>
            <w:tcW w:w="7654" w:type="dxa"/>
            <w:gridSpan w:val="3"/>
            <w:vAlign w:val="center"/>
          </w:tcPr>
          <w:p>
            <w:pPr>
              <w:pStyle w:val="12"/>
              <w:ind w:firstLine="480"/>
              <w:rPr>
                <w:rFonts w:hint="eastAsia"/>
                <w:color w:val="auto"/>
                <w:highlight w:val="none"/>
                <w:lang w:val="en-US" w:eastAsia="zh-CN"/>
              </w:rPr>
            </w:pPr>
            <w:r>
              <w:rPr>
                <w:rFonts w:hint="eastAsia" w:ascii="Times New Roman" w:hAnsi="Times New Roman" w:eastAsia="宋体" w:cs="Times New Roman"/>
                <w:b/>
                <w:bCs/>
                <w:color w:val="auto"/>
                <w:kern w:val="44"/>
                <w:sz w:val="24"/>
                <w:szCs w:val="30"/>
                <w:highlight w:val="none"/>
                <w:lang w:val="en-US" w:eastAsia="zh-CN" w:bidi="ar-SA"/>
              </w:rPr>
              <w:t>1.规划名称</w:t>
            </w:r>
          </w:p>
          <w:p>
            <w:pPr>
              <w:pStyle w:val="12"/>
              <w:ind w:firstLine="480"/>
              <w:rPr>
                <w:rFonts w:hint="eastAsia"/>
                <w:color w:val="auto"/>
                <w:highlight w:val="none"/>
                <w:lang w:val="en-US" w:eastAsia="zh-CN"/>
              </w:rPr>
            </w:pPr>
            <w:r>
              <w:rPr>
                <w:rFonts w:hint="eastAsia"/>
                <w:color w:val="auto"/>
                <w:highlight w:val="none"/>
                <w:lang w:val="en-US" w:eastAsia="zh-CN"/>
              </w:rPr>
              <w:t>《北票市国土空间总体规划（2021-2035年）》</w:t>
            </w:r>
          </w:p>
          <w:p>
            <w:pPr>
              <w:pStyle w:val="12"/>
              <w:ind w:firstLine="480"/>
              <w:rPr>
                <w:rFonts w:hint="eastAsia"/>
                <w:color w:val="auto"/>
                <w:highlight w:val="none"/>
                <w:lang w:val="en-US" w:eastAsia="zh-CN"/>
              </w:rPr>
            </w:pPr>
            <w:r>
              <w:rPr>
                <w:rFonts w:hint="eastAsia" w:ascii="Times New Roman" w:hAnsi="Times New Roman" w:eastAsia="宋体" w:cs="Times New Roman"/>
                <w:b/>
                <w:bCs/>
                <w:color w:val="auto"/>
                <w:kern w:val="44"/>
                <w:sz w:val="24"/>
                <w:szCs w:val="30"/>
                <w:highlight w:val="none"/>
                <w:lang w:val="en-US" w:eastAsia="zh-CN" w:bidi="ar-SA"/>
              </w:rPr>
              <w:t>2.审批机关</w:t>
            </w:r>
          </w:p>
          <w:p>
            <w:pPr>
              <w:pStyle w:val="12"/>
              <w:ind w:firstLine="480"/>
              <w:rPr>
                <w:rFonts w:hint="eastAsia"/>
                <w:color w:val="auto"/>
                <w:highlight w:val="none"/>
                <w:lang w:val="en-US" w:eastAsia="zh-CN"/>
              </w:rPr>
            </w:pPr>
            <w:r>
              <w:rPr>
                <w:rFonts w:hint="eastAsia"/>
                <w:color w:val="auto"/>
                <w:highlight w:val="none"/>
                <w:lang w:val="en-US" w:eastAsia="zh-CN"/>
              </w:rPr>
              <w:t>辽宁省人民政府</w:t>
            </w:r>
          </w:p>
          <w:p>
            <w:pPr>
              <w:pStyle w:val="12"/>
              <w:ind w:firstLine="480"/>
              <w:rPr>
                <w:rFonts w:hint="eastAsia"/>
                <w:color w:val="auto"/>
                <w:highlight w:val="none"/>
                <w:lang w:val="en-US" w:eastAsia="zh-CN"/>
              </w:rPr>
            </w:pPr>
            <w:r>
              <w:rPr>
                <w:rFonts w:hint="eastAsia" w:ascii="Times New Roman" w:hAnsi="Times New Roman" w:eastAsia="宋体" w:cs="Times New Roman"/>
                <w:b/>
                <w:bCs/>
                <w:color w:val="auto"/>
                <w:kern w:val="44"/>
                <w:sz w:val="24"/>
                <w:szCs w:val="30"/>
                <w:highlight w:val="none"/>
                <w:lang w:val="en-US" w:eastAsia="zh-CN" w:bidi="ar-SA"/>
              </w:rPr>
              <w:t>3.审批文件名称及文号</w:t>
            </w:r>
          </w:p>
          <w:p>
            <w:pPr>
              <w:pStyle w:val="12"/>
              <w:ind w:firstLine="480"/>
              <w:rPr>
                <w:rFonts w:hint="eastAsia" w:eastAsia="宋体"/>
                <w:color w:val="auto"/>
                <w:highlight w:val="none"/>
                <w:lang w:eastAsia="zh-CN"/>
              </w:rPr>
            </w:pPr>
            <w:r>
              <w:rPr>
                <w:rFonts w:hint="eastAsia"/>
                <w:color w:val="auto"/>
                <w:highlight w:val="none"/>
                <w:lang w:val="en-US" w:eastAsia="zh-CN"/>
              </w:rPr>
              <w:t>《辽宁省人民政府关于北票市、凌源市、朝阳县、建平县、喀喇沁左翼蒙古族自治县国土空间总体规划（2021-2035年）的批复》辽政〔2024〕77号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216"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规划环境影响</w:t>
            </w:r>
          </w:p>
          <w:p>
            <w:pPr>
              <w:adjustRightInd w:val="0"/>
              <w:snapToGrid w:val="0"/>
              <w:jc w:val="center"/>
              <w:rPr>
                <w:rFonts w:ascii="宋体" w:hAnsi="宋体" w:cs="宋体"/>
                <w:color w:val="auto"/>
                <w:kern w:val="0"/>
                <w:szCs w:val="21"/>
                <w:highlight w:val="none"/>
              </w:rPr>
            </w:pPr>
            <w:r>
              <w:rPr>
                <w:rFonts w:hint="eastAsia" w:ascii="宋体" w:hAnsi="宋体" w:cs="宋体"/>
                <w:color w:val="auto"/>
                <w:szCs w:val="21"/>
                <w:highlight w:val="none"/>
              </w:rPr>
              <w:t>评价情况</w:t>
            </w:r>
          </w:p>
        </w:tc>
        <w:tc>
          <w:tcPr>
            <w:tcW w:w="7654" w:type="dxa"/>
            <w:gridSpan w:val="3"/>
            <w:vAlign w:val="center"/>
          </w:tcPr>
          <w:p>
            <w:pPr>
              <w:pStyle w:val="12"/>
              <w:ind w:left="0" w:leftChars="0" w:firstLine="0" w:firstLineChars="0"/>
              <w:jc w:val="center"/>
              <w:rPr>
                <w:rFonts w:hint="eastAsia" w:eastAsia="宋体"/>
                <w:color w:val="auto"/>
                <w:highlight w:val="none"/>
                <w:lang w:eastAsia="zh-CN"/>
              </w:rPr>
            </w:pPr>
            <w:r>
              <w:rPr>
                <w:rFonts w:hint="eastAsia"/>
                <w:color w:val="auto"/>
                <w:highlight w:val="none"/>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216" w:type="dxa"/>
            <w:vAlign w:val="center"/>
          </w:tcPr>
          <w:p>
            <w:pPr>
              <w:autoSpaceDE w:val="0"/>
              <w:autoSpaceDN w:val="0"/>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规划及规划环境影响评价符合性分析</w:t>
            </w:r>
          </w:p>
        </w:tc>
        <w:tc>
          <w:tcPr>
            <w:tcW w:w="7654" w:type="dxa"/>
            <w:gridSpan w:val="3"/>
            <w:vAlign w:val="center"/>
          </w:tcPr>
          <w:p>
            <w:pPr>
              <w:pStyle w:val="12"/>
              <w:ind w:firstLine="480"/>
              <w:rPr>
                <w:rFonts w:hint="eastAsia"/>
                <w:color w:val="auto"/>
                <w:highlight w:val="none"/>
                <w:lang w:val="en-US" w:eastAsia="zh-CN"/>
              </w:rPr>
            </w:pPr>
            <w:r>
              <w:rPr>
                <w:rFonts w:hint="eastAsia" w:ascii="Times New Roman" w:hAnsi="Times New Roman" w:eastAsia="宋体" w:cs="Times New Roman"/>
                <w:b/>
                <w:bCs/>
                <w:color w:val="auto"/>
                <w:kern w:val="44"/>
                <w:sz w:val="24"/>
                <w:szCs w:val="30"/>
                <w:highlight w:val="none"/>
                <w:lang w:val="en-US" w:eastAsia="zh-CN" w:bidi="ar-SA"/>
              </w:rPr>
              <w:t>1</w:t>
            </w:r>
            <w:r>
              <w:rPr>
                <w:rFonts w:hint="eastAsia" w:cs="Times New Roman"/>
                <w:b/>
                <w:bCs/>
                <w:color w:val="auto"/>
                <w:kern w:val="44"/>
                <w:sz w:val="24"/>
                <w:szCs w:val="30"/>
                <w:highlight w:val="none"/>
                <w:lang w:val="en-US" w:eastAsia="zh-CN" w:bidi="ar-SA"/>
              </w:rPr>
              <w:t>.</w:t>
            </w:r>
            <w:r>
              <w:rPr>
                <w:rFonts w:hint="eastAsia" w:ascii="Times New Roman" w:hAnsi="Times New Roman" w:eastAsia="宋体" w:cs="Times New Roman"/>
                <w:b/>
                <w:bCs/>
                <w:color w:val="auto"/>
                <w:kern w:val="44"/>
                <w:sz w:val="24"/>
                <w:szCs w:val="30"/>
                <w:highlight w:val="none"/>
                <w:lang w:val="en-US" w:eastAsia="zh-CN" w:bidi="ar-SA"/>
              </w:rPr>
              <w:t>规划符合性分析</w:t>
            </w:r>
          </w:p>
          <w:p>
            <w:pPr>
              <w:pStyle w:val="12"/>
              <w:ind w:firstLine="480"/>
              <w:rPr>
                <w:rFonts w:hint="eastAsia"/>
                <w:color w:val="auto"/>
                <w:highlight w:val="none"/>
                <w:lang w:val="en-US" w:eastAsia="zh-CN"/>
              </w:rPr>
            </w:pPr>
            <w:r>
              <w:rPr>
                <w:rFonts w:hint="eastAsia"/>
                <w:color w:val="auto"/>
                <w:highlight w:val="none"/>
                <w:lang w:val="en-US" w:eastAsia="zh-CN"/>
              </w:rPr>
              <w:t>根据辽宁省人民政府下发《辽宁省人民政府关于北票市、凌源市、朝阳县、建平县、喀喇沁左翼蒙古族自治县国土空间总体规划（2021-2035年）的批复》辽政〔2024〕77号，批准《北票市国土空间总体规划（2021-2035年）》中，本项目建设用地布局符合总体规划要求，详见下表：</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与</w:t>
            </w:r>
            <w:r>
              <w:rPr>
                <w:rFonts w:hint="eastAsia"/>
                <w:color w:val="auto"/>
                <w:highlight w:val="none"/>
                <w:lang w:eastAsia="zh-CN"/>
              </w:rPr>
              <w:t>规划</w:t>
            </w:r>
            <w:r>
              <w:rPr>
                <w:rFonts w:hint="eastAsia"/>
                <w:color w:val="auto"/>
                <w:highlight w:val="none"/>
              </w:rPr>
              <w:t>符合性分析</w:t>
            </w:r>
          </w:p>
          <w:tbl>
            <w:tblPr>
              <w:tblStyle w:val="16"/>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7"/>
              <w:gridCol w:w="2423"/>
              <w:gridCol w:w="3378"/>
              <w:gridCol w:w="6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4" w:hRule="atLeast"/>
                <w:jc w:val="center"/>
              </w:trPr>
              <w:tc>
                <w:tcPr>
                  <w:tcW w:w="937"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序号</w:t>
                  </w:r>
                </w:p>
              </w:tc>
              <w:tc>
                <w:tcPr>
                  <w:tcW w:w="2423" w:type="dxa"/>
                  <w:tcBorders>
                    <w:tl2br w:val="nil"/>
                    <w:tr2bl w:val="nil"/>
                  </w:tcBorders>
                  <w:vAlign w:val="center"/>
                </w:tcPr>
                <w:p>
                  <w:pPr>
                    <w:pStyle w:val="25"/>
                    <w:rPr>
                      <w:rFonts w:hint="default"/>
                      <w:color w:val="auto"/>
                      <w:highlight w:val="none"/>
                    </w:rPr>
                  </w:pPr>
                  <w:r>
                    <w:rPr>
                      <w:color w:val="auto"/>
                      <w:highlight w:val="none"/>
                    </w:rPr>
                    <w:t>分析内容</w:t>
                  </w:r>
                </w:p>
              </w:tc>
              <w:tc>
                <w:tcPr>
                  <w:tcW w:w="3378" w:type="dxa"/>
                  <w:tcBorders>
                    <w:tl2br w:val="nil"/>
                    <w:tr2bl w:val="nil"/>
                  </w:tcBorders>
                  <w:vAlign w:val="center"/>
                </w:tcPr>
                <w:p>
                  <w:pPr>
                    <w:pStyle w:val="25"/>
                    <w:rPr>
                      <w:rFonts w:hint="default"/>
                      <w:color w:val="auto"/>
                      <w:highlight w:val="none"/>
                    </w:rPr>
                  </w:pPr>
                  <w:r>
                    <w:rPr>
                      <w:color w:val="auto"/>
                      <w:highlight w:val="none"/>
                    </w:rPr>
                    <w:t>本项目情况</w:t>
                  </w:r>
                </w:p>
              </w:tc>
              <w:tc>
                <w:tcPr>
                  <w:tcW w:w="696"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82" w:hRule="atLeast"/>
                <w:jc w:val="center"/>
              </w:trPr>
              <w:tc>
                <w:tcPr>
                  <w:tcW w:w="937"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1</w:t>
                  </w:r>
                </w:p>
              </w:tc>
              <w:tc>
                <w:tcPr>
                  <w:tcW w:w="2423"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rPr>
                    <w:t>严格保护生态保护红线</w:t>
                  </w:r>
                  <w:r>
                    <w:rPr>
                      <w:rFonts w:hint="eastAsia"/>
                      <w:color w:val="auto"/>
                      <w:highlight w:val="none"/>
                      <w:lang w:eastAsia="zh-CN"/>
                    </w:rPr>
                    <w:t>：</w:t>
                  </w:r>
                </w:p>
                <w:p>
                  <w:pPr>
                    <w:pStyle w:val="22"/>
                    <w:rPr>
                      <w:color w:val="auto"/>
                      <w:highlight w:val="none"/>
                    </w:rPr>
                  </w:pPr>
                  <w:r>
                    <w:rPr>
                      <w:rFonts w:hint="eastAsia"/>
                      <w:color w:val="auto"/>
                      <w:highlight w:val="none"/>
                    </w:rPr>
                    <w:t>严格保护自然保护地、生态功能重要区域和生态敏感区域。确保面积不减少，功能不降低、性质不改变。除国家重大战略项目外，仅允许对生态功能不造成破坏的有限人为活动。</w:t>
                  </w:r>
                </w:p>
              </w:tc>
              <w:tc>
                <w:tcPr>
                  <w:tcW w:w="3378" w:type="dxa"/>
                  <w:tcBorders>
                    <w:tl2br w:val="nil"/>
                    <w:tr2bl w:val="nil"/>
                  </w:tcBorders>
                  <w:vAlign w:val="center"/>
                </w:tcPr>
                <w:p>
                  <w:pPr>
                    <w:pStyle w:val="22"/>
                    <w:rPr>
                      <w:rFonts w:hint="eastAsia" w:eastAsiaTheme="minorEastAsia"/>
                      <w:color w:val="auto"/>
                      <w:highlight w:val="none"/>
                      <w:lang w:val="en-US" w:eastAsia="zh-CN"/>
                    </w:rPr>
                  </w:pPr>
                  <w:r>
                    <w:rPr>
                      <w:rFonts w:hint="eastAsia" w:eastAsiaTheme="minorEastAsia"/>
                      <w:color w:val="auto"/>
                      <w:highlight w:val="none"/>
                      <w:lang w:val="en-US" w:eastAsia="zh-CN"/>
                    </w:rPr>
                    <w:t>项目所在地位于辽宁省北票市</w:t>
                  </w:r>
                  <w:r>
                    <w:rPr>
                      <w:rFonts w:hint="eastAsia"/>
                      <w:color w:val="auto"/>
                      <w:highlight w:val="none"/>
                      <w:lang w:val="en-US" w:eastAsia="zh-CN"/>
                    </w:rPr>
                    <w:t>龙潭镇</w:t>
                  </w:r>
                  <w:r>
                    <w:rPr>
                      <w:rFonts w:hint="eastAsia" w:eastAsiaTheme="minorEastAsia"/>
                      <w:color w:val="auto"/>
                      <w:highlight w:val="none"/>
                      <w:lang w:val="en-US" w:eastAsia="zh-CN"/>
                    </w:rPr>
                    <w:t>，辽宁二道沟黄金矿业有限责任公司二道沟金矿厂区范围内，项目所在地不涉及生态保护红线，不涉及大黑山国家森林公园、白石水库自然保护区等自然保护地。本项目为辽宁二道沟黄金矿业有限责任公司经营配套附属项目，项目在辽宁二道沟黄金矿业有限责任公司厂区范围内，项目噪声对周围环境影响较小，不会对周围居民带来噪声</w:t>
                  </w:r>
                  <w:r>
                    <w:rPr>
                      <w:rFonts w:hint="eastAsia"/>
                      <w:color w:val="auto"/>
                      <w:highlight w:val="none"/>
                      <w:lang w:val="en-US" w:eastAsia="zh-CN"/>
                    </w:rPr>
                    <w:t>影响</w:t>
                  </w:r>
                  <w:r>
                    <w:rPr>
                      <w:rFonts w:hint="eastAsia" w:eastAsiaTheme="minorEastAsia"/>
                      <w:color w:val="auto"/>
                      <w:highlight w:val="none"/>
                      <w:lang w:val="en-US" w:eastAsia="zh-CN"/>
                    </w:rPr>
                    <w:t>，项目在原有</w:t>
                  </w:r>
                  <w:r>
                    <w:rPr>
                      <w:rFonts w:hint="eastAsia"/>
                      <w:color w:val="auto"/>
                      <w:highlight w:val="none"/>
                      <w:lang w:val="en-US" w:eastAsia="zh-CN"/>
                    </w:rPr>
                    <w:t>库房</w:t>
                  </w:r>
                  <w:r>
                    <w:rPr>
                      <w:rFonts w:hint="eastAsia" w:eastAsiaTheme="minorEastAsia"/>
                      <w:color w:val="auto"/>
                      <w:highlight w:val="none"/>
                      <w:lang w:val="en-US" w:eastAsia="zh-CN"/>
                    </w:rPr>
                    <w:t>内进行改造，</w:t>
                  </w:r>
                  <w:r>
                    <w:rPr>
                      <w:rFonts w:hint="eastAsia"/>
                      <w:color w:val="auto"/>
                      <w:highlight w:val="none"/>
                      <w:lang w:val="en-US" w:eastAsia="zh-CN"/>
                    </w:rPr>
                    <w:t>不新增占地，</w:t>
                  </w:r>
                  <w:r>
                    <w:rPr>
                      <w:rFonts w:hint="eastAsia" w:eastAsiaTheme="minorEastAsia"/>
                      <w:color w:val="auto"/>
                      <w:highlight w:val="none"/>
                      <w:lang w:val="en-US" w:eastAsia="zh-CN"/>
                    </w:rPr>
                    <w:t>不会对生态环境产生负面影响</w:t>
                  </w:r>
                </w:p>
              </w:tc>
              <w:tc>
                <w:tcPr>
                  <w:tcW w:w="696" w:type="dxa"/>
                  <w:tcBorders>
                    <w:tl2br w:val="nil"/>
                    <w:tr2bl w:val="nil"/>
                  </w:tcBorders>
                  <w:vAlign w:val="center"/>
                </w:tcPr>
                <w:p>
                  <w:pPr>
                    <w:pStyle w:val="22"/>
                    <w:rPr>
                      <w:color w:val="auto"/>
                      <w:highlight w:val="none"/>
                    </w:rPr>
                  </w:pPr>
                  <w:r>
                    <w:rPr>
                      <w:rFonts w:hint="eastAsia"/>
                      <w:color w:val="auto"/>
                      <w:highlight w:val="none"/>
                    </w:rPr>
                    <w:t>符合</w:t>
                  </w:r>
                </w:p>
              </w:tc>
            </w:tr>
          </w:tbl>
          <w:p>
            <w:pPr>
              <w:rPr>
                <w:rFonts w:hint="eastAsia"/>
                <w:color w:val="auto"/>
                <w:highlight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216" w:type="dxa"/>
            <w:vAlign w:val="center"/>
          </w:tcPr>
          <w:p>
            <w:pPr>
              <w:autoSpaceDE w:val="0"/>
              <w:autoSpaceDN w:val="0"/>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其他符合性分析</w:t>
            </w:r>
          </w:p>
        </w:tc>
        <w:tc>
          <w:tcPr>
            <w:tcW w:w="7654" w:type="dxa"/>
            <w:gridSpan w:val="3"/>
            <w:vAlign w:val="center"/>
          </w:tcPr>
          <w:p>
            <w:pPr>
              <w:pStyle w:val="27"/>
              <w:ind w:firstLine="482"/>
              <w:rPr>
                <w:rFonts w:hint="default"/>
                <w:color w:val="auto"/>
                <w:highlight w:val="none"/>
              </w:rPr>
            </w:pPr>
            <w:r>
              <w:rPr>
                <w:color w:val="auto"/>
                <w:highlight w:val="none"/>
              </w:rPr>
              <w:t>1.产业政策符合性分析</w:t>
            </w:r>
          </w:p>
          <w:p>
            <w:pPr>
              <w:pStyle w:val="12"/>
              <w:ind w:firstLine="480"/>
              <w:rPr>
                <w:color w:val="auto"/>
                <w:highlight w:val="none"/>
              </w:rPr>
            </w:pPr>
            <w:r>
              <w:rPr>
                <w:rFonts w:hint="eastAsia"/>
                <w:color w:val="auto"/>
                <w:highlight w:val="none"/>
                <w:lang w:eastAsia="zh-CN"/>
              </w:rPr>
              <w:t>本项目为辽宁二道沟黄金矿业有限责任公司</w:t>
            </w:r>
            <w:r>
              <w:rPr>
                <w:rFonts w:hint="eastAsia"/>
                <w:color w:val="auto"/>
                <w:highlight w:val="none"/>
                <w:lang w:val="en-US" w:eastAsia="zh-CN"/>
              </w:rPr>
              <w:t>（以下简称“二道沟公司”）</w:t>
            </w:r>
            <w:r>
              <w:rPr>
                <w:rFonts w:hint="eastAsia"/>
                <w:color w:val="auto"/>
                <w:highlight w:val="none"/>
                <w:lang w:eastAsia="zh-CN"/>
              </w:rPr>
              <w:t>配套的危险废物贮存项目，主要用于收集贮存二道沟公司二道沟采区（含红旗采区和正北沟采区）产生的危险废物，对照《产业结构调整指导目录（2024年本）》，本项目不属于“鼓励类”、“限制类”、“淘汰类”行业，即属于“允许类”；本项目不在《市场准入负面清单（2022版）》中的“禁止准入类”行业。根据《促进产业结构调整暂行规定》第十三条规定“不属于鼓励类、限制类和淘汰类，且符合国家有关法律、法规和政策规定的，为允许类”，因此，本项目为“允许类”。本项目建设符合国家有关产业政策</w:t>
            </w:r>
            <w:r>
              <w:rPr>
                <w:color w:val="auto"/>
                <w:highlight w:val="none"/>
              </w:rPr>
              <w:t>。</w:t>
            </w:r>
          </w:p>
          <w:p>
            <w:pPr>
              <w:pStyle w:val="27"/>
              <w:ind w:firstLine="482"/>
              <w:rPr>
                <w:rFonts w:hint="default"/>
                <w:color w:val="auto"/>
                <w:highlight w:val="none"/>
              </w:rPr>
            </w:pPr>
            <w:r>
              <w:rPr>
                <w:color w:val="auto"/>
                <w:highlight w:val="none"/>
              </w:rPr>
              <w:t>2.选址合理性分析</w:t>
            </w:r>
          </w:p>
          <w:p>
            <w:pPr>
              <w:pStyle w:val="12"/>
              <w:ind w:firstLine="480"/>
              <w:rPr>
                <w:rFonts w:hint="eastAsia"/>
                <w:color w:val="auto"/>
                <w:highlight w:val="none"/>
              </w:rPr>
            </w:pPr>
            <w:r>
              <w:rPr>
                <w:rFonts w:hint="eastAsia"/>
                <w:color w:val="auto"/>
                <w:highlight w:val="none"/>
                <w:lang w:eastAsia="zh-CN"/>
              </w:rPr>
              <w:t>本项目为二道沟公司配套的危险废物贮存项目，利用现有厂区内库房改造成危险废物贮存点，不新增用地，</w:t>
            </w:r>
            <w:r>
              <w:rPr>
                <w:rFonts w:hint="eastAsia"/>
                <w:color w:val="auto"/>
                <w:highlight w:val="none"/>
              </w:rPr>
              <w:t>评价范围内无自然保护区、风景名胜区、文物古迹、饮用水源保护地等敏感点。本项目不在江河、湖泊、运河、渠道、水库及其最高水位线以下的滩地和岸坡，以及法律法规规定禁止贮存危险废物的其他地点。项目周边并无自然保护单位、风景旅游点和文物古迹等需要特殊保护的环境敏感对象。</w:t>
            </w:r>
          </w:p>
          <w:p>
            <w:pPr>
              <w:pStyle w:val="12"/>
              <w:ind w:firstLine="480"/>
              <w:rPr>
                <w:rFonts w:hint="eastAsia"/>
                <w:color w:val="auto"/>
                <w:highlight w:val="none"/>
              </w:rPr>
            </w:pPr>
            <w:r>
              <w:rPr>
                <w:rFonts w:hint="eastAsia"/>
                <w:color w:val="auto"/>
                <w:highlight w:val="none"/>
              </w:rPr>
              <w:t>项目选址满足生态环境保护法律法规、规划和“三线一单”生态环境分区管控的要求，项目位置不在生态保护红线区域、永久基本农田和其他需要特别保护的区域内，不在溶洞区或易遭受洪水、滑坡、泥石流、潮汐等严重自然灾害影响的地区。不在江河、湖泊、运河、渠道、水库及其最高水位线以下的滩地和岸坡，以及法律法规规定禁止贮存危险废物的其他地点。</w:t>
            </w:r>
          </w:p>
          <w:p>
            <w:pPr>
              <w:pStyle w:val="12"/>
              <w:ind w:firstLine="480"/>
              <w:rPr>
                <w:color w:val="auto"/>
                <w:highlight w:val="none"/>
              </w:rPr>
            </w:pPr>
            <w:r>
              <w:rPr>
                <w:rFonts w:hint="eastAsia"/>
                <w:color w:val="auto"/>
                <w:highlight w:val="none"/>
              </w:rPr>
              <w:t>项目生产过程中产生的废气、废水、噪声、固废经过保护措施后对周边环境造成影响较小。从环境保护角度分析，项目选址合理。综上所述，本项目选址合理</w:t>
            </w:r>
            <w:r>
              <w:rPr>
                <w:color w:val="auto"/>
                <w:highlight w:val="none"/>
              </w:rPr>
              <w:t>。</w:t>
            </w:r>
          </w:p>
          <w:p>
            <w:pPr>
              <w:pStyle w:val="27"/>
              <w:ind w:firstLine="482"/>
              <w:rPr>
                <w:color w:val="auto"/>
                <w:highlight w:val="none"/>
              </w:rPr>
            </w:pPr>
            <w:r>
              <w:rPr>
                <w:color w:val="auto"/>
                <w:highlight w:val="none"/>
              </w:rPr>
              <w:t>3.相关生态环境保护法律法规政策、生态环境保护规划的符合性分析</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与《</w:t>
            </w:r>
            <w:r>
              <w:rPr>
                <w:rFonts w:hint="eastAsia"/>
                <w:color w:val="auto"/>
                <w:highlight w:val="none"/>
                <w:lang w:eastAsia="zh-CN"/>
              </w:rPr>
              <w:t>空气质量持续改善行动计划</w:t>
            </w:r>
            <w:r>
              <w:rPr>
                <w:rFonts w:hint="eastAsia"/>
                <w:color w:val="auto"/>
                <w:highlight w:val="none"/>
              </w:rPr>
              <w:t>》（</w:t>
            </w:r>
            <w:r>
              <w:rPr>
                <w:rFonts w:hint="eastAsia"/>
                <w:color w:val="auto"/>
                <w:highlight w:val="none"/>
                <w:lang w:eastAsia="zh-CN"/>
              </w:rPr>
              <w:t>国</w:t>
            </w:r>
            <w:r>
              <w:rPr>
                <w:rFonts w:hint="eastAsia"/>
                <w:color w:val="auto"/>
                <w:highlight w:val="none"/>
              </w:rPr>
              <w:t>发〔20</w:t>
            </w:r>
            <w:r>
              <w:rPr>
                <w:rFonts w:hint="eastAsia"/>
                <w:color w:val="auto"/>
                <w:highlight w:val="none"/>
                <w:lang w:val="en-US" w:eastAsia="zh-CN"/>
              </w:rPr>
              <w:t>23</w:t>
            </w:r>
            <w:r>
              <w:rPr>
                <w:rFonts w:hint="eastAsia"/>
                <w:color w:val="auto"/>
                <w:highlight w:val="none"/>
              </w:rPr>
              <w:t>〕</w:t>
            </w:r>
            <w:r>
              <w:rPr>
                <w:rFonts w:hint="eastAsia"/>
                <w:color w:val="auto"/>
                <w:highlight w:val="none"/>
                <w:lang w:val="en-US" w:eastAsia="zh-CN"/>
              </w:rPr>
              <w:t>24</w:t>
            </w:r>
            <w:r>
              <w:rPr>
                <w:rFonts w:hint="eastAsia"/>
                <w:color w:val="auto"/>
                <w:highlight w:val="none"/>
              </w:rPr>
              <w:t>号）符合性分析</w:t>
            </w:r>
          </w:p>
          <w:tbl>
            <w:tblPr>
              <w:tblStyle w:val="16"/>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7"/>
              <w:gridCol w:w="3148"/>
              <w:gridCol w:w="2602"/>
              <w:gridCol w:w="7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37"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序号</w:t>
                  </w:r>
                </w:p>
              </w:tc>
              <w:tc>
                <w:tcPr>
                  <w:tcW w:w="3148" w:type="dxa"/>
                  <w:tcBorders>
                    <w:tl2br w:val="nil"/>
                    <w:tr2bl w:val="nil"/>
                  </w:tcBorders>
                  <w:vAlign w:val="center"/>
                </w:tcPr>
                <w:p>
                  <w:pPr>
                    <w:pStyle w:val="25"/>
                    <w:rPr>
                      <w:rFonts w:hint="default"/>
                      <w:color w:val="auto"/>
                      <w:highlight w:val="none"/>
                    </w:rPr>
                  </w:pPr>
                  <w:r>
                    <w:rPr>
                      <w:color w:val="auto"/>
                      <w:highlight w:val="none"/>
                    </w:rPr>
                    <w:t>分析内容</w:t>
                  </w:r>
                </w:p>
              </w:tc>
              <w:tc>
                <w:tcPr>
                  <w:tcW w:w="2602" w:type="dxa"/>
                  <w:tcBorders>
                    <w:tl2br w:val="nil"/>
                    <w:tr2bl w:val="nil"/>
                  </w:tcBorders>
                  <w:vAlign w:val="center"/>
                </w:tcPr>
                <w:p>
                  <w:pPr>
                    <w:pStyle w:val="25"/>
                    <w:rPr>
                      <w:rFonts w:hint="default"/>
                      <w:color w:val="auto"/>
                      <w:highlight w:val="none"/>
                    </w:rPr>
                  </w:pPr>
                  <w:r>
                    <w:rPr>
                      <w:color w:val="auto"/>
                      <w:highlight w:val="none"/>
                    </w:rPr>
                    <w:t>本项目情况</w:t>
                  </w:r>
                </w:p>
              </w:tc>
              <w:tc>
                <w:tcPr>
                  <w:tcW w:w="747"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37"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1</w:t>
                  </w:r>
                </w:p>
              </w:tc>
              <w:tc>
                <w:tcPr>
                  <w:tcW w:w="3148" w:type="dxa"/>
                  <w:tcBorders>
                    <w:tl2br w:val="nil"/>
                    <w:tr2bl w:val="nil"/>
                  </w:tcBorders>
                  <w:vAlign w:val="center"/>
                </w:tcPr>
                <w:p>
                  <w:pPr>
                    <w:pStyle w:val="22"/>
                    <w:rPr>
                      <w:color w:val="auto"/>
                      <w:highlight w:val="none"/>
                    </w:rPr>
                  </w:pPr>
                  <w:r>
                    <w:rPr>
                      <w:rFonts w:hint="eastAsia"/>
                      <w:color w:val="auto"/>
                      <w:highlight w:val="none"/>
                    </w:rPr>
                    <w:t>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tc>
              <w:tc>
                <w:tcPr>
                  <w:tcW w:w="2602"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eastAsia="zh-CN"/>
                    </w:rPr>
                    <w:t>本项目为二道沟公司配套附属危险废物贮存项目，不属于</w:t>
                  </w:r>
                  <w:r>
                    <w:rPr>
                      <w:rFonts w:hint="eastAsia"/>
                      <w:color w:val="auto"/>
                      <w:highlight w:val="none"/>
                    </w:rPr>
                    <w:t>高耗能、高排放、低水平项目</w:t>
                  </w:r>
                  <w:r>
                    <w:rPr>
                      <w:rFonts w:hint="eastAsia"/>
                      <w:color w:val="auto"/>
                      <w:highlight w:val="none"/>
                      <w:lang w:eastAsia="zh-CN"/>
                    </w:rPr>
                    <w:t>，项目已严格落实</w:t>
                  </w:r>
                  <w:r>
                    <w:rPr>
                      <w:rFonts w:hint="eastAsia"/>
                      <w:color w:val="auto"/>
                      <w:highlight w:val="none"/>
                    </w:rPr>
                    <w:t>产业规划、产业政策、生态环境分区管控方案、重点污染物总量控制、污染物排放区域削减等相关要求</w:t>
                  </w:r>
                </w:p>
              </w:tc>
              <w:tc>
                <w:tcPr>
                  <w:tcW w:w="747"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37"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2</w:t>
                  </w:r>
                </w:p>
              </w:tc>
              <w:tc>
                <w:tcPr>
                  <w:tcW w:w="3148" w:type="dxa"/>
                  <w:tcBorders>
                    <w:tl2br w:val="nil"/>
                    <w:tr2bl w:val="nil"/>
                  </w:tcBorders>
                  <w:vAlign w:val="center"/>
                </w:tcPr>
                <w:p>
                  <w:pPr>
                    <w:pStyle w:val="22"/>
                    <w:rPr>
                      <w:color w:val="auto"/>
                      <w:highlight w:val="none"/>
                    </w:rPr>
                  </w:pPr>
                  <w:r>
                    <w:rPr>
                      <w:rFonts w:hint="eastAsia"/>
                      <w:color w:val="auto"/>
                      <w:highlight w:val="none"/>
                    </w:rPr>
                    <w:t>加快退出重点行业落后产能。修订《产业结构调整指导目录》，研究将污染物或温室气体排放明显高出行业平均水平、能效和清洁生产水平低的工艺和装备纳入淘汰类和限制类名单。重点区域进一步提高落后产能能耗、环保、质量、安全、技术等要求，逐步退出限制类涉气行业工艺和装备；逐步淘汰步进式烧结机和球团竖炉以及半封闭式硅锰合金、镍铁、高碳铬铁、高碳锰铁电炉。引导重点区域钢铁、焦化、电解铝等产业有序调整优化</w:t>
                  </w:r>
                </w:p>
              </w:tc>
              <w:tc>
                <w:tcPr>
                  <w:tcW w:w="2602"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本项目为</w:t>
                  </w:r>
                  <w:r>
                    <w:rPr>
                      <w:rFonts w:hint="eastAsia"/>
                      <w:color w:val="auto"/>
                      <w:highlight w:val="none"/>
                      <w:lang w:eastAsia="zh-CN"/>
                    </w:rPr>
                    <w:t>二道沟公司配套附属危险废物贮存项目，不涉及</w:t>
                  </w:r>
                  <w:r>
                    <w:rPr>
                      <w:rFonts w:hint="eastAsia"/>
                      <w:color w:val="auto"/>
                      <w:highlight w:val="none"/>
                    </w:rPr>
                    <w:t>淘汰类和限制类工艺和装备</w:t>
                  </w:r>
                </w:p>
              </w:tc>
              <w:tc>
                <w:tcPr>
                  <w:tcW w:w="747" w:type="dxa"/>
                  <w:tcBorders>
                    <w:tl2br w:val="nil"/>
                    <w:tr2bl w:val="nil"/>
                  </w:tcBorders>
                  <w:vAlign w:val="center"/>
                </w:tcPr>
                <w:p>
                  <w:pPr>
                    <w:pStyle w:val="22"/>
                    <w:rPr>
                      <w:color w:val="auto"/>
                      <w:highlight w:val="none"/>
                    </w:rPr>
                  </w:pPr>
                  <w:r>
                    <w:rPr>
                      <w:rFonts w:hint="eastAsia"/>
                      <w:color w:val="auto"/>
                      <w:highlight w:val="none"/>
                    </w:rPr>
                    <w:t>符合</w:t>
                  </w:r>
                </w:p>
              </w:tc>
            </w:tr>
          </w:tbl>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与《</w:t>
            </w:r>
            <w:r>
              <w:rPr>
                <w:rFonts w:hint="eastAsia"/>
                <w:color w:val="auto"/>
                <w:highlight w:val="none"/>
                <w:lang w:eastAsia="zh-CN"/>
              </w:rPr>
              <w:t>辽宁省空气质量持续改善行动实施方案</w:t>
            </w:r>
            <w:r>
              <w:rPr>
                <w:rFonts w:hint="eastAsia"/>
                <w:color w:val="auto"/>
                <w:highlight w:val="none"/>
              </w:rPr>
              <w:t>》（</w:t>
            </w:r>
            <w:r>
              <w:rPr>
                <w:rFonts w:hint="eastAsia"/>
                <w:color w:val="auto"/>
                <w:highlight w:val="none"/>
                <w:lang w:eastAsia="zh-CN"/>
              </w:rPr>
              <w:t>辽政发〔2024〕11号</w:t>
            </w:r>
            <w:r>
              <w:rPr>
                <w:rFonts w:hint="eastAsia"/>
                <w:color w:val="auto"/>
                <w:highlight w:val="none"/>
              </w:rPr>
              <w:t>）符合性分析</w:t>
            </w:r>
          </w:p>
          <w:tbl>
            <w:tblPr>
              <w:tblStyle w:val="16"/>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7"/>
              <w:gridCol w:w="3147"/>
              <w:gridCol w:w="2612"/>
              <w:gridCol w:w="7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37"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序号</w:t>
                  </w:r>
                </w:p>
              </w:tc>
              <w:tc>
                <w:tcPr>
                  <w:tcW w:w="3147" w:type="dxa"/>
                  <w:tcBorders>
                    <w:tl2br w:val="nil"/>
                    <w:tr2bl w:val="nil"/>
                  </w:tcBorders>
                  <w:vAlign w:val="center"/>
                </w:tcPr>
                <w:p>
                  <w:pPr>
                    <w:pStyle w:val="25"/>
                    <w:rPr>
                      <w:rFonts w:hint="default"/>
                      <w:color w:val="auto"/>
                      <w:highlight w:val="none"/>
                    </w:rPr>
                  </w:pPr>
                  <w:r>
                    <w:rPr>
                      <w:color w:val="auto"/>
                      <w:highlight w:val="none"/>
                    </w:rPr>
                    <w:t>分析内容</w:t>
                  </w:r>
                </w:p>
              </w:tc>
              <w:tc>
                <w:tcPr>
                  <w:tcW w:w="2612" w:type="dxa"/>
                  <w:tcBorders>
                    <w:tl2br w:val="nil"/>
                    <w:tr2bl w:val="nil"/>
                  </w:tcBorders>
                  <w:vAlign w:val="center"/>
                </w:tcPr>
                <w:p>
                  <w:pPr>
                    <w:pStyle w:val="25"/>
                    <w:rPr>
                      <w:rFonts w:hint="default"/>
                      <w:color w:val="auto"/>
                      <w:highlight w:val="none"/>
                    </w:rPr>
                  </w:pPr>
                  <w:r>
                    <w:rPr>
                      <w:color w:val="auto"/>
                      <w:highlight w:val="none"/>
                    </w:rPr>
                    <w:t>本项目情况</w:t>
                  </w:r>
                </w:p>
              </w:tc>
              <w:tc>
                <w:tcPr>
                  <w:tcW w:w="738"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37"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1</w:t>
                  </w:r>
                </w:p>
              </w:tc>
              <w:tc>
                <w:tcPr>
                  <w:tcW w:w="3147" w:type="dxa"/>
                  <w:tcBorders>
                    <w:tl2br w:val="nil"/>
                    <w:tr2bl w:val="nil"/>
                  </w:tcBorders>
                  <w:vAlign w:val="center"/>
                </w:tcPr>
                <w:p>
                  <w:pPr>
                    <w:pStyle w:val="22"/>
                    <w:rPr>
                      <w:color w:val="auto"/>
                      <w:highlight w:val="none"/>
                    </w:rPr>
                  </w:pPr>
                  <w:r>
                    <w:rPr>
                      <w:rFonts w:hint="eastAsia"/>
                      <w:color w:val="auto"/>
                      <w:highlight w:val="none"/>
                    </w:rPr>
                    <w:t>推动优化产业结构和布局。坚决遏制高耗能、高排放、低水平项目盲目上马，新改扩建项目必须落实国家产业规划、生态环境分区管控方案、碳排放达峰目标等相关要求。有序推动高炉—转炉长流程炼钢转型为电炉短流程炼钢，到2025年，废钢占炼钢原料比重达到15%以上</w:t>
                  </w:r>
                </w:p>
              </w:tc>
              <w:tc>
                <w:tcPr>
                  <w:tcW w:w="2612"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eastAsia="zh-CN"/>
                    </w:rPr>
                    <w:t>本项目为二道沟公司配套附属危险废物贮存项目，不属于</w:t>
                  </w:r>
                  <w:r>
                    <w:rPr>
                      <w:rFonts w:hint="eastAsia"/>
                      <w:color w:val="auto"/>
                      <w:highlight w:val="none"/>
                    </w:rPr>
                    <w:t>高耗能、高排放、低水平项目</w:t>
                  </w:r>
                </w:p>
              </w:tc>
              <w:tc>
                <w:tcPr>
                  <w:tcW w:w="738"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37"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2</w:t>
                  </w:r>
                </w:p>
              </w:tc>
              <w:tc>
                <w:tcPr>
                  <w:tcW w:w="3147" w:type="dxa"/>
                  <w:tcBorders>
                    <w:tl2br w:val="nil"/>
                    <w:tr2bl w:val="nil"/>
                  </w:tcBorders>
                  <w:vAlign w:val="center"/>
                </w:tcPr>
                <w:p>
                  <w:pPr>
                    <w:pStyle w:val="22"/>
                    <w:rPr>
                      <w:color w:val="auto"/>
                      <w:highlight w:val="none"/>
                    </w:rPr>
                  </w:pPr>
                  <w:r>
                    <w:rPr>
                      <w:rFonts w:hint="eastAsia"/>
                      <w:color w:val="auto"/>
                      <w:highlight w:val="none"/>
                    </w:rPr>
                    <w:t>强化VOCs全流程、全环节综合治理。定期开展储罐密封性检测，污水处理场所高浓度有机废气要单独收集处理，含</w:t>
                  </w:r>
                  <w:r>
                    <w:rPr>
                      <w:rFonts w:hint="eastAsia"/>
                      <w:color w:val="auto"/>
                      <w:highlight w:val="none"/>
                      <w:lang w:eastAsia="zh-CN"/>
                    </w:rPr>
                    <w:t>VOCs</w:t>
                  </w:r>
                  <w:r>
                    <w:rPr>
                      <w:rFonts w:hint="eastAsia"/>
                      <w:color w:val="auto"/>
                      <w:highlight w:val="none"/>
                    </w:rPr>
                    <w:t>有机废水储罐、装置区集水井（池）有机废气要密闭收集处理。企业开停工、检维修期间，及时收集处理退料、清洗、吹扫等作业产生的VOCs废气。企业不得将火炬燃烧装置作为日常大气污染处理设施</w:t>
                  </w:r>
                </w:p>
              </w:tc>
              <w:tc>
                <w:tcPr>
                  <w:tcW w:w="2612"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本项目产生</w:t>
                  </w:r>
                  <w:r>
                    <w:rPr>
                      <w:rFonts w:hint="eastAsia"/>
                      <w:color w:val="auto"/>
                      <w:highlight w:val="none"/>
                    </w:rPr>
                    <w:t>VOCs</w:t>
                  </w:r>
                  <w:r>
                    <w:rPr>
                      <w:rFonts w:hint="eastAsia"/>
                      <w:color w:val="auto"/>
                      <w:highlight w:val="none"/>
                      <w:lang w:eastAsia="zh-CN"/>
                    </w:rPr>
                    <w:t>危险废物主要为废润滑油、废油桶中残留废油，废油漆桶中残留油漆，通过采用包装桶密封盛装，加盖贮存，并设置排气扇等措施综合处理</w:t>
                  </w:r>
                  <w:r>
                    <w:rPr>
                      <w:rFonts w:hint="eastAsia"/>
                      <w:color w:val="auto"/>
                      <w:highlight w:val="none"/>
                    </w:rPr>
                    <w:t>VOCs废气</w:t>
                  </w:r>
                </w:p>
              </w:tc>
              <w:tc>
                <w:tcPr>
                  <w:tcW w:w="738" w:type="dxa"/>
                  <w:tcBorders>
                    <w:tl2br w:val="nil"/>
                    <w:tr2bl w:val="nil"/>
                  </w:tcBorders>
                  <w:vAlign w:val="center"/>
                </w:tcPr>
                <w:p>
                  <w:pPr>
                    <w:pStyle w:val="22"/>
                    <w:rPr>
                      <w:color w:val="auto"/>
                      <w:highlight w:val="none"/>
                    </w:rPr>
                  </w:pPr>
                  <w:r>
                    <w:rPr>
                      <w:rFonts w:hint="eastAsia"/>
                      <w:color w:val="auto"/>
                      <w:highlight w:val="none"/>
                    </w:rPr>
                    <w:t>符合</w:t>
                  </w:r>
                </w:p>
              </w:tc>
            </w:tr>
          </w:tbl>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与《辽宁省人民政府关于印发辽宁省水污染防治工作方案的通知》（辽政发〔2015〕79号）符合性分析</w:t>
            </w:r>
          </w:p>
          <w:tbl>
            <w:tblPr>
              <w:tblStyle w:val="16"/>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7"/>
              <w:gridCol w:w="3147"/>
              <w:gridCol w:w="2618"/>
              <w:gridCol w:w="7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4" w:hRule="atLeast"/>
                <w:jc w:val="center"/>
              </w:trPr>
              <w:tc>
                <w:tcPr>
                  <w:tcW w:w="937"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序号</w:t>
                  </w:r>
                </w:p>
              </w:tc>
              <w:tc>
                <w:tcPr>
                  <w:tcW w:w="3147" w:type="dxa"/>
                  <w:tcBorders>
                    <w:tl2br w:val="nil"/>
                    <w:tr2bl w:val="nil"/>
                  </w:tcBorders>
                  <w:vAlign w:val="center"/>
                </w:tcPr>
                <w:p>
                  <w:pPr>
                    <w:pStyle w:val="25"/>
                    <w:rPr>
                      <w:rFonts w:hint="default"/>
                      <w:color w:val="auto"/>
                      <w:highlight w:val="none"/>
                    </w:rPr>
                  </w:pPr>
                  <w:r>
                    <w:rPr>
                      <w:color w:val="auto"/>
                      <w:highlight w:val="none"/>
                    </w:rPr>
                    <w:t>分析内容</w:t>
                  </w:r>
                </w:p>
              </w:tc>
              <w:tc>
                <w:tcPr>
                  <w:tcW w:w="2618" w:type="dxa"/>
                  <w:tcBorders>
                    <w:tl2br w:val="nil"/>
                    <w:tr2bl w:val="nil"/>
                  </w:tcBorders>
                  <w:vAlign w:val="center"/>
                </w:tcPr>
                <w:p>
                  <w:pPr>
                    <w:pStyle w:val="25"/>
                    <w:rPr>
                      <w:rFonts w:hint="default"/>
                      <w:color w:val="auto"/>
                      <w:highlight w:val="none"/>
                    </w:rPr>
                  </w:pPr>
                  <w:r>
                    <w:rPr>
                      <w:color w:val="auto"/>
                      <w:highlight w:val="none"/>
                    </w:rPr>
                    <w:t>本项目情况</w:t>
                  </w:r>
                </w:p>
              </w:tc>
              <w:tc>
                <w:tcPr>
                  <w:tcW w:w="732"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82" w:hRule="atLeast"/>
                <w:jc w:val="center"/>
              </w:trPr>
              <w:tc>
                <w:tcPr>
                  <w:tcW w:w="937"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1</w:t>
                  </w:r>
                </w:p>
              </w:tc>
              <w:tc>
                <w:tcPr>
                  <w:tcW w:w="3147" w:type="dxa"/>
                  <w:tcBorders>
                    <w:tl2br w:val="nil"/>
                    <w:tr2bl w:val="nil"/>
                  </w:tcBorders>
                  <w:vAlign w:val="center"/>
                </w:tcPr>
                <w:p>
                  <w:pPr>
                    <w:pStyle w:val="22"/>
                    <w:rPr>
                      <w:color w:val="auto"/>
                      <w:highlight w:val="none"/>
                    </w:rPr>
                  </w:pPr>
                  <w:r>
                    <w:rPr>
                      <w:rFonts w:hint="eastAsia"/>
                      <w:color w:val="auto"/>
                      <w:highlight w:val="none"/>
                    </w:rPr>
                    <w:t>强化地下水污染防治。定期调查评估集中式地下水饮用水水源补给区等区域环境状况。石化生产存贮销售企业和工业园区、矿山开采区、危险废物处置场、垃圾填埋场等区域应进行必要的防渗处理。报废矿井、钻井、取水井应实施封井回填。加油站地下油罐应于2017年底前全部更新为双层罐或完成防渗池设置，自2018年起，未完成改造任务的加油站应当依法暂停运营，直至改造任务完成</w:t>
                  </w:r>
                </w:p>
              </w:tc>
              <w:tc>
                <w:tcPr>
                  <w:tcW w:w="2618"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本项目危险废物贮存点地面及裙脚应采取表面防渗措施；建设位置地面进行防渗，并在地下水下游方向设置地下水跟踪监测点</w:t>
                  </w:r>
                </w:p>
              </w:tc>
              <w:tc>
                <w:tcPr>
                  <w:tcW w:w="732"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43" w:hRule="atLeast"/>
                <w:jc w:val="center"/>
              </w:trPr>
              <w:tc>
                <w:tcPr>
                  <w:tcW w:w="937"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2</w:t>
                  </w:r>
                </w:p>
              </w:tc>
              <w:tc>
                <w:tcPr>
                  <w:tcW w:w="3147" w:type="dxa"/>
                  <w:tcBorders>
                    <w:tl2br w:val="nil"/>
                    <w:tr2bl w:val="nil"/>
                  </w:tcBorders>
                  <w:vAlign w:val="center"/>
                </w:tcPr>
                <w:p>
                  <w:pPr>
                    <w:pStyle w:val="22"/>
                    <w:rPr>
                      <w:color w:val="auto"/>
                      <w:highlight w:val="none"/>
                    </w:rPr>
                  </w:pPr>
                  <w:r>
                    <w:rPr>
                      <w:rFonts w:hint="eastAsia"/>
                      <w:color w:val="auto"/>
                      <w:highlight w:val="none"/>
                    </w:rPr>
                    <w:t>全面推行排污许可证制度，依法核发排污许可证。逐步实施排污许可一证式管理，将企事业单位的污染物控制指标、环评和企业污染物排放的全过程管理要求，综合纳入排污许可管理，做到依证管理，按证排污，违证处罚</w:t>
                  </w:r>
                </w:p>
              </w:tc>
              <w:tc>
                <w:tcPr>
                  <w:tcW w:w="2618"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eastAsia="zh-CN"/>
                    </w:rPr>
                    <w:t>二道沟公司已取得排污许可证登记回执，待本项目</w:t>
                  </w:r>
                  <w:r>
                    <w:rPr>
                      <w:rFonts w:hint="eastAsia"/>
                      <w:color w:val="auto"/>
                      <w:highlight w:val="none"/>
                      <w:lang w:val="en-US" w:eastAsia="zh-CN"/>
                    </w:rPr>
                    <w:t>发生实际排污</w:t>
                  </w:r>
                  <w:r>
                    <w:rPr>
                      <w:rFonts w:hint="eastAsia"/>
                      <w:color w:val="auto"/>
                      <w:highlight w:val="none"/>
                      <w:lang w:eastAsia="zh-CN"/>
                    </w:rPr>
                    <w:t>前变更排污许可登记</w:t>
                  </w:r>
                </w:p>
              </w:tc>
              <w:tc>
                <w:tcPr>
                  <w:tcW w:w="732" w:type="dxa"/>
                  <w:tcBorders>
                    <w:tl2br w:val="nil"/>
                    <w:tr2bl w:val="nil"/>
                  </w:tcBorders>
                  <w:vAlign w:val="center"/>
                </w:tcPr>
                <w:p>
                  <w:pPr>
                    <w:pStyle w:val="22"/>
                    <w:rPr>
                      <w:color w:val="auto"/>
                      <w:highlight w:val="none"/>
                    </w:rPr>
                  </w:pPr>
                  <w:r>
                    <w:rPr>
                      <w:rFonts w:hint="eastAsia"/>
                      <w:color w:val="auto"/>
                      <w:highlight w:val="none"/>
                    </w:rPr>
                    <w:t>符合</w:t>
                  </w:r>
                </w:p>
              </w:tc>
            </w:tr>
          </w:tbl>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与《关于印发辽宁省土壤污染防治工作方案的通知》（辽政发〔2016〕58号）符合性分析</w:t>
            </w:r>
          </w:p>
          <w:tbl>
            <w:tblPr>
              <w:tblStyle w:val="16"/>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6"/>
              <w:gridCol w:w="3147"/>
              <w:gridCol w:w="2630"/>
              <w:gridCol w:w="7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16"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序号</w:t>
                  </w:r>
                </w:p>
              </w:tc>
              <w:tc>
                <w:tcPr>
                  <w:tcW w:w="3147" w:type="dxa"/>
                  <w:tcBorders>
                    <w:tl2br w:val="nil"/>
                    <w:tr2bl w:val="nil"/>
                  </w:tcBorders>
                  <w:vAlign w:val="center"/>
                </w:tcPr>
                <w:p>
                  <w:pPr>
                    <w:pStyle w:val="25"/>
                    <w:rPr>
                      <w:rFonts w:hint="default"/>
                      <w:color w:val="auto"/>
                      <w:highlight w:val="none"/>
                    </w:rPr>
                  </w:pPr>
                  <w:r>
                    <w:rPr>
                      <w:color w:val="auto"/>
                      <w:highlight w:val="none"/>
                    </w:rPr>
                    <w:t>分析内容</w:t>
                  </w:r>
                </w:p>
              </w:tc>
              <w:tc>
                <w:tcPr>
                  <w:tcW w:w="2630" w:type="dxa"/>
                  <w:tcBorders>
                    <w:tl2br w:val="nil"/>
                    <w:tr2bl w:val="nil"/>
                  </w:tcBorders>
                  <w:vAlign w:val="center"/>
                </w:tcPr>
                <w:p>
                  <w:pPr>
                    <w:pStyle w:val="25"/>
                    <w:rPr>
                      <w:rFonts w:hint="default"/>
                      <w:color w:val="auto"/>
                      <w:highlight w:val="none"/>
                    </w:rPr>
                  </w:pPr>
                  <w:r>
                    <w:rPr>
                      <w:color w:val="auto"/>
                      <w:highlight w:val="none"/>
                    </w:rPr>
                    <w:t>本项目情况</w:t>
                  </w:r>
                </w:p>
              </w:tc>
              <w:tc>
                <w:tcPr>
                  <w:tcW w:w="741"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2" w:hRule="atLeast"/>
                <w:jc w:val="center"/>
              </w:trPr>
              <w:tc>
                <w:tcPr>
                  <w:tcW w:w="916"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val="en-US" w:eastAsia="zh-CN"/>
                    </w:rPr>
                    <w:t>1</w:t>
                  </w:r>
                </w:p>
              </w:tc>
              <w:tc>
                <w:tcPr>
                  <w:tcW w:w="3147" w:type="dxa"/>
                  <w:tcBorders>
                    <w:tl2br w:val="nil"/>
                    <w:tr2bl w:val="nil"/>
                  </w:tcBorders>
                  <w:vAlign w:val="center"/>
                </w:tcPr>
                <w:p>
                  <w:pPr>
                    <w:pStyle w:val="22"/>
                    <w:rPr>
                      <w:color w:val="auto"/>
                      <w:highlight w:val="none"/>
                    </w:rPr>
                  </w:pPr>
                  <w:r>
                    <w:rPr>
                      <w:rFonts w:hint="eastAsia"/>
                      <w:color w:val="auto"/>
                      <w:highlight w:val="none"/>
                    </w:rPr>
                    <w:t>防控企业污染。严格控制在优先保护类耕地集中区域新建有色金属冶炼、石油加工、化工、焦化、电镀、制革等行业企业</w:t>
                  </w:r>
                  <w:r>
                    <w:rPr>
                      <w:rFonts w:hint="eastAsia"/>
                      <w:color w:val="auto"/>
                      <w:highlight w:val="none"/>
                      <w:lang w:eastAsia="zh-CN"/>
                    </w:rPr>
                    <w:t>，</w:t>
                  </w:r>
                  <w:r>
                    <w:rPr>
                      <w:rFonts w:hint="eastAsia"/>
                      <w:color w:val="auto"/>
                      <w:highlight w:val="none"/>
                    </w:rPr>
                    <w:t>现有相关行业企业要采用新技术、新工艺</w:t>
                  </w:r>
                  <w:r>
                    <w:rPr>
                      <w:rFonts w:hint="eastAsia"/>
                      <w:color w:val="auto"/>
                      <w:highlight w:val="none"/>
                      <w:lang w:eastAsia="zh-CN"/>
                    </w:rPr>
                    <w:t>，</w:t>
                  </w:r>
                  <w:r>
                    <w:rPr>
                      <w:rFonts w:hint="eastAsia"/>
                      <w:color w:val="auto"/>
                      <w:highlight w:val="none"/>
                    </w:rPr>
                    <w:t>加快提标升级改造步伐</w:t>
                  </w:r>
                </w:p>
              </w:tc>
              <w:tc>
                <w:tcPr>
                  <w:tcW w:w="2630" w:type="dxa"/>
                  <w:tcBorders>
                    <w:tl2br w:val="nil"/>
                    <w:tr2bl w:val="nil"/>
                  </w:tcBorders>
                  <w:vAlign w:val="center"/>
                </w:tcPr>
                <w:p>
                  <w:pPr>
                    <w:pStyle w:val="22"/>
                    <w:rPr>
                      <w:color w:val="auto"/>
                      <w:highlight w:val="none"/>
                    </w:rPr>
                  </w:pPr>
                  <w:r>
                    <w:rPr>
                      <w:rFonts w:hint="eastAsia"/>
                      <w:color w:val="auto"/>
                      <w:highlight w:val="none"/>
                      <w:lang w:eastAsia="zh-CN"/>
                    </w:rPr>
                    <w:t>本项目为二道沟公司配套建设的危险废物贮存项目，项目</w:t>
                  </w:r>
                  <w:r>
                    <w:rPr>
                      <w:rFonts w:hint="eastAsia"/>
                      <w:color w:val="auto"/>
                      <w:highlight w:val="none"/>
                    </w:rPr>
                    <w:t>在</w:t>
                  </w:r>
                  <w:r>
                    <w:rPr>
                      <w:rFonts w:hint="eastAsia"/>
                      <w:color w:val="auto"/>
                      <w:highlight w:val="none"/>
                      <w:lang w:eastAsia="zh-CN"/>
                    </w:rPr>
                    <w:t>二道沟公司现有库房内进行改造，用于收集和贮存危险废物，</w:t>
                  </w:r>
                  <w:r>
                    <w:rPr>
                      <w:rFonts w:hint="eastAsia"/>
                      <w:color w:val="auto"/>
                      <w:highlight w:val="none"/>
                    </w:rPr>
                    <w:t>不</w:t>
                  </w:r>
                  <w:r>
                    <w:rPr>
                      <w:rFonts w:hint="eastAsia"/>
                      <w:color w:val="auto"/>
                      <w:highlight w:val="none"/>
                      <w:lang w:eastAsia="zh-CN"/>
                    </w:rPr>
                    <w:t>新增用地，不</w:t>
                  </w:r>
                  <w:r>
                    <w:rPr>
                      <w:rFonts w:hint="eastAsia"/>
                      <w:color w:val="auto"/>
                      <w:highlight w:val="none"/>
                    </w:rPr>
                    <w:t>占用优先保护类耕地</w:t>
                  </w:r>
                </w:p>
              </w:tc>
              <w:tc>
                <w:tcPr>
                  <w:tcW w:w="741"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5" w:hRule="atLeast"/>
                <w:jc w:val="center"/>
              </w:trPr>
              <w:tc>
                <w:tcPr>
                  <w:tcW w:w="916"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val="en-US" w:eastAsia="zh-CN"/>
                    </w:rPr>
                    <w:t>2</w:t>
                  </w:r>
                </w:p>
              </w:tc>
              <w:tc>
                <w:tcPr>
                  <w:tcW w:w="3147" w:type="dxa"/>
                  <w:tcBorders>
                    <w:tl2br w:val="nil"/>
                    <w:tr2bl w:val="nil"/>
                  </w:tcBorders>
                  <w:vAlign w:val="center"/>
                </w:tcPr>
                <w:p>
                  <w:pPr>
                    <w:pStyle w:val="22"/>
                    <w:rPr>
                      <w:color w:val="auto"/>
                      <w:highlight w:val="none"/>
                    </w:rPr>
                  </w:pPr>
                  <w:r>
                    <w:rPr>
                      <w:color w:val="auto"/>
                      <w:highlight w:val="none"/>
                    </w:rPr>
                    <w:t>加强污染源监管</w:t>
                  </w:r>
                  <w:r>
                    <w:rPr>
                      <w:rFonts w:hint="eastAsia"/>
                      <w:color w:val="auto"/>
                      <w:highlight w:val="none"/>
                      <w:lang w:eastAsia="zh-CN"/>
                    </w:rPr>
                    <w:t>，</w:t>
                  </w:r>
                  <w:r>
                    <w:rPr>
                      <w:color w:val="auto"/>
                      <w:highlight w:val="none"/>
                    </w:rPr>
                    <w:t>做好土壤污染预防工作</w:t>
                  </w:r>
                </w:p>
                <w:p>
                  <w:pPr>
                    <w:pStyle w:val="22"/>
                    <w:rPr>
                      <w:color w:val="auto"/>
                      <w:highlight w:val="none"/>
                    </w:rPr>
                  </w:pPr>
                  <w:r>
                    <w:rPr>
                      <w:color w:val="auto"/>
                      <w:highlight w:val="none"/>
                    </w:rPr>
                    <w:t>加强工业废物处理处置。全面整治尾矿、煤矸石、工业副产石膏、粉煤灰、冶炼渣、电石渣、铬渣、砷渣以及脱硫、脱硝、除尘产生固体废物的堆存场所</w:t>
                  </w:r>
                  <w:r>
                    <w:rPr>
                      <w:rFonts w:hint="eastAsia"/>
                      <w:color w:val="auto"/>
                      <w:highlight w:val="none"/>
                      <w:lang w:eastAsia="zh-CN"/>
                    </w:rPr>
                    <w:t>，</w:t>
                  </w:r>
                  <w:r>
                    <w:rPr>
                      <w:color w:val="auto"/>
                      <w:highlight w:val="none"/>
                    </w:rPr>
                    <w:t>完善防扬散、防流失、防渗漏等设施</w:t>
                  </w:r>
                  <w:r>
                    <w:rPr>
                      <w:rFonts w:hint="eastAsia"/>
                      <w:color w:val="auto"/>
                      <w:highlight w:val="none"/>
                      <w:lang w:eastAsia="zh-CN"/>
                    </w:rPr>
                    <w:t>，</w:t>
                  </w:r>
                  <w:r>
                    <w:rPr>
                      <w:color w:val="auto"/>
                      <w:highlight w:val="none"/>
                    </w:rPr>
                    <w:t>制定整治方案并有序实施</w:t>
                  </w:r>
                </w:p>
              </w:tc>
              <w:tc>
                <w:tcPr>
                  <w:tcW w:w="2630" w:type="dxa"/>
                  <w:tcBorders>
                    <w:tl2br w:val="nil"/>
                    <w:tr2bl w:val="nil"/>
                  </w:tcBorders>
                  <w:vAlign w:val="center"/>
                </w:tcPr>
                <w:p>
                  <w:pPr>
                    <w:pStyle w:val="22"/>
                    <w:rPr>
                      <w:color w:val="auto"/>
                      <w:highlight w:val="none"/>
                    </w:rPr>
                  </w:pPr>
                  <w:r>
                    <w:rPr>
                      <w:rFonts w:hint="eastAsia"/>
                      <w:color w:val="auto"/>
                      <w:highlight w:val="none"/>
                      <w:lang w:eastAsia="zh-CN"/>
                    </w:rPr>
                    <w:t>本项目为二道沟公司配套建设的危险废物贮存项目，</w:t>
                  </w:r>
                  <w:r>
                    <w:rPr>
                      <w:rFonts w:hint="eastAsia"/>
                      <w:color w:val="auto"/>
                      <w:highlight w:val="none"/>
                    </w:rPr>
                    <w:t>收集和</w:t>
                  </w:r>
                  <w:r>
                    <w:rPr>
                      <w:rFonts w:hint="eastAsia"/>
                      <w:color w:val="auto"/>
                      <w:highlight w:val="none"/>
                      <w:lang w:eastAsia="zh-CN"/>
                    </w:rPr>
                    <w:t>贮存二道沟采区内产生的危险废物，危险废物贮存点内</w:t>
                  </w:r>
                  <w:r>
                    <w:rPr>
                      <w:rFonts w:hint="eastAsia"/>
                      <w:color w:val="auto"/>
                      <w:highlight w:val="none"/>
                    </w:rPr>
                    <w:t>地面、</w:t>
                  </w:r>
                  <w:r>
                    <w:rPr>
                      <w:rFonts w:hint="eastAsia"/>
                      <w:color w:val="auto"/>
                      <w:highlight w:val="none"/>
                      <w:lang w:eastAsia="zh-CN"/>
                    </w:rPr>
                    <w:t>裙脚</w:t>
                  </w:r>
                  <w:r>
                    <w:rPr>
                      <w:rFonts w:hint="eastAsia"/>
                      <w:color w:val="auto"/>
                      <w:highlight w:val="none"/>
                    </w:rPr>
                    <w:t>、集液池</w:t>
                  </w:r>
                  <w:r>
                    <w:rPr>
                      <w:rFonts w:hint="eastAsia"/>
                      <w:color w:val="auto"/>
                      <w:highlight w:val="none"/>
                      <w:lang w:eastAsia="zh-CN"/>
                    </w:rPr>
                    <w:t>等</w:t>
                  </w:r>
                  <w:r>
                    <w:rPr>
                      <w:rFonts w:hint="eastAsia"/>
                      <w:color w:val="auto"/>
                      <w:highlight w:val="none"/>
                    </w:rPr>
                    <w:t>均进行防渗处理</w:t>
                  </w:r>
                </w:p>
              </w:tc>
              <w:tc>
                <w:tcPr>
                  <w:tcW w:w="741" w:type="dxa"/>
                  <w:tcBorders>
                    <w:tl2br w:val="nil"/>
                    <w:tr2bl w:val="nil"/>
                  </w:tcBorders>
                  <w:vAlign w:val="center"/>
                </w:tcPr>
                <w:p>
                  <w:pPr>
                    <w:pStyle w:val="22"/>
                    <w:rPr>
                      <w:color w:val="auto"/>
                      <w:highlight w:val="none"/>
                    </w:rPr>
                  </w:pPr>
                  <w:r>
                    <w:rPr>
                      <w:rFonts w:hint="eastAsia"/>
                      <w:color w:val="auto"/>
                      <w:highlight w:val="none"/>
                    </w:rPr>
                    <w:t>符合</w:t>
                  </w:r>
                </w:p>
              </w:tc>
            </w:tr>
          </w:tbl>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与《辽宁省大气污染防治条例》符合性分析</w:t>
            </w:r>
          </w:p>
          <w:tbl>
            <w:tblPr>
              <w:tblStyle w:val="16"/>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6"/>
              <w:gridCol w:w="3159"/>
              <w:gridCol w:w="2598"/>
              <w:gridCol w:w="7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36" w:type="dxa"/>
                  <w:tcBorders>
                    <w:tl2br w:val="nil"/>
                    <w:tr2bl w:val="nil"/>
                  </w:tcBorders>
                  <w:vAlign w:val="center"/>
                </w:tcPr>
                <w:p>
                  <w:pPr>
                    <w:pStyle w:val="25"/>
                    <w:rPr>
                      <w:rFonts w:hint="default"/>
                      <w:color w:val="auto"/>
                      <w:highlight w:val="none"/>
                    </w:rPr>
                  </w:pPr>
                  <w:r>
                    <w:rPr>
                      <w:color w:val="auto"/>
                      <w:highlight w:val="none"/>
                    </w:rPr>
                    <w:t>序号</w:t>
                  </w:r>
                </w:p>
              </w:tc>
              <w:tc>
                <w:tcPr>
                  <w:tcW w:w="3159" w:type="dxa"/>
                  <w:tcBorders>
                    <w:tl2br w:val="nil"/>
                    <w:tr2bl w:val="nil"/>
                  </w:tcBorders>
                  <w:vAlign w:val="center"/>
                </w:tcPr>
                <w:p>
                  <w:pPr>
                    <w:pStyle w:val="25"/>
                    <w:rPr>
                      <w:rFonts w:hint="default"/>
                      <w:color w:val="auto"/>
                      <w:highlight w:val="none"/>
                    </w:rPr>
                  </w:pPr>
                  <w:r>
                    <w:rPr>
                      <w:color w:val="auto"/>
                      <w:highlight w:val="none"/>
                    </w:rPr>
                    <w:t>分析内容</w:t>
                  </w:r>
                </w:p>
              </w:tc>
              <w:tc>
                <w:tcPr>
                  <w:tcW w:w="2598" w:type="dxa"/>
                  <w:tcBorders>
                    <w:tl2br w:val="nil"/>
                    <w:tr2bl w:val="nil"/>
                  </w:tcBorders>
                  <w:vAlign w:val="center"/>
                </w:tcPr>
                <w:p>
                  <w:pPr>
                    <w:pStyle w:val="25"/>
                    <w:rPr>
                      <w:rFonts w:hint="default"/>
                      <w:color w:val="auto"/>
                      <w:highlight w:val="none"/>
                    </w:rPr>
                  </w:pPr>
                  <w:r>
                    <w:rPr>
                      <w:color w:val="auto"/>
                      <w:highlight w:val="none"/>
                    </w:rPr>
                    <w:t>本项目情况</w:t>
                  </w:r>
                </w:p>
              </w:tc>
              <w:tc>
                <w:tcPr>
                  <w:tcW w:w="741"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36" w:type="dxa"/>
                  <w:tcBorders>
                    <w:tl2br w:val="nil"/>
                    <w:tr2bl w:val="nil"/>
                  </w:tcBorders>
                  <w:vAlign w:val="center"/>
                </w:tcPr>
                <w:p>
                  <w:pPr>
                    <w:pStyle w:val="22"/>
                    <w:rPr>
                      <w:color w:val="auto"/>
                      <w:highlight w:val="none"/>
                    </w:rPr>
                  </w:pPr>
                  <w:r>
                    <w:rPr>
                      <w:rFonts w:hint="eastAsia"/>
                      <w:color w:val="auto"/>
                      <w:highlight w:val="none"/>
                    </w:rPr>
                    <w:t>1</w:t>
                  </w:r>
                </w:p>
              </w:tc>
              <w:tc>
                <w:tcPr>
                  <w:tcW w:w="3159" w:type="dxa"/>
                  <w:tcBorders>
                    <w:tl2br w:val="nil"/>
                    <w:tr2bl w:val="nil"/>
                  </w:tcBorders>
                  <w:vAlign w:val="center"/>
                </w:tcPr>
                <w:p>
                  <w:pPr>
                    <w:pStyle w:val="22"/>
                    <w:rPr>
                      <w:color w:val="auto"/>
                      <w:highlight w:val="none"/>
                    </w:rPr>
                  </w:pPr>
                  <w:r>
                    <w:rPr>
                      <w:rFonts w:hint="eastAsia"/>
                      <w:color w:val="auto"/>
                      <w:highlight w:val="none"/>
                    </w:rPr>
                    <w:t>向大气排放工业废气或者国家有毒有害大气污染物名录中大气污染物的企业事业单位、集中供热设施的燃煤热源生产运营单位</w:t>
                  </w:r>
                  <w:r>
                    <w:rPr>
                      <w:rFonts w:hint="eastAsia"/>
                      <w:color w:val="auto"/>
                      <w:highlight w:val="none"/>
                      <w:lang w:eastAsia="zh-CN"/>
                    </w:rPr>
                    <w:t>，</w:t>
                  </w:r>
                  <w:r>
                    <w:rPr>
                      <w:rFonts w:hint="eastAsia"/>
                      <w:color w:val="auto"/>
                      <w:highlight w:val="none"/>
                    </w:rPr>
                    <w:t>以及其他依法实行排污许可管理的排污单位</w:t>
                  </w:r>
                  <w:r>
                    <w:rPr>
                      <w:rFonts w:hint="eastAsia"/>
                      <w:color w:val="auto"/>
                      <w:highlight w:val="none"/>
                      <w:lang w:eastAsia="zh-CN"/>
                    </w:rPr>
                    <w:t>，</w:t>
                  </w:r>
                  <w:r>
                    <w:rPr>
                      <w:rFonts w:hint="eastAsia"/>
                      <w:color w:val="auto"/>
                      <w:highlight w:val="none"/>
                    </w:rPr>
                    <w:t>应当按照国家有关规定取得排污许可证</w:t>
                  </w:r>
                  <w:r>
                    <w:rPr>
                      <w:rFonts w:hint="eastAsia"/>
                      <w:color w:val="auto"/>
                      <w:highlight w:val="none"/>
                      <w:lang w:eastAsia="zh-CN"/>
                    </w:rPr>
                    <w:t>，</w:t>
                  </w:r>
                  <w:r>
                    <w:rPr>
                      <w:rFonts w:hint="eastAsia"/>
                      <w:color w:val="auto"/>
                      <w:highlight w:val="none"/>
                    </w:rPr>
                    <w:t>并按照排污许可证的规定排放大气污染物</w:t>
                  </w:r>
                </w:p>
                <w:p>
                  <w:pPr>
                    <w:pStyle w:val="22"/>
                    <w:rPr>
                      <w:color w:val="auto"/>
                      <w:highlight w:val="none"/>
                    </w:rPr>
                  </w:pPr>
                  <w:r>
                    <w:rPr>
                      <w:rFonts w:hint="eastAsia"/>
                      <w:color w:val="auto"/>
                      <w:highlight w:val="none"/>
                    </w:rPr>
                    <w:t>向大气排放污染物的单位</w:t>
                  </w:r>
                  <w:r>
                    <w:rPr>
                      <w:rFonts w:hint="eastAsia"/>
                      <w:color w:val="auto"/>
                      <w:highlight w:val="none"/>
                      <w:lang w:eastAsia="zh-CN"/>
                    </w:rPr>
                    <w:t>，</w:t>
                  </w:r>
                  <w:r>
                    <w:rPr>
                      <w:rFonts w:hint="eastAsia"/>
                      <w:color w:val="auto"/>
                      <w:highlight w:val="none"/>
                    </w:rPr>
                    <w:t>应当按照国家和省有关规定</w:t>
                  </w:r>
                  <w:r>
                    <w:rPr>
                      <w:rFonts w:hint="eastAsia"/>
                      <w:color w:val="auto"/>
                      <w:highlight w:val="none"/>
                      <w:lang w:eastAsia="zh-CN"/>
                    </w:rPr>
                    <w:t>，</w:t>
                  </w:r>
                  <w:r>
                    <w:rPr>
                      <w:rFonts w:hint="eastAsia"/>
                      <w:color w:val="auto"/>
                      <w:highlight w:val="none"/>
                    </w:rPr>
                    <w:t>设置大气污染物排放口及其标志</w:t>
                  </w:r>
                </w:p>
              </w:tc>
              <w:tc>
                <w:tcPr>
                  <w:tcW w:w="2598" w:type="dxa"/>
                  <w:tcBorders>
                    <w:tl2br w:val="nil"/>
                    <w:tr2bl w:val="nil"/>
                  </w:tcBorders>
                  <w:vAlign w:val="center"/>
                </w:tcPr>
                <w:p>
                  <w:pPr>
                    <w:pStyle w:val="22"/>
                    <w:rPr>
                      <w:color w:val="auto"/>
                      <w:highlight w:val="none"/>
                    </w:rPr>
                  </w:pPr>
                  <w:r>
                    <w:rPr>
                      <w:rFonts w:hint="eastAsia"/>
                      <w:color w:val="auto"/>
                      <w:highlight w:val="none"/>
                      <w:lang w:eastAsia="zh-CN"/>
                    </w:rPr>
                    <w:t>二道沟公司已取得排污许可证登记回执，待本项目</w:t>
                  </w:r>
                  <w:r>
                    <w:rPr>
                      <w:rFonts w:hint="eastAsia"/>
                      <w:color w:val="auto"/>
                      <w:highlight w:val="none"/>
                      <w:lang w:val="en-US" w:eastAsia="zh-CN"/>
                    </w:rPr>
                    <w:t>发生实际排污</w:t>
                  </w:r>
                  <w:r>
                    <w:rPr>
                      <w:rFonts w:hint="eastAsia"/>
                      <w:color w:val="auto"/>
                      <w:highlight w:val="none"/>
                      <w:lang w:eastAsia="zh-CN"/>
                    </w:rPr>
                    <w:t>前变更排污许可登记，</w:t>
                  </w:r>
                  <w:r>
                    <w:rPr>
                      <w:rFonts w:hint="eastAsia"/>
                      <w:color w:val="auto"/>
                      <w:highlight w:val="none"/>
                    </w:rPr>
                    <w:t>按照管理要求设置标识牌</w:t>
                  </w:r>
                </w:p>
              </w:tc>
              <w:tc>
                <w:tcPr>
                  <w:tcW w:w="741"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36" w:type="dxa"/>
                  <w:tcBorders>
                    <w:tl2br w:val="nil"/>
                    <w:tr2bl w:val="nil"/>
                  </w:tcBorders>
                  <w:vAlign w:val="center"/>
                </w:tcPr>
                <w:p>
                  <w:pPr>
                    <w:pStyle w:val="22"/>
                    <w:rPr>
                      <w:color w:val="auto"/>
                      <w:highlight w:val="none"/>
                    </w:rPr>
                  </w:pPr>
                  <w:r>
                    <w:rPr>
                      <w:rFonts w:hint="eastAsia"/>
                      <w:color w:val="auto"/>
                      <w:highlight w:val="none"/>
                    </w:rPr>
                    <w:t>2</w:t>
                  </w:r>
                </w:p>
              </w:tc>
              <w:tc>
                <w:tcPr>
                  <w:tcW w:w="3159" w:type="dxa"/>
                  <w:tcBorders>
                    <w:tl2br w:val="nil"/>
                    <w:tr2bl w:val="nil"/>
                  </w:tcBorders>
                  <w:vAlign w:val="center"/>
                </w:tcPr>
                <w:p>
                  <w:pPr>
                    <w:pStyle w:val="22"/>
                    <w:rPr>
                      <w:color w:val="auto"/>
                      <w:highlight w:val="none"/>
                    </w:rPr>
                  </w:pPr>
                  <w:r>
                    <w:rPr>
                      <w:color w:val="auto"/>
                      <w:highlight w:val="none"/>
                    </w:rPr>
                    <w:t>排污单位的重点大气污染物排放总量控制指标</w:t>
                  </w:r>
                  <w:r>
                    <w:rPr>
                      <w:rFonts w:hint="eastAsia"/>
                      <w:color w:val="auto"/>
                      <w:highlight w:val="none"/>
                      <w:lang w:eastAsia="zh-CN"/>
                    </w:rPr>
                    <w:t>，</w:t>
                  </w:r>
                  <w:r>
                    <w:rPr>
                      <w:color w:val="auto"/>
                      <w:highlight w:val="none"/>
                    </w:rPr>
                    <w:t>由生态环境主管部门根据本行政区域重点大气污染物总量控制指标、排污单位现有排放量和改善大气环境质量的目标核定。</w:t>
                  </w:r>
                </w:p>
                <w:p>
                  <w:pPr>
                    <w:pStyle w:val="22"/>
                    <w:rPr>
                      <w:color w:val="auto"/>
                      <w:highlight w:val="none"/>
                    </w:rPr>
                  </w:pPr>
                  <w:r>
                    <w:rPr>
                      <w:color w:val="auto"/>
                      <w:highlight w:val="none"/>
                    </w:rPr>
                    <w:t>排污单位不得超过生态环境主管部门核定的重点大气污染物总量控制指标排放大气污染物</w:t>
                  </w:r>
                </w:p>
              </w:tc>
              <w:tc>
                <w:tcPr>
                  <w:tcW w:w="2598" w:type="dxa"/>
                  <w:tcBorders>
                    <w:tl2br w:val="nil"/>
                    <w:tr2bl w:val="nil"/>
                  </w:tcBorders>
                  <w:vAlign w:val="center"/>
                </w:tcPr>
                <w:p>
                  <w:pPr>
                    <w:pStyle w:val="22"/>
                    <w:rPr>
                      <w:rFonts w:hint="eastAsia"/>
                      <w:color w:val="auto"/>
                      <w:highlight w:val="none"/>
                      <w:lang w:val="en-US" w:eastAsia="zh-CN"/>
                    </w:rPr>
                  </w:pPr>
                  <w:r>
                    <w:rPr>
                      <w:rFonts w:hint="eastAsia"/>
                      <w:color w:val="auto"/>
                      <w:highlight w:val="none"/>
                    </w:rPr>
                    <w:t>“十四五”期间污染物总量控制指标为四项</w:t>
                  </w:r>
                  <w:r>
                    <w:rPr>
                      <w:rFonts w:hint="eastAsia"/>
                      <w:color w:val="auto"/>
                      <w:highlight w:val="none"/>
                      <w:lang w:eastAsia="zh-CN"/>
                    </w:rPr>
                    <w:t>，</w:t>
                  </w:r>
                  <w:r>
                    <w:rPr>
                      <w:rFonts w:hint="eastAsia"/>
                      <w:color w:val="auto"/>
                      <w:highlight w:val="none"/>
                    </w:rPr>
                    <w:t>大气污染物：氮氧化物、挥发性有机物</w:t>
                  </w:r>
                  <w:r>
                    <w:rPr>
                      <w:rFonts w:hint="eastAsia"/>
                      <w:color w:val="auto"/>
                      <w:highlight w:val="none"/>
                      <w:lang w:eastAsia="zh-CN"/>
                    </w:rPr>
                    <w:t>，</w:t>
                  </w:r>
                  <w:r>
                    <w:rPr>
                      <w:rFonts w:hint="eastAsia"/>
                      <w:color w:val="auto"/>
                      <w:highlight w:val="none"/>
                    </w:rPr>
                    <w:t>水污染物：化学需氧量、氨氮。结合本项目的具体情况</w:t>
                  </w:r>
                  <w:r>
                    <w:rPr>
                      <w:rFonts w:hint="eastAsia"/>
                      <w:color w:val="auto"/>
                      <w:highlight w:val="none"/>
                      <w:lang w:eastAsia="zh-CN"/>
                    </w:rPr>
                    <w:t>，</w:t>
                  </w:r>
                  <w:r>
                    <w:rPr>
                      <w:rFonts w:hint="eastAsia"/>
                      <w:color w:val="auto"/>
                      <w:highlight w:val="none"/>
                    </w:rPr>
                    <w:t>本项目总量控制指标为：废气：氮氧化物总量指标为0t/a，VOCs总量指标为0.00696t/a。废水：COD总量指标为：0t/a，氨氮总量指标为：0t/a</w:t>
                  </w:r>
                  <w:r>
                    <w:rPr>
                      <w:rFonts w:hint="eastAsia"/>
                      <w:color w:val="auto"/>
                      <w:highlight w:val="none"/>
                      <w:lang w:eastAsia="zh-CN"/>
                    </w:rPr>
                    <w:t>。</w:t>
                  </w:r>
                  <w:r>
                    <w:rPr>
                      <w:rFonts w:hint="eastAsia"/>
                      <w:color w:val="auto"/>
                      <w:highlight w:val="none"/>
                      <w:lang w:val="en-US" w:eastAsia="zh-CN"/>
                    </w:rPr>
                    <w:t>项目批准前依法办理总量确认书</w:t>
                  </w:r>
                </w:p>
              </w:tc>
              <w:tc>
                <w:tcPr>
                  <w:tcW w:w="741"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36" w:type="dxa"/>
                  <w:tcBorders>
                    <w:tl2br w:val="nil"/>
                    <w:tr2bl w:val="nil"/>
                  </w:tcBorders>
                  <w:vAlign w:val="center"/>
                </w:tcPr>
                <w:p>
                  <w:pPr>
                    <w:pStyle w:val="22"/>
                    <w:rPr>
                      <w:color w:val="auto"/>
                      <w:highlight w:val="none"/>
                    </w:rPr>
                  </w:pPr>
                  <w:r>
                    <w:rPr>
                      <w:rFonts w:hint="eastAsia"/>
                      <w:color w:val="auto"/>
                      <w:highlight w:val="none"/>
                    </w:rPr>
                    <w:t>3</w:t>
                  </w:r>
                </w:p>
              </w:tc>
              <w:tc>
                <w:tcPr>
                  <w:tcW w:w="3159" w:type="dxa"/>
                  <w:tcBorders>
                    <w:tl2br w:val="nil"/>
                    <w:tr2bl w:val="nil"/>
                  </w:tcBorders>
                  <w:vAlign w:val="center"/>
                </w:tcPr>
                <w:p>
                  <w:pPr>
                    <w:pStyle w:val="22"/>
                    <w:rPr>
                      <w:color w:val="auto"/>
                      <w:highlight w:val="none"/>
                    </w:rPr>
                  </w:pPr>
                  <w:r>
                    <w:rPr>
                      <w:color w:val="auto"/>
                      <w:highlight w:val="none"/>
                    </w:rPr>
                    <w:t>企业事业单位和其他生产经营者应当按照国家有关规定和监测规范</w:t>
                  </w:r>
                  <w:r>
                    <w:rPr>
                      <w:rFonts w:hint="eastAsia"/>
                      <w:color w:val="auto"/>
                      <w:highlight w:val="none"/>
                      <w:lang w:eastAsia="zh-CN"/>
                    </w:rPr>
                    <w:t>，</w:t>
                  </w:r>
                  <w:r>
                    <w:rPr>
                      <w:color w:val="auto"/>
                      <w:highlight w:val="none"/>
                    </w:rPr>
                    <w:t>自行或者委托有资质的监测机构对其排放的工业废气和国家有毒有害大气污染物名录中的大气污染物实施监测</w:t>
                  </w:r>
                </w:p>
              </w:tc>
              <w:tc>
                <w:tcPr>
                  <w:tcW w:w="2598" w:type="dxa"/>
                  <w:tcBorders>
                    <w:tl2br w:val="nil"/>
                    <w:tr2bl w:val="nil"/>
                  </w:tcBorders>
                  <w:vAlign w:val="center"/>
                </w:tcPr>
                <w:p>
                  <w:pPr>
                    <w:pStyle w:val="22"/>
                    <w:rPr>
                      <w:color w:val="auto"/>
                      <w:highlight w:val="none"/>
                    </w:rPr>
                  </w:pPr>
                  <w:r>
                    <w:rPr>
                      <w:rFonts w:hint="eastAsia"/>
                      <w:color w:val="auto"/>
                      <w:highlight w:val="none"/>
                    </w:rPr>
                    <w:t>项目建设后</w:t>
                  </w:r>
                  <w:r>
                    <w:rPr>
                      <w:rFonts w:hint="eastAsia"/>
                      <w:color w:val="auto"/>
                      <w:highlight w:val="none"/>
                      <w:lang w:eastAsia="zh-CN"/>
                    </w:rPr>
                    <w:t>，</w:t>
                  </w:r>
                  <w:r>
                    <w:rPr>
                      <w:rFonts w:hint="eastAsia"/>
                      <w:color w:val="auto"/>
                      <w:highlight w:val="none"/>
                    </w:rPr>
                    <w:t>按照本报告中提出监测计划进行监测</w:t>
                  </w:r>
                  <w:r>
                    <w:rPr>
                      <w:rFonts w:hint="eastAsia"/>
                      <w:color w:val="auto"/>
                      <w:highlight w:val="none"/>
                      <w:lang w:eastAsia="zh-CN"/>
                    </w:rPr>
                    <w:t>，</w:t>
                  </w:r>
                  <w:r>
                    <w:rPr>
                      <w:rFonts w:hint="eastAsia"/>
                      <w:color w:val="auto"/>
                      <w:highlight w:val="none"/>
                    </w:rPr>
                    <w:t>并留存监测报告</w:t>
                  </w:r>
                </w:p>
              </w:tc>
              <w:tc>
                <w:tcPr>
                  <w:tcW w:w="741" w:type="dxa"/>
                  <w:tcBorders>
                    <w:tl2br w:val="nil"/>
                    <w:tr2bl w:val="nil"/>
                  </w:tcBorders>
                  <w:vAlign w:val="center"/>
                </w:tcPr>
                <w:p>
                  <w:pPr>
                    <w:pStyle w:val="22"/>
                    <w:rPr>
                      <w:color w:val="auto"/>
                      <w:highlight w:val="none"/>
                    </w:rPr>
                  </w:pPr>
                  <w:r>
                    <w:rPr>
                      <w:rFonts w:hint="eastAsia"/>
                      <w:color w:val="auto"/>
                      <w:highlight w:val="none"/>
                    </w:rPr>
                    <w:t>符合</w:t>
                  </w:r>
                </w:p>
              </w:tc>
            </w:tr>
          </w:tbl>
          <w:p>
            <w:pPr>
              <w:pStyle w:val="22"/>
              <w:rPr>
                <w:rFonts w:hint="eastAsia"/>
                <w:color w:val="auto"/>
                <w:highlight w:val="none"/>
              </w:rPr>
            </w:pPr>
          </w:p>
          <w:p>
            <w:pPr>
              <w:pStyle w:val="22"/>
              <w:rPr>
                <w:rFonts w:hint="eastAsia"/>
                <w:color w:val="auto"/>
                <w:highlight w:val="none"/>
              </w:rPr>
            </w:pPr>
          </w:p>
          <w:p>
            <w:pPr>
              <w:pStyle w:val="22"/>
              <w:rPr>
                <w:rFonts w:hint="eastAsia"/>
                <w:color w:val="auto"/>
                <w:highlight w:val="none"/>
              </w:rPr>
            </w:pPr>
          </w:p>
          <w:p>
            <w:pPr>
              <w:pStyle w:val="22"/>
              <w:rPr>
                <w:rFonts w:hint="eastAsia"/>
                <w:color w:val="auto"/>
                <w:highlight w:val="none"/>
              </w:rPr>
            </w:pP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与《中共中央国务院关于深入打好污染防治攻坚战的意见》符合性分析</w:t>
            </w:r>
          </w:p>
          <w:tbl>
            <w:tblPr>
              <w:tblStyle w:val="16"/>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6"/>
              <w:gridCol w:w="3150"/>
              <w:gridCol w:w="2587"/>
              <w:gridCol w:w="7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956" w:type="dxa"/>
                  <w:tcBorders>
                    <w:tl2br w:val="nil"/>
                    <w:tr2bl w:val="nil"/>
                  </w:tcBorders>
                  <w:vAlign w:val="center"/>
                </w:tcPr>
                <w:p>
                  <w:pPr>
                    <w:pStyle w:val="25"/>
                    <w:rPr>
                      <w:rFonts w:hint="default"/>
                      <w:color w:val="auto"/>
                      <w:highlight w:val="none"/>
                    </w:rPr>
                  </w:pPr>
                  <w:r>
                    <w:rPr>
                      <w:color w:val="auto"/>
                      <w:highlight w:val="none"/>
                    </w:rPr>
                    <w:t>序号</w:t>
                  </w:r>
                </w:p>
              </w:tc>
              <w:tc>
                <w:tcPr>
                  <w:tcW w:w="3150" w:type="dxa"/>
                  <w:tcBorders>
                    <w:tl2br w:val="nil"/>
                    <w:tr2bl w:val="nil"/>
                  </w:tcBorders>
                  <w:vAlign w:val="center"/>
                </w:tcPr>
                <w:p>
                  <w:pPr>
                    <w:pStyle w:val="25"/>
                    <w:rPr>
                      <w:rFonts w:hint="default"/>
                      <w:color w:val="auto"/>
                      <w:highlight w:val="none"/>
                    </w:rPr>
                  </w:pPr>
                  <w:r>
                    <w:rPr>
                      <w:color w:val="auto"/>
                      <w:highlight w:val="none"/>
                    </w:rPr>
                    <w:t>分析内容</w:t>
                  </w:r>
                </w:p>
              </w:tc>
              <w:tc>
                <w:tcPr>
                  <w:tcW w:w="2587" w:type="dxa"/>
                  <w:tcBorders>
                    <w:tl2br w:val="nil"/>
                    <w:tr2bl w:val="nil"/>
                  </w:tcBorders>
                  <w:vAlign w:val="center"/>
                </w:tcPr>
                <w:p>
                  <w:pPr>
                    <w:pStyle w:val="25"/>
                    <w:rPr>
                      <w:rFonts w:hint="default"/>
                      <w:color w:val="auto"/>
                      <w:highlight w:val="none"/>
                    </w:rPr>
                  </w:pPr>
                  <w:r>
                    <w:rPr>
                      <w:color w:val="auto"/>
                      <w:highlight w:val="none"/>
                    </w:rPr>
                    <w:t>本项目情况</w:t>
                  </w:r>
                </w:p>
              </w:tc>
              <w:tc>
                <w:tcPr>
                  <w:tcW w:w="741"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956" w:type="dxa"/>
                  <w:tcBorders>
                    <w:tl2br w:val="nil"/>
                    <w:tr2bl w:val="nil"/>
                  </w:tcBorders>
                  <w:vAlign w:val="center"/>
                </w:tcPr>
                <w:p>
                  <w:pPr>
                    <w:pStyle w:val="22"/>
                    <w:rPr>
                      <w:color w:val="auto"/>
                      <w:highlight w:val="none"/>
                    </w:rPr>
                  </w:pPr>
                  <w:r>
                    <w:rPr>
                      <w:rFonts w:hint="eastAsia"/>
                      <w:color w:val="auto"/>
                      <w:highlight w:val="none"/>
                    </w:rPr>
                    <w:t>1</w:t>
                  </w:r>
                </w:p>
              </w:tc>
              <w:tc>
                <w:tcPr>
                  <w:tcW w:w="3150" w:type="dxa"/>
                  <w:tcBorders>
                    <w:tl2br w:val="nil"/>
                    <w:tr2bl w:val="nil"/>
                  </w:tcBorders>
                  <w:vAlign w:val="center"/>
                </w:tcPr>
                <w:p>
                  <w:pPr>
                    <w:pStyle w:val="22"/>
                    <w:rPr>
                      <w:color w:val="auto"/>
                      <w:highlight w:val="none"/>
                    </w:rPr>
                  </w:pPr>
                  <w:r>
                    <w:rPr>
                      <w:rFonts w:hint="eastAsia"/>
                      <w:color w:val="auto"/>
                      <w:highlight w:val="none"/>
                    </w:rPr>
                    <w:t>坚决遏制高耗能高排放项目盲目发展。严把高耗能高排放项目准入关口</w:t>
                  </w:r>
                  <w:r>
                    <w:rPr>
                      <w:rFonts w:hint="eastAsia"/>
                      <w:color w:val="auto"/>
                      <w:highlight w:val="none"/>
                      <w:lang w:eastAsia="zh-CN"/>
                    </w:rPr>
                    <w:t>，</w:t>
                  </w:r>
                  <w:r>
                    <w:rPr>
                      <w:rFonts w:hint="eastAsia"/>
                      <w:color w:val="auto"/>
                      <w:highlight w:val="none"/>
                    </w:rPr>
                    <w:t>严格落实污染物排放区域削减要求</w:t>
                  </w:r>
                  <w:r>
                    <w:rPr>
                      <w:rFonts w:hint="eastAsia"/>
                      <w:color w:val="auto"/>
                      <w:highlight w:val="none"/>
                      <w:lang w:eastAsia="zh-CN"/>
                    </w:rPr>
                    <w:t>，</w:t>
                  </w:r>
                  <w:r>
                    <w:rPr>
                      <w:rFonts w:hint="eastAsia"/>
                      <w:color w:val="auto"/>
                      <w:highlight w:val="none"/>
                    </w:rPr>
                    <w:t>对不符合规定的项目坚决停批停建。依法依规淘汰落后产能和化解过剩产能。推动高炉－转炉长流程炼钢转型为电炉短流程炼钢。重点区域严禁新增钢铁、焦化、水泥熟料、平板玻璃、电解铝、氧化铝、煤化工产能</w:t>
                  </w:r>
                  <w:r>
                    <w:rPr>
                      <w:rFonts w:hint="eastAsia"/>
                      <w:color w:val="auto"/>
                      <w:highlight w:val="none"/>
                      <w:lang w:eastAsia="zh-CN"/>
                    </w:rPr>
                    <w:t>，</w:t>
                  </w:r>
                  <w:r>
                    <w:rPr>
                      <w:rFonts w:hint="eastAsia"/>
                      <w:color w:val="auto"/>
                      <w:highlight w:val="none"/>
                    </w:rPr>
                    <w:t>合理控制煤制油气产能规模</w:t>
                  </w:r>
                  <w:r>
                    <w:rPr>
                      <w:rFonts w:hint="eastAsia"/>
                      <w:color w:val="auto"/>
                      <w:highlight w:val="none"/>
                      <w:lang w:eastAsia="zh-CN"/>
                    </w:rPr>
                    <w:t>，</w:t>
                  </w:r>
                  <w:r>
                    <w:rPr>
                      <w:rFonts w:hint="eastAsia"/>
                      <w:color w:val="auto"/>
                      <w:highlight w:val="none"/>
                    </w:rPr>
                    <w:t>严控新增炼油产能</w:t>
                  </w:r>
                </w:p>
              </w:tc>
              <w:tc>
                <w:tcPr>
                  <w:tcW w:w="2587" w:type="dxa"/>
                  <w:tcBorders>
                    <w:tl2br w:val="nil"/>
                    <w:tr2bl w:val="nil"/>
                  </w:tcBorders>
                  <w:vAlign w:val="center"/>
                </w:tcPr>
                <w:p>
                  <w:pPr>
                    <w:pStyle w:val="22"/>
                    <w:rPr>
                      <w:color w:val="auto"/>
                      <w:highlight w:val="none"/>
                    </w:rPr>
                  </w:pPr>
                  <w:r>
                    <w:rPr>
                      <w:rFonts w:hint="eastAsia"/>
                      <w:color w:val="auto"/>
                      <w:highlight w:val="none"/>
                      <w:lang w:eastAsia="zh-CN"/>
                    </w:rPr>
                    <w:t>本项目为二道沟公司配套建设的危险废物贮存项目，</w:t>
                  </w:r>
                  <w:r>
                    <w:rPr>
                      <w:rFonts w:hint="eastAsia"/>
                      <w:color w:val="auto"/>
                      <w:highlight w:val="none"/>
                    </w:rPr>
                    <w:t>不属于新增钢铁、焦化、水泥熟料、平板玻璃、电解铝、氧化铝、煤化工产能项目</w:t>
                  </w:r>
                </w:p>
              </w:tc>
              <w:tc>
                <w:tcPr>
                  <w:tcW w:w="741"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956" w:type="dxa"/>
                  <w:tcBorders>
                    <w:tl2br w:val="nil"/>
                    <w:tr2bl w:val="nil"/>
                  </w:tcBorders>
                  <w:vAlign w:val="center"/>
                </w:tcPr>
                <w:p>
                  <w:pPr>
                    <w:pStyle w:val="22"/>
                    <w:rPr>
                      <w:color w:val="auto"/>
                      <w:highlight w:val="none"/>
                    </w:rPr>
                  </w:pPr>
                  <w:r>
                    <w:rPr>
                      <w:rFonts w:hint="eastAsia"/>
                      <w:color w:val="auto"/>
                      <w:highlight w:val="none"/>
                    </w:rPr>
                    <w:t>2</w:t>
                  </w:r>
                </w:p>
              </w:tc>
              <w:tc>
                <w:tcPr>
                  <w:tcW w:w="3150" w:type="dxa"/>
                  <w:tcBorders>
                    <w:tl2br w:val="nil"/>
                    <w:tr2bl w:val="nil"/>
                  </w:tcBorders>
                  <w:vAlign w:val="center"/>
                </w:tcPr>
                <w:p>
                  <w:pPr>
                    <w:pStyle w:val="22"/>
                    <w:rPr>
                      <w:color w:val="auto"/>
                      <w:highlight w:val="none"/>
                    </w:rPr>
                  </w:pPr>
                  <w:r>
                    <w:rPr>
                      <w:color w:val="auto"/>
                      <w:highlight w:val="none"/>
                    </w:rPr>
                    <w:t>加强生态环境分区管控。衔接国土空间规划分区和用途管制要求</w:t>
                  </w:r>
                  <w:r>
                    <w:rPr>
                      <w:rFonts w:hint="eastAsia"/>
                      <w:color w:val="auto"/>
                      <w:highlight w:val="none"/>
                      <w:lang w:eastAsia="zh-CN"/>
                    </w:rPr>
                    <w:t>，</w:t>
                  </w:r>
                  <w:r>
                    <w:rPr>
                      <w:color w:val="auto"/>
                      <w:highlight w:val="none"/>
                    </w:rPr>
                    <w:t>将生态保护红线、环境质量底线、资源利用上线的硬约束落实到环境管控单元</w:t>
                  </w:r>
                  <w:r>
                    <w:rPr>
                      <w:rFonts w:hint="eastAsia"/>
                      <w:color w:val="auto"/>
                      <w:highlight w:val="none"/>
                      <w:lang w:eastAsia="zh-CN"/>
                    </w:rPr>
                    <w:t>，</w:t>
                  </w:r>
                  <w:r>
                    <w:rPr>
                      <w:color w:val="auto"/>
                      <w:highlight w:val="none"/>
                    </w:rPr>
                    <w:t>建立差别化的生态环境准入清单</w:t>
                  </w:r>
                  <w:r>
                    <w:rPr>
                      <w:rFonts w:hint="eastAsia"/>
                      <w:color w:val="auto"/>
                      <w:highlight w:val="none"/>
                      <w:lang w:eastAsia="zh-CN"/>
                    </w:rPr>
                    <w:t>，</w:t>
                  </w:r>
                  <w:r>
                    <w:rPr>
                      <w:color w:val="auto"/>
                      <w:highlight w:val="none"/>
                    </w:rPr>
                    <w:t>加强</w:t>
                  </w:r>
                  <w:r>
                    <w:rPr>
                      <w:rFonts w:hint="eastAsia"/>
                      <w:color w:val="auto"/>
                      <w:highlight w:val="none"/>
                    </w:rPr>
                    <w:t>“</w:t>
                  </w:r>
                  <w:r>
                    <w:rPr>
                      <w:color w:val="auto"/>
                      <w:highlight w:val="none"/>
                    </w:rPr>
                    <w:t>三线一单</w:t>
                  </w:r>
                  <w:r>
                    <w:rPr>
                      <w:rFonts w:hint="eastAsia"/>
                      <w:color w:val="auto"/>
                      <w:highlight w:val="none"/>
                    </w:rPr>
                    <w:t>”</w:t>
                  </w:r>
                  <w:r>
                    <w:rPr>
                      <w:color w:val="auto"/>
                      <w:highlight w:val="none"/>
                    </w:rPr>
                    <w:t>成果在政策制定、环境准入、园区管理、执法监管等方面的应用</w:t>
                  </w:r>
                </w:p>
              </w:tc>
              <w:tc>
                <w:tcPr>
                  <w:tcW w:w="2587" w:type="dxa"/>
                  <w:tcBorders>
                    <w:tl2br w:val="nil"/>
                    <w:tr2bl w:val="nil"/>
                  </w:tcBorders>
                  <w:vAlign w:val="center"/>
                </w:tcPr>
                <w:p>
                  <w:pPr>
                    <w:pStyle w:val="22"/>
                    <w:rPr>
                      <w:color w:val="auto"/>
                      <w:highlight w:val="none"/>
                    </w:rPr>
                  </w:pPr>
                  <w:r>
                    <w:rPr>
                      <w:rFonts w:hint="eastAsia"/>
                      <w:color w:val="auto"/>
                      <w:highlight w:val="none"/>
                    </w:rPr>
                    <w:t>本项目属于“优先保护单元”，“朝阳市北票市一般生态空间4”，环境管控单元编码为：ZH21138110006</w:t>
                  </w:r>
                  <w:r>
                    <w:rPr>
                      <w:rFonts w:hint="eastAsia"/>
                      <w:color w:val="auto"/>
                      <w:highlight w:val="none"/>
                      <w:lang w:eastAsia="zh-CN"/>
                    </w:rPr>
                    <w:t>，</w:t>
                  </w:r>
                  <w:r>
                    <w:rPr>
                      <w:color w:val="auto"/>
                      <w:highlight w:val="none"/>
                    </w:rPr>
                    <w:t>本项目严格落实《朝阳市人民政府关于实施</w:t>
                  </w:r>
                  <w:r>
                    <w:rPr>
                      <w:rFonts w:hint="eastAsia"/>
                      <w:color w:val="auto"/>
                      <w:highlight w:val="none"/>
                    </w:rPr>
                    <w:t>“</w:t>
                  </w:r>
                  <w:r>
                    <w:rPr>
                      <w:color w:val="auto"/>
                      <w:highlight w:val="none"/>
                    </w:rPr>
                    <w:t>三线一单</w:t>
                  </w:r>
                  <w:r>
                    <w:rPr>
                      <w:rFonts w:hint="eastAsia"/>
                      <w:color w:val="auto"/>
                      <w:highlight w:val="none"/>
                    </w:rPr>
                    <w:t>”</w:t>
                  </w:r>
                  <w:r>
                    <w:rPr>
                      <w:color w:val="auto"/>
                      <w:highlight w:val="none"/>
                    </w:rPr>
                    <w:t>生态环境分区管控的意见》要求</w:t>
                  </w:r>
                </w:p>
              </w:tc>
              <w:tc>
                <w:tcPr>
                  <w:tcW w:w="741" w:type="dxa"/>
                  <w:tcBorders>
                    <w:tl2br w:val="nil"/>
                    <w:tr2bl w:val="nil"/>
                  </w:tcBorders>
                  <w:vAlign w:val="center"/>
                </w:tcPr>
                <w:p>
                  <w:pPr>
                    <w:pStyle w:val="22"/>
                    <w:rPr>
                      <w:color w:val="auto"/>
                      <w:highlight w:val="none"/>
                    </w:rPr>
                  </w:pPr>
                  <w:r>
                    <w:rPr>
                      <w:rFonts w:hint="eastAsia"/>
                      <w:color w:val="auto"/>
                      <w:highlight w:val="none"/>
                    </w:rPr>
                    <w:t>符合</w:t>
                  </w:r>
                </w:p>
              </w:tc>
            </w:tr>
          </w:tbl>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rFonts w:hint="eastAsia"/>
                <w:color w:val="auto"/>
                <w:highlight w:val="none"/>
                <w:lang w:val="en-US" w:eastAsia="zh-CN"/>
              </w:rPr>
              <w:t xml:space="preserve"> </w:t>
            </w:r>
            <w:r>
              <w:rPr>
                <w:rFonts w:hint="eastAsia"/>
                <w:color w:val="auto"/>
                <w:highlight w:val="none"/>
              </w:rPr>
              <w:t>《辽宁省深入打好污染防治攻坚战实施方案》符合性分析</w:t>
            </w:r>
          </w:p>
          <w:tbl>
            <w:tblPr>
              <w:tblStyle w:val="15"/>
              <w:tblW w:w="743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6"/>
              <w:gridCol w:w="3172"/>
              <w:gridCol w:w="2576"/>
              <w:gridCol w:w="7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9" w:hRule="atLeast"/>
                <w:jc w:val="center"/>
              </w:trPr>
              <w:tc>
                <w:tcPr>
                  <w:tcW w:w="936" w:type="dxa"/>
                  <w:vAlign w:val="center"/>
                </w:tcPr>
                <w:p>
                  <w:pPr>
                    <w:pStyle w:val="25"/>
                    <w:rPr>
                      <w:rFonts w:hint="default"/>
                      <w:color w:val="auto"/>
                      <w:highlight w:val="none"/>
                    </w:rPr>
                  </w:pPr>
                  <w:r>
                    <w:rPr>
                      <w:color w:val="auto"/>
                      <w:highlight w:val="none"/>
                    </w:rPr>
                    <w:t>序号</w:t>
                  </w:r>
                </w:p>
              </w:tc>
              <w:tc>
                <w:tcPr>
                  <w:tcW w:w="3172" w:type="dxa"/>
                  <w:vAlign w:val="center"/>
                </w:tcPr>
                <w:p>
                  <w:pPr>
                    <w:pStyle w:val="25"/>
                    <w:rPr>
                      <w:rFonts w:hint="default"/>
                      <w:color w:val="auto"/>
                      <w:highlight w:val="none"/>
                    </w:rPr>
                  </w:pPr>
                  <w:r>
                    <w:rPr>
                      <w:color w:val="auto"/>
                      <w:highlight w:val="none"/>
                    </w:rPr>
                    <w:t>分析内容</w:t>
                  </w:r>
                </w:p>
              </w:tc>
              <w:tc>
                <w:tcPr>
                  <w:tcW w:w="2576" w:type="dxa"/>
                  <w:vAlign w:val="center"/>
                </w:tcPr>
                <w:p>
                  <w:pPr>
                    <w:pStyle w:val="25"/>
                    <w:rPr>
                      <w:rFonts w:hint="default"/>
                      <w:color w:val="auto"/>
                      <w:highlight w:val="none"/>
                    </w:rPr>
                  </w:pPr>
                  <w:r>
                    <w:rPr>
                      <w:color w:val="auto"/>
                      <w:highlight w:val="none"/>
                    </w:rPr>
                    <w:t>本项目情况</w:t>
                  </w:r>
                </w:p>
              </w:tc>
              <w:tc>
                <w:tcPr>
                  <w:tcW w:w="753" w:type="dxa"/>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99" w:hRule="atLeast"/>
                <w:jc w:val="center"/>
              </w:trPr>
              <w:tc>
                <w:tcPr>
                  <w:tcW w:w="936" w:type="dxa"/>
                  <w:vAlign w:val="center"/>
                </w:tcPr>
                <w:p>
                  <w:pPr>
                    <w:pStyle w:val="22"/>
                    <w:rPr>
                      <w:color w:val="auto"/>
                      <w:highlight w:val="none"/>
                    </w:rPr>
                  </w:pPr>
                  <w:r>
                    <w:rPr>
                      <w:rFonts w:hint="eastAsia"/>
                      <w:color w:val="auto"/>
                      <w:highlight w:val="none"/>
                    </w:rPr>
                    <w:t>1.</w:t>
                  </w:r>
                </w:p>
              </w:tc>
              <w:tc>
                <w:tcPr>
                  <w:tcW w:w="3172" w:type="dxa"/>
                  <w:vAlign w:val="center"/>
                </w:tcPr>
                <w:p>
                  <w:pPr>
                    <w:pStyle w:val="22"/>
                    <w:rPr>
                      <w:color w:val="auto"/>
                      <w:highlight w:val="none"/>
                    </w:rPr>
                  </w:pPr>
                  <w:r>
                    <w:rPr>
                      <w:rFonts w:hint="eastAsia"/>
                      <w:color w:val="auto"/>
                      <w:highlight w:val="none"/>
                    </w:rPr>
                    <w:t>坚决遏制高耗能高排放项目盲目发展。对“两高”项目实行清单管理、分类处置、动态监控。严格把好新建、扩建钢铁、水泥熟料、平板玻璃、电解铝等高耗能高排放项目准入关</w:t>
                  </w:r>
                </w:p>
              </w:tc>
              <w:tc>
                <w:tcPr>
                  <w:tcW w:w="2576" w:type="dxa"/>
                  <w:vAlign w:val="center"/>
                </w:tcPr>
                <w:p>
                  <w:pPr>
                    <w:pStyle w:val="22"/>
                    <w:rPr>
                      <w:color w:val="auto"/>
                      <w:highlight w:val="none"/>
                    </w:rPr>
                  </w:pPr>
                  <w:r>
                    <w:rPr>
                      <w:rFonts w:hint="eastAsia"/>
                      <w:color w:val="auto"/>
                      <w:highlight w:val="none"/>
                      <w:lang w:eastAsia="zh-CN"/>
                    </w:rPr>
                    <w:t>本项目为二道沟公司配套建设的危险废物贮存项目，</w:t>
                  </w:r>
                  <w:r>
                    <w:rPr>
                      <w:rFonts w:hint="eastAsia"/>
                      <w:color w:val="auto"/>
                      <w:highlight w:val="none"/>
                    </w:rPr>
                    <w:t>不属于钢铁、水泥熟料、平板玻璃、电解铝等高耗能高排放项目</w:t>
                  </w:r>
                </w:p>
              </w:tc>
              <w:tc>
                <w:tcPr>
                  <w:tcW w:w="753" w:type="dxa"/>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51" w:hRule="atLeast"/>
                <w:jc w:val="center"/>
              </w:trPr>
              <w:tc>
                <w:tcPr>
                  <w:tcW w:w="936" w:type="dxa"/>
                  <w:vAlign w:val="center"/>
                </w:tcPr>
                <w:p>
                  <w:pPr>
                    <w:pStyle w:val="22"/>
                    <w:rPr>
                      <w:color w:val="auto"/>
                      <w:highlight w:val="none"/>
                    </w:rPr>
                  </w:pPr>
                  <w:r>
                    <w:rPr>
                      <w:rFonts w:hint="eastAsia"/>
                      <w:color w:val="auto"/>
                      <w:highlight w:val="none"/>
                    </w:rPr>
                    <w:t>2.</w:t>
                  </w:r>
                </w:p>
              </w:tc>
              <w:tc>
                <w:tcPr>
                  <w:tcW w:w="3172" w:type="dxa"/>
                  <w:vAlign w:val="center"/>
                </w:tcPr>
                <w:p>
                  <w:pPr>
                    <w:pStyle w:val="22"/>
                    <w:rPr>
                      <w:color w:val="auto"/>
                      <w:highlight w:val="none"/>
                    </w:rPr>
                  </w:pPr>
                  <w:r>
                    <w:rPr>
                      <w:rFonts w:hint="eastAsia"/>
                      <w:color w:val="auto"/>
                      <w:highlight w:val="none"/>
                    </w:rPr>
                    <w:t>加强生态环境分区管控</w:t>
                  </w:r>
                  <w:r>
                    <w:rPr>
                      <w:rFonts w:hint="eastAsia"/>
                      <w:color w:val="auto"/>
                      <w:highlight w:val="none"/>
                      <w:lang w:eastAsia="zh-CN"/>
                    </w:rPr>
                    <w:t>，</w:t>
                  </w:r>
                  <w:r>
                    <w:rPr>
                      <w:rFonts w:hint="eastAsia"/>
                      <w:color w:val="auto"/>
                      <w:highlight w:val="none"/>
                    </w:rPr>
                    <w:t>严格落实“三线一单”生态环境分区管控要求</w:t>
                  </w:r>
                  <w:r>
                    <w:rPr>
                      <w:rFonts w:hint="eastAsia"/>
                      <w:color w:val="auto"/>
                      <w:highlight w:val="none"/>
                      <w:lang w:eastAsia="zh-CN"/>
                    </w:rPr>
                    <w:t>，</w:t>
                  </w:r>
                  <w:r>
                    <w:rPr>
                      <w:rFonts w:hint="eastAsia"/>
                      <w:color w:val="auto"/>
                      <w:highlight w:val="none"/>
                    </w:rPr>
                    <w:t>优化区域生产力布局</w:t>
                  </w:r>
                </w:p>
              </w:tc>
              <w:tc>
                <w:tcPr>
                  <w:tcW w:w="2576" w:type="dxa"/>
                  <w:vAlign w:val="center"/>
                </w:tcPr>
                <w:p>
                  <w:pPr>
                    <w:pStyle w:val="22"/>
                    <w:rPr>
                      <w:color w:val="auto"/>
                      <w:highlight w:val="none"/>
                    </w:rPr>
                  </w:pPr>
                  <w:r>
                    <w:rPr>
                      <w:rFonts w:hint="eastAsia"/>
                      <w:color w:val="auto"/>
                      <w:highlight w:val="none"/>
                    </w:rPr>
                    <w:t>本项目已严格落实“三线一单”管控要求</w:t>
                  </w:r>
                  <w:r>
                    <w:rPr>
                      <w:rFonts w:hint="eastAsia"/>
                      <w:color w:val="auto"/>
                      <w:highlight w:val="none"/>
                      <w:lang w:eastAsia="zh-CN"/>
                    </w:rPr>
                    <w:t>，</w:t>
                  </w:r>
                  <w:r>
                    <w:rPr>
                      <w:rFonts w:hint="eastAsia"/>
                      <w:color w:val="auto"/>
                      <w:highlight w:val="none"/>
                    </w:rPr>
                    <w:t>详见表</w:t>
                  </w:r>
                  <w:r>
                    <w:rPr>
                      <w:rFonts w:hint="eastAsia"/>
                      <w:color w:val="auto"/>
                      <w:highlight w:val="none"/>
                      <w:lang w:val="en-US" w:eastAsia="zh-CN"/>
                    </w:rPr>
                    <w:t>14</w:t>
                  </w:r>
                  <w:r>
                    <w:rPr>
                      <w:rFonts w:hint="eastAsia"/>
                      <w:color w:val="auto"/>
                      <w:highlight w:val="none"/>
                    </w:rPr>
                    <w:t>分析</w:t>
                  </w:r>
                </w:p>
              </w:tc>
              <w:tc>
                <w:tcPr>
                  <w:tcW w:w="753" w:type="dxa"/>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36" w:type="dxa"/>
                  <w:vAlign w:val="center"/>
                </w:tcPr>
                <w:p>
                  <w:pPr>
                    <w:pStyle w:val="22"/>
                    <w:rPr>
                      <w:color w:val="auto"/>
                      <w:highlight w:val="none"/>
                    </w:rPr>
                  </w:pPr>
                  <w:r>
                    <w:rPr>
                      <w:rFonts w:hint="eastAsia"/>
                      <w:color w:val="auto"/>
                      <w:highlight w:val="none"/>
                    </w:rPr>
                    <w:t>3</w:t>
                  </w:r>
                </w:p>
              </w:tc>
              <w:tc>
                <w:tcPr>
                  <w:tcW w:w="3172" w:type="dxa"/>
                  <w:vAlign w:val="center"/>
                </w:tcPr>
                <w:p>
                  <w:pPr>
                    <w:pStyle w:val="22"/>
                    <w:rPr>
                      <w:color w:val="auto"/>
                      <w:highlight w:val="none"/>
                    </w:rPr>
                  </w:pPr>
                  <w:r>
                    <w:rPr>
                      <w:rFonts w:hint="eastAsia"/>
                      <w:color w:val="auto"/>
                      <w:highlight w:val="none"/>
                    </w:rPr>
                    <w:t>严控环境安全风险</w:t>
                  </w:r>
                </w:p>
              </w:tc>
              <w:tc>
                <w:tcPr>
                  <w:tcW w:w="2576" w:type="dxa"/>
                  <w:vAlign w:val="center"/>
                </w:tcPr>
                <w:p>
                  <w:pPr>
                    <w:pStyle w:val="22"/>
                    <w:rPr>
                      <w:color w:val="auto"/>
                      <w:highlight w:val="none"/>
                    </w:rPr>
                  </w:pPr>
                  <w:r>
                    <w:rPr>
                      <w:rFonts w:hint="eastAsia"/>
                      <w:color w:val="auto"/>
                      <w:highlight w:val="none"/>
                    </w:rPr>
                    <w:t>本项目涉及风险物质为</w:t>
                  </w:r>
                  <w:r>
                    <w:rPr>
                      <w:rFonts w:hint="eastAsia"/>
                      <w:color w:val="auto"/>
                      <w:highlight w:val="none"/>
                      <w:lang w:eastAsia="zh-CN"/>
                    </w:rPr>
                    <w:t>废润滑油、硫酸等，</w:t>
                  </w:r>
                  <w:r>
                    <w:rPr>
                      <w:rFonts w:hint="eastAsia"/>
                      <w:color w:val="auto"/>
                      <w:highlight w:val="none"/>
                    </w:rPr>
                    <w:t>严格按照环境风险防范措施对其进行管理</w:t>
                  </w:r>
                  <w:r>
                    <w:rPr>
                      <w:rFonts w:hint="eastAsia"/>
                      <w:color w:val="auto"/>
                      <w:highlight w:val="none"/>
                      <w:lang w:eastAsia="zh-CN"/>
                    </w:rPr>
                    <w:t>，</w:t>
                  </w:r>
                  <w:r>
                    <w:rPr>
                      <w:rFonts w:hint="eastAsia"/>
                      <w:color w:val="auto"/>
                      <w:highlight w:val="none"/>
                    </w:rPr>
                    <w:t>并编制突发环境应急预案</w:t>
                  </w:r>
                </w:p>
              </w:tc>
              <w:tc>
                <w:tcPr>
                  <w:tcW w:w="753" w:type="dxa"/>
                  <w:vAlign w:val="center"/>
                </w:tcPr>
                <w:p>
                  <w:pPr>
                    <w:pStyle w:val="22"/>
                    <w:rPr>
                      <w:color w:val="auto"/>
                      <w:highlight w:val="none"/>
                    </w:rPr>
                  </w:pPr>
                  <w:r>
                    <w:rPr>
                      <w:rFonts w:hint="eastAsia"/>
                      <w:color w:val="auto"/>
                      <w:highlight w:val="none"/>
                    </w:rPr>
                    <w:t>符合</w:t>
                  </w:r>
                </w:p>
              </w:tc>
            </w:tr>
          </w:tbl>
          <w:p>
            <w:pPr>
              <w:pStyle w:val="22"/>
              <w:rPr>
                <w:rFonts w:hint="eastAsia"/>
                <w:color w:val="auto"/>
                <w:highlight w:val="none"/>
              </w:rPr>
            </w:pPr>
          </w:p>
          <w:p>
            <w:pPr>
              <w:pStyle w:val="22"/>
              <w:rPr>
                <w:rFonts w:hint="eastAsia"/>
                <w:color w:val="auto"/>
                <w:highlight w:val="none"/>
              </w:rPr>
            </w:pPr>
          </w:p>
          <w:p>
            <w:pPr>
              <w:pStyle w:val="22"/>
              <w:rPr>
                <w:rFonts w:hint="eastAsia"/>
                <w:color w:val="auto"/>
                <w:highlight w:val="none"/>
              </w:rPr>
            </w:pPr>
          </w:p>
          <w:p>
            <w:pPr>
              <w:pStyle w:val="22"/>
              <w:rPr>
                <w:rFonts w:hint="eastAsia"/>
                <w:color w:val="auto"/>
                <w:highlight w:val="none"/>
              </w:rPr>
            </w:pPr>
          </w:p>
          <w:p>
            <w:pPr>
              <w:pStyle w:val="22"/>
              <w:rPr>
                <w:rFonts w:hint="eastAsia"/>
                <w:color w:val="auto"/>
                <w:highlight w:val="none"/>
              </w:rPr>
            </w:pP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与《朝阳市深入打好污染防治攻坚战实施方案》符合性分析</w:t>
            </w:r>
          </w:p>
          <w:tbl>
            <w:tblPr>
              <w:tblStyle w:val="15"/>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2"/>
              <w:gridCol w:w="3216"/>
              <w:gridCol w:w="2565"/>
              <w:gridCol w:w="7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9" w:hRule="atLeast"/>
                <w:jc w:val="center"/>
              </w:trPr>
              <w:tc>
                <w:tcPr>
                  <w:tcW w:w="912" w:type="dxa"/>
                  <w:vAlign w:val="center"/>
                </w:tcPr>
                <w:p>
                  <w:pPr>
                    <w:pStyle w:val="25"/>
                    <w:rPr>
                      <w:rFonts w:hint="default"/>
                      <w:color w:val="auto"/>
                      <w:highlight w:val="none"/>
                    </w:rPr>
                  </w:pPr>
                  <w:r>
                    <w:rPr>
                      <w:color w:val="auto"/>
                      <w:highlight w:val="none"/>
                    </w:rPr>
                    <w:t>序号</w:t>
                  </w:r>
                </w:p>
              </w:tc>
              <w:tc>
                <w:tcPr>
                  <w:tcW w:w="3216" w:type="dxa"/>
                  <w:vAlign w:val="center"/>
                </w:tcPr>
                <w:p>
                  <w:pPr>
                    <w:pStyle w:val="25"/>
                    <w:rPr>
                      <w:rFonts w:hint="default"/>
                      <w:color w:val="auto"/>
                      <w:highlight w:val="none"/>
                    </w:rPr>
                  </w:pPr>
                  <w:r>
                    <w:rPr>
                      <w:color w:val="auto"/>
                      <w:highlight w:val="none"/>
                    </w:rPr>
                    <w:t>分析内容</w:t>
                  </w:r>
                </w:p>
              </w:tc>
              <w:tc>
                <w:tcPr>
                  <w:tcW w:w="2565" w:type="dxa"/>
                  <w:vAlign w:val="center"/>
                </w:tcPr>
                <w:p>
                  <w:pPr>
                    <w:pStyle w:val="25"/>
                    <w:rPr>
                      <w:rFonts w:hint="default"/>
                      <w:color w:val="auto"/>
                      <w:highlight w:val="none"/>
                    </w:rPr>
                  </w:pPr>
                  <w:r>
                    <w:rPr>
                      <w:color w:val="auto"/>
                      <w:highlight w:val="none"/>
                    </w:rPr>
                    <w:t>本项目情况</w:t>
                  </w:r>
                </w:p>
              </w:tc>
              <w:tc>
                <w:tcPr>
                  <w:tcW w:w="741" w:type="dxa"/>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14" w:hRule="atLeast"/>
                <w:jc w:val="center"/>
              </w:trPr>
              <w:tc>
                <w:tcPr>
                  <w:tcW w:w="912" w:type="dxa"/>
                  <w:vAlign w:val="center"/>
                </w:tcPr>
                <w:p>
                  <w:pPr>
                    <w:pStyle w:val="22"/>
                    <w:rPr>
                      <w:color w:val="auto"/>
                      <w:highlight w:val="none"/>
                    </w:rPr>
                  </w:pPr>
                  <w:r>
                    <w:rPr>
                      <w:rFonts w:hint="eastAsia"/>
                      <w:color w:val="auto"/>
                      <w:highlight w:val="none"/>
                    </w:rPr>
                    <w:t>1.</w:t>
                  </w:r>
                </w:p>
              </w:tc>
              <w:tc>
                <w:tcPr>
                  <w:tcW w:w="3216" w:type="dxa"/>
                  <w:vAlign w:val="center"/>
                </w:tcPr>
                <w:p>
                  <w:pPr>
                    <w:pStyle w:val="22"/>
                    <w:rPr>
                      <w:color w:val="auto"/>
                      <w:highlight w:val="none"/>
                    </w:rPr>
                  </w:pPr>
                  <w:r>
                    <w:rPr>
                      <w:rFonts w:hint="eastAsia"/>
                      <w:color w:val="auto"/>
                      <w:highlight w:val="none"/>
                    </w:rPr>
                    <w:t>坚决遏制高耗能高排放项目盲目发展。严格控制新建“两高”项目</w:t>
                  </w:r>
                  <w:r>
                    <w:rPr>
                      <w:rFonts w:hint="eastAsia"/>
                      <w:color w:val="auto"/>
                      <w:highlight w:val="none"/>
                      <w:lang w:eastAsia="zh-CN"/>
                    </w:rPr>
                    <w:t>，</w:t>
                  </w:r>
                  <w:r>
                    <w:rPr>
                      <w:rFonts w:hint="eastAsia"/>
                      <w:color w:val="auto"/>
                      <w:highlight w:val="none"/>
                    </w:rPr>
                    <w:t>坚决停批停建不符合规定的“两高”项目</w:t>
                  </w:r>
                </w:p>
              </w:tc>
              <w:tc>
                <w:tcPr>
                  <w:tcW w:w="2565" w:type="dxa"/>
                  <w:vAlign w:val="center"/>
                </w:tcPr>
                <w:p>
                  <w:pPr>
                    <w:pStyle w:val="22"/>
                    <w:rPr>
                      <w:color w:val="auto"/>
                      <w:highlight w:val="none"/>
                    </w:rPr>
                  </w:pPr>
                  <w:r>
                    <w:rPr>
                      <w:rFonts w:hint="eastAsia"/>
                      <w:color w:val="auto"/>
                      <w:highlight w:val="none"/>
                      <w:lang w:eastAsia="zh-CN"/>
                    </w:rPr>
                    <w:t>本项目为二道沟公司配套建设的危险废物贮存项目，</w:t>
                  </w:r>
                  <w:r>
                    <w:rPr>
                      <w:rFonts w:hint="eastAsia"/>
                      <w:color w:val="auto"/>
                      <w:highlight w:val="none"/>
                    </w:rPr>
                    <w:t>不属于钢铁、水泥熟料、平板玻璃、电解铝等高耗能高排放项目</w:t>
                  </w:r>
                </w:p>
              </w:tc>
              <w:tc>
                <w:tcPr>
                  <w:tcW w:w="741" w:type="dxa"/>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21" w:hRule="atLeast"/>
                <w:jc w:val="center"/>
              </w:trPr>
              <w:tc>
                <w:tcPr>
                  <w:tcW w:w="912" w:type="dxa"/>
                  <w:vAlign w:val="center"/>
                </w:tcPr>
                <w:p>
                  <w:pPr>
                    <w:pStyle w:val="22"/>
                    <w:rPr>
                      <w:color w:val="auto"/>
                      <w:highlight w:val="none"/>
                    </w:rPr>
                  </w:pPr>
                  <w:r>
                    <w:rPr>
                      <w:rFonts w:hint="eastAsia"/>
                      <w:color w:val="auto"/>
                      <w:highlight w:val="none"/>
                    </w:rPr>
                    <w:t>2.</w:t>
                  </w:r>
                </w:p>
              </w:tc>
              <w:tc>
                <w:tcPr>
                  <w:tcW w:w="3216" w:type="dxa"/>
                  <w:vAlign w:val="center"/>
                </w:tcPr>
                <w:p>
                  <w:pPr>
                    <w:pStyle w:val="22"/>
                    <w:rPr>
                      <w:color w:val="auto"/>
                      <w:highlight w:val="none"/>
                    </w:rPr>
                  </w:pPr>
                  <w:r>
                    <w:rPr>
                      <w:rFonts w:hint="eastAsia"/>
                      <w:color w:val="auto"/>
                      <w:highlight w:val="none"/>
                    </w:rPr>
                    <w:t>加强生态环境分区管控。围绕构建融入京津冀协同发展战略先导区、辽西北承接产业转移示范区发展格局</w:t>
                  </w:r>
                  <w:r>
                    <w:rPr>
                      <w:rFonts w:hint="eastAsia"/>
                      <w:color w:val="auto"/>
                      <w:highlight w:val="none"/>
                      <w:lang w:eastAsia="zh-CN"/>
                    </w:rPr>
                    <w:t>，</w:t>
                  </w:r>
                  <w:r>
                    <w:rPr>
                      <w:rFonts w:hint="eastAsia"/>
                      <w:color w:val="auto"/>
                      <w:highlight w:val="none"/>
                    </w:rPr>
                    <w:t>衔接国土空间规划分区和用途管制要求</w:t>
                  </w:r>
                  <w:r>
                    <w:rPr>
                      <w:rFonts w:hint="eastAsia"/>
                      <w:color w:val="auto"/>
                      <w:highlight w:val="none"/>
                      <w:lang w:eastAsia="zh-CN"/>
                    </w:rPr>
                    <w:t>，</w:t>
                  </w:r>
                  <w:r>
                    <w:rPr>
                      <w:rFonts w:hint="eastAsia"/>
                      <w:color w:val="auto"/>
                      <w:highlight w:val="none"/>
                    </w:rPr>
                    <w:t>推进城市化地区高效集聚发展</w:t>
                  </w:r>
                  <w:r>
                    <w:rPr>
                      <w:rFonts w:hint="eastAsia"/>
                      <w:color w:val="auto"/>
                      <w:highlight w:val="none"/>
                      <w:lang w:eastAsia="zh-CN"/>
                    </w:rPr>
                    <w:t>，</w:t>
                  </w:r>
                  <w:r>
                    <w:rPr>
                      <w:rFonts w:hint="eastAsia"/>
                      <w:color w:val="auto"/>
                      <w:highlight w:val="none"/>
                    </w:rPr>
                    <w:t>促进农产品主产区规模化发展</w:t>
                  </w:r>
                  <w:r>
                    <w:rPr>
                      <w:rFonts w:hint="eastAsia"/>
                      <w:color w:val="auto"/>
                      <w:highlight w:val="none"/>
                      <w:lang w:eastAsia="zh-CN"/>
                    </w:rPr>
                    <w:t>，</w:t>
                  </w:r>
                  <w:r>
                    <w:rPr>
                      <w:rFonts w:hint="eastAsia"/>
                      <w:color w:val="auto"/>
                      <w:highlight w:val="none"/>
                    </w:rPr>
                    <w:t>推动重点生态功能区转型发展</w:t>
                  </w:r>
                  <w:r>
                    <w:rPr>
                      <w:rFonts w:hint="eastAsia"/>
                      <w:color w:val="auto"/>
                      <w:highlight w:val="none"/>
                      <w:lang w:eastAsia="zh-CN"/>
                    </w:rPr>
                    <w:t>，</w:t>
                  </w:r>
                  <w:r>
                    <w:rPr>
                      <w:rFonts w:hint="eastAsia"/>
                      <w:color w:val="auto"/>
                      <w:highlight w:val="none"/>
                    </w:rPr>
                    <w:t>促进农产品主产区规模化发展</w:t>
                  </w:r>
                  <w:r>
                    <w:rPr>
                      <w:rFonts w:hint="eastAsia"/>
                      <w:color w:val="auto"/>
                      <w:highlight w:val="none"/>
                      <w:lang w:eastAsia="zh-CN"/>
                    </w:rPr>
                    <w:t>，</w:t>
                  </w:r>
                  <w:r>
                    <w:rPr>
                      <w:rFonts w:hint="eastAsia"/>
                      <w:color w:val="auto"/>
                      <w:highlight w:val="none"/>
                    </w:rPr>
                    <w:t>推动重点生态功能区转型发展</w:t>
                  </w:r>
                  <w:r>
                    <w:rPr>
                      <w:rFonts w:hint="eastAsia"/>
                      <w:color w:val="auto"/>
                      <w:highlight w:val="none"/>
                      <w:lang w:eastAsia="zh-CN"/>
                    </w:rPr>
                    <w:t>，</w:t>
                  </w:r>
                  <w:r>
                    <w:rPr>
                      <w:rFonts w:hint="eastAsia"/>
                      <w:color w:val="auto"/>
                      <w:highlight w:val="none"/>
                    </w:rPr>
                    <w:t>形成主体功能明显、优势互补、高质量发展的国土空间开发保护新格局</w:t>
                  </w:r>
                  <w:r>
                    <w:rPr>
                      <w:rFonts w:hint="eastAsia"/>
                      <w:color w:val="auto"/>
                      <w:highlight w:val="none"/>
                      <w:lang w:eastAsia="zh-CN"/>
                    </w:rPr>
                    <w:t>，</w:t>
                  </w:r>
                  <w:r>
                    <w:rPr>
                      <w:rFonts w:hint="eastAsia"/>
                      <w:color w:val="auto"/>
                      <w:highlight w:val="none"/>
                    </w:rPr>
                    <w:t>严格落实“三线一单”生态环境分区管控要求</w:t>
                  </w:r>
                  <w:r>
                    <w:rPr>
                      <w:rFonts w:hint="eastAsia"/>
                      <w:color w:val="auto"/>
                      <w:highlight w:val="none"/>
                      <w:lang w:eastAsia="zh-CN"/>
                    </w:rPr>
                    <w:t>，</w:t>
                  </w:r>
                  <w:r>
                    <w:rPr>
                      <w:rFonts w:hint="eastAsia"/>
                      <w:color w:val="auto"/>
                      <w:highlight w:val="none"/>
                    </w:rPr>
                    <w:t>优化区域生产力布局。健全以环评制度为主体的源头预防体系</w:t>
                  </w:r>
                  <w:r>
                    <w:rPr>
                      <w:rFonts w:hint="eastAsia"/>
                      <w:color w:val="auto"/>
                      <w:highlight w:val="none"/>
                      <w:lang w:eastAsia="zh-CN"/>
                    </w:rPr>
                    <w:t>，</w:t>
                  </w:r>
                  <w:r>
                    <w:rPr>
                      <w:rFonts w:hint="eastAsia"/>
                      <w:color w:val="auto"/>
                      <w:highlight w:val="none"/>
                    </w:rPr>
                    <w:t>严格规划环评审查和项目环评准入</w:t>
                  </w:r>
                </w:p>
              </w:tc>
              <w:tc>
                <w:tcPr>
                  <w:tcW w:w="2565" w:type="dxa"/>
                  <w:vAlign w:val="center"/>
                </w:tcPr>
                <w:p>
                  <w:pPr>
                    <w:pStyle w:val="22"/>
                    <w:rPr>
                      <w:rFonts w:hint="default" w:eastAsiaTheme="minorEastAsia"/>
                      <w:color w:val="auto"/>
                      <w:highlight w:val="none"/>
                      <w:lang w:val="en-US" w:eastAsia="zh-CN"/>
                    </w:rPr>
                  </w:pPr>
                  <w:r>
                    <w:rPr>
                      <w:rFonts w:hint="eastAsia"/>
                      <w:color w:val="auto"/>
                      <w:highlight w:val="none"/>
                    </w:rPr>
                    <w:t>本项目位于</w:t>
                  </w:r>
                  <w:r>
                    <w:rPr>
                      <w:rFonts w:hint="eastAsia"/>
                      <w:color w:val="auto"/>
                      <w:highlight w:val="none"/>
                      <w:lang w:eastAsia="zh-CN"/>
                    </w:rPr>
                    <w:t>二道沟公司厂区</w:t>
                  </w:r>
                  <w:r>
                    <w:rPr>
                      <w:rFonts w:hint="eastAsia"/>
                      <w:color w:val="auto"/>
                      <w:highlight w:val="none"/>
                    </w:rPr>
                    <w:t>内</w:t>
                  </w:r>
                  <w:r>
                    <w:rPr>
                      <w:rFonts w:hint="eastAsia"/>
                      <w:color w:val="auto"/>
                      <w:highlight w:val="none"/>
                      <w:lang w:eastAsia="zh-CN"/>
                    </w:rPr>
                    <w:t>，</w:t>
                  </w:r>
                  <w:r>
                    <w:rPr>
                      <w:rFonts w:hint="eastAsia"/>
                      <w:color w:val="auto"/>
                      <w:highlight w:val="none"/>
                    </w:rPr>
                    <w:t>项目所在地不属于自然保护区和核心区</w:t>
                  </w:r>
                  <w:r>
                    <w:rPr>
                      <w:rFonts w:hint="eastAsia"/>
                      <w:color w:val="auto"/>
                      <w:highlight w:val="none"/>
                      <w:lang w:eastAsia="zh-CN"/>
                    </w:rPr>
                    <w:t>，</w:t>
                  </w:r>
                  <w:r>
                    <w:rPr>
                      <w:rFonts w:hint="eastAsia"/>
                      <w:color w:val="auto"/>
                      <w:highlight w:val="none"/>
                    </w:rPr>
                    <w:t>不涉及生态保护红线</w:t>
                  </w:r>
                  <w:r>
                    <w:rPr>
                      <w:rFonts w:hint="eastAsia"/>
                      <w:color w:val="auto"/>
                      <w:highlight w:val="none"/>
                      <w:lang w:eastAsia="zh-CN"/>
                    </w:rPr>
                    <w:t>，</w:t>
                  </w:r>
                  <w:r>
                    <w:rPr>
                      <w:rFonts w:hint="eastAsia"/>
                      <w:color w:val="auto"/>
                      <w:highlight w:val="none"/>
                    </w:rPr>
                    <w:t>项目已严格落实“三线一单”管控要求</w:t>
                  </w:r>
                  <w:r>
                    <w:rPr>
                      <w:rFonts w:hint="eastAsia"/>
                      <w:color w:val="auto"/>
                      <w:highlight w:val="none"/>
                      <w:lang w:eastAsia="zh-CN"/>
                    </w:rPr>
                    <w:t>，</w:t>
                  </w:r>
                  <w:r>
                    <w:rPr>
                      <w:rFonts w:hint="eastAsia"/>
                      <w:color w:val="auto"/>
                      <w:highlight w:val="none"/>
                    </w:rPr>
                    <w:t>详见表</w:t>
                  </w:r>
                  <w:r>
                    <w:rPr>
                      <w:rFonts w:hint="eastAsia"/>
                      <w:color w:val="auto"/>
                      <w:highlight w:val="none"/>
                      <w:lang w:val="en-US" w:eastAsia="zh-CN"/>
                    </w:rPr>
                    <w:t>15</w:t>
                  </w:r>
                </w:p>
              </w:tc>
              <w:tc>
                <w:tcPr>
                  <w:tcW w:w="741" w:type="dxa"/>
                  <w:vAlign w:val="center"/>
                </w:tcPr>
                <w:p>
                  <w:pPr>
                    <w:pStyle w:val="22"/>
                    <w:rPr>
                      <w:color w:val="auto"/>
                      <w:highlight w:val="none"/>
                    </w:rPr>
                  </w:pPr>
                  <w:r>
                    <w:rPr>
                      <w:rFonts w:hint="eastAsia"/>
                      <w:color w:val="auto"/>
                      <w:highlight w:val="none"/>
                    </w:rPr>
                    <w:t>符合</w:t>
                  </w:r>
                </w:p>
              </w:tc>
            </w:tr>
          </w:tbl>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与《辽宁省“十四五”生态环境保护规划》符合性分析</w:t>
            </w:r>
          </w:p>
          <w:tbl>
            <w:tblPr>
              <w:tblStyle w:val="15"/>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4"/>
              <w:gridCol w:w="3214"/>
              <w:gridCol w:w="2545"/>
              <w:gridCol w:w="7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34" w:type="dxa"/>
                  <w:vAlign w:val="center"/>
                </w:tcPr>
                <w:p>
                  <w:pPr>
                    <w:pStyle w:val="25"/>
                    <w:rPr>
                      <w:rFonts w:hint="default"/>
                      <w:color w:val="auto"/>
                      <w:highlight w:val="none"/>
                    </w:rPr>
                  </w:pPr>
                  <w:r>
                    <w:rPr>
                      <w:color w:val="auto"/>
                      <w:highlight w:val="none"/>
                    </w:rPr>
                    <w:t>序号</w:t>
                  </w:r>
                </w:p>
              </w:tc>
              <w:tc>
                <w:tcPr>
                  <w:tcW w:w="3214" w:type="dxa"/>
                  <w:vAlign w:val="center"/>
                </w:tcPr>
                <w:p>
                  <w:pPr>
                    <w:pStyle w:val="25"/>
                    <w:rPr>
                      <w:rFonts w:hint="default"/>
                      <w:color w:val="auto"/>
                      <w:highlight w:val="none"/>
                    </w:rPr>
                  </w:pPr>
                  <w:r>
                    <w:rPr>
                      <w:color w:val="auto"/>
                      <w:highlight w:val="none"/>
                    </w:rPr>
                    <w:t>分析内容</w:t>
                  </w:r>
                </w:p>
              </w:tc>
              <w:tc>
                <w:tcPr>
                  <w:tcW w:w="2545" w:type="dxa"/>
                  <w:vAlign w:val="center"/>
                </w:tcPr>
                <w:p>
                  <w:pPr>
                    <w:pStyle w:val="25"/>
                    <w:rPr>
                      <w:rFonts w:hint="default"/>
                      <w:color w:val="auto"/>
                      <w:highlight w:val="none"/>
                    </w:rPr>
                  </w:pPr>
                  <w:r>
                    <w:rPr>
                      <w:color w:val="auto"/>
                      <w:highlight w:val="none"/>
                    </w:rPr>
                    <w:t>本项目情况</w:t>
                  </w:r>
                </w:p>
              </w:tc>
              <w:tc>
                <w:tcPr>
                  <w:tcW w:w="741" w:type="dxa"/>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jc w:val="center"/>
              </w:trPr>
              <w:tc>
                <w:tcPr>
                  <w:tcW w:w="934" w:type="dxa"/>
                  <w:vAlign w:val="center"/>
                </w:tcPr>
                <w:p>
                  <w:pPr>
                    <w:pStyle w:val="22"/>
                    <w:rPr>
                      <w:color w:val="auto"/>
                      <w:highlight w:val="none"/>
                    </w:rPr>
                  </w:pPr>
                  <w:r>
                    <w:rPr>
                      <w:rFonts w:hint="eastAsia"/>
                      <w:color w:val="auto"/>
                      <w:highlight w:val="none"/>
                    </w:rPr>
                    <w:t>1.</w:t>
                  </w:r>
                </w:p>
              </w:tc>
              <w:tc>
                <w:tcPr>
                  <w:tcW w:w="3214" w:type="dxa"/>
                  <w:vAlign w:val="center"/>
                </w:tcPr>
                <w:p>
                  <w:pPr>
                    <w:pStyle w:val="22"/>
                    <w:rPr>
                      <w:color w:val="auto"/>
                      <w:highlight w:val="none"/>
                    </w:rPr>
                  </w:pPr>
                  <w:r>
                    <w:rPr>
                      <w:color w:val="auto"/>
                      <w:highlight w:val="none"/>
                    </w:rPr>
                    <w:t>建立生态环境分区管控机制</w:t>
                  </w:r>
                  <w:r>
                    <w:rPr>
                      <w:rFonts w:hint="eastAsia"/>
                      <w:color w:val="auto"/>
                      <w:highlight w:val="none"/>
                      <w:lang w:eastAsia="zh-CN"/>
                    </w:rPr>
                    <w:t>，</w:t>
                  </w:r>
                  <w:r>
                    <w:rPr>
                      <w:color w:val="auto"/>
                      <w:highlight w:val="none"/>
                    </w:rPr>
                    <w:t>强化 “三线一单”生态环境分区管控的约束和政策引领</w:t>
                  </w:r>
                  <w:r>
                    <w:rPr>
                      <w:rFonts w:hint="eastAsia"/>
                      <w:color w:val="auto"/>
                      <w:highlight w:val="none"/>
                      <w:lang w:eastAsia="zh-CN"/>
                    </w:rPr>
                    <w:t>，</w:t>
                  </w:r>
                  <w:r>
                    <w:rPr>
                      <w:color w:val="auto"/>
                      <w:highlight w:val="none"/>
                    </w:rPr>
                    <w:t>应用于相关专项规划编制、产业政策制定、城镇建设、资源开发、建设项目选址、执法监管等方面</w:t>
                  </w:r>
                  <w:r>
                    <w:rPr>
                      <w:rFonts w:hint="eastAsia"/>
                      <w:color w:val="auto"/>
                      <w:highlight w:val="none"/>
                      <w:lang w:eastAsia="zh-CN"/>
                    </w:rPr>
                    <w:t>，</w:t>
                  </w:r>
                  <w:r>
                    <w:rPr>
                      <w:color w:val="auto"/>
                      <w:highlight w:val="none"/>
                    </w:rPr>
                    <w:t>健全完善 “三线一单”分区管控、规划环评审查和建设项目环评审批联动机制</w:t>
                  </w:r>
                </w:p>
              </w:tc>
              <w:tc>
                <w:tcPr>
                  <w:tcW w:w="2545" w:type="dxa"/>
                  <w:vAlign w:val="center"/>
                </w:tcPr>
                <w:p>
                  <w:pPr>
                    <w:pStyle w:val="22"/>
                    <w:rPr>
                      <w:color w:val="auto"/>
                      <w:highlight w:val="none"/>
                    </w:rPr>
                  </w:pPr>
                  <w:r>
                    <w:rPr>
                      <w:rFonts w:hint="eastAsia"/>
                      <w:color w:val="auto"/>
                      <w:highlight w:val="none"/>
                    </w:rPr>
                    <w:t>项目已落实“三线一单”联动机制</w:t>
                  </w:r>
                  <w:r>
                    <w:rPr>
                      <w:rFonts w:hint="eastAsia"/>
                      <w:color w:val="auto"/>
                      <w:highlight w:val="none"/>
                      <w:lang w:eastAsia="zh-CN"/>
                    </w:rPr>
                    <w:t>，</w:t>
                  </w:r>
                  <w:r>
                    <w:rPr>
                      <w:rFonts w:hint="eastAsia"/>
                      <w:color w:val="auto"/>
                      <w:highlight w:val="none"/>
                    </w:rPr>
                    <w:t>本项目属于“优先保护单元”，“朝阳市北票市一般生态空间4”，环境管控单元编码为：ZH21138110006，</w:t>
                  </w:r>
                  <w:r>
                    <w:rPr>
                      <w:color w:val="auto"/>
                      <w:highlight w:val="none"/>
                    </w:rPr>
                    <w:t>本项目严格落实</w:t>
                  </w:r>
                  <w:r>
                    <w:rPr>
                      <w:rFonts w:hint="eastAsia"/>
                      <w:color w:val="auto"/>
                      <w:highlight w:val="none"/>
                    </w:rPr>
                    <w:t>《朝阳市生态环境分区管控动态 更新方案(2023年)》的通告（朝环发(2024)45号）文件</w:t>
                  </w:r>
                  <w:r>
                    <w:rPr>
                      <w:color w:val="auto"/>
                      <w:highlight w:val="none"/>
                    </w:rPr>
                    <w:t>要求</w:t>
                  </w:r>
                </w:p>
              </w:tc>
              <w:tc>
                <w:tcPr>
                  <w:tcW w:w="741" w:type="dxa"/>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atLeast"/>
                <w:jc w:val="center"/>
              </w:trPr>
              <w:tc>
                <w:tcPr>
                  <w:tcW w:w="934" w:type="dxa"/>
                  <w:vAlign w:val="center"/>
                </w:tcPr>
                <w:p>
                  <w:pPr>
                    <w:pStyle w:val="22"/>
                    <w:rPr>
                      <w:color w:val="auto"/>
                      <w:highlight w:val="none"/>
                    </w:rPr>
                  </w:pPr>
                  <w:r>
                    <w:rPr>
                      <w:rFonts w:hint="eastAsia"/>
                      <w:color w:val="auto"/>
                      <w:highlight w:val="none"/>
                    </w:rPr>
                    <w:t>2.</w:t>
                  </w:r>
                </w:p>
              </w:tc>
              <w:tc>
                <w:tcPr>
                  <w:tcW w:w="3214" w:type="dxa"/>
                  <w:vAlign w:val="center"/>
                </w:tcPr>
                <w:p>
                  <w:pPr>
                    <w:pStyle w:val="22"/>
                    <w:rPr>
                      <w:color w:val="auto"/>
                      <w:highlight w:val="none"/>
                    </w:rPr>
                  </w:pPr>
                  <w:r>
                    <w:rPr>
                      <w:color w:val="auto"/>
                      <w:highlight w:val="none"/>
                    </w:rPr>
                    <w:t>全面实行排污许可制</w:t>
                  </w:r>
                  <w:r>
                    <w:rPr>
                      <w:rFonts w:hint="eastAsia"/>
                      <w:color w:val="auto"/>
                      <w:highlight w:val="none"/>
                      <w:lang w:eastAsia="zh-CN"/>
                    </w:rPr>
                    <w:t>，</w:t>
                  </w:r>
                  <w:r>
                    <w:rPr>
                      <w:color w:val="auto"/>
                      <w:highlight w:val="none"/>
                    </w:rPr>
                    <w:t>落实排污许可 “一证式”管理</w:t>
                  </w:r>
                  <w:r>
                    <w:rPr>
                      <w:rFonts w:hint="eastAsia"/>
                      <w:color w:val="auto"/>
                      <w:highlight w:val="none"/>
                      <w:lang w:eastAsia="zh-CN"/>
                    </w:rPr>
                    <w:t>，</w:t>
                  </w:r>
                  <w:r>
                    <w:rPr>
                      <w:color w:val="auto"/>
                      <w:highlight w:val="none"/>
                    </w:rPr>
                    <w:t>推进环境影响评价与排污许可融合.推动总量控制、生态环境统计、生态环境监测、生态环境执法等管理制度衔接</w:t>
                  </w:r>
                  <w:r>
                    <w:rPr>
                      <w:rFonts w:hint="eastAsia"/>
                      <w:color w:val="auto"/>
                      <w:highlight w:val="none"/>
                      <w:lang w:eastAsia="zh-CN"/>
                    </w:rPr>
                    <w:t>，</w:t>
                  </w:r>
                  <w:r>
                    <w:rPr>
                      <w:color w:val="auto"/>
                      <w:highlight w:val="none"/>
                    </w:rPr>
                    <w:t>构建以排污许可制为核心的固定污染源监管制度体系</w:t>
                  </w:r>
                  <w:r>
                    <w:rPr>
                      <w:rFonts w:hint="eastAsia"/>
                      <w:color w:val="auto"/>
                      <w:highlight w:val="none"/>
                    </w:rPr>
                    <w:t>2023</w:t>
                  </w:r>
                  <w:r>
                    <w:rPr>
                      <w:color w:val="auto"/>
                      <w:highlight w:val="none"/>
                    </w:rPr>
                    <w:t>年底前</w:t>
                  </w:r>
                  <w:r>
                    <w:rPr>
                      <w:rFonts w:hint="eastAsia"/>
                      <w:color w:val="auto"/>
                      <w:highlight w:val="none"/>
                      <w:lang w:eastAsia="zh-CN"/>
                    </w:rPr>
                    <w:t>，</w:t>
                  </w:r>
                  <w:r>
                    <w:rPr>
                      <w:color w:val="auto"/>
                      <w:highlight w:val="none"/>
                    </w:rPr>
                    <w:t>实现排污许可证发放企业和登记管理企业复核全覆盖</w:t>
                  </w:r>
                </w:p>
              </w:tc>
              <w:tc>
                <w:tcPr>
                  <w:tcW w:w="2545" w:type="dxa"/>
                  <w:vAlign w:val="center"/>
                </w:tcPr>
                <w:p>
                  <w:pPr>
                    <w:pStyle w:val="22"/>
                    <w:rPr>
                      <w:color w:val="auto"/>
                      <w:highlight w:val="none"/>
                    </w:rPr>
                  </w:pPr>
                  <w:r>
                    <w:rPr>
                      <w:rFonts w:hint="eastAsia"/>
                      <w:color w:val="auto"/>
                      <w:highlight w:val="none"/>
                      <w:lang w:eastAsia="zh-CN"/>
                    </w:rPr>
                    <w:t>二道沟公司已取得排污许可证登记回执，待本项目</w:t>
                  </w:r>
                  <w:r>
                    <w:rPr>
                      <w:rFonts w:hint="eastAsia"/>
                      <w:color w:val="auto"/>
                      <w:highlight w:val="none"/>
                      <w:lang w:val="en-US" w:eastAsia="zh-CN"/>
                    </w:rPr>
                    <w:t>发生实际排污</w:t>
                  </w:r>
                  <w:r>
                    <w:rPr>
                      <w:rFonts w:hint="eastAsia"/>
                      <w:color w:val="auto"/>
                      <w:highlight w:val="none"/>
                      <w:lang w:eastAsia="zh-CN"/>
                    </w:rPr>
                    <w:t>前变更排污许可登记</w:t>
                  </w:r>
                </w:p>
              </w:tc>
              <w:tc>
                <w:tcPr>
                  <w:tcW w:w="741" w:type="dxa"/>
                  <w:vAlign w:val="center"/>
                </w:tcPr>
                <w:p>
                  <w:pPr>
                    <w:pStyle w:val="22"/>
                    <w:rPr>
                      <w:color w:val="auto"/>
                      <w:highlight w:val="none"/>
                    </w:rPr>
                  </w:pPr>
                  <w:r>
                    <w:rPr>
                      <w:rFonts w:hint="eastAsia"/>
                      <w:color w:val="auto"/>
                      <w:highlight w:val="none"/>
                    </w:rPr>
                    <w:t>符合</w:t>
                  </w:r>
                </w:p>
              </w:tc>
            </w:tr>
          </w:tbl>
          <w:p>
            <w:pPr>
              <w:pStyle w:val="23"/>
              <w:numPr>
                <w:ilvl w:val="0"/>
                <w:numId w:val="2"/>
              </w:numPr>
              <w:tabs>
                <w:tab w:val="clear" w:pos="420"/>
                <w:tab w:val="clear" w:pos="6600"/>
              </w:tabs>
              <w:bidi w:val="0"/>
              <w:ind w:left="0" w:leftChars="0" w:firstLine="0" w:firstLineChars="0"/>
              <w:rPr>
                <w:color w:val="auto"/>
                <w:highlight w:val="none"/>
              </w:rPr>
            </w:pPr>
            <w:r>
              <w:rPr>
                <w:rFonts w:hint="eastAsia"/>
                <w:color w:val="auto"/>
                <w:highlight w:val="none"/>
              </w:rPr>
              <w:t xml:space="preserve">   与《朝阳市“十四五”生态环境保护规划》符合性分析</w:t>
            </w:r>
          </w:p>
          <w:tbl>
            <w:tblPr>
              <w:tblStyle w:val="15"/>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6"/>
              <w:gridCol w:w="3172"/>
              <w:gridCol w:w="2565"/>
              <w:gridCol w:w="7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76" w:hRule="atLeast"/>
                <w:jc w:val="center"/>
              </w:trPr>
              <w:tc>
                <w:tcPr>
                  <w:tcW w:w="956" w:type="dxa"/>
                  <w:vAlign w:val="center"/>
                </w:tcPr>
                <w:p>
                  <w:pPr>
                    <w:pStyle w:val="25"/>
                    <w:rPr>
                      <w:rFonts w:hint="default"/>
                      <w:color w:val="auto"/>
                      <w:highlight w:val="none"/>
                    </w:rPr>
                  </w:pPr>
                  <w:r>
                    <w:rPr>
                      <w:color w:val="auto"/>
                      <w:highlight w:val="none"/>
                    </w:rPr>
                    <w:t>序号</w:t>
                  </w:r>
                </w:p>
              </w:tc>
              <w:tc>
                <w:tcPr>
                  <w:tcW w:w="3172" w:type="dxa"/>
                  <w:vAlign w:val="center"/>
                </w:tcPr>
                <w:p>
                  <w:pPr>
                    <w:pStyle w:val="25"/>
                    <w:rPr>
                      <w:rFonts w:hint="default"/>
                      <w:color w:val="auto"/>
                      <w:highlight w:val="none"/>
                    </w:rPr>
                  </w:pPr>
                  <w:r>
                    <w:rPr>
                      <w:color w:val="auto"/>
                      <w:highlight w:val="none"/>
                    </w:rPr>
                    <w:t>分析内容</w:t>
                  </w:r>
                </w:p>
              </w:tc>
              <w:tc>
                <w:tcPr>
                  <w:tcW w:w="2565" w:type="dxa"/>
                  <w:vAlign w:val="center"/>
                </w:tcPr>
                <w:p>
                  <w:pPr>
                    <w:pStyle w:val="25"/>
                    <w:rPr>
                      <w:rFonts w:hint="default"/>
                      <w:color w:val="auto"/>
                      <w:highlight w:val="none"/>
                    </w:rPr>
                  </w:pPr>
                  <w:r>
                    <w:rPr>
                      <w:color w:val="auto"/>
                      <w:highlight w:val="none"/>
                    </w:rPr>
                    <w:t>本项目情况</w:t>
                  </w:r>
                </w:p>
              </w:tc>
              <w:tc>
                <w:tcPr>
                  <w:tcW w:w="741" w:type="dxa"/>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56" w:type="dxa"/>
                  <w:vAlign w:val="center"/>
                </w:tcPr>
                <w:p>
                  <w:pPr>
                    <w:pStyle w:val="22"/>
                    <w:rPr>
                      <w:color w:val="auto"/>
                      <w:highlight w:val="none"/>
                    </w:rPr>
                  </w:pPr>
                  <w:r>
                    <w:rPr>
                      <w:rFonts w:hint="eastAsia"/>
                      <w:color w:val="auto"/>
                      <w:highlight w:val="none"/>
                    </w:rPr>
                    <w:t>1</w:t>
                  </w:r>
                </w:p>
              </w:tc>
              <w:tc>
                <w:tcPr>
                  <w:tcW w:w="3172" w:type="dxa"/>
                  <w:vAlign w:val="center"/>
                </w:tcPr>
                <w:p>
                  <w:pPr>
                    <w:pStyle w:val="22"/>
                    <w:rPr>
                      <w:color w:val="auto"/>
                      <w:highlight w:val="none"/>
                    </w:rPr>
                  </w:pPr>
                  <w:r>
                    <w:rPr>
                      <w:color w:val="auto"/>
                      <w:highlight w:val="none"/>
                    </w:rPr>
                    <w:t>围绕改善水环境</w:t>
                  </w:r>
                  <w:r>
                    <w:rPr>
                      <w:rFonts w:hint="eastAsia"/>
                      <w:color w:val="auto"/>
                      <w:highlight w:val="none"/>
                      <w:lang w:eastAsia="zh-CN"/>
                    </w:rPr>
                    <w:t>，</w:t>
                  </w:r>
                  <w:r>
                    <w:rPr>
                      <w:color w:val="auto"/>
                      <w:highlight w:val="none"/>
                    </w:rPr>
                    <w:t>深入实施水污染防治行动</w:t>
                  </w:r>
                  <w:r>
                    <w:rPr>
                      <w:rFonts w:hint="eastAsia"/>
                      <w:color w:val="auto"/>
                      <w:highlight w:val="none"/>
                      <w:lang w:eastAsia="zh-CN"/>
                    </w:rPr>
                    <w:t>，</w:t>
                  </w:r>
                  <w:r>
                    <w:rPr>
                      <w:color w:val="auto"/>
                      <w:highlight w:val="none"/>
                    </w:rPr>
                    <w:t>加强对集中式饮用水水源保护</w:t>
                  </w:r>
                  <w:r>
                    <w:rPr>
                      <w:rFonts w:hint="eastAsia"/>
                      <w:color w:val="auto"/>
                      <w:highlight w:val="none"/>
                      <w:lang w:eastAsia="zh-CN"/>
                    </w:rPr>
                    <w:t>，</w:t>
                  </w:r>
                  <w:r>
                    <w:rPr>
                      <w:color w:val="auto"/>
                      <w:highlight w:val="none"/>
                    </w:rPr>
                    <w:t>加快入河排污口综合整治</w:t>
                  </w:r>
                  <w:r>
                    <w:rPr>
                      <w:rFonts w:hint="eastAsia"/>
                      <w:color w:val="auto"/>
                      <w:highlight w:val="none"/>
                      <w:lang w:eastAsia="zh-CN"/>
                    </w:rPr>
                    <w:t>，</w:t>
                  </w:r>
                  <w:r>
                    <w:rPr>
                      <w:color w:val="auto"/>
                      <w:highlight w:val="none"/>
                    </w:rPr>
                    <w:t>严格落实河长制</w:t>
                  </w:r>
                  <w:r>
                    <w:rPr>
                      <w:rFonts w:hint="eastAsia"/>
                      <w:color w:val="auto"/>
                      <w:highlight w:val="none"/>
                      <w:lang w:eastAsia="zh-CN"/>
                    </w:rPr>
                    <w:t>，</w:t>
                  </w:r>
                  <w:r>
                    <w:rPr>
                      <w:color w:val="auto"/>
                      <w:highlight w:val="none"/>
                    </w:rPr>
                    <w:t>推动城镇污水管网建设和改造</w:t>
                  </w:r>
                  <w:r>
                    <w:rPr>
                      <w:rFonts w:hint="eastAsia"/>
                      <w:color w:val="auto"/>
                      <w:highlight w:val="none"/>
                      <w:lang w:eastAsia="zh-CN"/>
                    </w:rPr>
                    <w:t>，</w:t>
                  </w:r>
                  <w:r>
                    <w:rPr>
                      <w:color w:val="auto"/>
                      <w:highlight w:val="none"/>
                    </w:rPr>
                    <w:t>强化城中村、老旧城区和城乡结合部污水截流、收集、纳管工作</w:t>
                  </w:r>
                  <w:r>
                    <w:rPr>
                      <w:rFonts w:hint="eastAsia"/>
                      <w:color w:val="auto"/>
                      <w:highlight w:val="none"/>
                      <w:lang w:eastAsia="zh-CN"/>
                    </w:rPr>
                    <w:t>，</w:t>
                  </w:r>
                  <w:r>
                    <w:rPr>
                      <w:color w:val="auto"/>
                      <w:highlight w:val="none"/>
                    </w:rPr>
                    <w:t>实施凤凰谷环境综合治理项目、榆树林沟环境综合治理等项目</w:t>
                  </w:r>
                  <w:r>
                    <w:rPr>
                      <w:rFonts w:hint="eastAsia"/>
                      <w:color w:val="auto"/>
                      <w:highlight w:val="none"/>
                      <w:lang w:eastAsia="zh-CN"/>
                    </w:rPr>
                    <w:t>，</w:t>
                  </w:r>
                  <w:r>
                    <w:rPr>
                      <w:color w:val="auto"/>
                      <w:highlight w:val="none"/>
                    </w:rPr>
                    <w:t>不断提升水环境质量；实施大凌河上游（阎王鼻水库以上）以及青龙河流域河滨生态带、河口湿地修复工程</w:t>
                  </w:r>
                  <w:r>
                    <w:rPr>
                      <w:rFonts w:hint="eastAsia"/>
                      <w:color w:val="auto"/>
                      <w:highlight w:val="none"/>
                      <w:lang w:eastAsia="zh-CN"/>
                    </w:rPr>
                    <w:t>，</w:t>
                  </w:r>
                  <w:r>
                    <w:rPr>
                      <w:color w:val="auto"/>
                      <w:highlight w:val="none"/>
                    </w:rPr>
                    <w:t>水土保持、水源涵养及污染阻控能力进一步提升</w:t>
                  </w:r>
                </w:p>
              </w:tc>
              <w:tc>
                <w:tcPr>
                  <w:tcW w:w="2565" w:type="dxa"/>
                  <w:vAlign w:val="center"/>
                </w:tcPr>
                <w:p>
                  <w:pPr>
                    <w:pStyle w:val="22"/>
                    <w:rPr>
                      <w:color w:val="auto"/>
                      <w:highlight w:val="none"/>
                    </w:rPr>
                  </w:pPr>
                  <w:r>
                    <w:rPr>
                      <w:rFonts w:hint="eastAsia"/>
                      <w:color w:val="auto"/>
                      <w:highlight w:val="none"/>
                      <w:lang w:val="en-US" w:eastAsia="zh-CN"/>
                    </w:rPr>
                    <w:t>项目无生产废水产生及排放；本项目员工为原有职工调配，不新增职工，无新增生活污水</w:t>
                  </w:r>
                </w:p>
              </w:tc>
              <w:tc>
                <w:tcPr>
                  <w:tcW w:w="741" w:type="dxa"/>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5" w:hRule="atLeast"/>
                <w:jc w:val="center"/>
              </w:trPr>
              <w:tc>
                <w:tcPr>
                  <w:tcW w:w="956" w:type="dxa"/>
                  <w:vAlign w:val="center"/>
                </w:tcPr>
                <w:p>
                  <w:pPr>
                    <w:pStyle w:val="22"/>
                    <w:rPr>
                      <w:color w:val="auto"/>
                      <w:highlight w:val="none"/>
                    </w:rPr>
                  </w:pPr>
                  <w:r>
                    <w:rPr>
                      <w:rFonts w:hint="eastAsia"/>
                      <w:color w:val="auto"/>
                      <w:highlight w:val="none"/>
                    </w:rPr>
                    <w:t>2</w:t>
                  </w:r>
                </w:p>
              </w:tc>
              <w:tc>
                <w:tcPr>
                  <w:tcW w:w="3172" w:type="dxa"/>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落实危险固体废物申报登记、转移联单和经营许可证制度</w:t>
                  </w:r>
                  <w:r>
                    <w:rPr>
                      <w:rFonts w:hint="eastAsia"/>
                      <w:color w:val="auto"/>
                      <w:highlight w:val="none"/>
                      <w:lang w:eastAsia="zh-CN"/>
                    </w:rPr>
                    <w:t>，</w:t>
                  </w:r>
                  <w:r>
                    <w:rPr>
                      <w:rFonts w:hint="eastAsia"/>
                      <w:color w:val="auto"/>
                      <w:highlight w:val="none"/>
                    </w:rPr>
                    <w:t>严格危废和医疗废物收集、贮存、转移、利用、处置全过程监管。加快城乡垃圾处理设施建设</w:t>
                  </w:r>
                  <w:r>
                    <w:rPr>
                      <w:rFonts w:hint="eastAsia"/>
                      <w:color w:val="auto"/>
                      <w:highlight w:val="none"/>
                      <w:lang w:eastAsia="zh-CN"/>
                    </w:rPr>
                    <w:t>，</w:t>
                  </w:r>
                  <w:r>
                    <w:rPr>
                      <w:rFonts w:hint="eastAsia"/>
                      <w:color w:val="auto"/>
                      <w:highlight w:val="none"/>
                    </w:rPr>
                    <w:t>规范建设建筑垃圾处理消纳场</w:t>
                  </w:r>
                  <w:r>
                    <w:rPr>
                      <w:rFonts w:hint="eastAsia"/>
                      <w:color w:val="auto"/>
                      <w:highlight w:val="none"/>
                      <w:lang w:eastAsia="zh-CN"/>
                    </w:rPr>
                    <w:t>，</w:t>
                  </w:r>
                  <w:r>
                    <w:rPr>
                      <w:rFonts w:hint="eastAsia"/>
                      <w:color w:val="auto"/>
                      <w:highlight w:val="none"/>
                    </w:rPr>
                    <w:t>推进建筑垃圾循环利用。逐步取消城区现有小散乱的垃圾中转站</w:t>
                  </w:r>
                  <w:r>
                    <w:rPr>
                      <w:rFonts w:hint="eastAsia"/>
                      <w:color w:val="auto"/>
                      <w:highlight w:val="none"/>
                      <w:lang w:eastAsia="zh-CN"/>
                    </w:rPr>
                    <w:t>，</w:t>
                  </w:r>
                  <w:r>
                    <w:rPr>
                      <w:rFonts w:hint="eastAsia"/>
                      <w:color w:val="auto"/>
                      <w:highlight w:val="none"/>
                    </w:rPr>
                    <w:t>统一规划建设一批大型综合垃圾收集中转站。搞好餐厨垃圾处理、粪便无害化处理、城区垃圾分类一体化项目建设</w:t>
                  </w:r>
                  <w:r>
                    <w:rPr>
                      <w:rFonts w:hint="eastAsia"/>
                      <w:color w:val="auto"/>
                      <w:highlight w:val="none"/>
                      <w:lang w:eastAsia="zh-CN"/>
                    </w:rPr>
                    <w:t>，</w:t>
                  </w:r>
                  <w:r>
                    <w:rPr>
                      <w:rFonts w:hint="eastAsia"/>
                      <w:color w:val="auto"/>
                      <w:highlight w:val="none"/>
                    </w:rPr>
                    <w:t>开展生活垃圾分类投放、收运和处理试点</w:t>
                  </w:r>
                  <w:r>
                    <w:rPr>
                      <w:rFonts w:hint="eastAsia"/>
                      <w:color w:val="auto"/>
                      <w:highlight w:val="none"/>
                      <w:lang w:eastAsia="zh-CN"/>
                    </w:rPr>
                    <w:t>，</w:t>
                  </w:r>
                  <w:r>
                    <w:rPr>
                      <w:rFonts w:hint="eastAsia"/>
                      <w:color w:val="auto"/>
                      <w:highlight w:val="none"/>
                    </w:rPr>
                    <w:t>建设再生资源循环经济产业园</w:t>
                  </w:r>
                  <w:r>
                    <w:rPr>
                      <w:rFonts w:hint="eastAsia"/>
                      <w:color w:val="auto"/>
                      <w:highlight w:val="none"/>
                      <w:lang w:eastAsia="zh-CN"/>
                    </w:rPr>
                    <w:t>，</w:t>
                  </w:r>
                  <w:r>
                    <w:rPr>
                      <w:rFonts w:hint="eastAsia"/>
                      <w:color w:val="auto"/>
                      <w:highlight w:val="none"/>
                    </w:rPr>
                    <w:t>促进垃圾源头减量化、资源化利用</w:t>
                  </w:r>
                </w:p>
              </w:tc>
              <w:tc>
                <w:tcPr>
                  <w:tcW w:w="2565" w:type="dxa"/>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本项目收集、贮存、转移等进行全过程监管</w:t>
                  </w:r>
                  <w:r>
                    <w:rPr>
                      <w:rFonts w:hint="eastAsia"/>
                      <w:color w:val="auto"/>
                      <w:highlight w:val="none"/>
                      <w:lang w:eastAsia="zh-CN"/>
                    </w:rPr>
                    <w:t>，</w:t>
                  </w:r>
                  <w:r>
                    <w:rPr>
                      <w:rFonts w:hint="eastAsia"/>
                      <w:color w:val="auto"/>
                      <w:highlight w:val="none"/>
                    </w:rPr>
                    <w:t>做到出入可查</w:t>
                  </w:r>
                </w:p>
              </w:tc>
              <w:tc>
                <w:tcPr>
                  <w:tcW w:w="741" w:type="dxa"/>
                  <w:vAlign w:val="center"/>
                </w:tcPr>
                <w:p>
                  <w:pPr>
                    <w:pStyle w:val="22"/>
                    <w:rPr>
                      <w:color w:val="auto"/>
                      <w:highlight w:val="none"/>
                    </w:rPr>
                  </w:pPr>
                  <w:r>
                    <w:rPr>
                      <w:rFonts w:hint="eastAsia"/>
                      <w:color w:val="auto"/>
                      <w:highlight w:val="none"/>
                    </w:rPr>
                    <w:t>符合</w:t>
                  </w:r>
                </w:p>
              </w:tc>
            </w:tr>
          </w:tbl>
          <w:p>
            <w:pPr>
              <w:pStyle w:val="23"/>
              <w:numPr>
                <w:ilvl w:val="0"/>
                <w:numId w:val="2"/>
              </w:numPr>
              <w:tabs>
                <w:tab w:val="clear" w:pos="420"/>
                <w:tab w:val="clear" w:pos="6600"/>
              </w:tabs>
              <w:bidi w:val="0"/>
              <w:ind w:left="0" w:leftChars="0" w:firstLine="0" w:firstLineChars="0"/>
              <w:rPr>
                <w:color w:val="auto"/>
                <w:highlight w:val="none"/>
              </w:rPr>
            </w:pPr>
            <w:r>
              <w:rPr>
                <w:rFonts w:hint="eastAsia"/>
                <w:color w:val="auto"/>
                <w:highlight w:val="none"/>
              </w:rPr>
              <w:t xml:space="preserve">   与《“十四五”噪声污染防治行动计划》符合性分析</w:t>
            </w:r>
          </w:p>
          <w:tbl>
            <w:tblPr>
              <w:tblStyle w:val="15"/>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8"/>
              <w:gridCol w:w="3149"/>
              <w:gridCol w:w="2403"/>
              <w:gridCol w:w="9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76" w:hRule="atLeast"/>
                <w:jc w:val="center"/>
              </w:trPr>
              <w:tc>
                <w:tcPr>
                  <w:tcW w:w="978" w:type="dxa"/>
                  <w:vAlign w:val="center"/>
                </w:tcPr>
                <w:p>
                  <w:pPr>
                    <w:pStyle w:val="25"/>
                    <w:rPr>
                      <w:rFonts w:hint="default"/>
                      <w:color w:val="auto"/>
                      <w:highlight w:val="none"/>
                    </w:rPr>
                  </w:pPr>
                  <w:r>
                    <w:rPr>
                      <w:color w:val="auto"/>
                      <w:highlight w:val="none"/>
                    </w:rPr>
                    <w:t>序号</w:t>
                  </w:r>
                </w:p>
              </w:tc>
              <w:tc>
                <w:tcPr>
                  <w:tcW w:w="3149" w:type="dxa"/>
                  <w:vAlign w:val="center"/>
                </w:tcPr>
                <w:p>
                  <w:pPr>
                    <w:pStyle w:val="25"/>
                    <w:rPr>
                      <w:rFonts w:hint="default"/>
                      <w:color w:val="auto"/>
                      <w:highlight w:val="none"/>
                    </w:rPr>
                  </w:pPr>
                  <w:r>
                    <w:rPr>
                      <w:color w:val="auto"/>
                      <w:highlight w:val="none"/>
                    </w:rPr>
                    <w:t>分析内容</w:t>
                  </w:r>
                </w:p>
              </w:tc>
              <w:tc>
                <w:tcPr>
                  <w:tcW w:w="2403" w:type="dxa"/>
                  <w:vAlign w:val="center"/>
                </w:tcPr>
                <w:p>
                  <w:pPr>
                    <w:pStyle w:val="25"/>
                    <w:rPr>
                      <w:rFonts w:hint="default"/>
                      <w:color w:val="auto"/>
                      <w:highlight w:val="none"/>
                    </w:rPr>
                  </w:pPr>
                  <w:r>
                    <w:rPr>
                      <w:color w:val="auto"/>
                      <w:highlight w:val="none"/>
                    </w:rPr>
                    <w:t>本项目情况</w:t>
                  </w:r>
                </w:p>
              </w:tc>
              <w:tc>
                <w:tcPr>
                  <w:tcW w:w="904" w:type="dxa"/>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26" w:hRule="atLeast"/>
                <w:jc w:val="center"/>
              </w:trPr>
              <w:tc>
                <w:tcPr>
                  <w:tcW w:w="978" w:type="dxa"/>
                  <w:vAlign w:val="center"/>
                </w:tcPr>
                <w:p>
                  <w:pPr>
                    <w:pStyle w:val="22"/>
                    <w:rPr>
                      <w:color w:val="auto"/>
                      <w:highlight w:val="none"/>
                    </w:rPr>
                  </w:pPr>
                  <w:r>
                    <w:rPr>
                      <w:rFonts w:hint="eastAsia"/>
                      <w:color w:val="auto"/>
                      <w:highlight w:val="none"/>
                    </w:rPr>
                    <w:t>1</w:t>
                  </w:r>
                </w:p>
              </w:tc>
              <w:tc>
                <w:tcPr>
                  <w:tcW w:w="3149" w:type="dxa"/>
                  <w:vAlign w:val="center"/>
                </w:tcPr>
                <w:p>
                  <w:pPr>
                    <w:pStyle w:val="22"/>
                    <w:rPr>
                      <w:color w:val="auto"/>
                      <w:highlight w:val="none"/>
                    </w:rPr>
                  </w:pPr>
                  <w:r>
                    <w:rPr>
                      <w:color w:val="auto"/>
                      <w:highlight w:val="none"/>
                    </w:rPr>
                    <w:t>严格落实噪声污染防治要求。制定修改相关规划、建设对环境有影响的项目时</w:t>
                  </w:r>
                  <w:r>
                    <w:rPr>
                      <w:rFonts w:hint="eastAsia"/>
                      <w:color w:val="auto"/>
                      <w:highlight w:val="none"/>
                      <w:lang w:eastAsia="zh-CN"/>
                    </w:rPr>
                    <w:t>，</w:t>
                  </w:r>
                  <w:r>
                    <w:rPr>
                      <w:color w:val="auto"/>
                      <w:highlight w:val="none"/>
                    </w:rPr>
                    <w:t>应依法开展环评</w:t>
                  </w:r>
                  <w:r>
                    <w:rPr>
                      <w:rFonts w:hint="eastAsia"/>
                      <w:color w:val="auto"/>
                      <w:highlight w:val="none"/>
                      <w:lang w:eastAsia="zh-CN"/>
                    </w:rPr>
                    <w:t>，</w:t>
                  </w:r>
                  <w:r>
                    <w:rPr>
                      <w:color w:val="auto"/>
                      <w:highlight w:val="none"/>
                    </w:rPr>
                    <w:t>对可能产生噪声与振动的影响进行分析、预测和评估</w:t>
                  </w:r>
                  <w:r>
                    <w:rPr>
                      <w:rFonts w:hint="eastAsia"/>
                      <w:color w:val="auto"/>
                      <w:highlight w:val="none"/>
                      <w:lang w:eastAsia="zh-CN"/>
                    </w:rPr>
                    <w:t>，</w:t>
                  </w:r>
                  <w:r>
                    <w:rPr>
                      <w:color w:val="auto"/>
                      <w:highlight w:val="none"/>
                    </w:rPr>
                    <w:t>积极采取噪声污染防治对策措施。建设项目的噪声污染防治设施应当与主体工程同时设计、同时施工、同时投产使用。督促建设单位依法开展竣工环境保护验收</w:t>
                  </w:r>
                  <w:r>
                    <w:rPr>
                      <w:rFonts w:hint="eastAsia"/>
                      <w:color w:val="auto"/>
                      <w:highlight w:val="none"/>
                      <w:lang w:eastAsia="zh-CN"/>
                    </w:rPr>
                    <w:t>，</w:t>
                  </w:r>
                  <w:r>
                    <w:rPr>
                      <w:color w:val="auto"/>
                      <w:highlight w:val="none"/>
                    </w:rPr>
                    <w:t>加大事中事后监管力度</w:t>
                  </w:r>
                  <w:r>
                    <w:rPr>
                      <w:rFonts w:hint="eastAsia"/>
                      <w:color w:val="auto"/>
                      <w:highlight w:val="none"/>
                      <w:lang w:eastAsia="zh-CN"/>
                    </w:rPr>
                    <w:t>，</w:t>
                  </w:r>
                  <w:r>
                    <w:rPr>
                      <w:color w:val="auto"/>
                      <w:highlight w:val="none"/>
                    </w:rPr>
                    <w:t>确保各项措施落地见效</w:t>
                  </w:r>
                </w:p>
              </w:tc>
              <w:tc>
                <w:tcPr>
                  <w:tcW w:w="2403" w:type="dxa"/>
                  <w:vAlign w:val="center"/>
                </w:tcPr>
                <w:p>
                  <w:pPr>
                    <w:pStyle w:val="22"/>
                    <w:rPr>
                      <w:color w:val="auto"/>
                      <w:highlight w:val="none"/>
                    </w:rPr>
                  </w:pPr>
                  <w:r>
                    <w:rPr>
                      <w:rFonts w:hint="eastAsia"/>
                      <w:color w:val="auto"/>
                      <w:highlight w:val="none"/>
                    </w:rPr>
                    <w:t>本项目通过选用低噪声设备、</w:t>
                  </w:r>
                  <w:r>
                    <w:rPr>
                      <w:rFonts w:hint="eastAsia"/>
                      <w:color w:val="auto"/>
                      <w:highlight w:val="none"/>
                      <w:lang w:eastAsia="zh-CN"/>
                    </w:rPr>
                    <w:t>基础减振</w:t>
                  </w:r>
                  <w:r>
                    <w:rPr>
                      <w:rFonts w:hint="eastAsia"/>
                      <w:color w:val="auto"/>
                      <w:highlight w:val="none"/>
                    </w:rPr>
                    <w:t>等措施减少噪声排放</w:t>
                  </w:r>
                  <w:r>
                    <w:rPr>
                      <w:rFonts w:hint="eastAsia"/>
                      <w:color w:val="auto"/>
                      <w:highlight w:val="none"/>
                      <w:lang w:eastAsia="zh-CN"/>
                    </w:rPr>
                    <w:t>，</w:t>
                  </w:r>
                  <w:r>
                    <w:rPr>
                      <w:rFonts w:hint="eastAsia"/>
                      <w:color w:val="auto"/>
                      <w:highlight w:val="none"/>
                    </w:rPr>
                    <w:t>本项目通过采取一系列降噪措施可以达到《工业企业厂界环境噪声排放标准》（GB12348-2008）中</w:t>
                  </w:r>
                  <w:r>
                    <w:rPr>
                      <w:rFonts w:hint="eastAsia"/>
                      <w:color w:val="auto"/>
                      <w:highlight w:val="none"/>
                      <w:lang w:val="en-US" w:eastAsia="zh-CN"/>
                    </w:rPr>
                    <w:t>2</w:t>
                  </w:r>
                  <w:r>
                    <w:rPr>
                      <w:rFonts w:hint="eastAsia"/>
                      <w:color w:val="auto"/>
                      <w:highlight w:val="none"/>
                    </w:rPr>
                    <w:t>类标准要求</w:t>
                  </w:r>
                </w:p>
              </w:tc>
              <w:tc>
                <w:tcPr>
                  <w:tcW w:w="904" w:type="dxa"/>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47" w:hRule="atLeast"/>
                <w:jc w:val="center"/>
              </w:trPr>
              <w:tc>
                <w:tcPr>
                  <w:tcW w:w="978" w:type="dxa"/>
                  <w:vAlign w:val="center"/>
                </w:tcPr>
                <w:p>
                  <w:pPr>
                    <w:pStyle w:val="22"/>
                    <w:rPr>
                      <w:color w:val="auto"/>
                      <w:highlight w:val="none"/>
                    </w:rPr>
                  </w:pPr>
                  <w:r>
                    <w:rPr>
                      <w:rFonts w:hint="eastAsia"/>
                      <w:color w:val="auto"/>
                      <w:highlight w:val="none"/>
                    </w:rPr>
                    <w:t>2</w:t>
                  </w:r>
                </w:p>
              </w:tc>
              <w:tc>
                <w:tcPr>
                  <w:tcW w:w="3149" w:type="dxa"/>
                  <w:vAlign w:val="center"/>
                </w:tcPr>
                <w:p>
                  <w:pPr>
                    <w:pStyle w:val="22"/>
                    <w:rPr>
                      <w:color w:val="auto"/>
                      <w:highlight w:val="none"/>
                    </w:rPr>
                  </w:pPr>
                  <w:r>
                    <w:rPr>
                      <w:color w:val="auto"/>
                      <w:highlight w:val="none"/>
                    </w:rPr>
                    <w:t>推进工业噪声实施排污许可和重点排污单位管理。发布工业噪声排污许可证申请与核发技术规范</w:t>
                  </w:r>
                  <w:r>
                    <w:rPr>
                      <w:rFonts w:hint="eastAsia"/>
                      <w:color w:val="auto"/>
                      <w:highlight w:val="none"/>
                      <w:lang w:eastAsia="zh-CN"/>
                    </w:rPr>
                    <w:t>，</w:t>
                  </w:r>
                  <w:r>
                    <w:rPr>
                      <w:color w:val="auto"/>
                      <w:highlight w:val="none"/>
                    </w:rPr>
                    <w:t>依法核发排污许可证或进行排污登记</w:t>
                  </w:r>
                  <w:r>
                    <w:rPr>
                      <w:rFonts w:hint="eastAsia"/>
                      <w:color w:val="auto"/>
                      <w:highlight w:val="none"/>
                      <w:lang w:eastAsia="zh-CN"/>
                    </w:rPr>
                    <w:t>，</w:t>
                  </w:r>
                  <w:r>
                    <w:rPr>
                      <w:color w:val="auto"/>
                      <w:highlight w:val="none"/>
                    </w:rPr>
                    <w:t>并加强监管；实行排污许可管理的单位依证排污</w:t>
                  </w:r>
                  <w:r>
                    <w:rPr>
                      <w:rFonts w:hint="eastAsia"/>
                      <w:color w:val="auto"/>
                      <w:highlight w:val="none"/>
                      <w:lang w:eastAsia="zh-CN"/>
                    </w:rPr>
                    <w:t>，</w:t>
                  </w:r>
                  <w:r>
                    <w:rPr>
                      <w:color w:val="auto"/>
                      <w:highlight w:val="none"/>
                    </w:rPr>
                    <w:t>按照规定开展自行监测并向社会公开</w:t>
                  </w:r>
                </w:p>
              </w:tc>
              <w:tc>
                <w:tcPr>
                  <w:tcW w:w="2403" w:type="dxa"/>
                  <w:vAlign w:val="center"/>
                </w:tcPr>
                <w:p>
                  <w:pPr>
                    <w:pStyle w:val="22"/>
                    <w:rPr>
                      <w:color w:val="auto"/>
                      <w:highlight w:val="none"/>
                    </w:rPr>
                  </w:pPr>
                  <w:r>
                    <w:rPr>
                      <w:rFonts w:hint="eastAsia"/>
                      <w:color w:val="auto"/>
                      <w:highlight w:val="none"/>
                      <w:lang w:eastAsia="zh-CN"/>
                    </w:rPr>
                    <w:t>二道沟公司已取得排污许可证登记回执，待本项目</w:t>
                  </w:r>
                  <w:r>
                    <w:rPr>
                      <w:rFonts w:hint="eastAsia"/>
                      <w:color w:val="auto"/>
                      <w:highlight w:val="none"/>
                      <w:lang w:val="en-US" w:eastAsia="zh-CN"/>
                    </w:rPr>
                    <w:t>发生实际排污</w:t>
                  </w:r>
                  <w:r>
                    <w:rPr>
                      <w:rFonts w:hint="eastAsia"/>
                      <w:color w:val="auto"/>
                      <w:highlight w:val="none"/>
                      <w:lang w:eastAsia="zh-CN"/>
                    </w:rPr>
                    <w:t>前变更排污许可登记，排污许可证已</w:t>
                  </w:r>
                  <w:r>
                    <w:rPr>
                      <w:rFonts w:hint="eastAsia"/>
                      <w:color w:val="auto"/>
                      <w:highlight w:val="none"/>
                    </w:rPr>
                    <w:t>落实噪声排污管理</w:t>
                  </w:r>
                </w:p>
              </w:tc>
              <w:tc>
                <w:tcPr>
                  <w:tcW w:w="904" w:type="dxa"/>
                  <w:vAlign w:val="center"/>
                </w:tcPr>
                <w:p>
                  <w:pPr>
                    <w:pStyle w:val="22"/>
                    <w:rPr>
                      <w:color w:val="auto"/>
                      <w:highlight w:val="none"/>
                    </w:rPr>
                  </w:pPr>
                  <w:r>
                    <w:rPr>
                      <w:rFonts w:hint="eastAsia"/>
                      <w:color w:val="auto"/>
                      <w:highlight w:val="none"/>
                    </w:rPr>
                    <w:t>符合</w:t>
                  </w:r>
                </w:p>
              </w:tc>
            </w:tr>
          </w:tbl>
          <w:p>
            <w:pPr>
              <w:pStyle w:val="12"/>
              <w:ind w:firstLine="480"/>
              <w:rPr>
                <w:color w:val="auto"/>
                <w:highlight w:val="none"/>
              </w:rPr>
            </w:pPr>
            <w:r>
              <w:rPr>
                <w:color w:val="auto"/>
                <w:highlight w:val="none"/>
              </w:rPr>
              <w:t>综上所述</w:t>
            </w:r>
            <w:r>
              <w:rPr>
                <w:rFonts w:hint="eastAsia"/>
                <w:color w:val="auto"/>
                <w:highlight w:val="none"/>
                <w:lang w:eastAsia="zh-CN"/>
              </w:rPr>
              <w:t>，</w:t>
            </w:r>
            <w:r>
              <w:rPr>
                <w:color w:val="auto"/>
                <w:highlight w:val="none"/>
              </w:rPr>
              <w:t>本项目</w:t>
            </w:r>
            <w:r>
              <w:rPr>
                <w:rFonts w:hint="eastAsia"/>
                <w:color w:val="auto"/>
                <w:highlight w:val="none"/>
              </w:rPr>
              <w:t>均符合以上政策</w:t>
            </w:r>
            <w:r>
              <w:rPr>
                <w:color w:val="auto"/>
                <w:highlight w:val="none"/>
              </w:rPr>
              <w:t>。</w:t>
            </w:r>
          </w:p>
          <w:p>
            <w:pPr>
              <w:pStyle w:val="27"/>
              <w:ind w:firstLine="482"/>
              <w:rPr>
                <w:rFonts w:hint="default"/>
                <w:color w:val="auto"/>
                <w:highlight w:val="none"/>
              </w:rPr>
            </w:pPr>
            <w:r>
              <w:rPr>
                <w:color w:val="auto"/>
                <w:highlight w:val="none"/>
              </w:rPr>
              <w:t>4.与朝阳市“三线一单”符合性分析</w:t>
            </w:r>
          </w:p>
          <w:p>
            <w:pPr>
              <w:pStyle w:val="12"/>
              <w:ind w:firstLine="480"/>
              <w:rPr>
                <w:rFonts w:hint="eastAsia"/>
                <w:color w:val="auto"/>
                <w:highlight w:val="none"/>
              </w:rPr>
            </w:pPr>
            <w:r>
              <w:rPr>
                <w:rFonts w:hint="eastAsia"/>
                <w:color w:val="auto"/>
                <w:highlight w:val="none"/>
              </w:rPr>
              <w:t>根据《关于以改善环境质量为核心加强环境影响评价管理的通知》（环环评〔2016〕150号），为适应以改善环境质量为核心的环境管理要求，切实加强环境影响评价管理，落实“生态保护红线、环境质量底线、资源利用上线和生态环境准入清单”（以下简称“三线一单”）约束，建立项目环评审批与规划环评、现有项目环境管理、区域环境质量联动机制，更好地发挥环评制度从源头防范环境污染和生态破坏的作用，加快推进改善环境质量。</w:t>
            </w:r>
          </w:p>
          <w:p>
            <w:pPr>
              <w:pStyle w:val="12"/>
              <w:ind w:firstLine="480"/>
              <w:rPr>
                <w:rFonts w:hint="eastAsia"/>
                <w:color w:val="auto"/>
                <w:highlight w:val="none"/>
              </w:rPr>
            </w:pPr>
            <w:r>
              <w:rPr>
                <w:rFonts w:hint="eastAsia"/>
                <w:color w:val="auto"/>
                <w:highlight w:val="none"/>
              </w:rPr>
              <w:t>根据《朝阳市生态环境分区管控动态 更新方案(2023年)》的通告（朝环发(2024)45号）文件</w:t>
            </w:r>
            <w:r>
              <w:rPr>
                <w:rFonts w:hint="eastAsia"/>
                <w:color w:val="auto"/>
                <w:highlight w:val="none"/>
                <w:lang w:eastAsia="zh-CN"/>
              </w:rPr>
              <w:t>，</w:t>
            </w:r>
            <w:r>
              <w:rPr>
                <w:rFonts w:hint="eastAsia"/>
                <w:color w:val="auto"/>
                <w:highlight w:val="none"/>
              </w:rPr>
              <w:t>本项目属于“</w:t>
            </w:r>
            <w:r>
              <w:rPr>
                <w:rFonts w:hint="eastAsia"/>
                <w:color w:val="auto"/>
                <w:highlight w:val="none"/>
                <w:lang w:eastAsia="zh-CN"/>
              </w:rPr>
              <w:t>优先保护</w:t>
            </w:r>
            <w:r>
              <w:rPr>
                <w:rFonts w:hint="eastAsia"/>
                <w:color w:val="auto"/>
                <w:highlight w:val="none"/>
              </w:rPr>
              <w:t>单元”</w:t>
            </w:r>
            <w:r>
              <w:rPr>
                <w:rFonts w:hint="eastAsia"/>
                <w:color w:val="auto"/>
                <w:highlight w:val="none"/>
                <w:lang w:eastAsia="zh-CN"/>
              </w:rPr>
              <w:t>，“朝阳市北票市一般生态空间4”，</w:t>
            </w:r>
            <w:r>
              <w:rPr>
                <w:rFonts w:hint="eastAsia"/>
                <w:color w:val="auto"/>
                <w:highlight w:val="none"/>
              </w:rPr>
              <w:t>环境管控单元编码为：</w:t>
            </w:r>
            <w:r>
              <w:rPr>
                <w:rFonts w:hint="eastAsia"/>
                <w:color w:val="auto"/>
                <w:highlight w:val="none"/>
                <w:lang w:eastAsia="zh-CN"/>
              </w:rPr>
              <w:t>ZH21138110006，</w:t>
            </w:r>
            <w:r>
              <w:rPr>
                <w:rFonts w:hint="eastAsia"/>
                <w:color w:val="auto"/>
                <w:highlight w:val="none"/>
              </w:rPr>
              <w:t>见附件</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本项目与“三线一单”及朝政发〔2021〕13号符合性分析详见</w:t>
            </w:r>
            <w:r>
              <w:rPr>
                <w:rFonts w:hint="eastAsia"/>
                <w:color w:val="auto"/>
                <w:highlight w:val="none"/>
                <w:lang w:eastAsia="zh-CN"/>
              </w:rPr>
              <w:t>下表</w:t>
            </w:r>
            <w:r>
              <w:rPr>
                <w:rFonts w:hint="eastAsia"/>
                <w:color w:val="auto"/>
                <w:highlight w:val="none"/>
              </w:rPr>
              <w:t>。</w:t>
            </w:r>
          </w:p>
          <w:p>
            <w:pPr>
              <w:pStyle w:val="23"/>
              <w:numPr>
                <w:ilvl w:val="0"/>
                <w:numId w:val="2"/>
              </w:numPr>
              <w:tabs>
                <w:tab w:val="clear" w:pos="420"/>
                <w:tab w:val="clear" w:pos="6600"/>
              </w:tabs>
              <w:bidi w:val="0"/>
              <w:ind w:left="0" w:leftChars="0" w:firstLine="0" w:firstLineChars="0"/>
              <w:rPr>
                <w:color w:val="auto"/>
                <w:highlight w:val="none"/>
              </w:rPr>
            </w:pPr>
            <w:r>
              <w:rPr>
                <w:rFonts w:hint="eastAsia"/>
                <w:color w:val="auto"/>
                <w:highlight w:val="none"/>
              </w:rPr>
              <w:t xml:space="preserve">   </w:t>
            </w:r>
            <w:r>
              <w:rPr>
                <w:color w:val="auto"/>
                <w:highlight w:val="none"/>
              </w:rPr>
              <w:t>与</w:t>
            </w:r>
            <w:r>
              <w:rPr>
                <w:rFonts w:hint="eastAsia"/>
                <w:color w:val="auto"/>
                <w:highlight w:val="none"/>
              </w:rPr>
              <w:t>“</w:t>
            </w:r>
            <w:r>
              <w:rPr>
                <w:color w:val="auto"/>
                <w:highlight w:val="none"/>
              </w:rPr>
              <w:t>三线一单</w:t>
            </w:r>
            <w:r>
              <w:rPr>
                <w:rFonts w:hint="eastAsia"/>
                <w:color w:val="auto"/>
                <w:highlight w:val="none"/>
              </w:rPr>
              <w:t>”</w:t>
            </w:r>
            <w:r>
              <w:rPr>
                <w:color w:val="auto"/>
                <w:highlight w:val="none"/>
              </w:rPr>
              <w:t>符合性分析</w:t>
            </w:r>
          </w:p>
          <w:tbl>
            <w:tblPr>
              <w:tblStyle w:val="15"/>
              <w:tblW w:w="743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8"/>
              <w:gridCol w:w="3093"/>
              <w:gridCol w:w="2359"/>
              <w:gridCol w:w="7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68" w:type="dxa"/>
                  <w:tcBorders>
                    <w:top w:val="single" w:color="auto" w:sz="12" w:space="0"/>
                    <w:left w:val="nil"/>
                    <w:bottom w:val="single" w:color="auto" w:sz="4" w:space="0"/>
                    <w:right w:val="single" w:color="auto" w:sz="4" w:space="0"/>
                  </w:tcBorders>
                  <w:vAlign w:val="center"/>
                </w:tcPr>
                <w:p>
                  <w:pPr>
                    <w:pStyle w:val="25"/>
                    <w:rPr>
                      <w:rFonts w:hint="default"/>
                      <w:color w:val="auto"/>
                      <w:highlight w:val="none"/>
                    </w:rPr>
                  </w:pPr>
                  <w:r>
                    <w:rPr>
                      <w:color w:val="auto"/>
                      <w:highlight w:val="none"/>
                    </w:rPr>
                    <w:t>“三线一单”要求</w:t>
                  </w:r>
                </w:p>
              </w:tc>
              <w:tc>
                <w:tcPr>
                  <w:tcW w:w="3093" w:type="dxa"/>
                  <w:tcBorders>
                    <w:top w:val="single" w:color="auto" w:sz="12" w:space="0"/>
                    <w:left w:val="single" w:color="auto" w:sz="4" w:space="0"/>
                    <w:bottom w:val="single" w:color="auto" w:sz="4" w:space="0"/>
                    <w:right w:val="single" w:color="auto" w:sz="4" w:space="0"/>
                  </w:tcBorders>
                  <w:vAlign w:val="center"/>
                </w:tcPr>
                <w:p>
                  <w:pPr>
                    <w:pStyle w:val="25"/>
                    <w:rPr>
                      <w:rFonts w:hint="default"/>
                      <w:color w:val="auto"/>
                      <w:highlight w:val="none"/>
                    </w:rPr>
                  </w:pPr>
                  <w:r>
                    <w:rPr>
                      <w:color w:val="auto"/>
                      <w:highlight w:val="none"/>
                    </w:rPr>
                    <w:t>要求</w:t>
                  </w:r>
                </w:p>
              </w:tc>
              <w:tc>
                <w:tcPr>
                  <w:tcW w:w="2359" w:type="dxa"/>
                  <w:tcBorders>
                    <w:top w:val="single" w:color="auto" w:sz="12" w:space="0"/>
                    <w:left w:val="single" w:color="auto" w:sz="4" w:space="0"/>
                    <w:bottom w:val="single" w:color="auto" w:sz="4" w:space="0"/>
                    <w:right w:val="single" w:color="auto" w:sz="4" w:space="0"/>
                  </w:tcBorders>
                  <w:vAlign w:val="center"/>
                </w:tcPr>
                <w:p>
                  <w:pPr>
                    <w:pStyle w:val="25"/>
                    <w:rPr>
                      <w:rFonts w:hint="default"/>
                      <w:color w:val="auto"/>
                      <w:highlight w:val="none"/>
                    </w:rPr>
                  </w:pPr>
                  <w:r>
                    <w:rPr>
                      <w:color w:val="auto"/>
                      <w:highlight w:val="none"/>
                    </w:rPr>
                    <w:t>项目具体情况</w:t>
                  </w:r>
                </w:p>
              </w:tc>
              <w:tc>
                <w:tcPr>
                  <w:tcW w:w="712" w:type="dxa"/>
                  <w:tcBorders>
                    <w:top w:val="single" w:color="auto" w:sz="12" w:space="0"/>
                    <w:left w:val="single" w:color="auto" w:sz="4" w:space="0"/>
                    <w:bottom w:val="single" w:color="auto" w:sz="4" w:space="0"/>
                    <w:right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268" w:type="dxa"/>
                  <w:tcBorders>
                    <w:top w:val="single" w:color="auto" w:sz="4" w:space="0"/>
                    <w:left w:val="nil"/>
                    <w:bottom w:val="single" w:color="auto" w:sz="4" w:space="0"/>
                    <w:right w:val="single" w:color="auto" w:sz="4" w:space="0"/>
                  </w:tcBorders>
                  <w:vAlign w:val="center"/>
                </w:tcPr>
                <w:p>
                  <w:pPr>
                    <w:pStyle w:val="22"/>
                    <w:rPr>
                      <w:color w:val="auto"/>
                      <w:highlight w:val="none"/>
                    </w:rPr>
                  </w:pPr>
                  <w:r>
                    <w:rPr>
                      <w:color w:val="auto"/>
                      <w:highlight w:val="none"/>
                    </w:rPr>
                    <w:t>生态保护红线</w:t>
                  </w:r>
                </w:p>
              </w:tc>
              <w:tc>
                <w:tcPr>
                  <w:tcW w:w="3093"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生态保护红线是生态空间范围内具有特殊重要生态功能必须实行强制性严格保护的区域。相关规划环评应将生态空间管控作为重要内容</w:t>
                  </w:r>
                  <w:r>
                    <w:rPr>
                      <w:rFonts w:hint="eastAsia"/>
                      <w:color w:val="auto"/>
                      <w:highlight w:val="none"/>
                      <w:lang w:eastAsia="zh-CN"/>
                    </w:rPr>
                    <w:t>，</w:t>
                  </w:r>
                  <w:r>
                    <w:rPr>
                      <w:color w:val="auto"/>
                      <w:highlight w:val="none"/>
                    </w:rPr>
                    <w:t>规划区域涉及生态保护红线的</w:t>
                  </w:r>
                  <w:r>
                    <w:rPr>
                      <w:rFonts w:hint="eastAsia"/>
                      <w:color w:val="auto"/>
                      <w:highlight w:val="none"/>
                      <w:lang w:eastAsia="zh-CN"/>
                    </w:rPr>
                    <w:t>，</w:t>
                  </w:r>
                  <w:r>
                    <w:rPr>
                      <w:color w:val="auto"/>
                      <w:highlight w:val="none"/>
                    </w:rPr>
                    <w:t>在规划环评结论和审查意见中应落实生态保护红线的管理要求</w:t>
                  </w:r>
                  <w:r>
                    <w:rPr>
                      <w:rFonts w:hint="eastAsia"/>
                      <w:color w:val="auto"/>
                      <w:highlight w:val="none"/>
                      <w:lang w:eastAsia="zh-CN"/>
                    </w:rPr>
                    <w:t>，</w:t>
                  </w:r>
                  <w:r>
                    <w:rPr>
                      <w:color w:val="auto"/>
                      <w:highlight w:val="none"/>
                    </w:rPr>
                    <w:t>提出相应对策措施。除受自然条件限制、确实无法避让的铁路、公路、航道、防洪、管道、干渠、通讯、输变电等重要基础设施项目外</w:t>
                  </w:r>
                  <w:r>
                    <w:rPr>
                      <w:rFonts w:hint="eastAsia"/>
                      <w:color w:val="auto"/>
                      <w:highlight w:val="none"/>
                      <w:lang w:eastAsia="zh-CN"/>
                    </w:rPr>
                    <w:t>，</w:t>
                  </w:r>
                  <w:r>
                    <w:rPr>
                      <w:color w:val="auto"/>
                      <w:highlight w:val="none"/>
                    </w:rPr>
                    <w:t>在生态保护红线范围内</w:t>
                  </w:r>
                  <w:r>
                    <w:rPr>
                      <w:rFonts w:hint="eastAsia"/>
                      <w:color w:val="auto"/>
                      <w:highlight w:val="none"/>
                      <w:lang w:eastAsia="zh-CN"/>
                    </w:rPr>
                    <w:t>，</w:t>
                  </w:r>
                  <w:r>
                    <w:rPr>
                      <w:color w:val="auto"/>
                      <w:highlight w:val="none"/>
                    </w:rPr>
                    <w:t>严控各类开发建设活动</w:t>
                  </w:r>
                  <w:r>
                    <w:rPr>
                      <w:rFonts w:hint="eastAsia"/>
                      <w:color w:val="auto"/>
                      <w:highlight w:val="none"/>
                      <w:lang w:eastAsia="zh-CN"/>
                    </w:rPr>
                    <w:t>，</w:t>
                  </w:r>
                  <w:r>
                    <w:rPr>
                      <w:color w:val="auto"/>
                      <w:highlight w:val="none"/>
                    </w:rPr>
                    <w:t>依法不予审批新建工业项目和矿产开发项目的环评文件</w:t>
                  </w:r>
                </w:p>
              </w:tc>
              <w:tc>
                <w:tcPr>
                  <w:tcW w:w="2359"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rFonts w:hint="eastAsia"/>
                      <w:color w:val="auto"/>
                      <w:highlight w:val="none"/>
                    </w:rPr>
                    <w:t>本项目位于</w:t>
                  </w:r>
                  <w:r>
                    <w:rPr>
                      <w:rFonts w:hint="eastAsia"/>
                      <w:color w:val="auto"/>
                      <w:highlight w:val="none"/>
                      <w:lang w:eastAsia="zh-CN"/>
                    </w:rPr>
                    <w:t>二道沟公司</w:t>
                  </w:r>
                  <w:r>
                    <w:rPr>
                      <w:rFonts w:hint="eastAsia"/>
                      <w:color w:val="auto"/>
                      <w:highlight w:val="none"/>
                      <w:lang w:val="en-US" w:eastAsia="zh-CN"/>
                    </w:rPr>
                    <w:t>厂区</w:t>
                  </w:r>
                  <w:r>
                    <w:rPr>
                      <w:rFonts w:hint="eastAsia"/>
                      <w:color w:val="auto"/>
                      <w:highlight w:val="none"/>
                    </w:rPr>
                    <w:t>内</w:t>
                  </w:r>
                  <w:r>
                    <w:rPr>
                      <w:rFonts w:hint="eastAsia"/>
                      <w:color w:val="auto"/>
                      <w:highlight w:val="none"/>
                      <w:lang w:eastAsia="zh-CN"/>
                    </w:rPr>
                    <w:t>，</w:t>
                  </w:r>
                  <w:r>
                    <w:rPr>
                      <w:rFonts w:hint="eastAsia"/>
                      <w:color w:val="auto"/>
                      <w:highlight w:val="none"/>
                    </w:rPr>
                    <w:t>项目所在地不涉及自然保护区核心区、缓冲区和试验区</w:t>
                  </w:r>
                  <w:r>
                    <w:rPr>
                      <w:rFonts w:hint="eastAsia"/>
                      <w:color w:val="auto"/>
                      <w:highlight w:val="none"/>
                      <w:lang w:eastAsia="zh-CN"/>
                    </w:rPr>
                    <w:t>，</w:t>
                  </w:r>
                  <w:r>
                    <w:rPr>
                      <w:rFonts w:hint="eastAsia"/>
                      <w:color w:val="auto"/>
                      <w:highlight w:val="none"/>
                    </w:rPr>
                    <w:t>不在生态保护红线范围内</w:t>
                  </w:r>
                </w:p>
              </w:tc>
              <w:tc>
                <w:tcPr>
                  <w:tcW w:w="712" w:type="dxa"/>
                  <w:tcBorders>
                    <w:top w:val="single" w:color="auto" w:sz="4" w:space="0"/>
                    <w:left w:val="single" w:color="auto" w:sz="4" w:space="0"/>
                    <w:bottom w:val="single" w:color="auto" w:sz="4" w:space="0"/>
                    <w:right w:val="nil"/>
                  </w:tcBorders>
                  <w:vAlign w:val="center"/>
                </w:tcPr>
                <w:p>
                  <w:pPr>
                    <w:pStyle w:val="22"/>
                    <w:rPr>
                      <w:color w:val="auto"/>
                      <w:highlight w:val="none"/>
                    </w:rPr>
                  </w:pPr>
                  <w:r>
                    <w:rPr>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6" w:hRule="atLeast"/>
                <w:jc w:val="center"/>
              </w:trPr>
              <w:tc>
                <w:tcPr>
                  <w:tcW w:w="1268" w:type="dxa"/>
                  <w:tcBorders>
                    <w:top w:val="single" w:color="auto" w:sz="4" w:space="0"/>
                    <w:left w:val="nil"/>
                    <w:bottom w:val="single" w:color="auto" w:sz="4" w:space="0"/>
                    <w:right w:val="single" w:color="auto" w:sz="4" w:space="0"/>
                  </w:tcBorders>
                  <w:vAlign w:val="center"/>
                </w:tcPr>
                <w:p>
                  <w:pPr>
                    <w:pStyle w:val="22"/>
                    <w:rPr>
                      <w:color w:val="auto"/>
                      <w:highlight w:val="none"/>
                    </w:rPr>
                  </w:pPr>
                  <w:r>
                    <w:rPr>
                      <w:color w:val="auto"/>
                      <w:highlight w:val="none"/>
                    </w:rPr>
                    <w:t>环境质量底线</w:t>
                  </w:r>
                </w:p>
              </w:tc>
              <w:tc>
                <w:tcPr>
                  <w:tcW w:w="3093"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环境质量底线是国家和地方设置的大气、水和土壤环境质量目标</w:t>
                  </w:r>
                  <w:r>
                    <w:rPr>
                      <w:rFonts w:hint="eastAsia"/>
                      <w:color w:val="auto"/>
                      <w:highlight w:val="none"/>
                      <w:lang w:eastAsia="zh-CN"/>
                    </w:rPr>
                    <w:t>，</w:t>
                  </w:r>
                  <w:r>
                    <w:rPr>
                      <w:color w:val="auto"/>
                      <w:highlight w:val="none"/>
                    </w:rPr>
                    <w:t>也是改善环境质量的基准线。有关规划环评应落实区域环境质量目标管理要求</w:t>
                  </w:r>
                  <w:r>
                    <w:rPr>
                      <w:rFonts w:hint="eastAsia"/>
                      <w:color w:val="auto"/>
                      <w:highlight w:val="none"/>
                      <w:lang w:eastAsia="zh-CN"/>
                    </w:rPr>
                    <w:t>，</w:t>
                  </w:r>
                  <w:r>
                    <w:rPr>
                      <w:color w:val="auto"/>
                      <w:highlight w:val="none"/>
                    </w:rPr>
                    <w:t>提出区域或者行业污染物排放总量管控建议以及优化区域或行业发展布局、结构和规模的对策措施。项目环评应对照区域环境质量目标</w:t>
                  </w:r>
                  <w:r>
                    <w:rPr>
                      <w:rFonts w:hint="eastAsia"/>
                      <w:color w:val="auto"/>
                      <w:highlight w:val="none"/>
                      <w:lang w:eastAsia="zh-CN"/>
                    </w:rPr>
                    <w:t>，</w:t>
                  </w:r>
                  <w:r>
                    <w:rPr>
                      <w:color w:val="auto"/>
                      <w:highlight w:val="none"/>
                    </w:rPr>
                    <w:t>深入分析预测项目建设对环境质量的影响</w:t>
                  </w:r>
                  <w:r>
                    <w:rPr>
                      <w:rFonts w:hint="eastAsia"/>
                      <w:color w:val="auto"/>
                      <w:highlight w:val="none"/>
                      <w:lang w:eastAsia="zh-CN"/>
                    </w:rPr>
                    <w:t>，</w:t>
                  </w:r>
                  <w:r>
                    <w:rPr>
                      <w:color w:val="auto"/>
                      <w:highlight w:val="none"/>
                    </w:rPr>
                    <w:t>强化污染防治措施和污染物排放控制要求</w:t>
                  </w:r>
                </w:p>
              </w:tc>
              <w:tc>
                <w:tcPr>
                  <w:tcW w:w="2359"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rFonts w:hint="eastAsia"/>
                      <w:color w:val="auto"/>
                      <w:highlight w:val="none"/>
                    </w:rPr>
                    <w:t>根据朝阳市生态环境局公布的朝阳市202</w:t>
                  </w:r>
                  <w:r>
                    <w:rPr>
                      <w:rFonts w:hint="eastAsia"/>
                      <w:color w:val="auto"/>
                      <w:highlight w:val="none"/>
                      <w:lang w:val="en-US" w:eastAsia="zh-CN"/>
                    </w:rPr>
                    <w:t>3</w:t>
                  </w:r>
                  <w:r>
                    <w:rPr>
                      <w:rFonts w:hint="eastAsia"/>
                      <w:color w:val="auto"/>
                      <w:highlight w:val="none"/>
                    </w:rPr>
                    <w:t>年空气质量状况</w:t>
                  </w:r>
                  <w:r>
                    <w:rPr>
                      <w:rFonts w:hint="eastAsia"/>
                      <w:color w:val="auto"/>
                      <w:highlight w:val="none"/>
                      <w:lang w:eastAsia="zh-CN"/>
                    </w:rPr>
                    <w:t>，</w:t>
                  </w:r>
                  <w:r>
                    <w:rPr>
                      <w:rFonts w:hint="eastAsia"/>
                      <w:color w:val="auto"/>
                      <w:highlight w:val="none"/>
                    </w:rPr>
                    <w:t>202</w:t>
                  </w:r>
                  <w:r>
                    <w:rPr>
                      <w:rFonts w:hint="eastAsia"/>
                      <w:color w:val="auto"/>
                      <w:highlight w:val="none"/>
                      <w:lang w:val="en-US" w:eastAsia="zh-CN"/>
                    </w:rPr>
                    <w:t>3</w:t>
                  </w:r>
                  <w:r>
                    <w:rPr>
                      <w:rFonts w:hint="eastAsia"/>
                      <w:color w:val="auto"/>
                      <w:highlight w:val="none"/>
                    </w:rPr>
                    <w:t>年朝阳市PM</w:t>
                  </w:r>
                  <w:r>
                    <w:rPr>
                      <w:rFonts w:hint="eastAsia"/>
                      <w:color w:val="auto"/>
                      <w:highlight w:val="none"/>
                      <w:vertAlign w:val="subscript"/>
                    </w:rPr>
                    <w:t>10</w:t>
                  </w:r>
                  <w:r>
                    <w:rPr>
                      <w:rFonts w:hint="eastAsia"/>
                      <w:color w:val="auto"/>
                      <w:highlight w:val="none"/>
                    </w:rPr>
                    <w:t>、PM</w:t>
                  </w:r>
                  <w:r>
                    <w:rPr>
                      <w:rFonts w:hint="eastAsia"/>
                      <w:color w:val="auto"/>
                      <w:highlight w:val="none"/>
                      <w:vertAlign w:val="subscript"/>
                    </w:rPr>
                    <w:t>2.5</w:t>
                  </w:r>
                  <w:r>
                    <w:rPr>
                      <w:rFonts w:hint="eastAsia"/>
                      <w:color w:val="auto"/>
                      <w:highlight w:val="none"/>
                    </w:rPr>
                    <w:t>、SO</w:t>
                  </w:r>
                  <w:r>
                    <w:rPr>
                      <w:rFonts w:hint="eastAsia"/>
                      <w:color w:val="auto"/>
                      <w:highlight w:val="none"/>
                      <w:vertAlign w:val="subscript"/>
                    </w:rPr>
                    <w:t>2</w:t>
                  </w:r>
                  <w:r>
                    <w:rPr>
                      <w:rFonts w:hint="eastAsia"/>
                      <w:color w:val="auto"/>
                      <w:highlight w:val="none"/>
                    </w:rPr>
                    <w:t>、NO</w:t>
                  </w:r>
                  <w:r>
                    <w:rPr>
                      <w:rFonts w:hint="eastAsia"/>
                      <w:color w:val="auto"/>
                      <w:highlight w:val="none"/>
                      <w:vertAlign w:val="subscript"/>
                    </w:rPr>
                    <w:t>2</w:t>
                  </w:r>
                  <w:r>
                    <w:rPr>
                      <w:rFonts w:hint="eastAsia"/>
                      <w:color w:val="auto"/>
                      <w:highlight w:val="none"/>
                    </w:rPr>
                    <w:t>、CO、O</w:t>
                  </w:r>
                  <w:r>
                    <w:rPr>
                      <w:rFonts w:hint="eastAsia"/>
                      <w:color w:val="auto"/>
                      <w:highlight w:val="none"/>
                      <w:vertAlign w:val="subscript"/>
                    </w:rPr>
                    <w:t>3</w:t>
                  </w:r>
                  <w:r>
                    <w:rPr>
                      <w:rFonts w:hint="eastAsia"/>
                      <w:color w:val="auto"/>
                      <w:highlight w:val="none"/>
                    </w:rPr>
                    <w:t>年平均值均符合环境空气质量二级标准</w:t>
                  </w:r>
                  <w:r>
                    <w:rPr>
                      <w:rFonts w:hint="eastAsia"/>
                      <w:color w:val="auto"/>
                      <w:highlight w:val="none"/>
                      <w:lang w:eastAsia="zh-CN"/>
                    </w:rPr>
                    <w:t>，</w:t>
                  </w:r>
                  <w:r>
                    <w:rPr>
                      <w:rFonts w:hint="eastAsia"/>
                      <w:color w:val="auto"/>
                      <w:highlight w:val="none"/>
                    </w:rPr>
                    <w:t>且本项目所排放的污染物全部达标排放</w:t>
                  </w:r>
                  <w:r>
                    <w:rPr>
                      <w:rFonts w:hint="eastAsia"/>
                      <w:color w:val="auto"/>
                      <w:highlight w:val="none"/>
                      <w:lang w:eastAsia="zh-CN"/>
                    </w:rPr>
                    <w:t>，</w:t>
                  </w:r>
                  <w:r>
                    <w:rPr>
                      <w:rFonts w:hint="eastAsia"/>
                      <w:color w:val="auto"/>
                      <w:highlight w:val="none"/>
                    </w:rPr>
                    <w:t>不触及区域环境质量底线</w:t>
                  </w:r>
                </w:p>
              </w:tc>
              <w:tc>
                <w:tcPr>
                  <w:tcW w:w="712" w:type="dxa"/>
                  <w:tcBorders>
                    <w:top w:val="single" w:color="auto" w:sz="4" w:space="0"/>
                    <w:left w:val="single" w:color="auto" w:sz="4" w:space="0"/>
                    <w:bottom w:val="single" w:color="auto" w:sz="4" w:space="0"/>
                    <w:right w:val="nil"/>
                  </w:tcBorders>
                  <w:vAlign w:val="center"/>
                </w:tcPr>
                <w:p>
                  <w:pPr>
                    <w:pStyle w:val="22"/>
                    <w:rPr>
                      <w:color w:val="auto"/>
                      <w:highlight w:val="none"/>
                    </w:rPr>
                  </w:pPr>
                  <w:r>
                    <w:rPr>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68" w:type="dxa"/>
                  <w:tcBorders>
                    <w:top w:val="single" w:color="auto" w:sz="4" w:space="0"/>
                    <w:left w:val="nil"/>
                    <w:bottom w:val="single" w:color="auto" w:sz="4" w:space="0"/>
                    <w:right w:val="single" w:color="auto" w:sz="4" w:space="0"/>
                  </w:tcBorders>
                  <w:vAlign w:val="center"/>
                </w:tcPr>
                <w:p>
                  <w:pPr>
                    <w:pStyle w:val="22"/>
                    <w:rPr>
                      <w:color w:val="auto"/>
                      <w:highlight w:val="none"/>
                    </w:rPr>
                  </w:pPr>
                  <w:r>
                    <w:rPr>
                      <w:color w:val="auto"/>
                      <w:highlight w:val="none"/>
                    </w:rPr>
                    <w:t>资源利用上线</w:t>
                  </w:r>
                </w:p>
              </w:tc>
              <w:tc>
                <w:tcPr>
                  <w:tcW w:w="3093"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资源是环境的载体</w:t>
                  </w:r>
                  <w:r>
                    <w:rPr>
                      <w:rFonts w:hint="eastAsia"/>
                      <w:color w:val="auto"/>
                      <w:highlight w:val="none"/>
                      <w:lang w:eastAsia="zh-CN"/>
                    </w:rPr>
                    <w:t>，</w:t>
                  </w:r>
                  <w:r>
                    <w:rPr>
                      <w:color w:val="auto"/>
                      <w:highlight w:val="none"/>
                    </w:rPr>
                    <w:t>资源利用上线是各地区能源、水、土地等资源消耗不得突破的</w:t>
                  </w:r>
                  <w:r>
                    <w:rPr>
                      <w:rFonts w:hint="eastAsia"/>
                      <w:color w:val="auto"/>
                      <w:highlight w:val="none"/>
                    </w:rPr>
                    <w:t>“</w:t>
                  </w:r>
                  <w:r>
                    <w:rPr>
                      <w:color w:val="auto"/>
                      <w:highlight w:val="none"/>
                    </w:rPr>
                    <w:t>天花板</w:t>
                  </w:r>
                  <w:r>
                    <w:rPr>
                      <w:rFonts w:hint="eastAsia"/>
                      <w:color w:val="auto"/>
                      <w:highlight w:val="none"/>
                    </w:rPr>
                    <w:t>”</w:t>
                  </w:r>
                  <w:r>
                    <w:rPr>
                      <w:color w:val="auto"/>
                      <w:highlight w:val="none"/>
                    </w:rPr>
                    <w:t>。相关规划环评应依据有关资源利用上线</w:t>
                  </w:r>
                  <w:r>
                    <w:rPr>
                      <w:rFonts w:hint="eastAsia"/>
                      <w:color w:val="auto"/>
                      <w:highlight w:val="none"/>
                      <w:lang w:eastAsia="zh-CN"/>
                    </w:rPr>
                    <w:t>，</w:t>
                  </w:r>
                  <w:r>
                    <w:rPr>
                      <w:color w:val="auto"/>
                      <w:highlight w:val="none"/>
                    </w:rPr>
                    <w:t>对规划实施以及规划内项目的资源开发利用</w:t>
                  </w:r>
                  <w:r>
                    <w:rPr>
                      <w:rFonts w:hint="eastAsia"/>
                      <w:color w:val="auto"/>
                      <w:highlight w:val="none"/>
                      <w:lang w:eastAsia="zh-CN"/>
                    </w:rPr>
                    <w:t>，</w:t>
                  </w:r>
                  <w:r>
                    <w:rPr>
                      <w:color w:val="auto"/>
                      <w:highlight w:val="none"/>
                    </w:rPr>
                    <w:t>区分不同行业</w:t>
                  </w:r>
                  <w:r>
                    <w:rPr>
                      <w:rFonts w:hint="eastAsia"/>
                      <w:color w:val="auto"/>
                      <w:highlight w:val="none"/>
                      <w:lang w:eastAsia="zh-CN"/>
                    </w:rPr>
                    <w:t>，</w:t>
                  </w:r>
                  <w:r>
                    <w:rPr>
                      <w:color w:val="auto"/>
                      <w:highlight w:val="none"/>
                    </w:rPr>
                    <w:t>从能源资源开发等量或减量替代、开采方式和规模控制、利用效率和保护措施等方面提出建议</w:t>
                  </w:r>
                  <w:r>
                    <w:rPr>
                      <w:rFonts w:hint="eastAsia"/>
                      <w:color w:val="auto"/>
                      <w:highlight w:val="none"/>
                      <w:lang w:eastAsia="zh-CN"/>
                    </w:rPr>
                    <w:t>，</w:t>
                  </w:r>
                  <w:r>
                    <w:rPr>
                      <w:color w:val="auto"/>
                      <w:highlight w:val="none"/>
                    </w:rPr>
                    <w:t>为规划编制和审批决策提供重要依据</w:t>
                  </w:r>
                </w:p>
              </w:tc>
              <w:tc>
                <w:tcPr>
                  <w:tcW w:w="2359"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rFonts w:hint="eastAsia"/>
                      <w:color w:val="auto"/>
                      <w:highlight w:val="none"/>
                    </w:rPr>
                    <w:t>本项目资源利用包括土地、电能资源</w:t>
                  </w:r>
                  <w:r>
                    <w:rPr>
                      <w:rFonts w:hint="eastAsia"/>
                      <w:color w:val="auto"/>
                      <w:highlight w:val="none"/>
                      <w:lang w:eastAsia="zh-CN"/>
                    </w:rPr>
                    <w:t>，</w:t>
                  </w:r>
                  <w:r>
                    <w:rPr>
                      <w:rFonts w:hint="eastAsia"/>
                      <w:color w:val="auto"/>
                      <w:highlight w:val="none"/>
                    </w:rPr>
                    <w:t>使用量较小</w:t>
                  </w:r>
                  <w:r>
                    <w:rPr>
                      <w:rFonts w:hint="eastAsia"/>
                      <w:color w:val="auto"/>
                      <w:highlight w:val="none"/>
                      <w:lang w:eastAsia="zh-CN"/>
                    </w:rPr>
                    <w:t>，</w:t>
                  </w:r>
                  <w:r>
                    <w:rPr>
                      <w:rFonts w:hint="eastAsia"/>
                      <w:color w:val="auto"/>
                      <w:highlight w:val="none"/>
                    </w:rPr>
                    <w:t>且从多方面采取合理可行的防治措施</w:t>
                  </w:r>
                  <w:r>
                    <w:rPr>
                      <w:rFonts w:hint="eastAsia"/>
                      <w:color w:val="auto"/>
                      <w:highlight w:val="none"/>
                      <w:lang w:eastAsia="zh-CN"/>
                    </w:rPr>
                    <w:t>，</w:t>
                  </w:r>
                  <w:r>
                    <w:rPr>
                      <w:rFonts w:hint="eastAsia"/>
                      <w:color w:val="auto"/>
                      <w:highlight w:val="none"/>
                    </w:rPr>
                    <w:t>以“节能、降耗、减污”为目标</w:t>
                  </w:r>
                  <w:r>
                    <w:rPr>
                      <w:rFonts w:hint="eastAsia"/>
                      <w:color w:val="auto"/>
                      <w:highlight w:val="none"/>
                      <w:lang w:eastAsia="zh-CN"/>
                    </w:rPr>
                    <w:t>，</w:t>
                  </w:r>
                  <w:r>
                    <w:rPr>
                      <w:rFonts w:hint="eastAsia"/>
                      <w:color w:val="auto"/>
                      <w:highlight w:val="none"/>
                    </w:rPr>
                    <w:t>有效地控制污染。项目的水、气、土等资源利用不会突破区域的资源利用上线</w:t>
                  </w:r>
                </w:p>
              </w:tc>
              <w:tc>
                <w:tcPr>
                  <w:tcW w:w="712" w:type="dxa"/>
                  <w:tcBorders>
                    <w:top w:val="single" w:color="auto" w:sz="4" w:space="0"/>
                    <w:left w:val="single" w:color="auto" w:sz="4" w:space="0"/>
                    <w:bottom w:val="single" w:color="auto" w:sz="4" w:space="0"/>
                    <w:right w:val="nil"/>
                  </w:tcBorders>
                  <w:vAlign w:val="center"/>
                </w:tcPr>
                <w:p>
                  <w:pPr>
                    <w:pStyle w:val="22"/>
                    <w:rPr>
                      <w:color w:val="auto"/>
                      <w:highlight w:val="none"/>
                    </w:rPr>
                  </w:pPr>
                  <w:r>
                    <w:rPr>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268" w:type="dxa"/>
                  <w:tcBorders>
                    <w:top w:val="single" w:color="auto" w:sz="4" w:space="0"/>
                    <w:left w:val="nil"/>
                    <w:right w:val="single" w:color="auto" w:sz="4" w:space="0"/>
                  </w:tcBorders>
                  <w:vAlign w:val="center"/>
                </w:tcPr>
                <w:p>
                  <w:pPr>
                    <w:pStyle w:val="22"/>
                    <w:rPr>
                      <w:color w:val="auto"/>
                      <w:highlight w:val="none"/>
                    </w:rPr>
                  </w:pPr>
                  <w:r>
                    <w:rPr>
                      <w:color w:val="auto"/>
                      <w:highlight w:val="none"/>
                    </w:rPr>
                    <w:t>环境准入负面清单</w:t>
                  </w:r>
                </w:p>
              </w:tc>
              <w:tc>
                <w:tcPr>
                  <w:tcW w:w="3093"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环境准入负面清单是基于生态保护红线、环境质量底线和资源利用上线</w:t>
                  </w:r>
                  <w:r>
                    <w:rPr>
                      <w:rFonts w:hint="eastAsia"/>
                      <w:color w:val="auto"/>
                      <w:highlight w:val="none"/>
                      <w:lang w:eastAsia="zh-CN"/>
                    </w:rPr>
                    <w:t>，</w:t>
                  </w:r>
                  <w:r>
                    <w:rPr>
                      <w:color w:val="auto"/>
                      <w:highlight w:val="none"/>
                    </w:rPr>
                    <w:t>以清单方式列出的禁止、限制等差别化环境准入条件和要求。要在规划环评清单式管理试点的基础上</w:t>
                  </w:r>
                  <w:r>
                    <w:rPr>
                      <w:rFonts w:hint="eastAsia"/>
                      <w:color w:val="auto"/>
                      <w:highlight w:val="none"/>
                      <w:lang w:eastAsia="zh-CN"/>
                    </w:rPr>
                    <w:t>，</w:t>
                  </w:r>
                  <w:r>
                    <w:rPr>
                      <w:color w:val="auto"/>
                      <w:highlight w:val="none"/>
                    </w:rPr>
                    <w:t>从布局选址、资源利用效率、资源配置方式等方面入手</w:t>
                  </w:r>
                  <w:r>
                    <w:rPr>
                      <w:rFonts w:hint="eastAsia"/>
                      <w:color w:val="auto"/>
                      <w:highlight w:val="none"/>
                      <w:lang w:eastAsia="zh-CN"/>
                    </w:rPr>
                    <w:t>，</w:t>
                  </w:r>
                  <w:r>
                    <w:rPr>
                      <w:color w:val="auto"/>
                      <w:highlight w:val="none"/>
                    </w:rPr>
                    <w:t>制定环境准入负面清单</w:t>
                  </w:r>
                  <w:r>
                    <w:rPr>
                      <w:rFonts w:hint="eastAsia"/>
                      <w:color w:val="auto"/>
                      <w:highlight w:val="none"/>
                      <w:lang w:eastAsia="zh-CN"/>
                    </w:rPr>
                    <w:t>，</w:t>
                  </w:r>
                  <w:r>
                    <w:rPr>
                      <w:color w:val="auto"/>
                      <w:highlight w:val="none"/>
                    </w:rPr>
                    <w:t>充分发挥负面清单对产业发展和项目准入的指导和约束作用</w:t>
                  </w:r>
                </w:p>
              </w:tc>
              <w:tc>
                <w:tcPr>
                  <w:tcW w:w="2359" w:type="dxa"/>
                  <w:tcBorders>
                    <w:top w:val="single" w:color="auto" w:sz="4" w:space="0"/>
                    <w:left w:val="single" w:color="auto" w:sz="4" w:space="0"/>
                    <w:right w:val="single" w:color="auto" w:sz="4" w:space="0"/>
                  </w:tcBorders>
                  <w:vAlign w:val="center"/>
                </w:tcPr>
                <w:p>
                  <w:pPr>
                    <w:pStyle w:val="22"/>
                    <w:rPr>
                      <w:rFonts w:hint="eastAsia"/>
                      <w:color w:val="auto"/>
                      <w:highlight w:val="none"/>
                      <w:lang w:eastAsia="zh-CN"/>
                    </w:rPr>
                  </w:pPr>
                  <w:r>
                    <w:rPr>
                      <w:rFonts w:hint="eastAsia"/>
                      <w:color w:val="auto"/>
                      <w:highlight w:val="none"/>
                    </w:rPr>
                    <w:t>根据</w:t>
                  </w:r>
                  <w:r>
                    <w:rPr>
                      <w:rFonts w:hint="eastAsia"/>
                      <w:color w:val="auto"/>
                      <w:highlight w:val="none"/>
                      <w:lang w:eastAsia="zh-CN"/>
                    </w:rPr>
                    <w:t>《产业结构调整指导目录（2024年本）》，</w:t>
                  </w:r>
                  <w:r>
                    <w:rPr>
                      <w:rFonts w:hint="eastAsia"/>
                      <w:color w:val="auto"/>
                      <w:highlight w:val="none"/>
                    </w:rPr>
                    <w:t>本项目不属于规定的“鼓励类”、“限制类”、“</w:t>
                  </w:r>
                  <w:r>
                    <w:rPr>
                      <w:rFonts w:hint="eastAsia"/>
                      <w:color w:val="auto"/>
                      <w:highlight w:val="none"/>
                      <w:lang w:eastAsia="zh-CN"/>
                    </w:rPr>
                    <w:t>淘汰类</w:t>
                  </w:r>
                  <w:r>
                    <w:rPr>
                      <w:rFonts w:hint="eastAsia"/>
                      <w:color w:val="auto"/>
                      <w:highlight w:val="none"/>
                    </w:rPr>
                    <w:t>”行业</w:t>
                  </w:r>
                  <w:r>
                    <w:rPr>
                      <w:rFonts w:hint="eastAsia"/>
                      <w:color w:val="auto"/>
                      <w:highlight w:val="none"/>
                      <w:lang w:eastAsia="zh-CN"/>
                    </w:rPr>
                    <w:t>，</w:t>
                  </w:r>
                  <w:r>
                    <w:rPr>
                      <w:rFonts w:hint="eastAsia"/>
                      <w:color w:val="auto"/>
                      <w:highlight w:val="none"/>
                    </w:rPr>
                    <w:t>即属于“允许类”；本项目不在《市场准入负面清单（2022版）》中的“禁止准入类”行业</w:t>
                  </w:r>
                </w:p>
              </w:tc>
              <w:tc>
                <w:tcPr>
                  <w:tcW w:w="712" w:type="dxa"/>
                  <w:tcBorders>
                    <w:top w:val="single" w:color="auto" w:sz="4" w:space="0"/>
                    <w:left w:val="single" w:color="auto" w:sz="4" w:space="0"/>
                    <w:right w:val="nil"/>
                  </w:tcBorders>
                  <w:vAlign w:val="center"/>
                </w:tcPr>
                <w:p>
                  <w:pPr>
                    <w:pStyle w:val="22"/>
                    <w:rPr>
                      <w:color w:val="auto"/>
                      <w:highlight w:val="none"/>
                    </w:rPr>
                  </w:pPr>
                  <w:r>
                    <w:rPr>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432" w:type="dxa"/>
                  <w:gridSpan w:val="4"/>
                  <w:tcBorders>
                    <w:top w:val="single" w:color="auto" w:sz="4" w:space="0"/>
                    <w:left w:val="nil"/>
                    <w:bottom w:val="single" w:color="auto" w:sz="4" w:space="0"/>
                    <w:right w:val="nil"/>
                  </w:tcBorders>
                  <w:vAlign w:val="center"/>
                </w:tcPr>
                <w:p>
                  <w:pPr>
                    <w:pStyle w:val="22"/>
                    <w:rPr>
                      <w:color w:val="auto"/>
                      <w:highlight w:val="none"/>
                    </w:rPr>
                  </w:pPr>
                  <w:r>
                    <w:rPr>
                      <w:rFonts w:hint="eastAsia"/>
                      <w:color w:val="auto"/>
                      <w:highlight w:val="none"/>
                    </w:rPr>
                    <w:t>管控单元要求（</w:t>
                  </w:r>
                  <w:r>
                    <w:rPr>
                      <w:rFonts w:hint="eastAsia"/>
                      <w:color w:val="auto"/>
                      <w:highlight w:val="none"/>
                      <w:lang w:eastAsia="zh-CN"/>
                    </w:rPr>
                    <w:t>ZH21138110006</w:t>
                  </w: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68" w:type="dxa"/>
                  <w:tcBorders>
                    <w:top w:val="single" w:color="auto" w:sz="4" w:space="0"/>
                    <w:left w:val="nil"/>
                    <w:bottom w:val="single" w:color="auto" w:sz="4" w:space="0"/>
                    <w:right w:val="single" w:color="auto" w:sz="4" w:space="0"/>
                  </w:tcBorders>
                  <w:vAlign w:val="center"/>
                </w:tcPr>
                <w:p>
                  <w:pPr>
                    <w:pStyle w:val="22"/>
                    <w:rPr>
                      <w:color w:val="auto"/>
                      <w:highlight w:val="none"/>
                    </w:rPr>
                  </w:pPr>
                  <w:r>
                    <w:rPr>
                      <w:rFonts w:hint="eastAsia"/>
                      <w:color w:val="auto"/>
                      <w:highlight w:val="none"/>
                    </w:rPr>
                    <w:t>空间布局约束</w:t>
                  </w:r>
                </w:p>
              </w:tc>
              <w:tc>
                <w:tcPr>
                  <w:tcW w:w="3093" w:type="dxa"/>
                  <w:tcBorders>
                    <w:top w:val="single" w:color="auto" w:sz="4" w:space="0"/>
                    <w:left w:val="single" w:color="auto" w:sz="4" w:space="0"/>
                    <w:bottom w:val="single" w:color="auto" w:sz="4" w:space="0"/>
                    <w:right w:val="single" w:color="auto" w:sz="4" w:space="0"/>
                  </w:tcBorders>
                  <w:vAlign w:val="center"/>
                </w:tcPr>
                <w:p>
                  <w:pPr>
                    <w:pStyle w:val="22"/>
                    <w:rPr>
                      <w:rFonts w:hint="eastAsia"/>
                      <w:color w:val="auto"/>
                      <w:highlight w:val="none"/>
                    </w:rPr>
                  </w:pPr>
                  <w:r>
                    <w:rPr>
                      <w:rFonts w:hint="eastAsia"/>
                      <w:color w:val="auto"/>
                      <w:highlight w:val="none"/>
                    </w:rPr>
                    <w:t>遵守《自然生态空间用途管制办法（试行）》《辽宁省污染防治与生态建设和保护攻坚行动计划(2017-2020年)》生态保护红线以外的生态空间原则上按照限制开发区域管理，从严控制生态空间转为城镇空间和农业空间。严格控制新增建设占用生态保护红线外的生态空间；严格限制农业开发占用生态保护红线外的生态空间，符合条件的农业开发项目，须依法由市县级及以上地方人民政府统筹安排。对禁（限）养区内养殖场户实施搬迁关闭整治工作。避免大规模排放大气污染物的项目布局建设经济信息化部门对高能耗、高污染企业落后生产设备和工艺的淘汰，重点监管行业企业搬迁改造等方面实施监督管理。基本农田，实行严格保护，确保其面积不减少、土壤环境质量不下降，除法律规定的重点建设项目选址确实无法避让外，其他任何建设不得占用</w:t>
                  </w:r>
                </w:p>
              </w:tc>
              <w:tc>
                <w:tcPr>
                  <w:tcW w:w="2359" w:type="dxa"/>
                  <w:tcBorders>
                    <w:top w:val="single" w:color="auto" w:sz="4" w:space="0"/>
                    <w:left w:val="single" w:color="auto" w:sz="4" w:space="0"/>
                    <w:bottom w:val="single" w:color="auto" w:sz="4" w:space="0"/>
                    <w:right w:val="single" w:color="auto" w:sz="4" w:space="0"/>
                  </w:tcBorders>
                  <w:vAlign w:val="center"/>
                </w:tcPr>
                <w:p>
                  <w:pPr>
                    <w:pStyle w:val="22"/>
                    <w:rPr>
                      <w:rFonts w:hint="eastAsia" w:eastAsiaTheme="minorEastAsia"/>
                      <w:color w:val="auto"/>
                      <w:highlight w:val="none"/>
                      <w:lang w:eastAsia="zh-CN"/>
                    </w:rPr>
                  </w:pPr>
                  <w:r>
                    <w:rPr>
                      <w:rFonts w:hint="eastAsia" w:eastAsiaTheme="minorEastAsia"/>
                      <w:color w:val="auto"/>
                      <w:highlight w:val="none"/>
                      <w:lang w:eastAsia="zh-CN"/>
                    </w:rPr>
                    <w:t>本项目遵守《自然生态空间用途管制办法（试行）》《辽宁省污染防治与生态建设和保护攻坚行动计划(2017-2020年)》生态空间用途管制；本项目位于辽宁省北票市</w:t>
                  </w:r>
                  <w:r>
                    <w:rPr>
                      <w:rFonts w:hint="eastAsia"/>
                      <w:color w:val="auto"/>
                      <w:highlight w:val="none"/>
                      <w:lang w:eastAsia="zh-CN"/>
                    </w:rPr>
                    <w:t>龙潭镇二道沟公司</w:t>
                  </w:r>
                  <w:r>
                    <w:rPr>
                      <w:rFonts w:hint="eastAsia"/>
                      <w:color w:val="auto"/>
                      <w:highlight w:val="none"/>
                      <w:lang w:val="en-US" w:eastAsia="zh-CN"/>
                    </w:rPr>
                    <w:t>厂区</w:t>
                  </w:r>
                  <w:r>
                    <w:rPr>
                      <w:rFonts w:hint="eastAsia"/>
                      <w:color w:val="auto"/>
                      <w:highlight w:val="none"/>
                    </w:rPr>
                    <w:t>内</w:t>
                  </w:r>
                  <w:r>
                    <w:rPr>
                      <w:rFonts w:hint="eastAsia"/>
                      <w:color w:val="auto"/>
                      <w:highlight w:val="none"/>
                      <w:lang w:eastAsia="zh-CN"/>
                    </w:rPr>
                    <w:t>，</w:t>
                  </w:r>
                  <w:r>
                    <w:rPr>
                      <w:rFonts w:hint="eastAsia" w:eastAsiaTheme="minorEastAsia"/>
                      <w:color w:val="auto"/>
                      <w:highlight w:val="none"/>
                      <w:lang w:eastAsia="zh-CN"/>
                    </w:rPr>
                    <w:t>利用原有</w:t>
                  </w:r>
                  <w:r>
                    <w:rPr>
                      <w:rFonts w:hint="eastAsia"/>
                      <w:color w:val="auto"/>
                      <w:highlight w:val="none"/>
                      <w:lang w:eastAsia="zh-CN"/>
                    </w:rPr>
                    <w:t>二道沟公司</w:t>
                  </w:r>
                  <w:r>
                    <w:rPr>
                      <w:rFonts w:hint="eastAsia"/>
                      <w:color w:val="auto"/>
                      <w:highlight w:val="none"/>
                      <w:lang w:val="en-US" w:eastAsia="zh-CN"/>
                    </w:rPr>
                    <w:t>库</w:t>
                  </w:r>
                  <w:r>
                    <w:rPr>
                      <w:rFonts w:hint="eastAsia" w:eastAsiaTheme="minorEastAsia"/>
                      <w:color w:val="auto"/>
                      <w:highlight w:val="none"/>
                      <w:lang w:eastAsia="zh-CN"/>
                    </w:rPr>
                    <w:t>房进行改造，</w:t>
                  </w:r>
                  <w:r>
                    <w:rPr>
                      <w:rFonts w:hint="eastAsia"/>
                      <w:color w:val="auto"/>
                      <w:highlight w:val="none"/>
                      <w:lang w:eastAsia="zh-CN"/>
                    </w:rPr>
                    <w:t>不新增占地，</w:t>
                  </w:r>
                  <w:r>
                    <w:rPr>
                      <w:rFonts w:hint="eastAsia" w:eastAsiaTheme="minorEastAsia"/>
                      <w:color w:val="auto"/>
                      <w:highlight w:val="none"/>
                      <w:lang w:eastAsia="zh-CN"/>
                    </w:rPr>
                    <w:t>所在地不在生态保护红线范围内，不</w:t>
                  </w:r>
                  <w:r>
                    <w:rPr>
                      <w:rFonts w:hint="eastAsia"/>
                      <w:color w:val="auto"/>
                      <w:highlight w:val="none"/>
                      <w:lang w:eastAsia="zh-CN"/>
                    </w:rPr>
                    <w:t>新增</w:t>
                  </w:r>
                  <w:r>
                    <w:rPr>
                      <w:rFonts w:hint="eastAsia" w:eastAsiaTheme="minorEastAsia"/>
                      <w:color w:val="auto"/>
                      <w:highlight w:val="none"/>
                      <w:lang w:eastAsia="zh-CN"/>
                    </w:rPr>
                    <w:t>占用《自然生态空间用途管制办法（试行）》《辽宁省污染防治与生态建设和保护攻坚行动计划（2017—2020年）》中说明的生态保护红线以外的生态空间，不属于自然保护区、风景名胜区、饮用水源保护区和其他需要特殊保护的区域。距离本项目最近自然保护区为本项目所在位置</w:t>
                  </w:r>
                  <w:r>
                    <w:rPr>
                      <w:rFonts w:hint="eastAsia"/>
                      <w:color w:val="auto"/>
                      <w:highlight w:val="none"/>
                      <w:lang w:eastAsia="zh-CN"/>
                    </w:rPr>
                    <w:t>东</w:t>
                  </w:r>
                  <w:r>
                    <w:rPr>
                      <w:rFonts w:hint="eastAsia" w:eastAsiaTheme="minorEastAsia"/>
                      <w:color w:val="auto"/>
                      <w:highlight w:val="none"/>
                      <w:lang w:eastAsia="zh-CN"/>
                    </w:rPr>
                    <w:t>北向</w:t>
                  </w:r>
                  <w:r>
                    <w:rPr>
                      <w:rFonts w:hint="eastAsia"/>
                      <w:color w:val="auto"/>
                      <w:highlight w:val="none"/>
                      <w:lang w:val="en-US" w:eastAsia="zh-CN"/>
                    </w:rPr>
                    <w:t>5.434k</w:t>
                  </w:r>
                  <w:r>
                    <w:rPr>
                      <w:rFonts w:hint="eastAsia" w:eastAsiaTheme="minorEastAsia"/>
                      <w:color w:val="auto"/>
                      <w:highlight w:val="none"/>
                      <w:lang w:eastAsia="zh-CN"/>
                    </w:rPr>
                    <w:t>m处，</w:t>
                  </w:r>
                  <w:r>
                    <w:rPr>
                      <w:rFonts w:hint="eastAsia"/>
                      <w:color w:val="auto"/>
                      <w:highlight w:val="none"/>
                      <w:lang w:eastAsia="zh-CN"/>
                    </w:rPr>
                    <w:t>辽宁北票大黑山</w:t>
                  </w:r>
                  <w:r>
                    <w:rPr>
                      <w:rFonts w:hint="eastAsia" w:eastAsiaTheme="minorEastAsia"/>
                      <w:color w:val="auto"/>
                      <w:highlight w:val="none"/>
                      <w:lang w:eastAsia="zh-CN"/>
                    </w:rPr>
                    <w:t>国家级自然保护区。本项目为</w:t>
                  </w:r>
                  <w:r>
                    <w:rPr>
                      <w:rFonts w:hint="eastAsia"/>
                      <w:color w:val="auto"/>
                      <w:highlight w:val="none"/>
                      <w:lang w:eastAsia="zh-CN"/>
                    </w:rPr>
                    <w:t>危险废物</w:t>
                  </w:r>
                  <w:r>
                    <w:rPr>
                      <w:rFonts w:hint="eastAsia" w:eastAsiaTheme="minorEastAsia"/>
                      <w:color w:val="auto"/>
                      <w:highlight w:val="none"/>
                      <w:lang w:eastAsia="zh-CN"/>
                    </w:rPr>
                    <w:t>收集贮存项目，不属于钢铁、水泥熟料、平板玻璃、电解铝等高耗能高排放项目</w:t>
                  </w:r>
                  <w:r>
                    <w:rPr>
                      <w:rFonts w:hint="eastAsia"/>
                      <w:color w:val="auto"/>
                      <w:highlight w:val="none"/>
                      <w:lang w:eastAsia="zh-CN"/>
                    </w:rPr>
                    <w:t>，</w:t>
                  </w:r>
                  <w:r>
                    <w:rPr>
                      <w:rFonts w:hint="eastAsia" w:eastAsiaTheme="minorEastAsia"/>
                      <w:color w:val="auto"/>
                      <w:highlight w:val="none"/>
                      <w:lang w:eastAsia="zh-CN"/>
                    </w:rPr>
                    <w:t>不属于养殖项目</w:t>
                  </w:r>
                </w:p>
              </w:tc>
              <w:tc>
                <w:tcPr>
                  <w:tcW w:w="712" w:type="dxa"/>
                  <w:tcBorders>
                    <w:top w:val="single" w:color="auto" w:sz="4" w:space="0"/>
                    <w:left w:val="single" w:color="auto" w:sz="4" w:space="0"/>
                    <w:bottom w:val="single" w:color="auto" w:sz="4" w:space="0"/>
                    <w:right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68" w:type="dxa"/>
                  <w:tcBorders>
                    <w:top w:val="single" w:color="auto" w:sz="4" w:space="0"/>
                    <w:left w:val="nil"/>
                    <w:bottom w:val="single" w:color="auto" w:sz="4" w:space="0"/>
                    <w:right w:val="single" w:color="auto" w:sz="4" w:space="0"/>
                  </w:tcBorders>
                  <w:vAlign w:val="center"/>
                </w:tcPr>
                <w:p>
                  <w:pPr>
                    <w:pStyle w:val="22"/>
                    <w:rPr>
                      <w:color w:val="auto"/>
                      <w:highlight w:val="none"/>
                    </w:rPr>
                  </w:pPr>
                  <w:r>
                    <w:rPr>
                      <w:rFonts w:hint="eastAsia"/>
                      <w:color w:val="auto"/>
                      <w:highlight w:val="none"/>
                    </w:rPr>
                    <w:t>污染物排放管控</w:t>
                  </w:r>
                </w:p>
              </w:tc>
              <w:tc>
                <w:tcPr>
                  <w:tcW w:w="3093"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rFonts w:hint="eastAsia"/>
                      <w:color w:val="auto"/>
                      <w:highlight w:val="none"/>
                    </w:rPr>
                    <w:t>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从2021年1月1日起，全面执行国家排放标准大气污染物特别排放限值；推进清洁取暖改造，推广使用天然气、液化石油气、太阳能、电能等清洁能源。推进柴油货车等高排放车辆深度治理。综合整治扬尘污染。推进畜禽粪污资源化利用。加强农业面源污染防治，加大种养业特别是规模化畜禽养殖污染防治力度，引导农民使用生物农药或高效、低毒、低残留农药，对农药包装进行无害化处理</w:t>
                  </w:r>
                </w:p>
              </w:tc>
              <w:tc>
                <w:tcPr>
                  <w:tcW w:w="2359" w:type="dxa"/>
                  <w:tcBorders>
                    <w:top w:val="single" w:color="auto" w:sz="4" w:space="0"/>
                    <w:left w:val="single" w:color="auto" w:sz="4" w:space="0"/>
                    <w:bottom w:val="single" w:color="auto" w:sz="4" w:space="0"/>
                    <w:right w:val="single" w:color="auto" w:sz="4" w:space="0"/>
                  </w:tcBorders>
                  <w:vAlign w:val="center"/>
                </w:tcPr>
                <w:p>
                  <w:pPr>
                    <w:pStyle w:val="22"/>
                    <w:rPr>
                      <w:rFonts w:hint="default"/>
                      <w:color w:val="auto"/>
                      <w:highlight w:val="none"/>
                      <w:lang w:val="en-US" w:eastAsia="zh-CN"/>
                    </w:rPr>
                  </w:pPr>
                  <w:r>
                    <w:rPr>
                      <w:rFonts w:hint="eastAsia"/>
                      <w:color w:val="auto"/>
                      <w:highlight w:val="none"/>
                      <w:lang w:val="en-US" w:eastAsia="zh-CN"/>
                    </w:rPr>
                    <w:t>本项目为二道沟公司配套建设的危险废物贮存项目，不进行畜禽养殖。本项目排放物为挥发性有机物（以非甲烷总烃计），根据预测结果显示排放浓度符合国家排放标准大气污染物排放限值要求，本项目危险废物贮存点不取暖，不新增职工，不新增取暖方式。本项目不属于农业开发项目，无需进行农业面源污染防治</w:t>
                  </w:r>
                </w:p>
              </w:tc>
              <w:tc>
                <w:tcPr>
                  <w:tcW w:w="712" w:type="dxa"/>
                  <w:tcBorders>
                    <w:top w:val="single" w:color="auto" w:sz="4" w:space="0"/>
                    <w:left w:val="single" w:color="auto" w:sz="4" w:space="0"/>
                    <w:bottom w:val="single" w:color="auto" w:sz="4" w:space="0"/>
                    <w:right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68" w:type="dxa"/>
                  <w:tcBorders>
                    <w:top w:val="single" w:color="auto" w:sz="4" w:space="0"/>
                    <w:left w:val="nil"/>
                    <w:bottom w:val="single" w:color="auto" w:sz="4" w:space="0"/>
                    <w:right w:val="single" w:color="auto" w:sz="4" w:space="0"/>
                  </w:tcBorders>
                  <w:vAlign w:val="center"/>
                </w:tcPr>
                <w:p>
                  <w:pPr>
                    <w:pStyle w:val="22"/>
                    <w:rPr>
                      <w:color w:val="auto"/>
                      <w:highlight w:val="none"/>
                    </w:rPr>
                  </w:pPr>
                  <w:r>
                    <w:rPr>
                      <w:rFonts w:hint="eastAsia"/>
                      <w:color w:val="auto"/>
                      <w:highlight w:val="none"/>
                    </w:rPr>
                    <w:t>环境风险管控</w:t>
                  </w:r>
                </w:p>
              </w:tc>
              <w:tc>
                <w:tcPr>
                  <w:tcW w:w="3093"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rFonts w:hint="eastAsia"/>
                      <w:color w:val="auto"/>
                      <w:highlight w:val="none"/>
                    </w:rPr>
                    <w:t>加大执法检查力度，推动辖区内化工企业落实安全生产和环境保护主体责任，提升突发环境事件风险防控能力。紧邻的居住、科教、医院等环境敏感点的工业用地，禁止新建环境风险潜势等级Ⅳ/Ⅳ+级的建设项目；重点加强对烧结、工业炉窑、医疗垃圾和危险废物焚烧有毒有害大气污染物排放企业的监管，按国家有关规定对排放有毒有害大气污染物的排放口和周边环境进行定期监测，建设环境风险预警体系，排查环境安全隐患，评估和防范环境风险 对拟收回土地使用权的，以及用途拟变更为居住和商业、学校、医疗、养老机构等公共设施的有色金属冶炼、石油加工、化工、焦化、电镀、制革等行业企业用地，由土地使用权人委托开展土壤环境状况调查评估</w:t>
                  </w:r>
                </w:p>
              </w:tc>
              <w:tc>
                <w:tcPr>
                  <w:tcW w:w="2359" w:type="dxa"/>
                  <w:tcBorders>
                    <w:top w:val="single" w:color="auto" w:sz="4" w:space="0"/>
                    <w:left w:val="single" w:color="auto" w:sz="4" w:space="0"/>
                    <w:bottom w:val="single" w:color="auto" w:sz="4" w:space="0"/>
                    <w:right w:val="single" w:color="auto" w:sz="4" w:space="0"/>
                  </w:tcBorders>
                  <w:vAlign w:val="center"/>
                </w:tcPr>
                <w:p>
                  <w:pPr>
                    <w:pStyle w:val="22"/>
                    <w:rPr>
                      <w:rFonts w:hint="eastAsia" w:eastAsiaTheme="minorEastAsia"/>
                      <w:color w:val="auto"/>
                      <w:highlight w:val="none"/>
                      <w:lang w:eastAsia="zh-CN"/>
                    </w:rPr>
                  </w:pPr>
                  <w:r>
                    <w:rPr>
                      <w:rFonts w:hint="eastAsia" w:eastAsiaTheme="minorEastAsia"/>
                      <w:color w:val="auto"/>
                      <w:highlight w:val="none"/>
                      <w:lang w:eastAsia="zh-CN"/>
                    </w:rPr>
                    <w:t>为保证落实突发环境事件风险防控能力，编制突发环境事件应急预案，确保发生突发环境事件能有效应对。本项目</w:t>
                  </w:r>
                  <w:r>
                    <w:rPr>
                      <w:rFonts w:hint="eastAsia"/>
                      <w:color w:val="auto"/>
                      <w:highlight w:val="none"/>
                      <w:lang w:eastAsia="zh-CN"/>
                    </w:rPr>
                    <w:t>不属于</w:t>
                  </w:r>
                  <w:r>
                    <w:rPr>
                      <w:rFonts w:hint="eastAsia"/>
                      <w:color w:val="auto"/>
                      <w:highlight w:val="none"/>
                    </w:rPr>
                    <w:t>潜势等级Ⅳ/Ⅳ</w:t>
                  </w:r>
                  <w:r>
                    <w:rPr>
                      <w:rFonts w:hint="eastAsia"/>
                      <w:color w:val="auto"/>
                      <w:highlight w:val="none"/>
                      <w:vertAlign w:val="superscript"/>
                    </w:rPr>
                    <w:t>+</w:t>
                  </w:r>
                  <w:r>
                    <w:rPr>
                      <w:rFonts w:hint="eastAsia"/>
                      <w:color w:val="auto"/>
                      <w:highlight w:val="none"/>
                    </w:rPr>
                    <w:t>级的建设项目</w:t>
                  </w:r>
                  <w:r>
                    <w:rPr>
                      <w:rFonts w:hint="eastAsia"/>
                      <w:color w:val="auto"/>
                      <w:highlight w:val="none"/>
                      <w:lang w:eastAsia="zh-CN"/>
                    </w:rPr>
                    <w:t>，</w:t>
                  </w:r>
                  <w:r>
                    <w:rPr>
                      <w:rFonts w:hint="eastAsia" w:eastAsiaTheme="minorEastAsia"/>
                      <w:color w:val="auto"/>
                      <w:highlight w:val="none"/>
                      <w:lang w:eastAsia="zh-CN"/>
                    </w:rPr>
                    <w:t>项目运行后根据本环评提出要求定期进行检测。项目</w:t>
                  </w:r>
                  <w:r>
                    <w:rPr>
                      <w:rFonts w:hint="eastAsia"/>
                      <w:color w:val="auto"/>
                      <w:highlight w:val="none"/>
                      <w:lang w:eastAsia="zh-CN"/>
                    </w:rPr>
                    <w:t>危废贮存点</w:t>
                  </w:r>
                  <w:r>
                    <w:rPr>
                      <w:rFonts w:hint="eastAsia" w:eastAsiaTheme="minorEastAsia"/>
                      <w:color w:val="auto"/>
                      <w:highlight w:val="none"/>
                      <w:lang w:eastAsia="zh-CN"/>
                    </w:rPr>
                    <w:t>退役后，根据现行文件要求</w:t>
                  </w:r>
                  <w:r>
                    <w:rPr>
                      <w:rFonts w:hint="eastAsia"/>
                      <w:color w:val="auto"/>
                      <w:highlight w:val="none"/>
                      <w:lang w:eastAsia="zh-CN"/>
                    </w:rPr>
                    <w:t>开展</w:t>
                  </w:r>
                  <w:r>
                    <w:rPr>
                      <w:rFonts w:hint="eastAsia" w:eastAsiaTheme="minorEastAsia"/>
                      <w:color w:val="auto"/>
                      <w:highlight w:val="none"/>
                      <w:lang w:eastAsia="zh-CN"/>
                    </w:rPr>
                    <w:t>土壤环境状况调查评估</w:t>
                  </w:r>
                </w:p>
              </w:tc>
              <w:tc>
                <w:tcPr>
                  <w:tcW w:w="712" w:type="dxa"/>
                  <w:tcBorders>
                    <w:top w:val="single" w:color="auto" w:sz="4" w:space="0"/>
                    <w:left w:val="single" w:color="auto" w:sz="4" w:space="0"/>
                    <w:bottom w:val="single" w:color="auto" w:sz="4" w:space="0"/>
                    <w:right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68" w:type="dxa"/>
                  <w:tcBorders>
                    <w:top w:val="single" w:color="auto" w:sz="4" w:space="0"/>
                    <w:left w:val="nil"/>
                    <w:bottom w:val="single" w:color="auto" w:sz="12" w:space="0"/>
                    <w:right w:val="single" w:color="auto" w:sz="4" w:space="0"/>
                  </w:tcBorders>
                  <w:vAlign w:val="center"/>
                </w:tcPr>
                <w:p>
                  <w:pPr>
                    <w:pStyle w:val="22"/>
                    <w:rPr>
                      <w:color w:val="auto"/>
                      <w:highlight w:val="none"/>
                    </w:rPr>
                  </w:pPr>
                  <w:r>
                    <w:rPr>
                      <w:rFonts w:hint="eastAsia"/>
                      <w:color w:val="auto"/>
                      <w:highlight w:val="none"/>
                    </w:rPr>
                    <w:t>资源开发效率要求</w:t>
                  </w:r>
                </w:p>
              </w:tc>
              <w:tc>
                <w:tcPr>
                  <w:tcW w:w="3093" w:type="dxa"/>
                  <w:tcBorders>
                    <w:top w:val="single" w:color="auto" w:sz="4" w:space="0"/>
                    <w:left w:val="single" w:color="auto" w:sz="4" w:space="0"/>
                    <w:bottom w:val="single" w:color="auto" w:sz="12" w:space="0"/>
                    <w:right w:val="single" w:color="auto" w:sz="4" w:space="0"/>
                  </w:tcBorders>
                  <w:vAlign w:val="center"/>
                </w:tcPr>
                <w:p>
                  <w:pPr>
                    <w:pStyle w:val="22"/>
                    <w:rPr>
                      <w:color w:val="auto"/>
                      <w:highlight w:val="none"/>
                    </w:rPr>
                  </w:pPr>
                  <w:r>
                    <w:rPr>
                      <w:rFonts w:hint="eastAsia"/>
                      <w:color w:val="auto"/>
                      <w:highlight w:val="none"/>
                    </w:rPr>
                    <w:t>加快发展清洁能源、可再生能源；实行煤炭消费总量控制，降低煤炭消费比例。加快供水管网改造，降低人均生活用水量；推广农田节水技术和设施，提高灌溉水利用效率。推进畜禽粪污、餐厨废弃物等集中处理和资源化利用 实行最严格耕地保护和节约集约用地制度，严控生态保护红线管控区内土地用途，强化存量用地处置。在开发利用时要注意林地、自然保护区、水域等禁止开发要求，重视生态和环境保护，提升防风固沙功能红线区内禁止新建、扩建建设用地占用防风固沙林地、草地，已有重污染企业逐步退出</w:t>
                  </w:r>
                </w:p>
              </w:tc>
              <w:tc>
                <w:tcPr>
                  <w:tcW w:w="2359" w:type="dxa"/>
                  <w:tcBorders>
                    <w:top w:val="single" w:color="auto" w:sz="4" w:space="0"/>
                    <w:left w:val="single" w:color="auto" w:sz="4" w:space="0"/>
                    <w:bottom w:val="single" w:color="auto" w:sz="12" w:space="0"/>
                    <w:right w:val="single" w:color="auto" w:sz="4" w:space="0"/>
                  </w:tcBorders>
                  <w:vAlign w:val="center"/>
                </w:tcPr>
                <w:p>
                  <w:pPr>
                    <w:pStyle w:val="22"/>
                    <w:rPr>
                      <w:rFonts w:hint="default" w:eastAsiaTheme="minorEastAsia"/>
                      <w:color w:val="auto"/>
                      <w:highlight w:val="none"/>
                      <w:lang w:val="en-US" w:eastAsia="zh-CN"/>
                    </w:rPr>
                  </w:pPr>
                  <w:r>
                    <w:rPr>
                      <w:rFonts w:hint="default" w:eastAsiaTheme="minorEastAsia"/>
                      <w:color w:val="auto"/>
                      <w:highlight w:val="none"/>
                      <w:lang w:val="en-US" w:eastAsia="zh-CN"/>
                    </w:rPr>
                    <w:t>本项目不新增员工，无新增取暖面积，不涉及煤炭消耗，不属于耗煤项目。本项目</w:t>
                  </w:r>
                  <w:r>
                    <w:rPr>
                      <w:rFonts w:hint="eastAsia"/>
                      <w:color w:val="auto"/>
                      <w:highlight w:val="none"/>
                      <w:lang w:val="en-US" w:eastAsia="zh-CN"/>
                    </w:rPr>
                    <w:t>新增少量用水</w:t>
                  </w:r>
                  <w:r>
                    <w:rPr>
                      <w:rFonts w:hint="default" w:eastAsiaTheme="minorEastAsia"/>
                      <w:color w:val="auto"/>
                      <w:highlight w:val="none"/>
                      <w:lang w:val="en-US" w:eastAsia="zh-CN"/>
                    </w:rPr>
                    <w:t>，</w:t>
                  </w:r>
                  <w:r>
                    <w:rPr>
                      <w:rFonts w:hint="eastAsia"/>
                      <w:color w:val="auto"/>
                      <w:highlight w:val="none"/>
                      <w:lang w:val="en-US" w:eastAsia="zh-CN"/>
                    </w:rPr>
                    <w:t>现有取水量满足需求，无需新增</w:t>
                  </w:r>
                  <w:r>
                    <w:rPr>
                      <w:rFonts w:hint="default" w:eastAsiaTheme="minorEastAsia"/>
                      <w:color w:val="auto"/>
                      <w:highlight w:val="none"/>
                      <w:lang w:val="en-US" w:eastAsia="zh-CN"/>
                    </w:rPr>
                    <w:t>取水申请</w:t>
                  </w:r>
                </w:p>
              </w:tc>
              <w:tc>
                <w:tcPr>
                  <w:tcW w:w="712" w:type="dxa"/>
                  <w:tcBorders>
                    <w:top w:val="single" w:color="auto" w:sz="4" w:space="0"/>
                    <w:left w:val="single" w:color="auto" w:sz="4" w:space="0"/>
                    <w:bottom w:val="single" w:color="auto" w:sz="12" w:space="0"/>
                    <w:right w:val="nil"/>
                  </w:tcBorders>
                  <w:vAlign w:val="center"/>
                </w:tcPr>
                <w:p>
                  <w:pPr>
                    <w:pStyle w:val="22"/>
                    <w:rPr>
                      <w:color w:val="auto"/>
                      <w:highlight w:val="none"/>
                    </w:rPr>
                  </w:pPr>
                  <w:r>
                    <w:rPr>
                      <w:rFonts w:hint="eastAsia"/>
                      <w:color w:val="auto"/>
                      <w:highlight w:val="none"/>
                    </w:rPr>
                    <w:t>符合</w:t>
                  </w:r>
                </w:p>
              </w:tc>
            </w:tr>
          </w:tbl>
          <w:p>
            <w:pPr>
              <w:pStyle w:val="27"/>
              <w:ind w:firstLine="482"/>
              <w:rPr>
                <w:rFonts w:hint="default"/>
                <w:color w:val="auto"/>
                <w:highlight w:val="none"/>
              </w:rPr>
            </w:pPr>
            <w:r>
              <w:rPr>
                <w:color w:val="auto"/>
                <w:highlight w:val="none"/>
              </w:rPr>
              <w:t>5.其他符合性分析</w:t>
            </w:r>
          </w:p>
          <w:p>
            <w:pPr>
              <w:pStyle w:val="12"/>
              <w:ind w:firstLine="480"/>
              <w:rPr>
                <w:color w:val="auto"/>
                <w:highlight w:val="none"/>
              </w:rPr>
            </w:pPr>
            <w:r>
              <w:rPr>
                <w:rFonts w:hint="eastAsia"/>
                <w:color w:val="auto"/>
                <w:highlight w:val="none"/>
              </w:rPr>
              <w:t>5.1本项目与《危险废物污染防治技术政策》</w:t>
            </w:r>
            <w:r>
              <w:rPr>
                <w:rFonts w:hint="eastAsia"/>
                <w:color w:val="auto"/>
                <w:highlight w:val="none"/>
                <w:lang w:eastAsia="zh-CN"/>
              </w:rPr>
              <w:t>（环发</w:t>
            </w:r>
            <w:r>
              <w:rPr>
                <w:rFonts w:hint="eastAsia"/>
                <w:color w:val="auto"/>
                <w:highlight w:val="none"/>
                <w:lang w:val="en-US" w:eastAsia="zh-CN"/>
              </w:rPr>
              <w:t>[2001]199号</w:t>
            </w:r>
            <w:r>
              <w:rPr>
                <w:rFonts w:hint="eastAsia"/>
                <w:color w:val="auto"/>
                <w:highlight w:val="none"/>
                <w:lang w:eastAsia="zh-CN"/>
              </w:rPr>
              <w:t>）</w:t>
            </w:r>
            <w:r>
              <w:rPr>
                <w:rFonts w:hint="eastAsia"/>
                <w:color w:val="auto"/>
                <w:highlight w:val="none"/>
              </w:rPr>
              <w:t>符合性分析详见</w:t>
            </w:r>
            <w:r>
              <w:rPr>
                <w:rFonts w:hint="eastAsia"/>
                <w:color w:val="auto"/>
                <w:highlight w:val="none"/>
                <w:lang w:eastAsia="zh-CN"/>
              </w:rPr>
              <w:t>下表</w:t>
            </w:r>
            <w:r>
              <w:rPr>
                <w:rFonts w:hint="eastAsia"/>
                <w:color w:val="auto"/>
                <w:highlight w:val="none"/>
              </w:rPr>
              <w:t>。</w:t>
            </w:r>
          </w:p>
          <w:p>
            <w:pPr>
              <w:pStyle w:val="23"/>
              <w:numPr>
                <w:ilvl w:val="0"/>
                <w:numId w:val="2"/>
              </w:numPr>
              <w:tabs>
                <w:tab w:val="clear" w:pos="420"/>
                <w:tab w:val="clear" w:pos="6600"/>
              </w:tabs>
              <w:bidi w:val="0"/>
              <w:ind w:left="0" w:leftChars="0" w:firstLine="0" w:firstLineChars="0"/>
              <w:rPr>
                <w:color w:val="auto"/>
                <w:highlight w:val="none"/>
              </w:rPr>
            </w:pPr>
            <w:r>
              <w:rPr>
                <w:rFonts w:hint="eastAsia"/>
                <w:color w:val="auto"/>
                <w:highlight w:val="none"/>
              </w:rPr>
              <w:t xml:space="preserve">   </w:t>
            </w:r>
            <w:r>
              <w:rPr>
                <w:color w:val="auto"/>
                <w:highlight w:val="none"/>
              </w:rPr>
              <w:t>与</w:t>
            </w:r>
            <w:r>
              <w:rPr>
                <w:rFonts w:hint="eastAsia"/>
                <w:color w:val="auto"/>
                <w:highlight w:val="none"/>
                <w:lang w:eastAsia="zh-CN"/>
              </w:rPr>
              <w:t>《危险废物污染防治技术政策》（环发[2001]199号）</w:t>
            </w:r>
            <w:r>
              <w:rPr>
                <w:color w:val="auto"/>
                <w:highlight w:val="none"/>
              </w:rPr>
              <w:t>符合性分析</w:t>
            </w:r>
          </w:p>
          <w:tbl>
            <w:tblPr>
              <w:tblStyle w:val="15"/>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6"/>
              <w:gridCol w:w="2952"/>
              <w:gridCol w:w="2735"/>
              <w:gridCol w:w="7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46" w:type="dxa"/>
                  <w:tcBorders>
                    <w:top w:val="single" w:color="auto" w:sz="12" w:space="0"/>
                    <w:left w:val="nil"/>
                    <w:bottom w:val="single" w:color="auto" w:sz="4" w:space="0"/>
                    <w:right w:val="single" w:color="auto" w:sz="4" w:space="0"/>
                  </w:tcBorders>
                  <w:vAlign w:val="center"/>
                </w:tcPr>
                <w:p>
                  <w:pPr>
                    <w:pStyle w:val="25"/>
                    <w:rPr>
                      <w:rFonts w:hint="default"/>
                      <w:color w:val="auto"/>
                      <w:highlight w:val="none"/>
                    </w:rPr>
                  </w:pPr>
                  <w:r>
                    <w:rPr>
                      <w:color w:val="auto"/>
                      <w:highlight w:val="none"/>
                    </w:rPr>
                    <w:t>序号</w:t>
                  </w:r>
                </w:p>
              </w:tc>
              <w:tc>
                <w:tcPr>
                  <w:tcW w:w="2952" w:type="dxa"/>
                  <w:tcBorders>
                    <w:top w:val="single" w:color="auto" w:sz="12" w:space="0"/>
                    <w:left w:val="single" w:color="auto" w:sz="4" w:space="0"/>
                    <w:bottom w:val="single" w:color="auto" w:sz="4" w:space="0"/>
                    <w:right w:val="single" w:color="auto" w:sz="4" w:space="0"/>
                  </w:tcBorders>
                  <w:vAlign w:val="center"/>
                </w:tcPr>
                <w:p>
                  <w:pPr>
                    <w:pStyle w:val="25"/>
                    <w:rPr>
                      <w:rFonts w:hint="default"/>
                      <w:color w:val="auto"/>
                      <w:highlight w:val="none"/>
                    </w:rPr>
                  </w:pPr>
                  <w:r>
                    <w:rPr>
                      <w:color w:val="auto"/>
                      <w:highlight w:val="none"/>
                    </w:rPr>
                    <w:t>分析内容</w:t>
                  </w:r>
                </w:p>
              </w:tc>
              <w:tc>
                <w:tcPr>
                  <w:tcW w:w="2735" w:type="dxa"/>
                  <w:tcBorders>
                    <w:top w:val="single" w:color="auto" w:sz="12" w:space="0"/>
                    <w:left w:val="single" w:color="auto" w:sz="4" w:space="0"/>
                    <w:bottom w:val="single" w:color="auto" w:sz="4" w:space="0"/>
                    <w:right w:val="single" w:color="auto" w:sz="4" w:space="0"/>
                  </w:tcBorders>
                  <w:vAlign w:val="center"/>
                </w:tcPr>
                <w:p>
                  <w:pPr>
                    <w:pStyle w:val="25"/>
                    <w:rPr>
                      <w:rFonts w:hint="default"/>
                      <w:color w:val="auto"/>
                      <w:highlight w:val="none"/>
                    </w:rPr>
                  </w:pPr>
                  <w:r>
                    <w:rPr>
                      <w:color w:val="auto"/>
                      <w:highlight w:val="none"/>
                    </w:rPr>
                    <w:t>本项目情况</w:t>
                  </w:r>
                </w:p>
              </w:tc>
              <w:tc>
                <w:tcPr>
                  <w:tcW w:w="701" w:type="dxa"/>
                  <w:tcBorders>
                    <w:top w:val="single" w:color="auto" w:sz="12" w:space="0"/>
                    <w:left w:val="single" w:color="auto" w:sz="4" w:space="0"/>
                    <w:bottom w:val="single" w:color="auto" w:sz="4" w:space="0"/>
                    <w:right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46" w:type="dxa"/>
                  <w:tcBorders>
                    <w:top w:val="single" w:color="auto" w:sz="4" w:space="0"/>
                    <w:left w:val="nil"/>
                    <w:bottom w:val="single" w:color="auto" w:sz="4" w:space="0"/>
                    <w:right w:val="single" w:color="auto" w:sz="4" w:space="0"/>
                  </w:tcBorders>
                  <w:vAlign w:val="center"/>
                </w:tcPr>
                <w:p>
                  <w:pPr>
                    <w:pStyle w:val="22"/>
                    <w:rPr>
                      <w:color w:val="auto"/>
                      <w:highlight w:val="none"/>
                    </w:rPr>
                  </w:pPr>
                  <w:r>
                    <w:rPr>
                      <w:rFonts w:hint="eastAsia"/>
                      <w:color w:val="auto"/>
                      <w:highlight w:val="none"/>
                    </w:rPr>
                    <w:t>1</w:t>
                  </w:r>
                </w:p>
              </w:tc>
              <w:tc>
                <w:tcPr>
                  <w:tcW w:w="2952"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rFonts w:hint="eastAsia"/>
                      <w:color w:val="auto"/>
                      <w:highlight w:val="none"/>
                    </w:rPr>
                    <w:t>危险废物要根据其成分，用符合国家标准的专门容器分类收集</w:t>
                  </w:r>
                </w:p>
              </w:tc>
              <w:tc>
                <w:tcPr>
                  <w:tcW w:w="2735" w:type="dxa"/>
                  <w:tcBorders>
                    <w:top w:val="single" w:color="auto" w:sz="4" w:space="0"/>
                    <w:left w:val="single" w:color="auto" w:sz="4" w:space="0"/>
                    <w:bottom w:val="single" w:color="auto" w:sz="4" w:space="0"/>
                    <w:right w:val="single" w:color="auto" w:sz="4" w:space="0"/>
                  </w:tcBorders>
                  <w:vAlign w:val="center"/>
                </w:tcPr>
                <w:p>
                  <w:pPr>
                    <w:pStyle w:val="22"/>
                    <w:rPr>
                      <w:rFonts w:hint="eastAsia" w:eastAsiaTheme="minorEastAsia"/>
                      <w:color w:val="auto"/>
                      <w:highlight w:val="none"/>
                      <w:lang w:eastAsia="zh-CN"/>
                    </w:rPr>
                  </w:pPr>
                  <w:r>
                    <w:rPr>
                      <w:rFonts w:hint="eastAsia"/>
                      <w:color w:val="auto"/>
                      <w:highlight w:val="none"/>
                      <w:lang w:eastAsia="zh-CN"/>
                    </w:rPr>
                    <w:t>本项目危险废物均通过专门的容器进行分类收集</w:t>
                  </w:r>
                </w:p>
              </w:tc>
              <w:tc>
                <w:tcPr>
                  <w:tcW w:w="701" w:type="dxa"/>
                  <w:tcBorders>
                    <w:top w:val="single" w:color="auto" w:sz="4" w:space="0"/>
                    <w:left w:val="single" w:color="auto" w:sz="4" w:space="0"/>
                    <w:bottom w:val="single" w:color="auto" w:sz="4" w:space="0"/>
                    <w:right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46" w:type="dxa"/>
                  <w:tcBorders>
                    <w:top w:val="single" w:color="auto" w:sz="4" w:space="0"/>
                    <w:left w:val="nil"/>
                    <w:bottom w:val="single" w:color="auto" w:sz="4" w:space="0"/>
                    <w:right w:val="single" w:color="auto" w:sz="4" w:space="0"/>
                  </w:tcBorders>
                  <w:vAlign w:val="center"/>
                </w:tcPr>
                <w:p>
                  <w:pPr>
                    <w:pStyle w:val="22"/>
                    <w:rPr>
                      <w:color w:val="auto"/>
                      <w:highlight w:val="none"/>
                    </w:rPr>
                  </w:pPr>
                  <w:r>
                    <w:rPr>
                      <w:rFonts w:hint="eastAsia"/>
                      <w:color w:val="auto"/>
                      <w:highlight w:val="none"/>
                    </w:rPr>
                    <w:t>2</w:t>
                  </w:r>
                </w:p>
              </w:tc>
              <w:tc>
                <w:tcPr>
                  <w:tcW w:w="2952"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rFonts w:hint="eastAsia"/>
                      <w:color w:val="auto"/>
                      <w:highlight w:val="none"/>
                    </w:rPr>
                    <w:t>装运危险废物的容器应根据危险废物的不同特性而设计，不易破损、变形、老化，能有效地防止渗漏、扩散。装有危险废物的容器必须贴有标签，在标签上详细标明危险废物的名称、重量、成分、特性以及发生泄漏、扩散污染事故时的应急措施和补救方法</w:t>
                  </w:r>
                </w:p>
              </w:tc>
              <w:tc>
                <w:tcPr>
                  <w:tcW w:w="2735" w:type="dxa"/>
                  <w:tcBorders>
                    <w:top w:val="single" w:color="auto" w:sz="4" w:space="0"/>
                    <w:left w:val="single" w:color="auto" w:sz="4" w:space="0"/>
                    <w:bottom w:val="single" w:color="auto" w:sz="4" w:space="0"/>
                    <w:right w:val="single" w:color="auto" w:sz="4" w:space="0"/>
                  </w:tcBorders>
                  <w:vAlign w:val="center"/>
                </w:tcPr>
                <w:p>
                  <w:pPr>
                    <w:pStyle w:val="22"/>
                    <w:rPr>
                      <w:rFonts w:hint="eastAsia" w:eastAsiaTheme="minorEastAsia"/>
                      <w:color w:val="auto"/>
                      <w:highlight w:val="none"/>
                      <w:lang w:eastAsia="zh-CN"/>
                    </w:rPr>
                  </w:pPr>
                  <w:r>
                    <w:rPr>
                      <w:rFonts w:hint="eastAsia"/>
                      <w:color w:val="auto"/>
                      <w:highlight w:val="none"/>
                      <w:lang w:eastAsia="zh-CN"/>
                    </w:rPr>
                    <w:t>本项目装运危险废物的容器根据不同的危险废物配备铁桶、耐酸耐腐蚀箱等多种类型容器，并在</w:t>
                  </w:r>
                  <w:r>
                    <w:rPr>
                      <w:rFonts w:hint="eastAsia"/>
                      <w:color w:val="auto"/>
                      <w:highlight w:val="none"/>
                    </w:rPr>
                    <w:t>装有危险废物的容器</w:t>
                  </w:r>
                  <w:r>
                    <w:rPr>
                      <w:rFonts w:hint="eastAsia"/>
                      <w:color w:val="auto"/>
                      <w:highlight w:val="none"/>
                      <w:lang w:eastAsia="zh-CN"/>
                    </w:rPr>
                    <w:t>上</w:t>
                  </w:r>
                  <w:r>
                    <w:rPr>
                      <w:rFonts w:hint="eastAsia"/>
                      <w:color w:val="auto"/>
                      <w:highlight w:val="none"/>
                    </w:rPr>
                    <w:t>必须贴有标签，在标签上详细标明危险废物的名称、重量、成分、特性以及发生泄漏、扩散污染事故时的应急措施和补救方法</w:t>
                  </w:r>
                </w:p>
              </w:tc>
              <w:tc>
                <w:tcPr>
                  <w:tcW w:w="701" w:type="dxa"/>
                  <w:tcBorders>
                    <w:top w:val="single" w:color="auto" w:sz="4" w:space="0"/>
                    <w:left w:val="single" w:color="auto" w:sz="4" w:space="0"/>
                    <w:bottom w:val="single" w:color="auto" w:sz="4" w:space="0"/>
                    <w:right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46" w:type="dxa"/>
                  <w:tcBorders>
                    <w:top w:val="single" w:color="auto" w:sz="4" w:space="0"/>
                    <w:left w:val="nil"/>
                    <w:bottom w:val="single" w:color="auto" w:sz="4" w:space="0"/>
                    <w:right w:val="single" w:color="auto" w:sz="4" w:space="0"/>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3</w:t>
                  </w:r>
                </w:p>
              </w:tc>
              <w:tc>
                <w:tcPr>
                  <w:tcW w:w="2952"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rFonts w:hint="eastAsia"/>
                      <w:color w:val="auto"/>
                      <w:highlight w:val="none"/>
                    </w:rPr>
                    <w:t>对已产生的危险废物，若暂时不能回收利用或进行处理处置的，其产生单位须建设专门的危险废物贮存设施进行贮存，并设立危险废物标志，或委托具有专门危险废物贮存设施的单位进行贮存，贮存期限不得超过国家规定</w:t>
                  </w:r>
                </w:p>
              </w:tc>
              <w:tc>
                <w:tcPr>
                  <w:tcW w:w="2735" w:type="dxa"/>
                  <w:tcBorders>
                    <w:top w:val="single" w:color="auto" w:sz="4" w:space="0"/>
                    <w:left w:val="single" w:color="auto" w:sz="4" w:space="0"/>
                    <w:bottom w:val="single" w:color="auto" w:sz="4" w:space="0"/>
                    <w:right w:val="single" w:color="auto" w:sz="4" w:space="0"/>
                  </w:tcBorders>
                  <w:vAlign w:val="center"/>
                </w:tcPr>
                <w:p>
                  <w:pPr>
                    <w:pStyle w:val="22"/>
                    <w:rPr>
                      <w:rFonts w:hint="default" w:eastAsiaTheme="minorEastAsia"/>
                      <w:color w:val="auto"/>
                      <w:highlight w:val="none"/>
                      <w:lang w:val="en-US" w:eastAsia="zh-CN"/>
                    </w:rPr>
                  </w:pPr>
                  <w:r>
                    <w:rPr>
                      <w:rFonts w:hint="eastAsia"/>
                      <w:color w:val="auto"/>
                      <w:highlight w:val="none"/>
                      <w:lang w:eastAsia="zh-CN"/>
                    </w:rPr>
                    <w:t>二道沟公司产生的危险废物均及时收集至本项目危险废物贮存点内贮存</w:t>
                  </w:r>
                </w:p>
              </w:tc>
              <w:tc>
                <w:tcPr>
                  <w:tcW w:w="701" w:type="dxa"/>
                  <w:tcBorders>
                    <w:top w:val="single" w:color="auto" w:sz="4" w:space="0"/>
                    <w:left w:val="single" w:color="auto" w:sz="4" w:space="0"/>
                    <w:bottom w:val="single" w:color="auto" w:sz="4" w:space="0"/>
                    <w:right w:val="nil"/>
                  </w:tcBorders>
                  <w:vAlign w:val="center"/>
                </w:tcPr>
                <w:p>
                  <w:pPr>
                    <w:pStyle w:val="22"/>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46" w:type="dxa"/>
                  <w:tcBorders>
                    <w:top w:val="single" w:color="auto" w:sz="4" w:space="0"/>
                    <w:left w:val="nil"/>
                    <w:bottom w:val="single" w:color="auto" w:sz="4" w:space="0"/>
                    <w:right w:val="single" w:color="auto" w:sz="4" w:space="0"/>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4</w:t>
                  </w:r>
                </w:p>
              </w:tc>
              <w:tc>
                <w:tcPr>
                  <w:tcW w:w="2952"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rFonts w:hint="eastAsia"/>
                      <w:color w:val="auto"/>
                      <w:highlight w:val="none"/>
                    </w:rPr>
                    <w:t>应建有堵截泄漏的裙脚</w:t>
                  </w:r>
                  <w:r>
                    <w:rPr>
                      <w:rFonts w:hint="eastAsia"/>
                      <w:color w:val="auto"/>
                      <w:highlight w:val="none"/>
                      <w:lang w:eastAsia="zh-CN"/>
                    </w:rPr>
                    <w:t>，</w:t>
                  </w:r>
                  <w:r>
                    <w:rPr>
                      <w:rFonts w:hint="eastAsia"/>
                      <w:color w:val="auto"/>
                      <w:highlight w:val="none"/>
                    </w:rPr>
                    <w:t>地面与裙脚要用坚固防渗的材料建造。应有隔离设施、报警装置和防风、防晒、防雨设施</w:t>
                  </w:r>
                </w:p>
              </w:tc>
              <w:tc>
                <w:tcPr>
                  <w:tcW w:w="2735" w:type="dxa"/>
                  <w:tcBorders>
                    <w:top w:val="single" w:color="auto" w:sz="4" w:space="0"/>
                    <w:left w:val="single" w:color="auto" w:sz="4" w:space="0"/>
                    <w:bottom w:val="single" w:color="auto" w:sz="4" w:space="0"/>
                    <w:right w:val="single" w:color="auto" w:sz="4" w:space="0"/>
                  </w:tcBorders>
                  <w:vAlign w:val="center"/>
                </w:tcPr>
                <w:p>
                  <w:pPr>
                    <w:pStyle w:val="22"/>
                    <w:rPr>
                      <w:rFonts w:hint="eastAsia" w:eastAsiaTheme="minorEastAsia"/>
                      <w:color w:val="auto"/>
                      <w:highlight w:val="none"/>
                      <w:lang w:eastAsia="zh-CN"/>
                    </w:rPr>
                  </w:pPr>
                  <w:r>
                    <w:rPr>
                      <w:rFonts w:hint="eastAsia"/>
                      <w:color w:val="auto"/>
                      <w:highlight w:val="none"/>
                      <w:lang w:eastAsia="zh-CN"/>
                    </w:rPr>
                    <w:t>本项目危险废物贮存点建设具有导流渠，可有效截流泄漏液体，地面与导流渠等均进行</w:t>
                  </w:r>
                  <w:r>
                    <w:rPr>
                      <w:rFonts w:hint="eastAsia"/>
                      <w:color w:val="auto"/>
                      <w:highlight w:val="none"/>
                    </w:rPr>
                    <w:t>坚固防渗的材料</w:t>
                  </w:r>
                  <w:r>
                    <w:rPr>
                      <w:rFonts w:hint="eastAsia"/>
                      <w:color w:val="auto"/>
                      <w:highlight w:val="none"/>
                      <w:lang w:eastAsia="zh-CN"/>
                    </w:rPr>
                    <w:t>，危险废物贮存点内设置</w:t>
                  </w:r>
                  <w:r>
                    <w:rPr>
                      <w:rFonts w:hint="eastAsia"/>
                      <w:color w:val="auto"/>
                      <w:highlight w:val="none"/>
                    </w:rPr>
                    <w:t>隔离设施、报警装置</w:t>
                  </w:r>
                  <w:r>
                    <w:rPr>
                      <w:rFonts w:hint="eastAsia"/>
                      <w:color w:val="auto"/>
                      <w:highlight w:val="none"/>
                      <w:lang w:eastAsia="zh-CN"/>
                    </w:rPr>
                    <w:t>，可达到</w:t>
                  </w:r>
                  <w:r>
                    <w:rPr>
                      <w:rFonts w:hint="eastAsia"/>
                      <w:color w:val="auto"/>
                      <w:highlight w:val="none"/>
                    </w:rPr>
                    <w:t>防风、防晒、防雨</w:t>
                  </w:r>
                  <w:r>
                    <w:rPr>
                      <w:rFonts w:hint="eastAsia"/>
                      <w:color w:val="auto"/>
                      <w:highlight w:val="none"/>
                      <w:lang w:eastAsia="zh-CN"/>
                    </w:rPr>
                    <w:t>要求</w:t>
                  </w:r>
                </w:p>
              </w:tc>
              <w:tc>
                <w:tcPr>
                  <w:tcW w:w="701" w:type="dxa"/>
                  <w:tcBorders>
                    <w:top w:val="single" w:color="auto" w:sz="4" w:space="0"/>
                    <w:left w:val="single" w:color="auto" w:sz="4" w:space="0"/>
                    <w:bottom w:val="single" w:color="auto" w:sz="4" w:space="0"/>
                    <w:right w:val="nil"/>
                  </w:tcBorders>
                  <w:vAlign w:val="center"/>
                </w:tcPr>
                <w:p>
                  <w:pPr>
                    <w:pStyle w:val="22"/>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46" w:type="dxa"/>
                  <w:tcBorders>
                    <w:top w:val="single" w:color="auto" w:sz="4" w:space="0"/>
                    <w:left w:val="nil"/>
                    <w:bottom w:val="single" w:color="auto" w:sz="4" w:space="0"/>
                    <w:right w:val="single" w:color="auto" w:sz="4" w:space="0"/>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5</w:t>
                  </w:r>
                </w:p>
              </w:tc>
              <w:tc>
                <w:tcPr>
                  <w:tcW w:w="2952"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rFonts w:hint="eastAsia"/>
                      <w:color w:val="auto"/>
                      <w:highlight w:val="none"/>
                    </w:rPr>
                    <w:t>基础防渗层为粘土层的</w:t>
                  </w:r>
                  <w:r>
                    <w:rPr>
                      <w:rFonts w:hint="eastAsia"/>
                      <w:color w:val="auto"/>
                      <w:highlight w:val="none"/>
                      <w:lang w:eastAsia="zh-CN"/>
                    </w:rPr>
                    <w:t>，</w:t>
                  </w:r>
                  <w:r>
                    <w:rPr>
                      <w:rFonts w:hint="eastAsia"/>
                      <w:color w:val="auto"/>
                      <w:highlight w:val="none"/>
                    </w:rPr>
                    <w:t>其厚度应在1米以上，渗透系数应小于1.0</w:t>
                  </w:r>
                  <w:r>
                    <w:rPr>
                      <w:rFonts w:hint="eastAsia"/>
                      <w:color w:val="auto"/>
                      <w:highlight w:val="none"/>
                      <w:lang w:val="en-US" w:eastAsia="zh-CN"/>
                    </w:rPr>
                    <w:t>×</w:t>
                  </w:r>
                  <w:r>
                    <w:rPr>
                      <w:rFonts w:hint="eastAsia"/>
                      <w:color w:val="auto"/>
                      <w:highlight w:val="none"/>
                    </w:rPr>
                    <w:t>10</w:t>
                  </w:r>
                  <w:r>
                    <w:rPr>
                      <w:rFonts w:hint="eastAsia"/>
                      <w:color w:val="auto"/>
                      <w:highlight w:val="none"/>
                      <w:vertAlign w:val="superscript"/>
                    </w:rPr>
                    <w:t>－7</w:t>
                  </w:r>
                  <w:r>
                    <w:rPr>
                      <w:rFonts w:hint="eastAsia"/>
                      <w:color w:val="auto"/>
                      <w:highlight w:val="none"/>
                    </w:rPr>
                    <w:t>厘米/秒；基础防渗层也可用厚度在2毫米以上的高密度聚乙烯或其他人工防渗材料组成，渗透系数应小于1.0</w:t>
                  </w:r>
                  <w:r>
                    <w:rPr>
                      <w:rFonts w:hint="eastAsia"/>
                      <w:color w:val="auto"/>
                      <w:highlight w:val="none"/>
                      <w:lang w:val="en-US" w:eastAsia="zh-CN"/>
                    </w:rPr>
                    <w:t>×</w:t>
                  </w:r>
                  <w:r>
                    <w:rPr>
                      <w:rFonts w:hint="eastAsia"/>
                      <w:color w:val="auto"/>
                      <w:highlight w:val="none"/>
                    </w:rPr>
                    <w:t>10</w:t>
                  </w:r>
                  <w:r>
                    <w:rPr>
                      <w:rFonts w:hint="eastAsia"/>
                      <w:color w:val="auto"/>
                      <w:highlight w:val="none"/>
                      <w:vertAlign w:val="superscript"/>
                    </w:rPr>
                    <w:t>－10</w:t>
                  </w:r>
                  <w:r>
                    <w:rPr>
                      <w:rFonts w:hint="eastAsia"/>
                      <w:color w:val="auto"/>
                      <w:highlight w:val="none"/>
                    </w:rPr>
                    <w:t>厘米/秒</w:t>
                  </w:r>
                </w:p>
              </w:tc>
              <w:tc>
                <w:tcPr>
                  <w:tcW w:w="2735" w:type="dxa"/>
                  <w:tcBorders>
                    <w:top w:val="single" w:color="auto" w:sz="4" w:space="0"/>
                    <w:left w:val="single" w:color="auto" w:sz="4" w:space="0"/>
                    <w:bottom w:val="single" w:color="auto" w:sz="4" w:space="0"/>
                    <w:right w:val="single" w:color="auto" w:sz="4" w:space="0"/>
                  </w:tcBorders>
                  <w:vAlign w:val="center"/>
                </w:tcPr>
                <w:p>
                  <w:pPr>
                    <w:pStyle w:val="22"/>
                    <w:rPr>
                      <w:rFonts w:hint="eastAsia" w:eastAsiaTheme="minorEastAsia"/>
                      <w:color w:val="auto"/>
                      <w:highlight w:val="none"/>
                      <w:lang w:eastAsia="zh-CN"/>
                    </w:rPr>
                  </w:pPr>
                  <w:r>
                    <w:rPr>
                      <w:rFonts w:hint="eastAsia"/>
                      <w:color w:val="auto"/>
                      <w:highlight w:val="none"/>
                      <w:lang w:eastAsia="zh-CN"/>
                    </w:rPr>
                    <w:t>本项目防渗层满足</w:t>
                  </w:r>
                  <w:r>
                    <w:rPr>
                      <w:rFonts w:hint="eastAsia"/>
                      <w:color w:val="auto"/>
                      <w:highlight w:val="none"/>
                    </w:rPr>
                    <w:t>基础防渗层为粘土层的</w:t>
                  </w:r>
                  <w:r>
                    <w:rPr>
                      <w:rFonts w:hint="eastAsia"/>
                      <w:color w:val="auto"/>
                      <w:highlight w:val="none"/>
                      <w:lang w:eastAsia="zh-CN"/>
                    </w:rPr>
                    <w:t>，</w:t>
                  </w:r>
                  <w:r>
                    <w:rPr>
                      <w:rFonts w:hint="eastAsia"/>
                      <w:color w:val="auto"/>
                      <w:highlight w:val="none"/>
                    </w:rPr>
                    <w:t>其厚度应在1米以上，渗透系数应小于1.0</w:t>
                  </w:r>
                  <w:r>
                    <w:rPr>
                      <w:rFonts w:hint="eastAsia"/>
                      <w:color w:val="auto"/>
                      <w:highlight w:val="none"/>
                      <w:lang w:val="en-US" w:eastAsia="zh-CN"/>
                    </w:rPr>
                    <w:t>×</w:t>
                  </w:r>
                  <w:r>
                    <w:rPr>
                      <w:rFonts w:hint="eastAsia"/>
                      <w:color w:val="auto"/>
                      <w:highlight w:val="none"/>
                    </w:rPr>
                    <w:t>10</w:t>
                  </w:r>
                  <w:r>
                    <w:rPr>
                      <w:rFonts w:hint="eastAsia"/>
                      <w:color w:val="auto"/>
                      <w:highlight w:val="none"/>
                      <w:vertAlign w:val="superscript"/>
                    </w:rPr>
                    <w:t>－7</w:t>
                  </w:r>
                  <w:r>
                    <w:rPr>
                      <w:rFonts w:hint="eastAsia"/>
                      <w:color w:val="auto"/>
                      <w:highlight w:val="none"/>
                    </w:rPr>
                    <w:t>厘米/秒；基础防渗层也可用厚度在2毫米以上的高密度聚乙烯或其他人工防渗材料组成，渗透系数应小于1.0</w:t>
                  </w:r>
                  <w:r>
                    <w:rPr>
                      <w:rFonts w:hint="eastAsia"/>
                      <w:color w:val="auto"/>
                      <w:highlight w:val="none"/>
                      <w:lang w:val="en-US" w:eastAsia="zh-CN"/>
                    </w:rPr>
                    <w:t>×</w:t>
                  </w:r>
                  <w:r>
                    <w:rPr>
                      <w:rFonts w:hint="eastAsia"/>
                      <w:color w:val="auto"/>
                      <w:highlight w:val="none"/>
                    </w:rPr>
                    <w:t>10</w:t>
                  </w:r>
                  <w:r>
                    <w:rPr>
                      <w:rFonts w:hint="eastAsia"/>
                      <w:color w:val="auto"/>
                      <w:highlight w:val="none"/>
                      <w:vertAlign w:val="superscript"/>
                    </w:rPr>
                    <w:t>－10</w:t>
                  </w:r>
                  <w:r>
                    <w:rPr>
                      <w:rFonts w:hint="eastAsia"/>
                      <w:color w:val="auto"/>
                      <w:highlight w:val="none"/>
                    </w:rPr>
                    <w:t>厘米/秒</w:t>
                  </w:r>
                </w:p>
              </w:tc>
              <w:tc>
                <w:tcPr>
                  <w:tcW w:w="701" w:type="dxa"/>
                  <w:tcBorders>
                    <w:top w:val="single" w:color="auto" w:sz="4" w:space="0"/>
                    <w:left w:val="single" w:color="auto" w:sz="4" w:space="0"/>
                    <w:bottom w:val="single" w:color="auto" w:sz="4" w:space="0"/>
                    <w:right w:val="nil"/>
                  </w:tcBorders>
                  <w:vAlign w:val="center"/>
                </w:tcPr>
                <w:p>
                  <w:pPr>
                    <w:pStyle w:val="22"/>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46" w:type="dxa"/>
                  <w:tcBorders>
                    <w:top w:val="single" w:color="auto" w:sz="4" w:space="0"/>
                    <w:left w:val="nil"/>
                    <w:bottom w:val="single" w:color="auto" w:sz="4" w:space="0"/>
                    <w:right w:val="single" w:color="auto" w:sz="4" w:space="0"/>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6</w:t>
                  </w:r>
                </w:p>
              </w:tc>
              <w:tc>
                <w:tcPr>
                  <w:tcW w:w="2952"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rFonts w:hint="eastAsia"/>
                      <w:color w:val="auto"/>
                      <w:highlight w:val="none"/>
                    </w:rPr>
                    <w:t>须有泄漏液体收集装置及气体导出口和气体净化装置</w:t>
                  </w:r>
                </w:p>
              </w:tc>
              <w:tc>
                <w:tcPr>
                  <w:tcW w:w="2735" w:type="dxa"/>
                  <w:tcBorders>
                    <w:top w:val="single" w:color="auto" w:sz="4" w:space="0"/>
                    <w:left w:val="single" w:color="auto" w:sz="4" w:space="0"/>
                    <w:bottom w:val="single" w:color="auto" w:sz="4" w:space="0"/>
                    <w:right w:val="single" w:color="auto" w:sz="4" w:space="0"/>
                  </w:tcBorders>
                  <w:vAlign w:val="center"/>
                </w:tcPr>
                <w:p>
                  <w:pPr>
                    <w:pStyle w:val="22"/>
                    <w:rPr>
                      <w:rFonts w:hint="eastAsia" w:eastAsiaTheme="minorEastAsia"/>
                      <w:color w:val="auto"/>
                      <w:highlight w:val="none"/>
                      <w:lang w:eastAsia="zh-CN"/>
                    </w:rPr>
                  </w:pPr>
                  <w:r>
                    <w:rPr>
                      <w:rFonts w:hint="eastAsia"/>
                      <w:color w:val="auto"/>
                      <w:highlight w:val="none"/>
                      <w:lang w:eastAsia="zh-CN"/>
                    </w:rPr>
                    <w:t>本项目危险废物贮存点内配备集液池和气体导出口</w:t>
                  </w:r>
                </w:p>
              </w:tc>
              <w:tc>
                <w:tcPr>
                  <w:tcW w:w="701" w:type="dxa"/>
                  <w:tcBorders>
                    <w:top w:val="single" w:color="auto" w:sz="4" w:space="0"/>
                    <w:left w:val="single" w:color="auto" w:sz="4" w:space="0"/>
                    <w:bottom w:val="single" w:color="auto" w:sz="4" w:space="0"/>
                    <w:right w:val="nil"/>
                  </w:tcBorders>
                  <w:vAlign w:val="center"/>
                </w:tcPr>
                <w:p>
                  <w:pPr>
                    <w:pStyle w:val="22"/>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46" w:type="dxa"/>
                  <w:tcBorders>
                    <w:top w:val="single" w:color="auto" w:sz="4" w:space="0"/>
                    <w:left w:val="nil"/>
                    <w:bottom w:val="single" w:color="auto" w:sz="4" w:space="0"/>
                    <w:right w:val="single" w:color="auto" w:sz="4" w:space="0"/>
                  </w:tcBorders>
                  <w:vAlign w:val="center"/>
                </w:tcPr>
                <w:p>
                  <w:pPr>
                    <w:pStyle w:val="22"/>
                    <w:rPr>
                      <w:rFonts w:hint="default"/>
                      <w:color w:val="auto"/>
                      <w:highlight w:val="none"/>
                      <w:lang w:val="en-US" w:eastAsia="zh-CN"/>
                    </w:rPr>
                  </w:pPr>
                  <w:r>
                    <w:rPr>
                      <w:rFonts w:hint="eastAsia"/>
                      <w:color w:val="auto"/>
                      <w:highlight w:val="none"/>
                      <w:lang w:val="en-US" w:eastAsia="zh-CN"/>
                    </w:rPr>
                    <w:t>7</w:t>
                  </w:r>
                </w:p>
              </w:tc>
              <w:tc>
                <w:tcPr>
                  <w:tcW w:w="2952" w:type="dxa"/>
                  <w:tcBorders>
                    <w:top w:val="single" w:color="auto" w:sz="4" w:space="0"/>
                    <w:left w:val="single" w:color="auto" w:sz="4" w:space="0"/>
                    <w:bottom w:val="single" w:color="auto" w:sz="4" w:space="0"/>
                    <w:right w:val="single" w:color="auto" w:sz="4" w:space="0"/>
                  </w:tcBorders>
                  <w:vAlign w:val="center"/>
                </w:tcPr>
                <w:p>
                  <w:pPr>
                    <w:pStyle w:val="22"/>
                    <w:rPr>
                      <w:rFonts w:hint="eastAsia"/>
                      <w:color w:val="auto"/>
                      <w:highlight w:val="none"/>
                    </w:rPr>
                  </w:pPr>
                  <w:r>
                    <w:rPr>
                      <w:rFonts w:hint="eastAsia"/>
                      <w:color w:val="auto"/>
                      <w:highlight w:val="none"/>
                    </w:rPr>
                    <w:t>用于存放液体、半固体危险废物的地方，还须有耐腐蚀的硬化地面，地面无裂隙</w:t>
                  </w:r>
                </w:p>
              </w:tc>
              <w:tc>
                <w:tcPr>
                  <w:tcW w:w="2735" w:type="dxa"/>
                  <w:tcBorders>
                    <w:top w:val="single" w:color="auto" w:sz="4" w:space="0"/>
                    <w:left w:val="single" w:color="auto" w:sz="4" w:space="0"/>
                    <w:bottom w:val="single" w:color="auto" w:sz="4" w:space="0"/>
                    <w:right w:val="single" w:color="auto" w:sz="4" w:space="0"/>
                  </w:tcBorders>
                  <w:vAlign w:val="center"/>
                </w:tcPr>
                <w:p>
                  <w:pPr>
                    <w:pStyle w:val="22"/>
                    <w:rPr>
                      <w:rFonts w:hint="eastAsia"/>
                      <w:color w:val="auto"/>
                      <w:highlight w:val="none"/>
                      <w:lang w:eastAsia="zh-CN"/>
                    </w:rPr>
                  </w:pPr>
                  <w:r>
                    <w:rPr>
                      <w:rFonts w:hint="eastAsia"/>
                      <w:color w:val="auto"/>
                      <w:highlight w:val="none"/>
                      <w:lang w:eastAsia="zh-CN"/>
                    </w:rPr>
                    <w:t>本项目地面均进行防腐防渗硬化</w:t>
                  </w:r>
                </w:p>
              </w:tc>
              <w:tc>
                <w:tcPr>
                  <w:tcW w:w="701" w:type="dxa"/>
                  <w:tcBorders>
                    <w:top w:val="single" w:color="auto" w:sz="4" w:space="0"/>
                    <w:left w:val="single" w:color="auto" w:sz="4" w:space="0"/>
                    <w:bottom w:val="single" w:color="auto" w:sz="4" w:space="0"/>
                    <w:right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46" w:type="dxa"/>
                  <w:tcBorders>
                    <w:top w:val="single" w:color="auto" w:sz="4" w:space="0"/>
                    <w:left w:val="nil"/>
                    <w:bottom w:val="single" w:color="auto" w:sz="4" w:space="0"/>
                    <w:right w:val="single" w:color="auto" w:sz="4" w:space="0"/>
                  </w:tcBorders>
                  <w:vAlign w:val="center"/>
                </w:tcPr>
                <w:p>
                  <w:pPr>
                    <w:pStyle w:val="22"/>
                    <w:rPr>
                      <w:rFonts w:hint="default"/>
                      <w:color w:val="auto"/>
                      <w:highlight w:val="none"/>
                      <w:lang w:val="en-US" w:eastAsia="zh-CN"/>
                    </w:rPr>
                  </w:pPr>
                  <w:r>
                    <w:rPr>
                      <w:rFonts w:hint="eastAsia"/>
                      <w:color w:val="auto"/>
                      <w:highlight w:val="none"/>
                      <w:lang w:val="en-US" w:eastAsia="zh-CN"/>
                    </w:rPr>
                    <w:t>8</w:t>
                  </w:r>
                </w:p>
              </w:tc>
              <w:tc>
                <w:tcPr>
                  <w:tcW w:w="2952" w:type="dxa"/>
                  <w:tcBorders>
                    <w:top w:val="single" w:color="auto" w:sz="4" w:space="0"/>
                    <w:left w:val="single" w:color="auto" w:sz="4" w:space="0"/>
                    <w:bottom w:val="single" w:color="auto" w:sz="4" w:space="0"/>
                    <w:right w:val="single" w:color="auto" w:sz="4" w:space="0"/>
                  </w:tcBorders>
                  <w:vAlign w:val="center"/>
                </w:tcPr>
                <w:p>
                  <w:pPr>
                    <w:pStyle w:val="22"/>
                    <w:rPr>
                      <w:rFonts w:hint="eastAsia"/>
                      <w:color w:val="auto"/>
                      <w:highlight w:val="none"/>
                    </w:rPr>
                  </w:pPr>
                  <w:r>
                    <w:rPr>
                      <w:rFonts w:hint="eastAsia"/>
                      <w:color w:val="auto"/>
                      <w:highlight w:val="none"/>
                    </w:rPr>
                    <w:t>不相容的危险废物堆放区必须有隔离间隔断</w:t>
                  </w:r>
                </w:p>
              </w:tc>
              <w:tc>
                <w:tcPr>
                  <w:tcW w:w="2735" w:type="dxa"/>
                  <w:tcBorders>
                    <w:top w:val="single" w:color="auto" w:sz="4" w:space="0"/>
                    <w:left w:val="single" w:color="auto" w:sz="4" w:space="0"/>
                    <w:bottom w:val="single" w:color="auto" w:sz="4" w:space="0"/>
                    <w:right w:val="single" w:color="auto" w:sz="4" w:space="0"/>
                  </w:tcBorders>
                  <w:vAlign w:val="center"/>
                </w:tcPr>
                <w:p>
                  <w:pPr>
                    <w:pStyle w:val="22"/>
                    <w:rPr>
                      <w:rFonts w:hint="eastAsia"/>
                      <w:color w:val="auto"/>
                      <w:highlight w:val="none"/>
                      <w:lang w:eastAsia="zh-CN"/>
                    </w:rPr>
                  </w:pPr>
                  <w:r>
                    <w:rPr>
                      <w:rFonts w:hint="eastAsia"/>
                      <w:color w:val="auto"/>
                      <w:highlight w:val="none"/>
                      <w:lang w:eastAsia="zh-CN"/>
                    </w:rPr>
                    <w:t>本项目根据危险废物性质及相容性，对不同种类的危险废物通过建设挡墙间隔进行分区管理</w:t>
                  </w:r>
                </w:p>
              </w:tc>
              <w:tc>
                <w:tcPr>
                  <w:tcW w:w="701" w:type="dxa"/>
                  <w:tcBorders>
                    <w:top w:val="single" w:color="auto" w:sz="4" w:space="0"/>
                    <w:left w:val="single" w:color="auto" w:sz="4" w:space="0"/>
                    <w:bottom w:val="single" w:color="auto" w:sz="4" w:space="0"/>
                    <w:right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90" w:hRule="atLeast"/>
                <w:jc w:val="center"/>
              </w:trPr>
              <w:tc>
                <w:tcPr>
                  <w:tcW w:w="1046" w:type="dxa"/>
                  <w:tcBorders>
                    <w:top w:val="single" w:color="auto" w:sz="4" w:space="0"/>
                    <w:left w:val="nil"/>
                    <w:bottom w:val="single" w:color="auto" w:sz="4" w:space="0"/>
                    <w:right w:val="single" w:color="auto" w:sz="4" w:space="0"/>
                  </w:tcBorders>
                  <w:vAlign w:val="center"/>
                </w:tcPr>
                <w:p>
                  <w:pPr>
                    <w:pStyle w:val="22"/>
                    <w:rPr>
                      <w:rFonts w:hint="default"/>
                      <w:color w:val="auto"/>
                      <w:highlight w:val="none"/>
                      <w:lang w:val="en-US" w:eastAsia="zh-CN"/>
                    </w:rPr>
                  </w:pPr>
                  <w:r>
                    <w:rPr>
                      <w:rFonts w:hint="eastAsia"/>
                      <w:color w:val="auto"/>
                      <w:highlight w:val="none"/>
                      <w:lang w:val="en-US" w:eastAsia="zh-CN"/>
                    </w:rPr>
                    <w:t>9</w:t>
                  </w:r>
                </w:p>
              </w:tc>
              <w:tc>
                <w:tcPr>
                  <w:tcW w:w="2952" w:type="dxa"/>
                  <w:tcBorders>
                    <w:top w:val="single" w:color="auto" w:sz="4" w:space="0"/>
                    <w:left w:val="single" w:color="auto" w:sz="4" w:space="0"/>
                    <w:bottom w:val="single" w:color="auto" w:sz="4" w:space="0"/>
                    <w:right w:val="single" w:color="auto" w:sz="4" w:space="0"/>
                  </w:tcBorders>
                  <w:vAlign w:val="center"/>
                </w:tcPr>
                <w:p>
                  <w:pPr>
                    <w:pStyle w:val="22"/>
                    <w:rPr>
                      <w:rFonts w:hint="eastAsia"/>
                      <w:color w:val="auto"/>
                      <w:highlight w:val="none"/>
                    </w:rPr>
                  </w:pPr>
                  <w:r>
                    <w:rPr>
                      <w:rFonts w:hint="eastAsia"/>
                      <w:color w:val="auto"/>
                      <w:highlight w:val="none"/>
                    </w:rPr>
                    <w:t>贮存易燃易爆的危险废物的场所应配备消防设备，贮存剧毒危险废物的场所必须有专人24小时看管</w:t>
                  </w:r>
                </w:p>
              </w:tc>
              <w:tc>
                <w:tcPr>
                  <w:tcW w:w="2735" w:type="dxa"/>
                  <w:tcBorders>
                    <w:top w:val="single" w:color="auto" w:sz="4" w:space="0"/>
                    <w:left w:val="single" w:color="auto" w:sz="4" w:space="0"/>
                    <w:bottom w:val="single" w:color="auto" w:sz="4" w:space="0"/>
                    <w:right w:val="single" w:color="auto" w:sz="4" w:space="0"/>
                  </w:tcBorders>
                  <w:vAlign w:val="center"/>
                </w:tcPr>
                <w:p>
                  <w:pPr>
                    <w:pStyle w:val="22"/>
                    <w:rPr>
                      <w:rFonts w:hint="eastAsia"/>
                      <w:color w:val="auto"/>
                      <w:highlight w:val="none"/>
                      <w:lang w:eastAsia="zh-CN"/>
                    </w:rPr>
                  </w:pPr>
                  <w:r>
                    <w:rPr>
                      <w:rFonts w:hint="eastAsia"/>
                      <w:color w:val="auto"/>
                      <w:highlight w:val="none"/>
                      <w:lang w:eastAsia="zh-CN"/>
                    </w:rPr>
                    <w:t>本项目贮存的废润滑油属于</w:t>
                  </w:r>
                  <w:r>
                    <w:rPr>
                      <w:rFonts w:hint="eastAsia"/>
                      <w:color w:val="auto"/>
                      <w:highlight w:val="none"/>
                    </w:rPr>
                    <w:t>易燃易爆的危险废物</w:t>
                  </w:r>
                  <w:r>
                    <w:rPr>
                      <w:rFonts w:hint="eastAsia"/>
                      <w:color w:val="auto"/>
                      <w:highlight w:val="none"/>
                      <w:lang w:eastAsia="zh-CN"/>
                    </w:rPr>
                    <w:t>，项目危险废物贮存点</w:t>
                  </w:r>
                  <w:r>
                    <w:rPr>
                      <w:rFonts w:hint="eastAsia"/>
                      <w:color w:val="auto"/>
                      <w:highlight w:val="none"/>
                    </w:rPr>
                    <w:t>配备消防设备，</w:t>
                  </w:r>
                  <w:r>
                    <w:rPr>
                      <w:rFonts w:hint="eastAsia"/>
                      <w:color w:val="auto"/>
                      <w:highlight w:val="none"/>
                      <w:lang w:eastAsia="zh-CN"/>
                    </w:rPr>
                    <w:t>本项目不贮存剧毒危险废物</w:t>
                  </w:r>
                </w:p>
              </w:tc>
              <w:tc>
                <w:tcPr>
                  <w:tcW w:w="701" w:type="dxa"/>
                  <w:tcBorders>
                    <w:top w:val="single" w:color="auto" w:sz="4" w:space="0"/>
                    <w:left w:val="single" w:color="auto" w:sz="4" w:space="0"/>
                    <w:bottom w:val="single" w:color="auto" w:sz="4" w:space="0"/>
                    <w:right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46" w:type="dxa"/>
                  <w:tcBorders>
                    <w:top w:val="single" w:color="auto" w:sz="4" w:space="0"/>
                    <w:left w:val="nil"/>
                    <w:bottom w:val="single" w:color="auto" w:sz="4" w:space="0"/>
                    <w:right w:val="single" w:color="auto" w:sz="4" w:space="0"/>
                  </w:tcBorders>
                  <w:vAlign w:val="center"/>
                </w:tcPr>
                <w:p>
                  <w:pPr>
                    <w:pStyle w:val="22"/>
                    <w:rPr>
                      <w:rFonts w:hint="default"/>
                      <w:color w:val="auto"/>
                      <w:highlight w:val="none"/>
                      <w:lang w:val="en-US" w:eastAsia="zh-CN"/>
                    </w:rPr>
                  </w:pPr>
                  <w:r>
                    <w:rPr>
                      <w:rFonts w:hint="eastAsia"/>
                      <w:color w:val="auto"/>
                      <w:highlight w:val="none"/>
                      <w:lang w:val="en-US" w:eastAsia="zh-CN"/>
                    </w:rPr>
                    <w:t>10</w:t>
                  </w:r>
                </w:p>
              </w:tc>
              <w:tc>
                <w:tcPr>
                  <w:tcW w:w="2952" w:type="dxa"/>
                  <w:tcBorders>
                    <w:top w:val="single" w:color="auto" w:sz="4" w:space="0"/>
                    <w:left w:val="single" w:color="auto" w:sz="4" w:space="0"/>
                    <w:bottom w:val="single" w:color="auto" w:sz="4" w:space="0"/>
                    <w:right w:val="single" w:color="auto" w:sz="4" w:space="0"/>
                  </w:tcBorders>
                  <w:vAlign w:val="center"/>
                </w:tcPr>
                <w:p>
                  <w:pPr>
                    <w:pStyle w:val="22"/>
                    <w:rPr>
                      <w:rFonts w:hint="eastAsia"/>
                      <w:color w:val="auto"/>
                      <w:highlight w:val="none"/>
                    </w:rPr>
                  </w:pPr>
                  <w:r>
                    <w:rPr>
                      <w:rFonts w:hint="eastAsia"/>
                      <w:color w:val="auto"/>
                      <w:highlight w:val="none"/>
                    </w:rPr>
                    <w:t>危险废物的贮存设施的选址与设计、运行与管理、安全防护、环境监测及应急措施以及关闭等须遵循《危险废物贮存污染控制标准》的规定</w:t>
                  </w:r>
                </w:p>
              </w:tc>
              <w:tc>
                <w:tcPr>
                  <w:tcW w:w="2735" w:type="dxa"/>
                  <w:tcBorders>
                    <w:top w:val="single" w:color="auto" w:sz="4" w:space="0"/>
                    <w:left w:val="single" w:color="auto" w:sz="4" w:space="0"/>
                    <w:bottom w:val="single" w:color="auto" w:sz="4" w:space="0"/>
                    <w:right w:val="single" w:color="auto" w:sz="4" w:space="0"/>
                  </w:tcBorders>
                  <w:vAlign w:val="center"/>
                </w:tcPr>
                <w:p>
                  <w:pPr>
                    <w:pStyle w:val="22"/>
                    <w:rPr>
                      <w:rFonts w:hint="default" w:eastAsiaTheme="minorEastAsia"/>
                      <w:color w:val="auto"/>
                      <w:highlight w:val="none"/>
                      <w:lang w:val="en-US" w:eastAsia="zh-CN"/>
                    </w:rPr>
                  </w:pPr>
                  <w:r>
                    <w:rPr>
                      <w:rFonts w:hint="eastAsia"/>
                      <w:color w:val="auto"/>
                      <w:highlight w:val="none"/>
                      <w:lang w:eastAsia="zh-CN"/>
                    </w:rPr>
                    <w:t>本项目危险废物贮存点的</w:t>
                  </w:r>
                  <w:r>
                    <w:rPr>
                      <w:rFonts w:hint="eastAsia"/>
                      <w:color w:val="auto"/>
                      <w:highlight w:val="none"/>
                    </w:rPr>
                    <w:t>选址与设计、运行与管理、安全防护、环境监测及应急措施以及关闭等遵循</w:t>
                  </w:r>
                  <w:r>
                    <w:rPr>
                      <w:rFonts w:hint="eastAsia"/>
                      <w:color w:val="auto"/>
                      <w:highlight w:val="none"/>
                      <w:lang w:eastAsia="zh-CN"/>
                    </w:rPr>
                    <w:t>现行</w:t>
                  </w:r>
                  <w:r>
                    <w:rPr>
                      <w:rFonts w:hint="eastAsia"/>
                      <w:color w:val="auto"/>
                      <w:highlight w:val="none"/>
                    </w:rPr>
                    <w:t>《危险废物贮存污染控制标准》（GB18597-2023）</w:t>
                  </w:r>
                  <w:r>
                    <w:rPr>
                      <w:rFonts w:hint="eastAsia"/>
                      <w:color w:val="auto"/>
                      <w:highlight w:val="none"/>
                      <w:lang w:eastAsia="zh-CN"/>
                    </w:rPr>
                    <w:t>的规定</w:t>
                  </w:r>
                </w:p>
              </w:tc>
              <w:tc>
                <w:tcPr>
                  <w:tcW w:w="701" w:type="dxa"/>
                  <w:tcBorders>
                    <w:top w:val="single" w:color="auto" w:sz="4" w:space="0"/>
                    <w:left w:val="single" w:color="auto" w:sz="4" w:space="0"/>
                    <w:bottom w:val="single" w:color="auto" w:sz="4" w:space="0"/>
                    <w:right w:val="nil"/>
                  </w:tcBorders>
                  <w:vAlign w:val="center"/>
                </w:tcPr>
                <w:p>
                  <w:pPr>
                    <w:pStyle w:val="22"/>
                    <w:rPr>
                      <w:rFonts w:hint="eastAsia"/>
                      <w:color w:val="auto"/>
                      <w:highlight w:val="none"/>
                    </w:rPr>
                  </w:pPr>
                  <w:r>
                    <w:rPr>
                      <w:rFonts w:hint="eastAsia"/>
                      <w:color w:val="auto"/>
                      <w:highlight w:val="none"/>
                      <w:lang w:eastAsia="zh-CN"/>
                    </w:rPr>
                    <w:t>符合</w:t>
                  </w:r>
                </w:p>
              </w:tc>
            </w:tr>
          </w:tbl>
          <w:p>
            <w:pPr>
              <w:pStyle w:val="12"/>
              <w:ind w:firstLine="480"/>
              <w:rPr>
                <w:color w:val="auto"/>
                <w:highlight w:val="none"/>
              </w:rPr>
            </w:pPr>
            <w:r>
              <w:rPr>
                <w:rFonts w:hint="eastAsia"/>
                <w:color w:val="auto"/>
                <w:highlight w:val="none"/>
              </w:rPr>
              <w:t>本项目符合《危险废物污染防治技术政策》（环发[2001]199号）中相关内容要求。</w:t>
            </w:r>
          </w:p>
          <w:p>
            <w:pPr>
              <w:pStyle w:val="12"/>
              <w:ind w:firstLine="480"/>
              <w:rPr>
                <w:rFonts w:hint="eastAsia"/>
                <w:color w:val="auto"/>
                <w:highlight w:val="none"/>
              </w:rPr>
            </w:pPr>
            <w:r>
              <w:rPr>
                <w:rFonts w:hint="eastAsia"/>
                <w:color w:val="auto"/>
                <w:highlight w:val="none"/>
              </w:rPr>
              <w:t>5.2本项目与《危险废物收集 贮存 运输技术规范》（HJ2025-2012）符合性分析详见</w:t>
            </w:r>
            <w:r>
              <w:rPr>
                <w:rFonts w:hint="eastAsia"/>
                <w:color w:val="auto"/>
                <w:highlight w:val="none"/>
                <w:lang w:eastAsia="zh-CN"/>
              </w:rPr>
              <w:t>下表</w:t>
            </w:r>
            <w:r>
              <w:rPr>
                <w:rFonts w:hint="eastAsia"/>
                <w:color w:val="auto"/>
                <w:highlight w:val="none"/>
              </w:rPr>
              <w:t>。</w:t>
            </w:r>
          </w:p>
          <w:p>
            <w:pPr>
              <w:pStyle w:val="23"/>
              <w:numPr>
                <w:ilvl w:val="0"/>
                <w:numId w:val="2"/>
              </w:numPr>
              <w:tabs>
                <w:tab w:val="clear" w:pos="420"/>
                <w:tab w:val="clear" w:pos="6600"/>
              </w:tabs>
              <w:bidi w:val="0"/>
              <w:ind w:left="0" w:leftChars="0" w:firstLine="0" w:firstLineChars="0"/>
              <w:rPr>
                <w:color w:val="auto"/>
                <w:highlight w:val="none"/>
              </w:rPr>
            </w:pPr>
            <w:r>
              <w:rPr>
                <w:rFonts w:hint="eastAsia"/>
                <w:color w:val="auto"/>
                <w:highlight w:val="none"/>
              </w:rPr>
              <w:t xml:space="preserve">   </w:t>
            </w:r>
            <w:r>
              <w:rPr>
                <w:color w:val="auto"/>
                <w:highlight w:val="none"/>
              </w:rPr>
              <w:t>与</w:t>
            </w:r>
            <w:r>
              <w:rPr>
                <w:rFonts w:hint="eastAsia"/>
                <w:color w:val="auto"/>
                <w:highlight w:val="none"/>
              </w:rPr>
              <w:t>《危险废物收集 贮存 运输技术规范》（HJ2025-2012）</w:t>
            </w:r>
            <w:r>
              <w:rPr>
                <w:color w:val="auto"/>
                <w:highlight w:val="none"/>
              </w:rPr>
              <w:t>符合性分析</w:t>
            </w:r>
          </w:p>
          <w:tbl>
            <w:tblPr>
              <w:tblStyle w:val="15"/>
              <w:tblW w:w="743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2969"/>
              <w:gridCol w:w="2725"/>
              <w:gridCol w:w="7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tcBorders>
                    <w:tl2br w:val="nil"/>
                    <w:tr2bl w:val="nil"/>
                  </w:tcBorders>
                  <w:vAlign w:val="center"/>
                </w:tcPr>
                <w:p>
                  <w:pPr>
                    <w:pStyle w:val="25"/>
                    <w:rPr>
                      <w:rFonts w:hint="default"/>
                      <w:color w:val="auto"/>
                      <w:highlight w:val="none"/>
                    </w:rPr>
                  </w:pPr>
                  <w:r>
                    <w:rPr>
                      <w:color w:val="auto"/>
                      <w:highlight w:val="none"/>
                    </w:rPr>
                    <w:t>类别</w:t>
                  </w:r>
                </w:p>
              </w:tc>
              <w:tc>
                <w:tcPr>
                  <w:tcW w:w="2969" w:type="dxa"/>
                  <w:tcBorders>
                    <w:tl2br w:val="nil"/>
                    <w:tr2bl w:val="nil"/>
                  </w:tcBorders>
                  <w:vAlign w:val="center"/>
                </w:tcPr>
                <w:p>
                  <w:pPr>
                    <w:pStyle w:val="25"/>
                    <w:rPr>
                      <w:rFonts w:hint="default"/>
                      <w:color w:val="auto"/>
                      <w:highlight w:val="none"/>
                    </w:rPr>
                  </w:pPr>
                  <w:r>
                    <w:rPr>
                      <w:color w:val="auto"/>
                      <w:highlight w:val="none"/>
                    </w:rPr>
                    <w:t>分析内容</w:t>
                  </w:r>
                </w:p>
              </w:tc>
              <w:tc>
                <w:tcPr>
                  <w:tcW w:w="2725" w:type="dxa"/>
                  <w:tcBorders>
                    <w:tl2br w:val="nil"/>
                    <w:tr2bl w:val="nil"/>
                  </w:tcBorders>
                  <w:vAlign w:val="center"/>
                </w:tcPr>
                <w:p>
                  <w:pPr>
                    <w:pStyle w:val="25"/>
                    <w:rPr>
                      <w:rFonts w:hint="default"/>
                      <w:color w:val="auto"/>
                      <w:highlight w:val="none"/>
                    </w:rPr>
                  </w:pPr>
                  <w:r>
                    <w:rPr>
                      <w:color w:val="auto"/>
                      <w:highlight w:val="none"/>
                    </w:rPr>
                    <w:t>本项目情况</w:t>
                  </w:r>
                </w:p>
              </w:tc>
              <w:tc>
                <w:tcPr>
                  <w:tcW w:w="710"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restart"/>
                  <w:tcBorders>
                    <w:tl2br w:val="nil"/>
                    <w:tr2bl w:val="nil"/>
                  </w:tcBorders>
                  <w:vAlign w:val="center"/>
                </w:tcPr>
                <w:p>
                  <w:pPr>
                    <w:pStyle w:val="22"/>
                    <w:rPr>
                      <w:color w:val="auto"/>
                      <w:highlight w:val="none"/>
                    </w:rPr>
                  </w:pPr>
                  <w:r>
                    <w:rPr>
                      <w:rFonts w:hint="eastAsia"/>
                      <w:color w:val="auto"/>
                      <w:highlight w:val="none"/>
                    </w:rPr>
                    <w:t>一般要求</w:t>
                  </w:r>
                </w:p>
              </w:tc>
              <w:tc>
                <w:tcPr>
                  <w:tcW w:w="2969" w:type="dxa"/>
                  <w:tcBorders>
                    <w:tl2br w:val="nil"/>
                    <w:tr2bl w:val="nil"/>
                  </w:tcBorders>
                  <w:vAlign w:val="center"/>
                </w:tcPr>
                <w:p>
                  <w:pPr>
                    <w:pStyle w:val="22"/>
                    <w:rPr>
                      <w:color w:val="auto"/>
                      <w:highlight w:val="none"/>
                    </w:rPr>
                  </w:pPr>
                  <w:r>
                    <w:rPr>
                      <w:rFonts w:hint="eastAsia"/>
                      <w:color w:val="auto"/>
                      <w:highlight w:val="none"/>
                    </w:rPr>
                    <w:t>从事危险废物收集、贮存、运输经营活动的单位应具有危险废物经营许可证。在收集、贮存、运输危险废物时，应根据危险废物收集、贮存、处置经营许可证核发的有关规定建立相应的规章制度和污染防治措施，包括危险废物分析管理制度、安全管理制度、污染防治措施等；危险废物产生单位内部自行从事的危险废物收集、贮存、运输活动应遵照国家相关管理规定，建立健全规章制度及操作流程，确保该过程的安全、可靠</w:t>
                  </w:r>
                </w:p>
              </w:tc>
              <w:tc>
                <w:tcPr>
                  <w:tcW w:w="2725"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本项目属于危险废物产生单位内部自行从事的危险废物贮存活动参照《危险废物收集 贮存 运输技术规范》（HJ2025-2012）等相关文件执行</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危险废物转移过程应按《危险废物转移联单管理办法》执行</w:t>
                  </w:r>
                </w:p>
              </w:tc>
              <w:tc>
                <w:tcPr>
                  <w:tcW w:w="2725" w:type="dxa"/>
                  <w:tcBorders>
                    <w:tl2br w:val="nil"/>
                    <w:tr2bl w:val="nil"/>
                  </w:tcBorders>
                  <w:vAlign w:val="center"/>
                </w:tcPr>
                <w:p>
                  <w:pPr>
                    <w:pStyle w:val="22"/>
                    <w:rPr>
                      <w:color w:val="auto"/>
                      <w:highlight w:val="none"/>
                    </w:rPr>
                  </w:pPr>
                  <w:r>
                    <w:rPr>
                      <w:rFonts w:hint="eastAsia"/>
                      <w:color w:val="auto"/>
                      <w:highlight w:val="none"/>
                    </w:rPr>
                    <w:t>本项目</w:t>
                  </w:r>
                  <w:r>
                    <w:rPr>
                      <w:rFonts w:hint="eastAsia"/>
                      <w:color w:val="auto"/>
                      <w:highlight w:val="none"/>
                      <w:lang w:eastAsia="zh-CN"/>
                    </w:rPr>
                    <w:t>危险废物定期交由有危废处置资质单位进行处理，危险废物</w:t>
                  </w:r>
                  <w:r>
                    <w:rPr>
                      <w:rFonts w:hint="eastAsia"/>
                      <w:color w:val="auto"/>
                      <w:highlight w:val="none"/>
                    </w:rPr>
                    <w:t>转移过程按</w:t>
                  </w:r>
                  <w:r>
                    <w:rPr>
                      <w:rFonts w:hint="eastAsia"/>
                      <w:color w:val="auto"/>
                      <w:highlight w:val="none"/>
                      <w:lang w:eastAsia="zh-CN"/>
                    </w:rPr>
                    <w:t>现行</w:t>
                  </w:r>
                  <w:r>
                    <w:rPr>
                      <w:rFonts w:hint="eastAsia"/>
                      <w:color w:val="auto"/>
                      <w:highlight w:val="none"/>
                    </w:rPr>
                    <w:t>《危险废物转移管理办法》</w:t>
                  </w:r>
                  <w:r>
                    <w:rPr>
                      <w:rFonts w:hint="eastAsia"/>
                      <w:color w:val="auto"/>
                      <w:highlight w:val="none"/>
                      <w:lang w:eastAsia="zh-CN"/>
                    </w:rPr>
                    <w:t>（部令第</w:t>
                  </w:r>
                  <w:r>
                    <w:rPr>
                      <w:rFonts w:hint="eastAsia"/>
                      <w:color w:val="auto"/>
                      <w:highlight w:val="none"/>
                      <w:lang w:val="en-US" w:eastAsia="zh-CN"/>
                    </w:rPr>
                    <w:t>23号</w:t>
                  </w:r>
                  <w:r>
                    <w:rPr>
                      <w:rFonts w:hint="eastAsia"/>
                      <w:color w:val="auto"/>
                      <w:highlight w:val="none"/>
                      <w:lang w:eastAsia="zh-CN"/>
                    </w:rPr>
                    <w:t>）</w:t>
                  </w:r>
                  <w:r>
                    <w:rPr>
                      <w:rFonts w:hint="eastAsia"/>
                      <w:color w:val="auto"/>
                      <w:highlight w:val="none"/>
                    </w:rPr>
                    <w:t>执行</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危险废物收集、贮存、运输单位应建立规范的管理和技术人员培训制度</w:t>
                  </w:r>
                  <w:r>
                    <w:rPr>
                      <w:rFonts w:hint="eastAsia"/>
                      <w:color w:val="auto"/>
                      <w:highlight w:val="none"/>
                      <w:lang w:eastAsia="zh-CN"/>
                    </w:rPr>
                    <w:t>，</w:t>
                  </w:r>
                  <w:r>
                    <w:rPr>
                      <w:rFonts w:hint="eastAsia"/>
                      <w:color w:val="auto"/>
                      <w:highlight w:val="none"/>
                    </w:rPr>
                    <w:t>定期针对管理和技术人员进行培训</w:t>
                  </w:r>
                </w:p>
              </w:tc>
              <w:tc>
                <w:tcPr>
                  <w:tcW w:w="2725"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rPr>
                    <w:t>建立危险废物收集、贮存、运输管理和技术人员培训制度，定期针对管理和技术人员进行培训</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危险废物收集、贮存、运输单位应编制应急预案</w:t>
                  </w:r>
                </w:p>
              </w:tc>
              <w:tc>
                <w:tcPr>
                  <w:tcW w:w="2725" w:type="dxa"/>
                  <w:tcBorders>
                    <w:tl2br w:val="nil"/>
                    <w:tr2bl w:val="nil"/>
                  </w:tcBorders>
                  <w:vAlign w:val="center"/>
                </w:tcPr>
                <w:p>
                  <w:pPr>
                    <w:pStyle w:val="22"/>
                    <w:rPr>
                      <w:color w:val="auto"/>
                      <w:highlight w:val="none"/>
                    </w:rPr>
                  </w:pPr>
                  <w:r>
                    <w:rPr>
                      <w:rFonts w:hint="eastAsia"/>
                      <w:color w:val="auto"/>
                      <w:highlight w:val="none"/>
                    </w:rPr>
                    <w:t>本项目在运行后按照《危险废物经营单位编制应急预案指南》的要求制定环境应急预案</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危险废物收集、贮存、运输时应按腐蚀性、毒性、易燃性、反应性和感染性等危险特性对危险废物进行分类、包装并设置相应的标志及标签</w:t>
                  </w:r>
                </w:p>
              </w:tc>
              <w:tc>
                <w:tcPr>
                  <w:tcW w:w="2725" w:type="dxa"/>
                  <w:tcBorders>
                    <w:tl2br w:val="nil"/>
                    <w:tr2bl w:val="nil"/>
                  </w:tcBorders>
                  <w:vAlign w:val="center"/>
                </w:tcPr>
                <w:p>
                  <w:pPr>
                    <w:pStyle w:val="22"/>
                    <w:rPr>
                      <w:color w:val="auto"/>
                      <w:highlight w:val="none"/>
                    </w:rPr>
                  </w:pPr>
                  <w:r>
                    <w:rPr>
                      <w:rFonts w:hint="eastAsia"/>
                      <w:color w:val="auto"/>
                      <w:highlight w:val="none"/>
                    </w:rPr>
                    <w:t>本项目贮存场所、容器和包装物均按《危险废物识别标志设置技术规范》（HJ1276-2022）要求设置危险废物贮存场所标志、危险废物贮存分区标志和危险废物标签等危险废物识别标志</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废铅酸蓄电池的收集、贮存和运输应按HJ519执行</w:t>
                  </w:r>
                </w:p>
              </w:tc>
              <w:tc>
                <w:tcPr>
                  <w:tcW w:w="2725"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rPr>
                    <w:t>本项目</w:t>
                  </w:r>
                  <w:r>
                    <w:rPr>
                      <w:rFonts w:hint="eastAsia"/>
                      <w:color w:val="auto"/>
                      <w:highlight w:val="none"/>
                      <w:lang w:eastAsia="zh-CN"/>
                    </w:rPr>
                    <w:t>废铅蓄电池</w:t>
                  </w:r>
                  <w:r>
                    <w:rPr>
                      <w:rFonts w:hint="eastAsia"/>
                      <w:color w:val="auto"/>
                      <w:highlight w:val="none"/>
                    </w:rPr>
                    <w:t>的贮存和</w:t>
                  </w:r>
                  <w:r>
                    <w:rPr>
                      <w:rFonts w:hint="eastAsia"/>
                      <w:color w:val="auto"/>
                      <w:highlight w:val="none"/>
                      <w:lang w:eastAsia="zh-CN"/>
                    </w:rPr>
                    <w:t>转运参照</w:t>
                  </w:r>
                  <w:r>
                    <w:rPr>
                      <w:rFonts w:hint="eastAsia"/>
                      <w:color w:val="auto"/>
                      <w:highlight w:val="none"/>
                    </w:rPr>
                    <w:t>《</w:t>
                  </w:r>
                  <w:r>
                    <w:rPr>
                      <w:rFonts w:hint="eastAsia"/>
                      <w:color w:val="auto"/>
                      <w:highlight w:val="none"/>
                      <w:lang w:eastAsia="zh-CN"/>
                    </w:rPr>
                    <w:t>废铅蓄电池</w:t>
                  </w:r>
                  <w:r>
                    <w:rPr>
                      <w:rFonts w:hint="eastAsia"/>
                      <w:color w:val="auto"/>
                      <w:highlight w:val="none"/>
                    </w:rPr>
                    <w:t>处理污染控制技术规范》（HJ519-2020）</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restart"/>
                  <w:tcBorders>
                    <w:tl2br w:val="nil"/>
                    <w:tr2bl w:val="nil"/>
                  </w:tcBorders>
                  <w:vAlign w:val="center"/>
                </w:tcPr>
                <w:p>
                  <w:pPr>
                    <w:pStyle w:val="22"/>
                    <w:rPr>
                      <w:color w:val="auto"/>
                      <w:highlight w:val="none"/>
                    </w:rPr>
                  </w:pPr>
                  <w:r>
                    <w:rPr>
                      <w:rFonts w:hint="eastAsia"/>
                      <w:color w:val="auto"/>
                      <w:highlight w:val="none"/>
                    </w:rPr>
                    <w:t>危险废物的收集</w:t>
                  </w:r>
                </w:p>
              </w:tc>
              <w:tc>
                <w:tcPr>
                  <w:tcW w:w="2969" w:type="dxa"/>
                  <w:tcBorders>
                    <w:tl2br w:val="nil"/>
                    <w:tr2bl w:val="nil"/>
                  </w:tcBorders>
                  <w:vAlign w:val="center"/>
                </w:tcPr>
                <w:p>
                  <w:pPr>
                    <w:pStyle w:val="22"/>
                    <w:rPr>
                      <w:color w:val="auto"/>
                      <w:highlight w:val="none"/>
                    </w:rPr>
                  </w:pPr>
                  <w:r>
                    <w:rPr>
                      <w:rFonts w:hint="eastAsia"/>
                      <w:color w:val="auto"/>
                      <w:highlight w:val="none"/>
                    </w:rPr>
                    <w:t>危险废物的收集应根据危险废物产生的工艺特征、排放周期、危险废物特性、废物管理计划等因素制定收集计划</w:t>
                  </w:r>
                </w:p>
              </w:tc>
              <w:tc>
                <w:tcPr>
                  <w:tcW w:w="2725" w:type="dxa"/>
                  <w:tcBorders>
                    <w:tl2br w:val="nil"/>
                    <w:tr2bl w:val="nil"/>
                  </w:tcBorders>
                  <w:vAlign w:val="center"/>
                </w:tcPr>
                <w:p>
                  <w:pPr>
                    <w:pStyle w:val="22"/>
                    <w:rPr>
                      <w:color w:val="auto"/>
                      <w:highlight w:val="none"/>
                    </w:rPr>
                  </w:pPr>
                  <w:r>
                    <w:rPr>
                      <w:rFonts w:hint="eastAsia"/>
                      <w:color w:val="auto"/>
                      <w:highlight w:val="none"/>
                    </w:rPr>
                    <w:t>本项目在生产运营前进行详细的收集计划</w:t>
                  </w:r>
                  <w:r>
                    <w:rPr>
                      <w:rFonts w:hint="eastAsia"/>
                      <w:color w:val="auto"/>
                      <w:highlight w:val="none"/>
                      <w:lang w:eastAsia="zh-CN"/>
                    </w:rPr>
                    <w:t>，</w:t>
                  </w:r>
                  <w:r>
                    <w:rPr>
                      <w:rFonts w:hint="eastAsia"/>
                      <w:color w:val="auto"/>
                      <w:highlight w:val="none"/>
                    </w:rPr>
                    <w:t>并根据发生的不同制约因素</w:t>
                  </w:r>
                  <w:r>
                    <w:rPr>
                      <w:rFonts w:hint="eastAsia"/>
                      <w:color w:val="auto"/>
                      <w:highlight w:val="none"/>
                      <w:lang w:eastAsia="zh-CN"/>
                    </w:rPr>
                    <w:t>，</w:t>
                  </w:r>
                  <w:r>
                    <w:rPr>
                      <w:rFonts w:hint="eastAsia"/>
                      <w:color w:val="auto"/>
                      <w:highlight w:val="none"/>
                    </w:rPr>
                    <w:t>实时调整</w:t>
                  </w:r>
                  <w:r>
                    <w:rPr>
                      <w:rFonts w:hint="eastAsia"/>
                      <w:color w:val="auto"/>
                      <w:highlight w:val="none"/>
                      <w:lang w:eastAsia="zh-CN"/>
                    </w:rPr>
                    <w:t>，</w:t>
                  </w:r>
                  <w:r>
                    <w:rPr>
                      <w:rFonts w:hint="eastAsia"/>
                      <w:color w:val="auto"/>
                      <w:highlight w:val="none"/>
                    </w:rPr>
                    <w:t>保证</w:t>
                  </w:r>
                  <w:r>
                    <w:rPr>
                      <w:rFonts w:hint="eastAsia"/>
                      <w:color w:val="auto"/>
                      <w:highlight w:val="none"/>
                      <w:lang w:eastAsia="zh-CN"/>
                    </w:rPr>
                    <w:t>危险废物</w:t>
                  </w:r>
                  <w:r>
                    <w:rPr>
                      <w:rFonts w:hint="eastAsia"/>
                      <w:color w:val="auto"/>
                      <w:highlight w:val="none"/>
                    </w:rPr>
                    <w:t>的收集符合操作要求</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危险废物的收集应制定详细的操作规程</w:t>
                  </w:r>
                  <w:r>
                    <w:rPr>
                      <w:rFonts w:hint="eastAsia"/>
                      <w:color w:val="auto"/>
                      <w:highlight w:val="none"/>
                      <w:lang w:eastAsia="zh-CN"/>
                    </w:rPr>
                    <w:t>，</w:t>
                  </w:r>
                  <w:r>
                    <w:rPr>
                      <w:rFonts w:hint="eastAsia"/>
                      <w:color w:val="auto"/>
                      <w:highlight w:val="none"/>
                    </w:rPr>
                    <w:t>内容至少应包括适用范围、操作程序和方法、专用设备和工具、转移和交接、安全保障和应急防护等</w:t>
                  </w:r>
                </w:p>
              </w:tc>
              <w:tc>
                <w:tcPr>
                  <w:tcW w:w="2725" w:type="dxa"/>
                  <w:tcBorders>
                    <w:tl2br w:val="nil"/>
                    <w:tr2bl w:val="nil"/>
                  </w:tcBorders>
                  <w:vAlign w:val="center"/>
                </w:tcPr>
                <w:p>
                  <w:pPr>
                    <w:pStyle w:val="22"/>
                    <w:rPr>
                      <w:color w:val="auto"/>
                      <w:highlight w:val="none"/>
                    </w:rPr>
                  </w:pPr>
                  <w:r>
                    <w:rPr>
                      <w:rFonts w:hint="eastAsia"/>
                      <w:color w:val="auto"/>
                      <w:highlight w:val="none"/>
                    </w:rPr>
                    <w:t>本项目在</w:t>
                  </w:r>
                  <w:r>
                    <w:rPr>
                      <w:rFonts w:hint="eastAsia"/>
                      <w:color w:val="auto"/>
                      <w:highlight w:val="none"/>
                      <w:lang w:eastAsia="zh-CN"/>
                    </w:rPr>
                    <w:t>运</w:t>
                  </w:r>
                  <w:r>
                    <w:rPr>
                      <w:rFonts w:hint="eastAsia"/>
                      <w:color w:val="auto"/>
                      <w:highlight w:val="none"/>
                    </w:rPr>
                    <w:t>营前制定详细的操作规程</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危险废物收集和转运作业人员应根据工作需要配备必要的个人防护装备</w:t>
                  </w:r>
                  <w:r>
                    <w:rPr>
                      <w:rFonts w:hint="eastAsia"/>
                      <w:color w:val="auto"/>
                      <w:highlight w:val="none"/>
                      <w:lang w:eastAsia="zh-CN"/>
                    </w:rPr>
                    <w:t>，</w:t>
                  </w:r>
                  <w:r>
                    <w:rPr>
                      <w:rFonts w:hint="eastAsia"/>
                      <w:color w:val="auto"/>
                      <w:highlight w:val="none"/>
                    </w:rPr>
                    <w:t>如手套、防护镜、</w:t>
                  </w:r>
                  <w:r>
                    <w:rPr>
                      <w:rFonts w:hint="eastAsia"/>
                      <w:color w:val="auto"/>
                      <w:highlight w:val="none"/>
                      <w:lang w:eastAsia="zh-CN"/>
                    </w:rPr>
                    <w:t>工作服</w:t>
                  </w:r>
                  <w:r>
                    <w:rPr>
                      <w:rFonts w:hint="eastAsia"/>
                      <w:color w:val="auto"/>
                      <w:highlight w:val="none"/>
                    </w:rPr>
                    <w:t>、防毒面具或口罩等</w:t>
                  </w:r>
                </w:p>
              </w:tc>
              <w:tc>
                <w:tcPr>
                  <w:tcW w:w="2725" w:type="dxa"/>
                  <w:tcBorders>
                    <w:tl2br w:val="nil"/>
                    <w:tr2bl w:val="nil"/>
                  </w:tcBorders>
                  <w:vAlign w:val="center"/>
                </w:tcPr>
                <w:p>
                  <w:pPr>
                    <w:pStyle w:val="22"/>
                    <w:rPr>
                      <w:color w:val="auto"/>
                      <w:highlight w:val="none"/>
                    </w:rPr>
                  </w:pPr>
                  <w:r>
                    <w:rPr>
                      <w:rFonts w:hint="eastAsia"/>
                      <w:color w:val="auto"/>
                      <w:highlight w:val="none"/>
                    </w:rPr>
                    <w:t>项目转运作业人员配备相应的个人防护装备</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危险废物收集时应根据危险废物的种类、数量、危险特性、物理形态、运输要求等因素</w:t>
                  </w:r>
                </w:p>
                <w:p>
                  <w:pPr>
                    <w:pStyle w:val="22"/>
                    <w:rPr>
                      <w:color w:val="auto"/>
                      <w:highlight w:val="none"/>
                    </w:rPr>
                  </w:pPr>
                  <w:r>
                    <w:rPr>
                      <w:rFonts w:hint="eastAsia"/>
                      <w:color w:val="auto"/>
                      <w:highlight w:val="none"/>
                    </w:rPr>
                    <w:t>确定包装形式</w:t>
                  </w:r>
                  <w:r>
                    <w:rPr>
                      <w:rFonts w:hint="eastAsia"/>
                      <w:color w:val="auto"/>
                      <w:highlight w:val="none"/>
                      <w:lang w:eastAsia="zh-CN"/>
                    </w:rPr>
                    <w:t>，</w:t>
                  </w:r>
                  <w:r>
                    <w:rPr>
                      <w:rFonts w:hint="eastAsia"/>
                      <w:color w:val="auto"/>
                      <w:highlight w:val="none"/>
                    </w:rPr>
                    <w:t>具体包装应符合如下要求：</w:t>
                  </w:r>
                </w:p>
                <w:p>
                  <w:pPr>
                    <w:pStyle w:val="22"/>
                    <w:rPr>
                      <w:color w:val="auto"/>
                      <w:highlight w:val="none"/>
                    </w:rPr>
                  </w:pPr>
                  <w:r>
                    <w:rPr>
                      <w:rFonts w:hint="eastAsia"/>
                      <w:color w:val="auto"/>
                      <w:highlight w:val="none"/>
                    </w:rPr>
                    <w:t>(1)包装材质要与危险废物相容</w:t>
                  </w:r>
                  <w:r>
                    <w:rPr>
                      <w:rFonts w:hint="eastAsia"/>
                      <w:color w:val="auto"/>
                      <w:highlight w:val="none"/>
                      <w:lang w:eastAsia="zh-CN"/>
                    </w:rPr>
                    <w:t>，</w:t>
                  </w:r>
                  <w:r>
                    <w:rPr>
                      <w:rFonts w:hint="eastAsia"/>
                      <w:color w:val="auto"/>
                      <w:highlight w:val="none"/>
                    </w:rPr>
                    <w:t>可根据废物特性选择钢、铝、塑料等材质。</w:t>
                  </w:r>
                </w:p>
                <w:p>
                  <w:pPr>
                    <w:pStyle w:val="22"/>
                    <w:rPr>
                      <w:color w:val="auto"/>
                      <w:highlight w:val="none"/>
                    </w:rPr>
                  </w:pPr>
                  <w:r>
                    <w:rPr>
                      <w:rFonts w:hint="eastAsia"/>
                      <w:color w:val="auto"/>
                      <w:highlight w:val="none"/>
                    </w:rPr>
                    <w:t>(2)性质类似的废物可收集到同一容器中</w:t>
                  </w:r>
                  <w:r>
                    <w:rPr>
                      <w:rFonts w:hint="eastAsia"/>
                      <w:color w:val="auto"/>
                      <w:highlight w:val="none"/>
                      <w:lang w:eastAsia="zh-CN"/>
                    </w:rPr>
                    <w:t>，</w:t>
                  </w:r>
                  <w:r>
                    <w:rPr>
                      <w:rFonts w:hint="eastAsia"/>
                      <w:color w:val="auto"/>
                      <w:highlight w:val="none"/>
                    </w:rPr>
                    <w:t>性质不相容的危险废物不应混合包装。</w:t>
                  </w:r>
                </w:p>
                <w:p>
                  <w:pPr>
                    <w:pStyle w:val="22"/>
                    <w:rPr>
                      <w:color w:val="auto"/>
                      <w:highlight w:val="none"/>
                    </w:rPr>
                  </w:pPr>
                  <w:r>
                    <w:rPr>
                      <w:rFonts w:hint="eastAsia"/>
                      <w:color w:val="auto"/>
                      <w:highlight w:val="none"/>
                    </w:rPr>
                    <w:t>(3)危险废物包装应能有效隔断危险废物迁移扩散途径</w:t>
                  </w:r>
                  <w:r>
                    <w:rPr>
                      <w:rFonts w:hint="eastAsia"/>
                      <w:color w:val="auto"/>
                      <w:highlight w:val="none"/>
                      <w:lang w:eastAsia="zh-CN"/>
                    </w:rPr>
                    <w:t>，</w:t>
                  </w:r>
                  <w:r>
                    <w:rPr>
                      <w:rFonts w:hint="eastAsia"/>
                      <w:color w:val="auto"/>
                      <w:highlight w:val="none"/>
                    </w:rPr>
                    <w:t>并达到防渗、防漏要求。</w:t>
                  </w:r>
                </w:p>
                <w:p>
                  <w:pPr>
                    <w:pStyle w:val="22"/>
                    <w:rPr>
                      <w:color w:val="auto"/>
                      <w:highlight w:val="none"/>
                    </w:rPr>
                  </w:pPr>
                  <w:r>
                    <w:rPr>
                      <w:rFonts w:hint="eastAsia"/>
                      <w:color w:val="auto"/>
                      <w:highlight w:val="none"/>
                    </w:rPr>
                    <w:t>(4)包装好的危险废物应设置相应的标签</w:t>
                  </w:r>
                  <w:r>
                    <w:rPr>
                      <w:rFonts w:hint="eastAsia"/>
                      <w:color w:val="auto"/>
                      <w:highlight w:val="none"/>
                      <w:lang w:eastAsia="zh-CN"/>
                    </w:rPr>
                    <w:t>，</w:t>
                  </w:r>
                  <w:r>
                    <w:rPr>
                      <w:rFonts w:hint="eastAsia"/>
                      <w:color w:val="auto"/>
                      <w:highlight w:val="none"/>
                    </w:rPr>
                    <w:t>标签信息应填写完整翔实。</w:t>
                  </w:r>
                </w:p>
                <w:p>
                  <w:pPr>
                    <w:pStyle w:val="22"/>
                    <w:rPr>
                      <w:color w:val="auto"/>
                      <w:highlight w:val="none"/>
                    </w:rPr>
                  </w:pPr>
                  <w:r>
                    <w:rPr>
                      <w:rFonts w:hint="eastAsia"/>
                      <w:color w:val="auto"/>
                      <w:highlight w:val="none"/>
                    </w:rPr>
                    <w:t>(5)盛装过危险废物的包装袋或包装容器破损后应按危险废物进行管理和处置。</w:t>
                  </w:r>
                </w:p>
                <w:p>
                  <w:pPr>
                    <w:pStyle w:val="22"/>
                    <w:rPr>
                      <w:color w:val="auto"/>
                      <w:highlight w:val="none"/>
                    </w:rPr>
                  </w:pPr>
                  <w:r>
                    <w:rPr>
                      <w:rFonts w:hint="eastAsia"/>
                      <w:color w:val="auto"/>
                      <w:highlight w:val="none"/>
                    </w:rPr>
                    <w:t>(6)危险废物还应根据GB12463的有关要求进行运输包装</w:t>
                  </w:r>
                </w:p>
              </w:tc>
              <w:tc>
                <w:tcPr>
                  <w:tcW w:w="2725" w:type="dxa"/>
                  <w:tcBorders>
                    <w:tl2br w:val="nil"/>
                    <w:tr2bl w:val="nil"/>
                  </w:tcBorders>
                  <w:vAlign w:val="center"/>
                </w:tcPr>
                <w:p>
                  <w:pPr>
                    <w:pStyle w:val="22"/>
                    <w:rPr>
                      <w:color w:val="auto"/>
                      <w:highlight w:val="none"/>
                    </w:rPr>
                  </w:pPr>
                  <w:r>
                    <w:rPr>
                      <w:rFonts w:hint="eastAsia"/>
                      <w:color w:val="auto"/>
                      <w:highlight w:val="none"/>
                    </w:rPr>
                    <w:t>根据危险废物的种类、数量、危险特性、物理形态、运输要求等因素</w:t>
                  </w:r>
                  <w:r>
                    <w:rPr>
                      <w:rFonts w:hint="eastAsia"/>
                      <w:color w:val="auto"/>
                      <w:highlight w:val="none"/>
                      <w:lang w:eastAsia="zh-CN"/>
                    </w:rPr>
                    <w:t>，本项目设计</w:t>
                  </w:r>
                  <w:r>
                    <w:rPr>
                      <w:rFonts w:hint="eastAsia"/>
                      <w:color w:val="auto"/>
                      <w:highlight w:val="none"/>
                    </w:rPr>
                    <w:t>收集危险废物时</w:t>
                  </w:r>
                  <w:r>
                    <w:rPr>
                      <w:rFonts w:hint="eastAsia"/>
                      <w:color w:val="auto"/>
                      <w:highlight w:val="none"/>
                      <w:lang w:eastAsia="zh-CN"/>
                    </w:rPr>
                    <w:t>采用铁桶、</w:t>
                  </w:r>
                  <w:r>
                    <w:rPr>
                      <w:rFonts w:hint="eastAsia"/>
                      <w:color w:val="auto"/>
                      <w:highlight w:val="none"/>
                    </w:rPr>
                    <w:t>耐酸耐腐蚀箱</w:t>
                  </w:r>
                  <w:r>
                    <w:rPr>
                      <w:rFonts w:hint="eastAsia"/>
                      <w:color w:val="auto"/>
                      <w:highlight w:val="none"/>
                      <w:lang w:eastAsia="zh-CN"/>
                    </w:rPr>
                    <w:t>等多种包装形式。</w:t>
                  </w:r>
                  <w:r>
                    <w:rPr>
                      <w:rFonts w:hint="eastAsia"/>
                      <w:color w:val="auto"/>
                      <w:highlight w:val="none"/>
                    </w:rPr>
                    <w:t>项目容器和包装物材质、内衬均与盛装的危险废物相容</w:t>
                  </w:r>
                  <w:r>
                    <w:rPr>
                      <w:rFonts w:hint="eastAsia"/>
                      <w:color w:val="auto"/>
                      <w:highlight w:val="none"/>
                      <w:lang w:eastAsia="zh-CN"/>
                    </w:rPr>
                    <w:t>。包装方式</w:t>
                  </w:r>
                  <w:r>
                    <w:rPr>
                      <w:rFonts w:hint="eastAsia"/>
                      <w:color w:val="auto"/>
                      <w:highlight w:val="none"/>
                    </w:rPr>
                    <w:t>能有效隔绝危险废物渗漏的扩散；破损后的</w:t>
                  </w:r>
                  <w:r>
                    <w:rPr>
                      <w:rFonts w:hint="eastAsia"/>
                      <w:color w:val="auto"/>
                      <w:highlight w:val="none"/>
                      <w:lang w:eastAsia="zh-CN"/>
                    </w:rPr>
                    <w:t>包装材料</w:t>
                  </w:r>
                  <w:r>
                    <w:rPr>
                      <w:rFonts w:hint="eastAsia"/>
                      <w:color w:val="auto"/>
                      <w:highlight w:val="none"/>
                    </w:rPr>
                    <w:t>按照危险废物进行处置；项目贮存场所、容器和包装物均按《危险废物识别标志设置技术规范》（HJ1276-2022）要求设置危险废物贮存场所标志、危险废物贮存分区标志和危险废物标签等危险废物识别标志</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危险废物内部转运作业应满足如下要求：</w:t>
                  </w:r>
                </w:p>
                <w:p>
                  <w:pPr>
                    <w:pStyle w:val="22"/>
                    <w:rPr>
                      <w:color w:val="auto"/>
                      <w:highlight w:val="none"/>
                    </w:rPr>
                  </w:pPr>
                  <w:r>
                    <w:rPr>
                      <w:rFonts w:hint="eastAsia"/>
                      <w:color w:val="auto"/>
                      <w:highlight w:val="none"/>
                    </w:rPr>
                    <w:t>(1)危险废物内部转运应综合考虑厂区的实际情况确定转运路线</w:t>
                  </w:r>
                  <w:r>
                    <w:rPr>
                      <w:rFonts w:hint="eastAsia"/>
                      <w:color w:val="auto"/>
                      <w:highlight w:val="none"/>
                      <w:lang w:eastAsia="zh-CN"/>
                    </w:rPr>
                    <w:t>，</w:t>
                  </w:r>
                  <w:r>
                    <w:rPr>
                      <w:rFonts w:hint="eastAsia"/>
                      <w:color w:val="auto"/>
                      <w:highlight w:val="none"/>
                    </w:rPr>
                    <w:t>尽量避开办公区和生活区。</w:t>
                  </w:r>
                </w:p>
                <w:p>
                  <w:pPr>
                    <w:pStyle w:val="22"/>
                    <w:rPr>
                      <w:color w:val="auto"/>
                      <w:highlight w:val="none"/>
                    </w:rPr>
                  </w:pPr>
                  <w:r>
                    <w:rPr>
                      <w:rFonts w:hint="eastAsia"/>
                      <w:color w:val="auto"/>
                      <w:highlight w:val="none"/>
                    </w:rPr>
                    <w:t>(2)危险废物内部转运作业应采用专用的工具</w:t>
                  </w:r>
                  <w:r>
                    <w:rPr>
                      <w:rFonts w:hint="eastAsia"/>
                      <w:color w:val="auto"/>
                      <w:highlight w:val="none"/>
                      <w:lang w:eastAsia="zh-CN"/>
                    </w:rPr>
                    <w:t>，</w:t>
                  </w:r>
                  <w:r>
                    <w:rPr>
                      <w:rFonts w:hint="eastAsia"/>
                      <w:color w:val="auto"/>
                      <w:highlight w:val="none"/>
                    </w:rPr>
                    <w:t>危险废物内部转运应参照本标准附录 B填写《危险废物厂内转运记录表》</w:t>
                  </w:r>
                </w:p>
              </w:tc>
              <w:tc>
                <w:tcPr>
                  <w:tcW w:w="2725" w:type="dxa"/>
                  <w:tcBorders>
                    <w:tl2br w:val="nil"/>
                    <w:tr2bl w:val="nil"/>
                  </w:tcBorders>
                  <w:vAlign w:val="center"/>
                </w:tcPr>
                <w:p>
                  <w:pPr>
                    <w:pStyle w:val="22"/>
                    <w:rPr>
                      <w:color w:val="auto"/>
                      <w:highlight w:val="none"/>
                    </w:rPr>
                  </w:pPr>
                  <w:r>
                    <w:rPr>
                      <w:rFonts w:hint="eastAsia"/>
                      <w:color w:val="auto"/>
                      <w:highlight w:val="none"/>
                    </w:rPr>
                    <w:t>本项目内部转运路线</w:t>
                  </w:r>
                  <w:r>
                    <w:rPr>
                      <w:rFonts w:hint="eastAsia"/>
                      <w:color w:val="auto"/>
                      <w:highlight w:val="none"/>
                      <w:lang w:eastAsia="zh-CN"/>
                    </w:rPr>
                    <w:t>，</w:t>
                  </w:r>
                  <w:r>
                    <w:rPr>
                      <w:rFonts w:hint="eastAsia"/>
                      <w:color w:val="auto"/>
                      <w:highlight w:val="none"/>
                    </w:rPr>
                    <w:t>已避开办公区及生活区；本项目转运过程中采用工具均为专用工具；并做好厂内转运记录表</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收集不具备运输包装条件的危险废物时</w:t>
                  </w:r>
                  <w:r>
                    <w:rPr>
                      <w:rFonts w:hint="eastAsia"/>
                      <w:color w:val="auto"/>
                      <w:highlight w:val="none"/>
                      <w:lang w:eastAsia="zh-CN"/>
                    </w:rPr>
                    <w:t>，</w:t>
                  </w:r>
                  <w:r>
                    <w:rPr>
                      <w:rFonts w:hint="eastAsia"/>
                      <w:color w:val="auto"/>
                      <w:highlight w:val="none"/>
                    </w:rPr>
                    <w:t>且危险特性不会对环境和操作人员造成重大危害</w:t>
                  </w:r>
                  <w:r>
                    <w:rPr>
                      <w:rFonts w:hint="eastAsia"/>
                      <w:color w:val="auto"/>
                      <w:highlight w:val="none"/>
                      <w:lang w:eastAsia="zh-CN"/>
                    </w:rPr>
                    <w:t>，</w:t>
                  </w:r>
                  <w:r>
                    <w:rPr>
                      <w:rFonts w:hint="eastAsia"/>
                      <w:color w:val="auto"/>
                      <w:highlight w:val="none"/>
                    </w:rPr>
                    <w:t>可在临时包装后进行暂时贮存</w:t>
                  </w:r>
                  <w:r>
                    <w:rPr>
                      <w:rFonts w:hint="eastAsia"/>
                      <w:color w:val="auto"/>
                      <w:highlight w:val="none"/>
                      <w:lang w:eastAsia="zh-CN"/>
                    </w:rPr>
                    <w:t>，</w:t>
                  </w:r>
                  <w:r>
                    <w:rPr>
                      <w:rFonts w:hint="eastAsia"/>
                      <w:color w:val="auto"/>
                      <w:highlight w:val="none"/>
                    </w:rPr>
                    <w:t>但正式运输前应按本标准要求进行包装</w:t>
                  </w:r>
                </w:p>
              </w:tc>
              <w:tc>
                <w:tcPr>
                  <w:tcW w:w="2725" w:type="dxa"/>
                  <w:tcBorders>
                    <w:tl2br w:val="nil"/>
                    <w:tr2bl w:val="nil"/>
                  </w:tcBorders>
                  <w:vAlign w:val="center"/>
                </w:tcPr>
                <w:p>
                  <w:pPr>
                    <w:pStyle w:val="22"/>
                    <w:rPr>
                      <w:color w:val="auto"/>
                      <w:highlight w:val="none"/>
                    </w:rPr>
                  </w:pPr>
                  <w:r>
                    <w:rPr>
                      <w:rFonts w:hint="eastAsia"/>
                      <w:color w:val="auto"/>
                      <w:highlight w:val="none"/>
                    </w:rPr>
                    <w:t>本项目收集过程中配备相应的收集包装</w:t>
                  </w:r>
                  <w:r>
                    <w:rPr>
                      <w:rFonts w:hint="eastAsia"/>
                      <w:color w:val="auto"/>
                      <w:highlight w:val="none"/>
                      <w:lang w:eastAsia="zh-CN"/>
                    </w:rPr>
                    <w:t>，</w:t>
                  </w:r>
                  <w:r>
                    <w:rPr>
                      <w:rFonts w:hint="eastAsia"/>
                      <w:color w:val="auto"/>
                      <w:highlight w:val="none"/>
                    </w:rPr>
                    <w:t>并在正式运输前按相应标准做好包装要求</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restart"/>
                  <w:tcBorders>
                    <w:tl2br w:val="nil"/>
                    <w:tr2bl w:val="nil"/>
                  </w:tcBorders>
                  <w:vAlign w:val="center"/>
                </w:tcPr>
                <w:p>
                  <w:pPr>
                    <w:pStyle w:val="22"/>
                    <w:rPr>
                      <w:color w:val="auto"/>
                      <w:highlight w:val="none"/>
                    </w:rPr>
                  </w:pPr>
                  <w:r>
                    <w:rPr>
                      <w:rFonts w:hint="eastAsia"/>
                      <w:color w:val="auto"/>
                      <w:highlight w:val="none"/>
                    </w:rPr>
                    <w:t>危险废物的贮存</w:t>
                  </w:r>
                </w:p>
              </w:tc>
              <w:tc>
                <w:tcPr>
                  <w:tcW w:w="2969" w:type="dxa"/>
                  <w:tcBorders>
                    <w:tl2br w:val="nil"/>
                    <w:tr2bl w:val="nil"/>
                  </w:tcBorders>
                  <w:vAlign w:val="center"/>
                </w:tcPr>
                <w:p>
                  <w:pPr>
                    <w:pStyle w:val="22"/>
                    <w:rPr>
                      <w:color w:val="auto"/>
                      <w:highlight w:val="none"/>
                    </w:rPr>
                  </w:pPr>
                  <w:r>
                    <w:rPr>
                      <w:rFonts w:hint="eastAsia"/>
                      <w:color w:val="auto"/>
                      <w:highlight w:val="none"/>
                    </w:rPr>
                    <w:t>危险废物贮存可分为产生单位内部贮存、中转贮存及集中性贮存。所对应的贮存设施分别为：产生危险废物的单位用于暂时贮存的设施；拥有危险废物收集经营许可证的单位用于临时贮存废矿物油、废镍镉电池的设施；以及危险废物经营单位所配置的贮存设施</w:t>
                  </w:r>
                </w:p>
              </w:tc>
              <w:tc>
                <w:tcPr>
                  <w:tcW w:w="2725"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rPr>
                    <w:t>危险废物贮存属于产生单位内部贮存</w:t>
                  </w:r>
                  <w:r>
                    <w:rPr>
                      <w:rFonts w:hint="eastAsia"/>
                      <w:color w:val="auto"/>
                      <w:highlight w:val="none"/>
                      <w:lang w:eastAsia="zh-CN"/>
                    </w:rPr>
                    <w:t>，对应的贮存设施为</w:t>
                  </w:r>
                  <w:r>
                    <w:rPr>
                      <w:rFonts w:hint="eastAsia"/>
                      <w:color w:val="auto"/>
                      <w:highlight w:val="none"/>
                    </w:rPr>
                    <w:t>产生危险废物的单位用于暂时贮存的</w:t>
                  </w:r>
                  <w:r>
                    <w:rPr>
                      <w:rFonts w:hint="eastAsia"/>
                      <w:color w:val="auto"/>
                      <w:highlight w:val="none"/>
                      <w:lang w:eastAsia="zh-CN"/>
                    </w:rPr>
                    <w:t>贮存点</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贮存危险废物时应按危险废物的种类和特性进行分区贮存</w:t>
                  </w:r>
                  <w:r>
                    <w:rPr>
                      <w:rFonts w:hint="eastAsia"/>
                      <w:color w:val="auto"/>
                      <w:highlight w:val="none"/>
                      <w:lang w:eastAsia="zh-CN"/>
                    </w:rPr>
                    <w:t>，</w:t>
                  </w:r>
                  <w:r>
                    <w:rPr>
                      <w:rFonts w:hint="eastAsia"/>
                      <w:color w:val="auto"/>
                      <w:highlight w:val="none"/>
                    </w:rPr>
                    <w:t>每个贮存区域之间宜设置挡墙间隔</w:t>
                  </w:r>
                  <w:r>
                    <w:rPr>
                      <w:rFonts w:hint="eastAsia"/>
                      <w:color w:val="auto"/>
                      <w:highlight w:val="none"/>
                      <w:lang w:eastAsia="zh-CN"/>
                    </w:rPr>
                    <w:t>，</w:t>
                  </w:r>
                  <w:r>
                    <w:rPr>
                      <w:rFonts w:hint="eastAsia"/>
                      <w:color w:val="auto"/>
                      <w:highlight w:val="none"/>
                    </w:rPr>
                    <w:t>并应设置防雨、防火、防雷、防扬尘装置</w:t>
                  </w:r>
                </w:p>
              </w:tc>
              <w:tc>
                <w:tcPr>
                  <w:tcW w:w="2725" w:type="dxa"/>
                  <w:tcBorders>
                    <w:tl2br w:val="nil"/>
                    <w:tr2bl w:val="nil"/>
                  </w:tcBorders>
                  <w:vAlign w:val="center"/>
                </w:tcPr>
                <w:p>
                  <w:pPr>
                    <w:pStyle w:val="22"/>
                    <w:rPr>
                      <w:color w:val="auto"/>
                      <w:highlight w:val="none"/>
                    </w:rPr>
                  </w:pPr>
                  <w:r>
                    <w:rPr>
                      <w:rFonts w:hint="eastAsia"/>
                      <w:color w:val="auto"/>
                      <w:highlight w:val="none"/>
                    </w:rPr>
                    <w:t>本项目按危险废物的种类和特性进行分区贮存，设置挡墙间隔。</w:t>
                  </w:r>
                  <w:r>
                    <w:rPr>
                      <w:rFonts w:hint="eastAsia"/>
                      <w:color w:val="auto"/>
                      <w:highlight w:val="none"/>
                      <w:lang w:eastAsia="zh-CN"/>
                    </w:rPr>
                    <w:t>危险废物贮存点内设置</w:t>
                  </w:r>
                  <w:r>
                    <w:rPr>
                      <w:rFonts w:hint="eastAsia"/>
                      <w:color w:val="auto"/>
                      <w:highlight w:val="none"/>
                    </w:rPr>
                    <w:t>隔离设施、防雨、防火、防雷、防扬尘设施</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危险废物贮存期限应符合《中华人民共和国固体废物污染环境防治法》的有关规定</w:t>
                  </w:r>
                </w:p>
              </w:tc>
              <w:tc>
                <w:tcPr>
                  <w:tcW w:w="2725" w:type="dxa"/>
                  <w:tcBorders>
                    <w:tl2br w:val="nil"/>
                    <w:tr2bl w:val="nil"/>
                  </w:tcBorders>
                  <w:vAlign w:val="center"/>
                </w:tcPr>
                <w:p>
                  <w:pPr>
                    <w:pStyle w:val="22"/>
                    <w:rPr>
                      <w:color w:val="auto"/>
                      <w:highlight w:val="none"/>
                    </w:rPr>
                  </w:pPr>
                  <w:r>
                    <w:rPr>
                      <w:rFonts w:hint="eastAsia"/>
                      <w:color w:val="auto"/>
                      <w:highlight w:val="none"/>
                    </w:rPr>
                    <w:t>项目危险废物贮存周期均不超过一年</w:t>
                  </w:r>
                  <w:r>
                    <w:rPr>
                      <w:rFonts w:hint="eastAsia"/>
                      <w:color w:val="auto"/>
                      <w:highlight w:val="none"/>
                      <w:lang w:eastAsia="zh-CN"/>
                    </w:rPr>
                    <w:t>，</w:t>
                  </w:r>
                  <w:r>
                    <w:rPr>
                      <w:rFonts w:hint="eastAsia"/>
                      <w:color w:val="auto"/>
                      <w:highlight w:val="none"/>
                    </w:rPr>
                    <w:t>符合《中华人民共和国固体废物污染环境防治法》</w:t>
                  </w:r>
                  <w:r>
                    <w:rPr>
                      <w:rFonts w:hint="eastAsia"/>
                      <w:color w:val="auto"/>
                      <w:highlight w:val="none"/>
                      <w:lang w:eastAsia="zh-CN"/>
                    </w:rPr>
                    <w:t>（</w:t>
                  </w:r>
                  <w:r>
                    <w:rPr>
                      <w:rFonts w:hint="eastAsia"/>
                      <w:color w:val="auto"/>
                      <w:highlight w:val="none"/>
                      <w:lang w:val="en-US" w:eastAsia="zh-CN"/>
                    </w:rPr>
                    <w:t>2020年修订</w:t>
                  </w:r>
                  <w:r>
                    <w:rPr>
                      <w:rFonts w:hint="eastAsia"/>
                      <w:color w:val="auto"/>
                      <w:highlight w:val="none"/>
                      <w:lang w:eastAsia="zh-CN"/>
                    </w:rPr>
                    <w:t>）</w:t>
                  </w:r>
                  <w:r>
                    <w:rPr>
                      <w:rFonts w:hint="eastAsia"/>
                      <w:color w:val="auto"/>
                      <w:highlight w:val="none"/>
                    </w:rPr>
                    <w:t>的有关规定</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027" w:type="dxa"/>
                  <w:vMerge w:val="continue"/>
                  <w:tcBorders>
                    <w:tl2br w:val="nil"/>
                    <w:tr2bl w:val="nil"/>
                  </w:tcBorders>
                  <w:vAlign w:val="center"/>
                </w:tcPr>
                <w:p>
                  <w:pPr>
                    <w:pStyle w:val="22"/>
                    <w:rPr>
                      <w:color w:val="auto"/>
                      <w:highlight w:val="none"/>
                    </w:rPr>
                  </w:pPr>
                </w:p>
              </w:tc>
              <w:tc>
                <w:tcPr>
                  <w:tcW w:w="2969" w:type="dxa"/>
                  <w:tcBorders>
                    <w:tl2br w:val="nil"/>
                    <w:tr2bl w:val="nil"/>
                  </w:tcBorders>
                  <w:vAlign w:val="center"/>
                </w:tcPr>
                <w:p>
                  <w:pPr>
                    <w:pStyle w:val="22"/>
                    <w:rPr>
                      <w:color w:val="auto"/>
                      <w:highlight w:val="none"/>
                    </w:rPr>
                  </w:pPr>
                  <w:r>
                    <w:rPr>
                      <w:rFonts w:hint="eastAsia"/>
                      <w:color w:val="auto"/>
                      <w:highlight w:val="none"/>
                    </w:rPr>
                    <w:t>危险废物贮存单位应建立危险废物贮存的台账制度</w:t>
                  </w:r>
                  <w:r>
                    <w:rPr>
                      <w:rFonts w:hint="eastAsia"/>
                      <w:color w:val="auto"/>
                      <w:highlight w:val="none"/>
                      <w:lang w:eastAsia="zh-CN"/>
                    </w:rPr>
                    <w:t>，</w:t>
                  </w:r>
                  <w:r>
                    <w:rPr>
                      <w:rFonts w:hint="eastAsia"/>
                      <w:color w:val="auto"/>
                      <w:highlight w:val="none"/>
                    </w:rPr>
                    <w:t>危险废物出入库交接记录内容应参照本标准附录C执行</w:t>
                  </w:r>
                </w:p>
              </w:tc>
              <w:tc>
                <w:tcPr>
                  <w:tcW w:w="2725" w:type="dxa"/>
                  <w:tcBorders>
                    <w:tl2br w:val="nil"/>
                    <w:tr2bl w:val="nil"/>
                  </w:tcBorders>
                  <w:vAlign w:val="center"/>
                </w:tcPr>
                <w:p>
                  <w:pPr>
                    <w:pStyle w:val="22"/>
                    <w:rPr>
                      <w:color w:val="auto"/>
                      <w:highlight w:val="none"/>
                    </w:rPr>
                  </w:pPr>
                  <w:r>
                    <w:rPr>
                      <w:rFonts w:hint="eastAsia"/>
                      <w:color w:val="auto"/>
                      <w:highlight w:val="none"/>
                    </w:rPr>
                    <w:t>参照《危险废物收集贮存运输技术规范》（HJ 2025-2012）附录C建立危险废物</w:t>
                  </w:r>
                  <w:r>
                    <w:rPr>
                      <w:rFonts w:hint="eastAsia"/>
                      <w:color w:val="auto"/>
                      <w:highlight w:val="none"/>
                      <w:lang w:val="en-US" w:eastAsia="zh-CN"/>
                    </w:rPr>
                    <w:t>贮存</w:t>
                  </w:r>
                  <w:r>
                    <w:rPr>
                      <w:rFonts w:hint="eastAsia"/>
                      <w:color w:val="auto"/>
                      <w:highlight w:val="none"/>
                    </w:rPr>
                    <w:t>台账</w:t>
                  </w:r>
                </w:p>
              </w:tc>
              <w:tc>
                <w:tcPr>
                  <w:tcW w:w="710" w:type="dxa"/>
                  <w:tcBorders>
                    <w:tl2br w:val="nil"/>
                    <w:tr2bl w:val="nil"/>
                  </w:tcBorders>
                  <w:vAlign w:val="center"/>
                </w:tcPr>
                <w:p>
                  <w:pPr>
                    <w:pStyle w:val="22"/>
                    <w:rPr>
                      <w:color w:val="auto"/>
                      <w:highlight w:val="none"/>
                    </w:rPr>
                  </w:pPr>
                  <w:r>
                    <w:rPr>
                      <w:rFonts w:hint="eastAsia"/>
                      <w:color w:val="auto"/>
                      <w:highlight w:val="none"/>
                    </w:rPr>
                    <w:t>符合</w:t>
                  </w:r>
                </w:p>
              </w:tc>
            </w:tr>
          </w:tbl>
          <w:p>
            <w:pPr>
              <w:pStyle w:val="12"/>
              <w:ind w:firstLine="480"/>
              <w:rPr>
                <w:color w:val="auto"/>
                <w:highlight w:val="none"/>
              </w:rPr>
            </w:pPr>
            <w:r>
              <w:rPr>
                <w:rFonts w:hint="eastAsia"/>
                <w:color w:val="auto"/>
                <w:highlight w:val="none"/>
              </w:rPr>
              <w:t>本项目与《危险废物收集 贮存 运输技术规范》（HJ2025-2012）中相关内容符合。</w:t>
            </w:r>
          </w:p>
          <w:p>
            <w:pPr>
              <w:pStyle w:val="12"/>
              <w:ind w:firstLine="480"/>
              <w:rPr>
                <w:color w:val="auto"/>
                <w:highlight w:val="none"/>
              </w:rPr>
            </w:pPr>
            <w:r>
              <w:rPr>
                <w:rFonts w:hint="eastAsia"/>
                <w:color w:val="auto"/>
                <w:highlight w:val="none"/>
              </w:rPr>
              <w:t>5.3根据《危险废物管理计划和管理台账制定技术导则》（HJ 1259-2022）</w:t>
            </w:r>
            <w:r>
              <w:rPr>
                <w:rFonts w:hint="eastAsia"/>
                <w:color w:val="auto"/>
                <w:highlight w:val="none"/>
                <w:lang w:eastAsia="zh-CN"/>
              </w:rPr>
              <w:t>，</w:t>
            </w:r>
            <w:r>
              <w:rPr>
                <w:rFonts w:hint="eastAsia"/>
                <w:color w:val="auto"/>
                <w:highlight w:val="none"/>
              </w:rPr>
              <w:t>本项目属于</w:t>
            </w:r>
            <w:r>
              <w:rPr>
                <w:rFonts w:hint="eastAsia"/>
                <w:color w:val="auto"/>
                <w:highlight w:val="none"/>
                <w:lang w:eastAsia="zh-CN"/>
              </w:rPr>
              <w:t>危险废物登记管理单位，</w:t>
            </w:r>
            <w:r>
              <w:rPr>
                <w:rFonts w:hint="eastAsia"/>
                <w:color w:val="auto"/>
                <w:highlight w:val="none"/>
              </w:rPr>
              <w:t>现阶段为环境影响评价阶段</w:t>
            </w:r>
            <w:r>
              <w:rPr>
                <w:rFonts w:hint="eastAsia"/>
                <w:color w:val="auto"/>
                <w:highlight w:val="none"/>
                <w:lang w:eastAsia="zh-CN"/>
              </w:rPr>
              <w:t>，</w:t>
            </w:r>
            <w:r>
              <w:rPr>
                <w:rFonts w:hint="eastAsia"/>
                <w:color w:val="auto"/>
                <w:highlight w:val="none"/>
              </w:rPr>
              <w:t>本项目与《危险废物贮存污染控制标准》（GB18597-2023）符合性分析详见</w:t>
            </w:r>
            <w:r>
              <w:rPr>
                <w:rFonts w:hint="eastAsia"/>
                <w:color w:val="auto"/>
                <w:highlight w:val="none"/>
                <w:lang w:eastAsia="zh-CN"/>
              </w:rPr>
              <w:t>下表</w:t>
            </w:r>
            <w:r>
              <w:rPr>
                <w:rFonts w:hint="eastAsia"/>
                <w:color w:val="auto"/>
                <w:highlight w:val="none"/>
              </w:rPr>
              <w:t>。</w:t>
            </w:r>
          </w:p>
          <w:p>
            <w:pPr>
              <w:pStyle w:val="23"/>
              <w:numPr>
                <w:ilvl w:val="0"/>
                <w:numId w:val="2"/>
              </w:numPr>
              <w:bidi w:val="0"/>
              <w:rPr>
                <w:color w:val="auto"/>
                <w:highlight w:val="none"/>
              </w:rPr>
            </w:pPr>
            <w:r>
              <w:rPr>
                <w:rFonts w:hint="eastAsia"/>
                <w:color w:val="auto"/>
                <w:highlight w:val="none"/>
              </w:rPr>
              <w:t xml:space="preserve">   </w:t>
            </w:r>
            <w:r>
              <w:rPr>
                <w:color w:val="auto"/>
                <w:highlight w:val="none"/>
              </w:rPr>
              <w:t>与</w:t>
            </w:r>
            <w:r>
              <w:rPr>
                <w:rFonts w:hint="eastAsia"/>
                <w:color w:val="auto"/>
                <w:highlight w:val="none"/>
              </w:rPr>
              <w:t>《危险废物贮存污染控制标准》（GB18597-2023）</w:t>
            </w:r>
            <w:r>
              <w:rPr>
                <w:color w:val="auto"/>
                <w:highlight w:val="none"/>
              </w:rPr>
              <w:t>符合性分析</w:t>
            </w:r>
          </w:p>
          <w:tbl>
            <w:tblPr>
              <w:tblStyle w:val="15"/>
              <w:tblW w:w="742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0"/>
              <w:gridCol w:w="576"/>
              <w:gridCol w:w="2356"/>
              <w:gridCol w:w="2743"/>
              <w:gridCol w:w="7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21" w:hRule="atLeast"/>
                <w:jc w:val="center"/>
              </w:trPr>
              <w:tc>
                <w:tcPr>
                  <w:tcW w:w="1040" w:type="dxa"/>
                  <w:tcBorders>
                    <w:tl2br w:val="nil"/>
                    <w:tr2bl w:val="nil"/>
                  </w:tcBorders>
                  <w:vAlign w:val="center"/>
                </w:tcPr>
                <w:p>
                  <w:pPr>
                    <w:pStyle w:val="25"/>
                    <w:bidi w:val="0"/>
                    <w:rPr>
                      <w:rFonts w:hint="default"/>
                      <w:color w:val="auto"/>
                      <w:highlight w:val="none"/>
                    </w:rPr>
                  </w:pPr>
                  <w:r>
                    <w:rPr>
                      <w:color w:val="auto"/>
                      <w:highlight w:val="none"/>
                    </w:rPr>
                    <w:t>类别</w:t>
                  </w:r>
                </w:p>
              </w:tc>
              <w:tc>
                <w:tcPr>
                  <w:tcW w:w="2932" w:type="dxa"/>
                  <w:gridSpan w:val="2"/>
                  <w:tcBorders>
                    <w:tl2br w:val="nil"/>
                    <w:tr2bl w:val="nil"/>
                  </w:tcBorders>
                  <w:vAlign w:val="center"/>
                </w:tcPr>
                <w:p>
                  <w:pPr>
                    <w:pStyle w:val="25"/>
                    <w:bidi w:val="0"/>
                    <w:rPr>
                      <w:rFonts w:hint="default"/>
                      <w:color w:val="auto"/>
                      <w:highlight w:val="none"/>
                    </w:rPr>
                  </w:pPr>
                  <w:r>
                    <w:rPr>
                      <w:color w:val="auto"/>
                      <w:highlight w:val="none"/>
                    </w:rPr>
                    <w:t>分析内容</w:t>
                  </w:r>
                </w:p>
              </w:tc>
              <w:tc>
                <w:tcPr>
                  <w:tcW w:w="2743" w:type="dxa"/>
                  <w:tcBorders>
                    <w:tl2br w:val="nil"/>
                    <w:tr2bl w:val="nil"/>
                  </w:tcBorders>
                  <w:vAlign w:val="center"/>
                </w:tcPr>
                <w:p>
                  <w:pPr>
                    <w:pStyle w:val="25"/>
                    <w:bidi w:val="0"/>
                    <w:rPr>
                      <w:rFonts w:hint="default"/>
                      <w:color w:val="auto"/>
                      <w:highlight w:val="none"/>
                    </w:rPr>
                  </w:pPr>
                  <w:r>
                    <w:rPr>
                      <w:color w:val="auto"/>
                      <w:highlight w:val="none"/>
                    </w:rPr>
                    <w:t>本项目情况</w:t>
                  </w:r>
                </w:p>
              </w:tc>
              <w:tc>
                <w:tcPr>
                  <w:tcW w:w="710" w:type="dxa"/>
                  <w:tcBorders>
                    <w:tl2br w:val="nil"/>
                    <w:tr2bl w:val="nil"/>
                  </w:tcBorders>
                  <w:vAlign w:val="center"/>
                </w:tcPr>
                <w:p>
                  <w:pPr>
                    <w:pStyle w:val="25"/>
                    <w:bidi w:val="0"/>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jc w:val="center"/>
              </w:trPr>
              <w:tc>
                <w:tcPr>
                  <w:tcW w:w="1040" w:type="dxa"/>
                  <w:vMerge w:val="restart"/>
                  <w:tcBorders>
                    <w:tl2br w:val="nil"/>
                    <w:tr2bl w:val="nil"/>
                  </w:tcBorders>
                  <w:vAlign w:val="center"/>
                </w:tcPr>
                <w:p>
                  <w:pPr>
                    <w:pStyle w:val="22"/>
                    <w:bidi w:val="0"/>
                    <w:rPr>
                      <w:color w:val="auto"/>
                      <w:highlight w:val="none"/>
                    </w:rPr>
                  </w:pPr>
                  <w:r>
                    <w:rPr>
                      <w:rFonts w:hint="eastAsia"/>
                      <w:color w:val="auto"/>
                      <w:highlight w:val="none"/>
                    </w:rPr>
                    <w:t>总体要求</w:t>
                  </w:r>
                </w:p>
              </w:tc>
              <w:tc>
                <w:tcPr>
                  <w:tcW w:w="2932" w:type="dxa"/>
                  <w:gridSpan w:val="2"/>
                  <w:tcBorders>
                    <w:tl2br w:val="nil"/>
                    <w:tr2bl w:val="nil"/>
                  </w:tcBorders>
                  <w:vAlign w:val="center"/>
                </w:tcPr>
                <w:p>
                  <w:pPr>
                    <w:pStyle w:val="22"/>
                    <w:bidi w:val="0"/>
                    <w:rPr>
                      <w:color w:val="auto"/>
                      <w:highlight w:val="none"/>
                      <w:lang w:val="en-US" w:eastAsia="zh-CN"/>
                    </w:rPr>
                  </w:pPr>
                  <w:r>
                    <w:rPr>
                      <w:rFonts w:hint="eastAsia"/>
                      <w:color w:val="auto"/>
                      <w:highlight w:val="none"/>
                      <w:lang w:val="en-US" w:eastAsia="zh-CN"/>
                    </w:rPr>
                    <w:t>产生、收集、贮存、利用、处置危险废物的单位应建造危险废物贮存设施或设置贮存场所，并根据需要选择贮存设施类型</w:t>
                  </w:r>
                </w:p>
              </w:tc>
              <w:tc>
                <w:tcPr>
                  <w:tcW w:w="2743" w:type="dxa"/>
                  <w:vMerge w:val="restart"/>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本项目危险废物年产生量为10吨以下，</w:t>
                  </w:r>
                  <w:r>
                    <w:rPr>
                      <w:rFonts w:hint="eastAsia"/>
                      <w:color w:val="auto"/>
                      <w:highlight w:val="none"/>
                    </w:rPr>
                    <w:t>根据《危险废物管理计划和管理台账制定技术导则》（HJ 1259-2022）</w:t>
                  </w:r>
                  <w:r>
                    <w:rPr>
                      <w:rFonts w:hint="eastAsia"/>
                      <w:color w:val="auto"/>
                      <w:highlight w:val="none"/>
                      <w:lang w:eastAsia="zh-CN"/>
                    </w:rPr>
                    <w:t>，</w:t>
                  </w:r>
                  <w:r>
                    <w:rPr>
                      <w:rFonts w:hint="eastAsia"/>
                      <w:color w:val="auto"/>
                      <w:highlight w:val="none"/>
                    </w:rPr>
                    <w:t>本项目属于</w:t>
                  </w:r>
                  <w:r>
                    <w:rPr>
                      <w:rFonts w:hint="eastAsia"/>
                      <w:color w:val="auto"/>
                      <w:highlight w:val="none"/>
                      <w:lang w:eastAsia="zh-CN"/>
                    </w:rPr>
                    <w:t>危险废物登记管理单位</w:t>
                  </w:r>
                  <w:r>
                    <w:rPr>
                      <w:rFonts w:hint="eastAsia" w:ascii="Times New Roman" w:hAnsi="Times New Roman" w:eastAsia="宋体" w:cs="Times New Roman"/>
                      <w:b w:val="0"/>
                      <w:bCs w:val="0"/>
                      <w:color w:val="auto"/>
                      <w:kern w:val="0"/>
                      <w:szCs w:val="21"/>
                      <w:highlight w:val="none"/>
                      <w:lang w:val="en-US" w:eastAsia="zh-CN" w:bidi="ar"/>
                    </w:rPr>
                    <w:t>，</w:t>
                  </w:r>
                  <w:r>
                    <w:rPr>
                      <w:rFonts w:hint="eastAsia"/>
                      <w:color w:val="auto"/>
                      <w:highlight w:val="none"/>
                      <w:lang w:val="en-US" w:eastAsia="zh-CN"/>
                    </w:rPr>
                    <w:t>且该危废贮存场所仅供本公司自用，</w:t>
                  </w:r>
                  <w:r>
                    <w:rPr>
                      <w:rFonts w:hint="eastAsia" w:ascii="Times New Roman" w:hAnsi="Times New Roman" w:eastAsia="宋体" w:cs="Times New Roman"/>
                      <w:b w:val="0"/>
                      <w:bCs w:val="0"/>
                      <w:color w:val="auto"/>
                      <w:kern w:val="0"/>
                      <w:szCs w:val="21"/>
                      <w:highlight w:val="none"/>
                      <w:lang w:val="en-US" w:eastAsia="zh-CN" w:bidi="ar"/>
                    </w:rPr>
                    <w:t>根据《危险废物贮存污染控制标准》（GB18597-2023）中要求，本项目应建设危险废物贮存点</w:t>
                  </w:r>
                </w:p>
              </w:tc>
              <w:tc>
                <w:tcPr>
                  <w:tcW w:w="710" w:type="dxa"/>
                  <w:vMerge w:val="restart"/>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2932" w:type="dxa"/>
                  <w:gridSpan w:val="2"/>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贮存危险废物应根据危险废物的类别、数量、形态、物理化学性质和环境风险等因素，确定贮存设施或场所类型和规模</w:t>
                  </w:r>
                </w:p>
              </w:tc>
              <w:tc>
                <w:tcPr>
                  <w:tcW w:w="2743" w:type="dxa"/>
                  <w:vMerge w:val="continue"/>
                  <w:tcBorders>
                    <w:tl2br w:val="nil"/>
                    <w:tr2bl w:val="nil"/>
                  </w:tcBorders>
                  <w:vAlign w:val="center"/>
                </w:tcPr>
                <w:p>
                  <w:pPr>
                    <w:pStyle w:val="22"/>
                    <w:bidi w:val="0"/>
                    <w:rPr>
                      <w:rFonts w:hint="eastAsia"/>
                      <w:color w:val="auto"/>
                      <w:highlight w:val="none"/>
                      <w:lang w:val="en-US" w:eastAsia="zh-CN"/>
                    </w:rPr>
                  </w:pPr>
                </w:p>
              </w:tc>
              <w:tc>
                <w:tcPr>
                  <w:tcW w:w="710" w:type="dxa"/>
                  <w:vMerge w:val="continue"/>
                  <w:tcBorders>
                    <w:tl2br w:val="nil"/>
                    <w:tr2bl w:val="nil"/>
                  </w:tcBorders>
                  <w:vAlign w:val="center"/>
                </w:tcPr>
                <w:p>
                  <w:pPr>
                    <w:pStyle w:val="22"/>
                    <w:bidi w:val="0"/>
                    <w:rPr>
                      <w:rFonts w:hint="eastAsia"/>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jc w:val="center"/>
              </w:trPr>
              <w:tc>
                <w:tcPr>
                  <w:tcW w:w="1040" w:type="dxa"/>
                  <w:vMerge w:val="continue"/>
                  <w:tcBorders>
                    <w:tl2br w:val="nil"/>
                    <w:tr2bl w:val="nil"/>
                  </w:tcBorders>
                  <w:vAlign w:val="center"/>
                </w:tcPr>
                <w:p>
                  <w:pPr>
                    <w:pStyle w:val="22"/>
                    <w:bidi w:val="0"/>
                    <w:rPr>
                      <w:color w:val="auto"/>
                      <w:highlight w:val="none"/>
                    </w:rPr>
                  </w:pPr>
                </w:p>
              </w:tc>
              <w:tc>
                <w:tcPr>
                  <w:tcW w:w="2932" w:type="dxa"/>
                  <w:gridSpan w:val="2"/>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贮存危险废物应根据危险废物的类别、形态、物理化学性质和污染防治要求进行分类贮存</w:t>
                  </w:r>
                  <w:r>
                    <w:rPr>
                      <w:rFonts w:hint="eastAsia"/>
                      <w:color w:val="auto"/>
                      <w:highlight w:val="none"/>
                      <w:lang w:eastAsia="zh-CN"/>
                    </w:rPr>
                    <w:t>，</w:t>
                  </w:r>
                  <w:r>
                    <w:rPr>
                      <w:rFonts w:hint="eastAsia"/>
                      <w:color w:val="auto"/>
                      <w:highlight w:val="none"/>
                    </w:rPr>
                    <w:t>且应避免危险废物与不相容的物质或材料接触</w:t>
                  </w:r>
                </w:p>
              </w:tc>
              <w:tc>
                <w:tcPr>
                  <w:tcW w:w="2743"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本项目贮存的危险废物为废润滑油、废铅蓄电池等分类分区存放，</w:t>
                  </w:r>
                  <w:r>
                    <w:rPr>
                      <w:rFonts w:hint="eastAsia"/>
                      <w:color w:val="auto"/>
                      <w:highlight w:val="none"/>
                    </w:rPr>
                    <w:t>不</w:t>
                  </w:r>
                  <w:r>
                    <w:rPr>
                      <w:rFonts w:hint="eastAsia"/>
                      <w:color w:val="auto"/>
                      <w:highlight w:val="none"/>
                      <w:lang w:eastAsia="zh-CN"/>
                    </w:rPr>
                    <w:t>与</w:t>
                  </w:r>
                  <w:r>
                    <w:rPr>
                      <w:rFonts w:hint="eastAsia"/>
                      <w:color w:val="auto"/>
                      <w:highlight w:val="none"/>
                    </w:rPr>
                    <w:t>相容的物质或材料接触</w:t>
                  </w:r>
                </w:p>
              </w:tc>
              <w:tc>
                <w:tcPr>
                  <w:tcW w:w="710"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jc w:val="center"/>
              </w:trPr>
              <w:tc>
                <w:tcPr>
                  <w:tcW w:w="1040" w:type="dxa"/>
                  <w:vMerge w:val="continue"/>
                  <w:tcBorders>
                    <w:tl2br w:val="nil"/>
                    <w:tr2bl w:val="nil"/>
                  </w:tcBorders>
                  <w:vAlign w:val="center"/>
                </w:tcPr>
                <w:p>
                  <w:pPr>
                    <w:pStyle w:val="22"/>
                    <w:bidi w:val="0"/>
                    <w:rPr>
                      <w:color w:val="auto"/>
                      <w:highlight w:val="none"/>
                    </w:rPr>
                  </w:pPr>
                </w:p>
              </w:tc>
              <w:tc>
                <w:tcPr>
                  <w:tcW w:w="2932" w:type="dxa"/>
                  <w:gridSpan w:val="2"/>
                  <w:tcBorders>
                    <w:tl2br w:val="nil"/>
                    <w:tr2bl w:val="nil"/>
                  </w:tcBorders>
                  <w:vAlign w:val="center"/>
                </w:tcPr>
                <w:p>
                  <w:pPr>
                    <w:pStyle w:val="22"/>
                    <w:bidi w:val="0"/>
                    <w:rPr>
                      <w:color w:val="auto"/>
                      <w:highlight w:val="none"/>
                    </w:rPr>
                  </w:pPr>
                  <w:r>
                    <w:rPr>
                      <w:rFonts w:hint="eastAsia"/>
                      <w:color w:val="auto"/>
                      <w:highlight w:val="none"/>
                    </w:rPr>
                    <w:t>贮存危险废物应根据危险废物的形态、物理化学性质、包装形式和污染物迁移途径</w:t>
                  </w:r>
                  <w:r>
                    <w:rPr>
                      <w:rFonts w:hint="eastAsia"/>
                      <w:color w:val="auto"/>
                      <w:highlight w:val="none"/>
                      <w:lang w:eastAsia="zh-CN"/>
                    </w:rPr>
                    <w:t>，</w:t>
                  </w:r>
                  <w:r>
                    <w:rPr>
                      <w:rFonts w:hint="eastAsia"/>
                      <w:color w:val="auto"/>
                      <w:highlight w:val="none"/>
                    </w:rPr>
                    <w:t>采取措施减少渗滤液及其衍生废物、渗漏的液态废物（简称渗漏液）、粉尘、VOCs、酸雾、有毒有害大气污染物和刺激性气味气体等污染物的产生</w:t>
                  </w:r>
                  <w:r>
                    <w:rPr>
                      <w:rFonts w:hint="eastAsia"/>
                      <w:color w:val="auto"/>
                      <w:highlight w:val="none"/>
                      <w:lang w:eastAsia="zh-CN"/>
                    </w:rPr>
                    <w:t>，</w:t>
                  </w:r>
                  <w:r>
                    <w:rPr>
                      <w:rFonts w:hint="eastAsia"/>
                      <w:color w:val="auto"/>
                      <w:highlight w:val="none"/>
                    </w:rPr>
                    <w:t>防止其污染环境</w:t>
                  </w:r>
                </w:p>
              </w:tc>
              <w:tc>
                <w:tcPr>
                  <w:tcW w:w="2743"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本项目设计收集危险废物时采用铁桶、耐酸耐腐蚀箱等多种包装形式，加盖封闭贮存，防渗漏，防挥发等措施减少渗滤液及其衍生废物、渗漏液、VOCs、酸雾、有毒有害大气污染物和刺激性气味气体等污染物的产生</w:t>
                  </w:r>
                </w:p>
              </w:tc>
              <w:tc>
                <w:tcPr>
                  <w:tcW w:w="710" w:type="dxa"/>
                  <w:tcBorders>
                    <w:tl2br w:val="nil"/>
                    <w:tr2bl w:val="nil"/>
                  </w:tcBorders>
                  <w:vAlign w:val="center"/>
                </w:tcPr>
                <w:p>
                  <w:pPr>
                    <w:pStyle w:val="22"/>
                    <w:bidi w:val="0"/>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jc w:val="center"/>
              </w:trPr>
              <w:tc>
                <w:tcPr>
                  <w:tcW w:w="1040" w:type="dxa"/>
                  <w:vMerge w:val="continue"/>
                  <w:tcBorders>
                    <w:tl2br w:val="nil"/>
                    <w:tr2bl w:val="nil"/>
                  </w:tcBorders>
                  <w:vAlign w:val="center"/>
                </w:tcPr>
                <w:p>
                  <w:pPr>
                    <w:pStyle w:val="22"/>
                    <w:bidi w:val="0"/>
                    <w:rPr>
                      <w:color w:val="auto"/>
                      <w:highlight w:val="none"/>
                    </w:rPr>
                  </w:pPr>
                </w:p>
              </w:tc>
              <w:tc>
                <w:tcPr>
                  <w:tcW w:w="2932" w:type="dxa"/>
                  <w:gridSpan w:val="2"/>
                  <w:tcBorders>
                    <w:tl2br w:val="nil"/>
                    <w:tr2bl w:val="nil"/>
                  </w:tcBorders>
                  <w:vAlign w:val="center"/>
                </w:tcPr>
                <w:p>
                  <w:pPr>
                    <w:pStyle w:val="22"/>
                    <w:bidi w:val="0"/>
                    <w:rPr>
                      <w:rFonts w:hint="eastAsia"/>
                      <w:color w:val="auto"/>
                      <w:highlight w:val="none"/>
                    </w:rPr>
                  </w:pPr>
                  <w:r>
                    <w:rPr>
                      <w:rFonts w:hint="eastAsia"/>
                      <w:color w:val="auto"/>
                      <w:highlight w:val="none"/>
                    </w:rPr>
                    <w:t>危险废物贮存过程产生的液态废物和固态废物应分类收集，按其环境管理要求妥善处理</w:t>
                  </w:r>
                </w:p>
              </w:tc>
              <w:tc>
                <w:tcPr>
                  <w:tcW w:w="2743" w:type="dxa"/>
                  <w:tcBorders>
                    <w:tl2br w:val="nil"/>
                    <w:tr2bl w:val="nil"/>
                  </w:tcBorders>
                  <w:vAlign w:val="center"/>
                </w:tcPr>
                <w:p>
                  <w:pPr>
                    <w:pStyle w:val="22"/>
                    <w:bidi w:val="0"/>
                    <w:rPr>
                      <w:rFonts w:hint="eastAsia"/>
                      <w:color w:val="auto"/>
                      <w:highlight w:val="none"/>
                    </w:rPr>
                  </w:pPr>
                  <w:r>
                    <w:rPr>
                      <w:rFonts w:hint="eastAsia"/>
                      <w:color w:val="auto"/>
                      <w:highlight w:val="none"/>
                      <w:lang w:eastAsia="zh-CN"/>
                    </w:rPr>
                    <w:t>本项目贮存的危险废物为废润滑油、废铅蓄电池等多种危险废物；均分类分区存放，</w:t>
                  </w:r>
                  <w:r>
                    <w:rPr>
                      <w:rFonts w:hint="eastAsia"/>
                      <w:color w:val="auto"/>
                      <w:highlight w:val="none"/>
                    </w:rPr>
                    <w:t>不</w:t>
                  </w:r>
                  <w:r>
                    <w:rPr>
                      <w:rFonts w:hint="eastAsia"/>
                      <w:color w:val="auto"/>
                      <w:highlight w:val="none"/>
                      <w:lang w:eastAsia="zh-CN"/>
                    </w:rPr>
                    <w:t>与</w:t>
                  </w:r>
                  <w:r>
                    <w:rPr>
                      <w:rFonts w:hint="eastAsia"/>
                      <w:color w:val="auto"/>
                      <w:highlight w:val="none"/>
                    </w:rPr>
                    <w:t>相容的物质或材料接触</w:t>
                  </w:r>
                </w:p>
              </w:tc>
              <w:tc>
                <w:tcPr>
                  <w:tcW w:w="710"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color w:val="auto"/>
                      <w:highlight w:val="none"/>
                    </w:rPr>
                  </w:pPr>
                </w:p>
              </w:tc>
              <w:tc>
                <w:tcPr>
                  <w:tcW w:w="2932" w:type="dxa"/>
                  <w:gridSpan w:val="2"/>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rPr>
                    <w:t>贮存设施或场所、容器和包装物应按 HJ 1276 要求设置危险废物贮存设施或场所标志、危险废物贮存分区标志和危险废物标签等危险废物识别标志</w:t>
                  </w:r>
                </w:p>
              </w:tc>
              <w:tc>
                <w:tcPr>
                  <w:tcW w:w="2743"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rPr>
                    <w:t>本项目贮存场所、容器和包装物均按《危险废物识别标志设置技术规范》（HJ1276-2022）要求设置危险废物贮存场所标志、危险废物贮存分区标志和危险废物标签等危险废物识别标志</w:t>
                  </w:r>
                </w:p>
              </w:tc>
              <w:tc>
                <w:tcPr>
                  <w:tcW w:w="710"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restart"/>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rPr>
                    <w:t>容器和包装物污染控制要求</w:t>
                  </w:r>
                </w:p>
              </w:tc>
              <w:tc>
                <w:tcPr>
                  <w:tcW w:w="2932" w:type="dxa"/>
                  <w:gridSpan w:val="2"/>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rPr>
                    <w:t>容器和包装物材质、内衬应与盛装的危险废物相容</w:t>
                  </w:r>
                </w:p>
              </w:tc>
              <w:tc>
                <w:tcPr>
                  <w:tcW w:w="2743"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eastAsia="zh-CN"/>
                    </w:rPr>
                    <w:t>项目设计</w:t>
                  </w:r>
                  <w:r>
                    <w:rPr>
                      <w:rFonts w:hint="eastAsia"/>
                      <w:color w:val="auto"/>
                      <w:highlight w:val="none"/>
                    </w:rPr>
                    <w:t>收集危险废物时</w:t>
                  </w:r>
                  <w:r>
                    <w:rPr>
                      <w:rFonts w:hint="eastAsia"/>
                      <w:color w:val="auto"/>
                      <w:highlight w:val="none"/>
                      <w:lang w:eastAsia="zh-CN"/>
                    </w:rPr>
                    <w:t>采用铁桶、</w:t>
                  </w:r>
                  <w:r>
                    <w:rPr>
                      <w:rFonts w:hint="eastAsia"/>
                      <w:color w:val="auto"/>
                      <w:highlight w:val="none"/>
                    </w:rPr>
                    <w:t>耐酸耐腐蚀箱</w:t>
                  </w:r>
                  <w:r>
                    <w:rPr>
                      <w:rFonts w:hint="eastAsia"/>
                      <w:color w:val="auto"/>
                      <w:highlight w:val="none"/>
                      <w:lang w:eastAsia="zh-CN"/>
                    </w:rPr>
                    <w:t>等多种包装形式</w:t>
                  </w:r>
                  <w:r>
                    <w:rPr>
                      <w:rFonts w:hint="eastAsia"/>
                      <w:color w:val="auto"/>
                      <w:highlight w:val="none"/>
                    </w:rPr>
                    <w:t>。本项目容器和包装物材质、内衬均与盛装的危险废物相容</w:t>
                  </w:r>
                </w:p>
              </w:tc>
              <w:tc>
                <w:tcPr>
                  <w:tcW w:w="710"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2932" w:type="dxa"/>
                  <w:gridSpan w:val="2"/>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针对不同类别、形态、物理化学性质的危险废物，其容器和包装物应满足相应的防渗、防漏、防腐和强度等要求</w:t>
                  </w:r>
                </w:p>
              </w:tc>
              <w:tc>
                <w:tcPr>
                  <w:tcW w:w="2743"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eastAsia="zh-CN"/>
                    </w:rPr>
                    <w:t>项目设计</w:t>
                  </w:r>
                  <w:r>
                    <w:rPr>
                      <w:rFonts w:hint="eastAsia"/>
                      <w:color w:val="auto"/>
                      <w:highlight w:val="none"/>
                    </w:rPr>
                    <w:t>收集危险废物时</w:t>
                  </w:r>
                  <w:r>
                    <w:rPr>
                      <w:rFonts w:hint="eastAsia"/>
                      <w:color w:val="auto"/>
                      <w:highlight w:val="none"/>
                      <w:lang w:eastAsia="zh-CN"/>
                    </w:rPr>
                    <w:t>采用铁桶、</w:t>
                  </w:r>
                  <w:r>
                    <w:rPr>
                      <w:rFonts w:hint="eastAsia"/>
                      <w:color w:val="auto"/>
                      <w:highlight w:val="none"/>
                    </w:rPr>
                    <w:t>耐酸耐腐蚀箱</w:t>
                  </w:r>
                  <w:r>
                    <w:rPr>
                      <w:rFonts w:hint="eastAsia"/>
                      <w:color w:val="auto"/>
                      <w:highlight w:val="none"/>
                      <w:lang w:eastAsia="zh-CN"/>
                    </w:rPr>
                    <w:t>等多种包装形式</w:t>
                  </w:r>
                  <w:r>
                    <w:rPr>
                      <w:rFonts w:hint="eastAsia"/>
                      <w:color w:val="auto"/>
                      <w:highlight w:val="none"/>
                    </w:rPr>
                    <w:t>。本项目容器和包装物材质</w:t>
                  </w:r>
                  <w:r>
                    <w:rPr>
                      <w:rFonts w:hint="eastAsia"/>
                      <w:color w:val="auto"/>
                      <w:highlight w:val="none"/>
                      <w:lang w:eastAsia="zh-CN"/>
                    </w:rPr>
                    <w:t>满足</w:t>
                  </w:r>
                  <w:r>
                    <w:rPr>
                      <w:rFonts w:hint="eastAsia"/>
                      <w:color w:val="auto"/>
                      <w:highlight w:val="none"/>
                      <w:lang w:val="en-US" w:eastAsia="zh-CN"/>
                    </w:rPr>
                    <w:t>防渗、防漏、防腐和强度要求</w:t>
                  </w:r>
                </w:p>
              </w:tc>
              <w:tc>
                <w:tcPr>
                  <w:tcW w:w="710"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2932" w:type="dxa"/>
                  <w:gridSpan w:val="2"/>
                  <w:tcBorders>
                    <w:tl2br w:val="nil"/>
                    <w:tr2bl w:val="nil"/>
                  </w:tcBorders>
                  <w:vAlign w:val="center"/>
                </w:tcPr>
                <w:p>
                  <w:pPr>
                    <w:pStyle w:val="22"/>
                    <w:bidi w:val="0"/>
                    <w:rPr>
                      <w:rFonts w:hint="eastAsia"/>
                      <w:color w:val="auto"/>
                      <w:highlight w:val="none"/>
                    </w:rPr>
                  </w:pPr>
                  <w:r>
                    <w:rPr>
                      <w:rFonts w:hint="eastAsia"/>
                      <w:color w:val="auto"/>
                      <w:highlight w:val="none"/>
                    </w:rPr>
                    <w:t>硬质容器和包装物及其支护结构堆叠码放时不应有明显变形，无破损泄漏</w:t>
                  </w:r>
                </w:p>
              </w:tc>
              <w:tc>
                <w:tcPr>
                  <w:tcW w:w="2743"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rPr>
                    <w:t>硬质容器和包装物及其支护结构堆叠码放时不应有明显变形，</w:t>
                  </w:r>
                  <w:r>
                    <w:rPr>
                      <w:rFonts w:hint="eastAsia"/>
                      <w:color w:val="auto"/>
                      <w:highlight w:val="none"/>
                      <w:lang w:eastAsia="zh-CN"/>
                    </w:rPr>
                    <w:t>如发现变形、破损泄漏等情况应及时更换包装</w:t>
                  </w:r>
                </w:p>
              </w:tc>
              <w:tc>
                <w:tcPr>
                  <w:tcW w:w="710" w:type="dxa"/>
                  <w:tcBorders>
                    <w:tl2br w:val="nil"/>
                    <w:tr2bl w:val="nil"/>
                  </w:tcBorders>
                  <w:vAlign w:val="center"/>
                </w:tcPr>
                <w:p>
                  <w:pPr>
                    <w:pStyle w:val="22"/>
                    <w:bidi w:val="0"/>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2932" w:type="dxa"/>
                  <w:gridSpan w:val="2"/>
                  <w:tcBorders>
                    <w:tl2br w:val="nil"/>
                    <w:tr2bl w:val="nil"/>
                  </w:tcBorders>
                  <w:vAlign w:val="center"/>
                </w:tcPr>
                <w:p>
                  <w:pPr>
                    <w:pStyle w:val="22"/>
                    <w:bidi w:val="0"/>
                    <w:rPr>
                      <w:rFonts w:hint="eastAsia"/>
                      <w:color w:val="auto"/>
                      <w:highlight w:val="none"/>
                    </w:rPr>
                  </w:pPr>
                  <w:r>
                    <w:rPr>
                      <w:rFonts w:hint="eastAsia"/>
                      <w:color w:val="auto"/>
                      <w:highlight w:val="none"/>
                    </w:rPr>
                    <w:t>柔性容器和包装物堆叠码放时应封口严密，无破损泄漏</w:t>
                  </w:r>
                </w:p>
              </w:tc>
              <w:tc>
                <w:tcPr>
                  <w:tcW w:w="2743" w:type="dxa"/>
                  <w:tcBorders>
                    <w:tl2br w:val="nil"/>
                    <w:tr2bl w:val="nil"/>
                  </w:tcBorders>
                  <w:vAlign w:val="center"/>
                </w:tcPr>
                <w:p>
                  <w:pPr>
                    <w:pStyle w:val="22"/>
                    <w:bidi w:val="0"/>
                    <w:jc w:val="both"/>
                    <w:rPr>
                      <w:rFonts w:hint="default"/>
                      <w:color w:val="auto"/>
                      <w:highlight w:val="none"/>
                      <w:lang w:val="en-US" w:eastAsia="zh-CN"/>
                    </w:rPr>
                  </w:pPr>
                  <w:r>
                    <w:rPr>
                      <w:rFonts w:hint="eastAsia"/>
                      <w:color w:val="auto"/>
                      <w:highlight w:val="none"/>
                      <w:lang w:eastAsia="zh-CN"/>
                    </w:rPr>
                    <w:t>本项目不涉及</w:t>
                  </w:r>
                  <w:r>
                    <w:rPr>
                      <w:rFonts w:hint="eastAsia"/>
                      <w:color w:val="auto"/>
                      <w:highlight w:val="none"/>
                    </w:rPr>
                    <w:t>柔性容器</w:t>
                  </w:r>
                </w:p>
              </w:tc>
              <w:tc>
                <w:tcPr>
                  <w:tcW w:w="710" w:type="dxa"/>
                  <w:tcBorders>
                    <w:tl2br w:val="nil"/>
                    <w:tr2bl w:val="nil"/>
                  </w:tcBorders>
                  <w:vAlign w:val="center"/>
                </w:tcPr>
                <w:p>
                  <w:pPr>
                    <w:pStyle w:val="22"/>
                    <w:bidi w:val="0"/>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2932" w:type="dxa"/>
                  <w:gridSpan w:val="2"/>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rPr>
                    <w:t>使用容器盛装液态、半固态危险废物时，容器内部应留有适当的空间，以适应因温度变化等可能引发的收缩和膨胀，防止其导致容器渗漏或永久变形</w:t>
                  </w:r>
                </w:p>
              </w:tc>
              <w:tc>
                <w:tcPr>
                  <w:tcW w:w="2743"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eastAsia="zh-CN"/>
                    </w:rPr>
                    <w:t>本项目采用</w:t>
                  </w:r>
                  <w:r>
                    <w:rPr>
                      <w:rFonts w:hint="eastAsia"/>
                      <w:color w:val="auto"/>
                      <w:highlight w:val="none"/>
                    </w:rPr>
                    <w:t>铁桶</w:t>
                  </w:r>
                  <w:r>
                    <w:rPr>
                      <w:rFonts w:hint="eastAsia"/>
                      <w:color w:val="auto"/>
                      <w:highlight w:val="none"/>
                      <w:lang w:eastAsia="zh-CN"/>
                    </w:rPr>
                    <w:t>盛装废润滑油留有适当的空间，可有效避免因</w:t>
                  </w:r>
                  <w:r>
                    <w:rPr>
                      <w:rFonts w:hint="eastAsia"/>
                      <w:color w:val="auto"/>
                      <w:highlight w:val="none"/>
                    </w:rPr>
                    <w:t>温度变化等可能引发的收缩和膨胀，防止其导致容器渗漏或永久变形</w:t>
                  </w:r>
                </w:p>
              </w:tc>
              <w:tc>
                <w:tcPr>
                  <w:tcW w:w="710" w:type="dxa"/>
                  <w:tcBorders>
                    <w:tl2br w:val="nil"/>
                    <w:tr2bl w:val="nil"/>
                  </w:tcBorders>
                  <w:vAlign w:val="center"/>
                </w:tcPr>
                <w:p>
                  <w:pPr>
                    <w:pStyle w:val="22"/>
                    <w:bidi w:val="0"/>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2932" w:type="dxa"/>
                  <w:gridSpan w:val="2"/>
                  <w:tcBorders>
                    <w:tl2br w:val="nil"/>
                    <w:tr2bl w:val="nil"/>
                  </w:tcBorders>
                  <w:vAlign w:val="center"/>
                </w:tcPr>
                <w:p>
                  <w:pPr>
                    <w:pStyle w:val="22"/>
                    <w:bidi w:val="0"/>
                    <w:rPr>
                      <w:rFonts w:hint="eastAsia"/>
                      <w:color w:val="auto"/>
                      <w:highlight w:val="none"/>
                    </w:rPr>
                  </w:pPr>
                  <w:r>
                    <w:rPr>
                      <w:rFonts w:hint="eastAsia"/>
                      <w:color w:val="auto"/>
                      <w:highlight w:val="none"/>
                    </w:rPr>
                    <w:t>容器和包装物外表面应保持清洁</w:t>
                  </w:r>
                </w:p>
              </w:tc>
              <w:tc>
                <w:tcPr>
                  <w:tcW w:w="2743"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rPr>
                    <w:t>容器和包装物外表面应保持清洁</w:t>
                  </w:r>
                </w:p>
              </w:tc>
              <w:tc>
                <w:tcPr>
                  <w:tcW w:w="710" w:type="dxa"/>
                  <w:tcBorders>
                    <w:tl2br w:val="nil"/>
                    <w:tr2bl w:val="nil"/>
                  </w:tcBorders>
                  <w:vAlign w:val="center"/>
                </w:tcPr>
                <w:p>
                  <w:pPr>
                    <w:pStyle w:val="22"/>
                    <w:bidi w:val="0"/>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restart"/>
                  <w:tcBorders>
                    <w:tl2br w:val="nil"/>
                    <w:tr2bl w:val="nil"/>
                  </w:tcBorders>
                  <w:vAlign w:val="center"/>
                </w:tcPr>
                <w:p>
                  <w:pPr>
                    <w:pStyle w:val="22"/>
                    <w:bidi w:val="0"/>
                    <w:rPr>
                      <w:rFonts w:hint="eastAsia"/>
                      <w:color w:val="auto"/>
                      <w:highlight w:val="none"/>
                    </w:rPr>
                  </w:pPr>
                  <w:r>
                    <w:rPr>
                      <w:rFonts w:hint="eastAsia"/>
                      <w:color w:val="auto"/>
                      <w:highlight w:val="none"/>
                    </w:rPr>
                    <w:t>贮存过程污染控制要求</w:t>
                  </w:r>
                </w:p>
              </w:tc>
              <w:tc>
                <w:tcPr>
                  <w:tcW w:w="576" w:type="dxa"/>
                  <w:vMerge w:val="restart"/>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一般规定</w:t>
                  </w:r>
                </w:p>
              </w:tc>
              <w:tc>
                <w:tcPr>
                  <w:tcW w:w="2356" w:type="dxa"/>
                  <w:tcBorders>
                    <w:tl2br w:val="nil"/>
                    <w:tr2bl w:val="nil"/>
                  </w:tcBorders>
                  <w:vAlign w:val="center"/>
                </w:tcPr>
                <w:p>
                  <w:pPr>
                    <w:pStyle w:val="22"/>
                    <w:bidi w:val="0"/>
                    <w:rPr>
                      <w:rFonts w:hint="eastAsia"/>
                      <w:color w:val="auto"/>
                      <w:highlight w:val="none"/>
                    </w:rPr>
                  </w:pPr>
                  <w:r>
                    <w:rPr>
                      <w:rFonts w:hint="eastAsia"/>
                      <w:color w:val="auto"/>
                      <w:highlight w:val="none"/>
                    </w:rPr>
                    <w:t>在常温常压下不易水解、不易挥发的固态危险废物可分类堆放贮存，其他固态危险废物应装入容器或包装物内贮存</w:t>
                  </w:r>
                </w:p>
              </w:tc>
              <w:tc>
                <w:tcPr>
                  <w:tcW w:w="2743"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本项目涉及</w:t>
                  </w:r>
                  <w:r>
                    <w:rPr>
                      <w:rFonts w:hint="eastAsia"/>
                      <w:color w:val="auto"/>
                      <w:highlight w:val="none"/>
                    </w:rPr>
                    <w:t>常温常压下不易水解、不易挥发的固态危险废物</w:t>
                  </w:r>
                  <w:r>
                    <w:rPr>
                      <w:rFonts w:hint="eastAsia"/>
                      <w:color w:val="auto"/>
                      <w:highlight w:val="none"/>
                      <w:lang w:eastAsia="zh-CN"/>
                    </w:rPr>
                    <w:t>为未破损废铅蓄电池，收集至托盘内贮存</w:t>
                  </w:r>
                </w:p>
              </w:tc>
              <w:tc>
                <w:tcPr>
                  <w:tcW w:w="710" w:type="dxa"/>
                  <w:tcBorders>
                    <w:tl2br w:val="nil"/>
                    <w:tr2bl w:val="nil"/>
                  </w:tcBorders>
                  <w:vAlign w:val="center"/>
                </w:tcPr>
                <w:p>
                  <w:pPr>
                    <w:pStyle w:val="22"/>
                    <w:bidi w:val="0"/>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576" w:type="dxa"/>
                  <w:vMerge w:val="continue"/>
                  <w:tcBorders>
                    <w:tl2br w:val="nil"/>
                    <w:tr2bl w:val="nil"/>
                  </w:tcBorders>
                  <w:vAlign w:val="center"/>
                </w:tcPr>
                <w:p>
                  <w:pPr>
                    <w:pStyle w:val="22"/>
                    <w:bidi w:val="0"/>
                    <w:rPr>
                      <w:rFonts w:hint="eastAsia"/>
                      <w:color w:val="auto"/>
                      <w:highlight w:val="none"/>
                    </w:rPr>
                  </w:pPr>
                </w:p>
              </w:tc>
              <w:tc>
                <w:tcPr>
                  <w:tcW w:w="2356" w:type="dxa"/>
                  <w:tcBorders>
                    <w:tl2br w:val="nil"/>
                    <w:tr2bl w:val="nil"/>
                  </w:tcBorders>
                  <w:vAlign w:val="center"/>
                </w:tcPr>
                <w:p>
                  <w:pPr>
                    <w:pStyle w:val="22"/>
                    <w:bidi w:val="0"/>
                    <w:rPr>
                      <w:rFonts w:hint="eastAsia"/>
                      <w:color w:val="auto"/>
                      <w:highlight w:val="none"/>
                    </w:rPr>
                  </w:pPr>
                  <w:r>
                    <w:rPr>
                      <w:rFonts w:hint="eastAsia"/>
                      <w:color w:val="auto"/>
                      <w:highlight w:val="none"/>
                    </w:rPr>
                    <w:t>液态危险废物应装入容器内贮存，或直接采用贮存池、贮存罐区贮存</w:t>
                  </w:r>
                </w:p>
              </w:tc>
              <w:tc>
                <w:tcPr>
                  <w:tcW w:w="2743"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本项目涉及</w:t>
                  </w:r>
                  <w:r>
                    <w:rPr>
                      <w:rFonts w:hint="eastAsia"/>
                      <w:color w:val="auto"/>
                      <w:highlight w:val="none"/>
                    </w:rPr>
                    <w:t>液态危险废物</w:t>
                  </w:r>
                  <w:r>
                    <w:rPr>
                      <w:rFonts w:hint="eastAsia"/>
                      <w:color w:val="auto"/>
                      <w:highlight w:val="none"/>
                      <w:lang w:eastAsia="zh-CN"/>
                    </w:rPr>
                    <w:t>为废润滑油、破损电池产生的废电解液等危险废物均装入铁桶或者耐酸耐腐蚀桶内贮存</w:t>
                  </w:r>
                </w:p>
              </w:tc>
              <w:tc>
                <w:tcPr>
                  <w:tcW w:w="710" w:type="dxa"/>
                  <w:tcBorders>
                    <w:tl2br w:val="nil"/>
                    <w:tr2bl w:val="nil"/>
                  </w:tcBorders>
                  <w:vAlign w:val="center"/>
                </w:tcPr>
                <w:p>
                  <w:pPr>
                    <w:pStyle w:val="22"/>
                    <w:bidi w:val="0"/>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576" w:type="dxa"/>
                  <w:vMerge w:val="continue"/>
                  <w:tcBorders>
                    <w:tl2br w:val="nil"/>
                    <w:tr2bl w:val="nil"/>
                  </w:tcBorders>
                  <w:vAlign w:val="center"/>
                </w:tcPr>
                <w:p>
                  <w:pPr>
                    <w:pStyle w:val="22"/>
                    <w:bidi w:val="0"/>
                    <w:rPr>
                      <w:rFonts w:hint="eastAsia"/>
                      <w:color w:val="auto"/>
                      <w:highlight w:val="none"/>
                    </w:rPr>
                  </w:pPr>
                </w:p>
              </w:tc>
              <w:tc>
                <w:tcPr>
                  <w:tcW w:w="2356" w:type="dxa"/>
                  <w:tcBorders>
                    <w:tl2br w:val="nil"/>
                    <w:tr2bl w:val="nil"/>
                  </w:tcBorders>
                  <w:vAlign w:val="center"/>
                </w:tcPr>
                <w:p>
                  <w:pPr>
                    <w:pStyle w:val="22"/>
                    <w:bidi w:val="0"/>
                    <w:rPr>
                      <w:rFonts w:hint="eastAsia"/>
                      <w:color w:val="auto"/>
                      <w:highlight w:val="none"/>
                    </w:rPr>
                  </w:pPr>
                  <w:r>
                    <w:rPr>
                      <w:rFonts w:hint="eastAsia"/>
                      <w:color w:val="auto"/>
                      <w:highlight w:val="none"/>
                    </w:rPr>
                    <w:t>半固态危险废物应装入容器或包装袋内贮存，或直接采用贮存池贮存</w:t>
                  </w:r>
                </w:p>
              </w:tc>
              <w:tc>
                <w:tcPr>
                  <w:tcW w:w="2743"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eastAsia="zh-CN"/>
                    </w:rPr>
                    <w:t>本项目不涉及</w:t>
                  </w:r>
                  <w:r>
                    <w:rPr>
                      <w:rFonts w:hint="eastAsia"/>
                      <w:color w:val="auto"/>
                      <w:highlight w:val="none"/>
                    </w:rPr>
                    <w:t>半固态危险废物</w:t>
                  </w:r>
                </w:p>
              </w:tc>
              <w:tc>
                <w:tcPr>
                  <w:tcW w:w="710" w:type="dxa"/>
                  <w:tcBorders>
                    <w:tl2br w:val="nil"/>
                    <w:tr2bl w:val="nil"/>
                  </w:tcBorders>
                  <w:vAlign w:val="center"/>
                </w:tcPr>
                <w:p>
                  <w:pPr>
                    <w:pStyle w:val="22"/>
                    <w:bidi w:val="0"/>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576" w:type="dxa"/>
                  <w:vMerge w:val="continue"/>
                  <w:tcBorders>
                    <w:tl2br w:val="nil"/>
                    <w:tr2bl w:val="nil"/>
                  </w:tcBorders>
                  <w:vAlign w:val="center"/>
                </w:tcPr>
                <w:p>
                  <w:pPr>
                    <w:pStyle w:val="22"/>
                    <w:bidi w:val="0"/>
                    <w:rPr>
                      <w:rFonts w:hint="eastAsia"/>
                      <w:color w:val="auto"/>
                      <w:highlight w:val="none"/>
                    </w:rPr>
                  </w:pPr>
                </w:p>
              </w:tc>
              <w:tc>
                <w:tcPr>
                  <w:tcW w:w="2356" w:type="dxa"/>
                  <w:tcBorders>
                    <w:tl2br w:val="nil"/>
                    <w:tr2bl w:val="nil"/>
                  </w:tcBorders>
                  <w:vAlign w:val="center"/>
                </w:tcPr>
                <w:p>
                  <w:pPr>
                    <w:pStyle w:val="22"/>
                    <w:bidi w:val="0"/>
                    <w:rPr>
                      <w:rFonts w:hint="eastAsia"/>
                      <w:color w:val="auto"/>
                      <w:highlight w:val="none"/>
                    </w:rPr>
                  </w:pPr>
                  <w:r>
                    <w:rPr>
                      <w:rFonts w:hint="eastAsia"/>
                      <w:color w:val="auto"/>
                      <w:highlight w:val="none"/>
                    </w:rPr>
                    <w:t>易产生粉尘、VOCs、酸雾、有毒有害大气污染物和刺激性气味气体的危险废物应装入闭口容器或包装物内贮存</w:t>
                  </w:r>
                </w:p>
              </w:tc>
              <w:tc>
                <w:tcPr>
                  <w:tcW w:w="2743"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本项目贮存危险废物</w:t>
                  </w:r>
                  <w:r>
                    <w:rPr>
                      <w:rFonts w:hint="eastAsia"/>
                      <w:color w:val="auto"/>
                      <w:highlight w:val="none"/>
                    </w:rPr>
                    <w:t>产生VOCs、酸雾大气污染物和刺激性气味气体的危险废物</w:t>
                  </w:r>
                  <w:r>
                    <w:rPr>
                      <w:rFonts w:hint="eastAsia"/>
                      <w:color w:val="auto"/>
                      <w:highlight w:val="none"/>
                      <w:lang w:eastAsia="zh-CN"/>
                    </w:rPr>
                    <w:t>通过加盖密封桶内</w:t>
                  </w:r>
                </w:p>
              </w:tc>
              <w:tc>
                <w:tcPr>
                  <w:tcW w:w="710"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576" w:type="dxa"/>
                  <w:vMerge w:val="restart"/>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贮存点</w:t>
                  </w:r>
                </w:p>
              </w:tc>
              <w:tc>
                <w:tcPr>
                  <w:tcW w:w="2356"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贮存点应具有固定的区域边界，并应采取与其他区域进行隔离的措施</w:t>
                  </w:r>
                </w:p>
              </w:tc>
              <w:tc>
                <w:tcPr>
                  <w:tcW w:w="2743" w:type="dxa"/>
                  <w:tcBorders>
                    <w:tl2br w:val="nil"/>
                    <w:tr2bl w:val="nil"/>
                  </w:tcBorders>
                  <w:shd w:val="clear" w:color="auto" w:fill="auto"/>
                  <w:vAlign w:val="center"/>
                </w:tcPr>
                <w:p>
                  <w:pPr>
                    <w:pStyle w:val="22"/>
                    <w:bidi w:val="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本项目贮存点通过改造原有库房进行贮存，有固定的区域边界</w:t>
                  </w:r>
                </w:p>
              </w:tc>
              <w:tc>
                <w:tcPr>
                  <w:tcW w:w="710"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576" w:type="dxa"/>
                  <w:vMerge w:val="continue"/>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p>
              </w:tc>
              <w:tc>
                <w:tcPr>
                  <w:tcW w:w="2356"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贮存点应采取防风、防雨、防晒和防止危险废物流失、扬散等措施</w:t>
                  </w:r>
                </w:p>
              </w:tc>
              <w:tc>
                <w:tcPr>
                  <w:tcW w:w="2743" w:type="dxa"/>
                  <w:tcBorders>
                    <w:tl2br w:val="nil"/>
                    <w:tr2bl w:val="nil"/>
                  </w:tcBorders>
                  <w:shd w:val="clear" w:color="auto" w:fill="auto"/>
                  <w:vAlign w:val="center"/>
                </w:tcPr>
                <w:p>
                  <w:pPr>
                    <w:pStyle w:val="22"/>
                    <w:bidi w:val="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本项目通过改造原有库房进行贮存危险废物，并设置导流渠和集液池等措施，可满足</w:t>
                  </w:r>
                  <w:r>
                    <w:rPr>
                      <w:rFonts w:hint="eastAsia" w:ascii="Times New Roman" w:hAnsi="Times New Roman" w:cs="Times New Roman" w:eastAsiaTheme="minorEastAsia"/>
                      <w:color w:val="auto"/>
                      <w:kern w:val="2"/>
                      <w:sz w:val="21"/>
                      <w:szCs w:val="21"/>
                      <w:highlight w:val="none"/>
                      <w:lang w:val="en-US" w:eastAsia="zh-CN" w:bidi="ar-SA"/>
                    </w:rPr>
                    <w:t>防风、防雨、防晒和防止危险废物流失、扬散等措施</w:t>
                  </w:r>
                </w:p>
              </w:tc>
              <w:tc>
                <w:tcPr>
                  <w:tcW w:w="710"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576" w:type="dxa"/>
                  <w:vMerge w:val="continue"/>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p>
              </w:tc>
              <w:tc>
                <w:tcPr>
                  <w:tcW w:w="2356"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贮存点贮存的危险废物应置于容器或包装物中，不应直接散堆</w:t>
                  </w:r>
                </w:p>
              </w:tc>
              <w:tc>
                <w:tcPr>
                  <w:tcW w:w="2743"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本项目贮存危险废物采用铁桶、耐酸耐腐蚀箱等多种包装形式贮存危险废物，不直接散堆</w:t>
                  </w:r>
                </w:p>
              </w:tc>
              <w:tc>
                <w:tcPr>
                  <w:tcW w:w="710" w:type="dxa"/>
                  <w:tcBorders>
                    <w:tl2br w:val="nil"/>
                    <w:tr2bl w:val="nil"/>
                  </w:tcBorders>
                  <w:shd w:val="clear" w:color="auto" w:fill="auto"/>
                  <w:vAlign w:val="center"/>
                </w:tcPr>
                <w:p>
                  <w:pPr>
                    <w:pStyle w:val="22"/>
                    <w:bidi w:val="0"/>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576" w:type="dxa"/>
                  <w:vMerge w:val="continue"/>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p>
              </w:tc>
              <w:tc>
                <w:tcPr>
                  <w:tcW w:w="2356"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贮存点应根据危险废物的形态、物理化学性质、包装形式等，采取防渗、防漏等污染防治措施或采用具有相应功能的装置</w:t>
                  </w:r>
                </w:p>
              </w:tc>
              <w:tc>
                <w:tcPr>
                  <w:tcW w:w="2743"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本项目根据危险废物形态</w:t>
                  </w:r>
                  <w:r>
                    <w:rPr>
                      <w:rFonts w:hint="eastAsia" w:ascii="Times New Roman" w:hAnsi="Times New Roman" w:cs="Times New Roman" w:eastAsiaTheme="minorEastAsia"/>
                      <w:color w:val="auto"/>
                      <w:kern w:val="2"/>
                      <w:sz w:val="21"/>
                      <w:szCs w:val="21"/>
                      <w:highlight w:val="none"/>
                      <w:lang w:val="en-US" w:eastAsia="zh-CN" w:bidi="ar-SA"/>
                    </w:rPr>
                    <w:t>、物理化学性质、包装形式等</w:t>
                  </w:r>
                  <w:r>
                    <w:rPr>
                      <w:rFonts w:hint="eastAsia" w:cs="Times New Roman"/>
                      <w:color w:val="auto"/>
                      <w:kern w:val="2"/>
                      <w:sz w:val="21"/>
                      <w:szCs w:val="21"/>
                      <w:highlight w:val="none"/>
                      <w:lang w:val="en-US" w:eastAsia="zh-CN" w:bidi="ar-SA"/>
                    </w:rPr>
                    <w:t>，</w:t>
                  </w:r>
                  <w:r>
                    <w:rPr>
                      <w:rFonts w:hint="eastAsia"/>
                      <w:color w:val="auto"/>
                      <w:highlight w:val="none"/>
                      <w:lang w:eastAsia="zh-CN"/>
                    </w:rPr>
                    <w:t>采用铁桶、</w:t>
                  </w:r>
                  <w:r>
                    <w:rPr>
                      <w:rFonts w:hint="eastAsia"/>
                      <w:color w:val="auto"/>
                      <w:highlight w:val="none"/>
                    </w:rPr>
                    <w:t>耐酸耐腐蚀箱</w:t>
                  </w:r>
                  <w:r>
                    <w:rPr>
                      <w:rFonts w:hint="eastAsia"/>
                      <w:color w:val="auto"/>
                      <w:highlight w:val="none"/>
                      <w:lang w:eastAsia="zh-CN"/>
                    </w:rPr>
                    <w:t>等多种包装形式，危废贮存点内地面及裙脚进行防腐防渗处理，并设置集液设施，可达到</w:t>
                  </w:r>
                  <w:r>
                    <w:rPr>
                      <w:rFonts w:hint="eastAsia" w:ascii="Times New Roman" w:hAnsi="Times New Roman" w:cs="Times New Roman" w:eastAsiaTheme="minorEastAsia"/>
                      <w:color w:val="auto"/>
                      <w:kern w:val="2"/>
                      <w:sz w:val="21"/>
                      <w:szCs w:val="21"/>
                      <w:highlight w:val="none"/>
                      <w:lang w:val="en-US" w:eastAsia="zh-CN" w:bidi="ar-SA"/>
                    </w:rPr>
                    <w:t>防渗、防漏</w:t>
                  </w:r>
                  <w:r>
                    <w:rPr>
                      <w:rFonts w:hint="eastAsia" w:cs="Times New Roman"/>
                      <w:color w:val="auto"/>
                      <w:kern w:val="2"/>
                      <w:sz w:val="21"/>
                      <w:szCs w:val="21"/>
                      <w:highlight w:val="none"/>
                      <w:lang w:val="en-US" w:eastAsia="zh-CN" w:bidi="ar-SA"/>
                    </w:rPr>
                    <w:t>及防止流失</w:t>
                  </w:r>
                  <w:r>
                    <w:rPr>
                      <w:rFonts w:hint="eastAsia" w:ascii="Times New Roman" w:hAnsi="Times New Roman" w:cs="Times New Roman" w:eastAsiaTheme="minorEastAsia"/>
                      <w:color w:val="auto"/>
                      <w:kern w:val="2"/>
                      <w:sz w:val="21"/>
                      <w:szCs w:val="21"/>
                      <w:highlight w:val="none"/>
                      <w:lang w:val="en-US" w:eastAsia="zh-CN" w:bidi="ar-SA"/>
                    </w:rPr>
                    <w:t>等污染防治措施</w:t>
                  </w:r>
                  <w:r>
                    <w:rPr>
                      <w:rFonts w:hint="eastAsia" w:cs="Times New Roman"/>
                      <w:color w:val="auto"/>
                      <w:kern w:val="2"/>
                      <w:sz w:val="21"/>
                      <w:szCs w:val="21"/>
                      <w:highlight w:val="none"/>
                      <w:lang w:val="en-US" w:eastAsia="zh-CN" w:bidi="ar-SA"/>
                    </w:rPr>
                    <w:t>要求</w:t>
                  </w:r>
                </w:p>
              </w:tc>
              <w:tc>
                <w:tcPr>
                  <w:tcW w:w="710" w:type="dxa"/>
                  <w:tcBorders>
                    <w:tl2br w:val="nil"/>
                    <w:tr2bl w:val="nil"/>
                  </w:tcBorders>
                  <w:shd w:val="clear" w:color="auto" w:fill="auto"/>
                  <w:vAlign w:val="center"/>
                </w:tcPr>
                <w:p>
                  <w:pPr>
                    <w:pStyle w:val="22"/>
                    <w:bidi w:val="0"/>
                    <w:rPr>
                      <w:rFonts w:hint="eastAsia"/>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vMerge w:val="continue"/>
                  <w:tcBorders>
                    <w:tl2br w:val="nil"/>
                    <w:tr2bl w:val="nil"/>
                  </w:tcBorders>
                  <w:vAlign w:val="center"/>
                </w:tcPr>
                <w:p>
                  <w:pPr>
                    <w:pStyle w:val="22"/>
                    <w:bidi w:val="0"/>
                    <w:rPr>
                      <w:rFonts w:hint="eastAsia"/>
                      <w:color w:val="auto"/>
                      <w:highlight w:val="none"/>
                    </w:rPr>
                  </w:pPr>
                </w:p>
              </w:tc>
              <w:tc>
                <w:tcPr>
                  <w:tcW w:w="576" w:type="dxa"/>
                  <w:vMerge w:val="continue"/>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p>
              </w:tc>
              <w:tc>
                <w:tcPr>
                  <w:tcW w:w="2356"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贮存点应及时清运贮存的危险废物，实时贮存量不应超过3吨</w:t>
                  </w:r>
                </w:p>
              </w:tc>
              <w:tc>
                <w:tcPr>
                  <w:tcW w:w="2743" w:type="dxa"/>
                  <w:tcBorders>
                    <w:tl2br w:val="nil"/>
                    <w:tr2bl w:val="nil"/>
                  </w:tcBorders>
                  <w:shd w:val="clear" w:color="auto" w:fill="auto"/>
                  <w:vAlign w:val="center"/>
                </w:tcPr>
                <w:p>
                  <w:pPr>
                    <w:pStyle w:val="22"/>
                    <w:bidi w:val="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本项目危险废物实时贮存量不超过3吨</w:t>
                  </w:r>
                </w:p>
              </w:tc>
              <w:tc>
                <w:tcPr>
                  <w:tcW w:w="710" w:type="dxa"/>
                  <w:tcBorders>
                    <w:tl2br w:val="nil"/>
                    <w:tr2bl w:val="nil"/>
                  </w:tcBorders>
                  <w:shd w:val="clear" w:color="auto" w:fill="auto"/>
                  <w:vAlign w:val="center"/>
                </w:tcPr>
                <w:p>
                  <w:pPr>
                    <w:pStyle w:val="22"/>
                    <w:bidi w:val="0"/>
                    <w:rPr>
                      <w:rFonts w:hint="eastAsia"/>
                      <w:color w:val="auto"/>
                      <w:highlight w:val="none"/>
                    </w:rPr>
                  </w:pPr>
                  <w:r>
                    <w:rPr>
                      <w:rFonts w:hint="eastAsia"/>
                      <w:color w:val="auto"/>
                      <w:highlight w:val="none"/>
                    </w:rPr>
                    <w:t>符合</w:t>
                  </w:r>
                </w:p>
              </w:tc>
            </w:tr>
          </w:tbl>
          <w:p>
            <w:pPr>
              <w:pStyle w:val="12"/>
              <w:ind w:firstLine="480"/>
              <w:rPr>
                <w:color w:val="auto"/>
                <w:highlight w:val="none"/>
              </w:rPr>
            </w:pPr>
            <w:r>
              <w:rPr>
                <w:rFonts w:hint="eastAsia"/>
                <w:color w:val="auto"/>
                <w:highlight w:val="none"/>
              </w:rPr>
              <w:t>本项目与《危险废物贮存污染控制标准》（GB18597-2023）中相关内容符合。</w:t>
            </w:r>
          </w:p>
          <w:p>
            <w:pPr>
              <w:pStyle w:val="12"/>
              <w:ind w:firstLine="480"/>
              <w:rPr>
                <w:rFonts w:hint="eastAsia"/>
                <w:color w:val="auto"/>
                <w:highlight w:val="none"/>
                <w:lang w:eastAsia="zh-CN"/>
              </w:rPr>
            </w:pPr>
            <w:r>
              <w:rPr>
                <w:rFonts w:hint="eastAsia"/>
                <w:color w:val="auto"/>
                <w:highlight w:val="none"/>
              </w:rPr>
              <w:t>5.4</w:t>
            </w:r>
            <w:r>
              <w:rPr>
                <w:rFonts w:hint="eastAsia"/>
                <w:color w:val="auto"/>
                <w:highlight w:val="none"/>
                <w:lang w:eastAsia="zh-CN"/>
              </w:rPr>
              <w:t>项目对照《废电池污染防治技术政策》（公告2016第82号）进行相符性分析详见下表</w:t>
            </w:r>
          </w:p>
          <w:p>
            <w:pPr>
              <w:pStyle w:val="23"/>
              <w:numPr>
                <w:ilvl w:val="0"/>
                <w:numId w:val="2"/>
              </w:numPr>
              <w:bidi w:val="0"/>
              <w:ind w:left="0" w:leftChars="0" w:firstLine="0" w:firstLineChars="0"/>
              <w:rPr>
                <w:color w:val="auto"/>
                <w:highlight w:val="none"/>
              </w:rPr>
            </w:pPr>
            <w:r>
              <w:rPr>
                <w:rFonts w:hint="eastAsia"/>
                <w:color w:val="auto"/>
                <w:highlight w:val="none"/>
              </w:rPr>
              <w:t xml:space="preserve">   </w:t>
            </w:r>
            <w:r>
              <w:rPr>
                <w:color w:val="auto"/>
                <w:highlight w:val="none"/>
              </w:rPr>
              <w:t>与</w:t>
            </w:r>
            <w:r>
              <w:rPr>
                <w:rFonts w:hint="eastAsia"/>
                <w:color w:val="auto"/>
                <w:highlight w:val="none"/>
              </w:rPr>
              <w:t>《废电池污染防治技术政策》（公告2016年第82号）</w:t>
            </w:r>
            <w:r>
              <w:rPr>
                <w:color w:val="auto"/>
                <w:highlight w:val="none"/>
              </w:rPr>
              <w:t>符合性分析</w:t>
            </w:r>
          </w:p>
          <w:tbl>
            <w:tblPr>
              <w:tblStyle w:val="15"/>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0"/>
              <w:gridCol w:w="2958"/>
              <w:gridCol w:w="2728"/>
              <w:gridCol w:w="7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tcBorders>
                    <w:tl2br w:val="nil"/>
                    <w:tr2bl w:val="nil"/>
                  </w:tcBorders>
                  <w:vAlign w:val="center"/>
                </w:tcPr>
                <w:p>
                  <w:pPr>
                    <w:pStyle w:val="25"/>
                    <w:rPr>
                      <w:rFonts w:hint="default"/>
                      <w:color w:val="auto"/>
                      <w:highlight w:val="none"/>
                    </w:rPr>
                  </w:pPr>
                  <w:r>
                    <w:rPr>
                      <w:color w:val="auto"/>
                      <w:highlight w:val="none"/>
                    </w:rPr>
                    <w:t>类别</w:t>
                  </w:r>
                </w:p>
              </w:tc>
              <w:tc>
                <w:tcPr>
                  <w:tcW w:w="2958" w:type="dxa"/>
                  <w:tcBorders>
                    <w:tl2br w:val="nil"/>
                    <w:tr2bl w:val="nil"/>
                  </w:tcBorders>
                  <w:vAlign w:val="center"/>
                </w:tcPr>
                <w:p>
                  <w:pPr>
                    <w:pStyle w:val="25"/>
                    <w:rPr>
                      <w:rFonts w:hint="default"/>
                      <w:color w:val="auto"/>
                      <w:highlight w:val="none"/>
                    </w:rPr>
                  </w:pPr>
                  <w:r>
                    <w:rPr>
                      <w:color w:val="auto"/>
                      <w:highlight w:val="none"/>
                    </w:rPr>
                    <w:t>分析内容</w:t>
                  </w:r>
                </w:p>
              </w:tc>
              <w:tc>
                <w:tcPr>
                  <w:tcW w:w="2728" w:type="dxa"/>
                  <w:tcBorders>
                    <w:tl2br w:val="nil"/>
                    <w:tr2bl w:val="nil"/>
                  </w:tcBorders>
                  <w:vAlign w:val="center"/>
                </w:tcPr>
                <w:p>
                  <w:pPr>
                    <w:pStyle w:val="25"/>
                    <w:rPr>
                      <w:rFonts w:hint="default"/>
                      <w:color w:val="auto"/>
                      <w:highlight w:val="none"/>
                    </w:rPr>
                  </w:pPr>
                  <w:r>
                    <w:rPr>
                      <w:color w:val="auto"/>
                      <w:highlight w:val="none"/>
                    </w:rPr>
                    <w:t>本项目情况</w:t>
                  </w:r>
                </w:p>
              </w:tc>
              <w:tc>
                <w:tcPr>
                  <w:tcW w:w="708"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tcBorders>
                    <w:tl2br w:val="nil"/>
                    <w:tr2bl w:val="nil"/>
                  </w:tcBorders>
                  <w:vAlign w:val="center"/>
                </w:tcPr>
                <w:p>
                  <w:pPr>
                    <w:pStyle w:val="22"/>
                    <w:rPr>
                      <w:color w:val="auto"/>
                      <w:highlight w:val="none"/>
                    </w:rPr>
                  </w:pPr>
                  <w:r>
                    <w:rPr>
                      <w:rFonts w:hint="eastAsia"/>
                      <w:color w:val="auto"/>
                      <w:highlight w:val="none"/>
                    </w:rPr>
                    <w:t>收集</w:t>
                  </w:r>
                </w:p>
              </w:tc>
              <w:tc>
                <w:tcPr>
                  <w:tcW w:w="2958" w:type="dxa"/>
                  <w:tcBorders>
                    <w:tl2br w:val="nil"/>
                    <w:tr2bl w:val="nil"/>
                  </w:tcBorders>
                  <w:vAlign w:val="center"/>
                </w:tcPr>
                <w:p>
                  <w:pPr>
                    <w:pStyle w:val="22"/>
                    <w:rPr>
                      <w:color w:val="auto"/>
                      <w:highlight w:val="none"/>
                    </w:rPr>
                  </w:pPr>
                  <w:r>
                    <w:rPr>
                      <w:rFonts w:hint="eastAsia"/>
                      <w:color w:val="auto"/>
                      <w:highlight w:val="none"/>
                    </w:rPr>
                    <w:t>（一）在具备资源化利用条件的地区</w:t>
                  </w:r>
                  <w:r>
                    <w:rPr>
                      <w:rFonts w:hint="eastAsia"/>
                      <w:color w:val="auto"/>
                      <w:highlight w:val="none"/>
                      <w:lang w:eastAsia="zh-CN"/>
                    </w:rPr>
                    <w:t>，</w:t>
                  </w:r>
                  <w:r>
                    <w:rPr>
                      <w:rFonts w:hint="eastAsia"/>
                      <w:color w:val="auto"/>
                      <w:highlight w:val="none"/>
                    </w:rPr>
                    <w:t>鼓励分类收集废原电池。</w:t>
                  </w:r>
                </w:p>
                <w:p>
                  <w:pPr>
                    <w:pStyle w:val="22"/>
                    <w:rPr>
                      <w:color w:val="auto"/>
                      <w:highlight w:val="none"/>
                    </w:rPr>
                  </w:pPr>
                  <w:r>
                    <w:rPr>
                      <w:rFonts w:hint="eastAsia"/>
                      <w:color w:val="auto"/>
                      <w:highlight w:val="none"/>
                    </w:rPr>
                    <w:t>（二）鼓励电池生产企业、废电池收集企业及利用企业等建设废电池收集体系。鼓励电池生产企业履行生产者延伸责任。</w:t>
                  </w:r>
                </w:p>
                <w:p>
                  <w:pPr>
                    <w:pStyle w:val="22"/>
                    <w:rPr>
                      <w:color w:val="auto"/>
                      <w:highlight w:val="none"/>
                    </w:rPr>
                  </w:pPr>
                  <w:r>
                    <w:rPr>
                      <w:rFonts w:hint="eastAsia"/>
                      <w:color w:val="auto"/>
                      <w:highlight w:val="none"/>
                    </w:rPr>
                    <w:t>（三）鼓励废电池收集企业应用“物联网+”等信息化技术建立废电池收集体系</w:t>
                  </w:r>
                  <w:r>
                    <w:rPr>
                      <w:rFonts w:hint="eastAsia"/>
                      <w:color w:val="auto"/>
                      <w:highlight w:val="none"/>
                      <w:lang w:eastAsia="zh-CN"/>
                    </w:rPr>
                    <w:t>，</w:t>
                  </w:r>
                  <w:r>
                    <w:rPr>
                      <w:rFonts w:hint="eastAsia"/>
                      <w:color w:val="auto"/>
                      <w:highlight w:val="none"/>
                    </w:rPr>
                    <w:t>并通过信息公开等手段促进废电池的高效回收。</w:t>
                  </w:r>
                </w:p>
                <w:p>
                  <w:pPr>
                    <w:pStyle w:val="22"/>
                    <w:rPr>
                      <w:color w:val="auto"/>
                      <w:highlight w:val="none"/>
                    </w:rPr>
                  </w:pPr>
                  <w:r>
                    <w:rPr>
                      <w:rFonts w:hint="eastAsia"/>
                      <w:color w:val="auto"/>
                      <w:highlight w:val="none"/>
                    </w:rPr>
                    <w:t>（四）废电池收集企业应设立具有显著标识的废电池分类收集设施。鼓励消费者将废电池送到相应的废电池收集网点装置中。</w:t>
                  </w:r>
                </w:p>
                <w:p>
                  <w:pPr>
                    <w:pStyle w:val="22"/>
                    <w:rPr>
                      <w:color w:val="auto"/>
                      <w:highlight w:val="none"/>
                    </w:rPr>
                  </w:pPr>
                  <w:r>
                    <w:rPr>
                      <w:rFonts w:hint="eastAsia"/>
                      <w:color w:val="auto"/>
                      <w:highlight w:val="none"/>
                    </w:rPr>
                    <w:t>（五）收集过程中应保持废电池的结构和外形完整</w:t>
                  </w:r>
                  <w:r>
                    <w:rPr>
                      <w:rFonts w:hint="eastAsia"/>
                      <w:color w:val="auto"/>
                      <w:highlight w:val="none"/>
                      <w:lang w:eastAsia="zh-CN"/>
                    </w:rPr>
                    <w:t>，</w:t>
                  </w:r>
                  <w:r>
                    <w:rPr>
                      <w:rFonts w:hint="eastAsia"/>
                      <w:color w:val="auto"/>
                      <w:highlight w:val="none"/>
                    </w:rPr>
                    <w:t>严禁私自破损废电池</w:t>
                  </w:r>
                  <w:r>
                    <w:rPr>
                      <w:rFonts w:hint="eastAsia"/>
                      <w:color w:val="auto"/>
                      <w:highlight w:val="none"/>
                      <w:lang w:eastAsia="zh-CN"/>
                    </w:rPr>
                    <w:t>，</w:t>
                  </w:r>
                  <w:r>
                    <w:rPr>
                      <w:rFonts w:hint="eastAsia"/>
                      <w:color w:val="auto"/>
                      <w:highlight w:val="none"/>
                    </w:rPr>
                    <w:t>已破损的废电池应单独存放</w:t>
                  </w:r>
                </w:p>
              </w:tc>
              <w:tc>
                <w:tcPr>
                  <w:tcW w:w="2728" w:type="dxa"/>
                  <w:tcBorders>
                    <w:tl2br w:val="nil"/>
                    <w:tr2bl w:val="nil"/>
                  </w:tcBorders>
                  <w:vAlign w:val="center"/>
                </w:tcPr>
                <w:p>
                  <w:pPr>
                    <w:pStyle w:val="22"/>
                    <w:rPr>
                      <w:color w:val="auto"/>
                      <w:highlight w:val="none"/>
                    </w:rPr>
                  </w:pPr>
                  <w:r>
                    <w:rPr>
                      <w:rFonts w:hint="eastAsia"/>
                      <w:color w:val="auto"/>
                      <w:highlight w:val="none"/>
                      <w:lang w:val="en-US" w:eastAsia="zh-CN"/>
                    </w:rPr>
                    <w:t>项目涉及废铅蓄电池活动主要为收集贮存废铅蓄电池</w:t>
                  </w:r>
                  <w:r>
                    <w:rPr>
                      <w:rFonts w:hint="eastAsia"/>
                      <w:color w:val="auto"/>
                      <w:highlight w:val="none"/>
                      <w:lang w:eastAsia="zh-CN"/>
                    </w:rPr>
                    <w:t>，</w:t>
                  </w:r>
                  <w:r>
                    <w:rPr>
                      <w:rFonts w:hint="eastAsia"/>
                      <w:color w:val="auto"/>
                      <w:highlight w:val="none"/>
                    </w:rPr>
                    <w:t>配备信息化设备。本项目为</w:t>
                  </w:r>
                  <w:r>
                    <w:rPr>
                      <w:rFonts w:hint="eastAsia"/>
                      <w:color w:val="auto"/>
                      <w:highlight w:val="none"/>
                      <w:lang w:eastAsia="zh-CN"/>
                    </w:rPr>
                    <w:t>废铅蓄电池</w:t>
                  </w:r>
                  <w:r>
                    <w:rPr>
                      <w:rFonts w:hint="eastAsia"/>
                      <w:color w:val="auto"/>
                      <w:highlight w:val="none"/>
                    </w:rPr>
                    <w:t>分类收集设施设立显著标识。</w:t>
                  </w:r>
                  <w:r>
                    <w:rPr>
                      <w:rFonts w:hint="eastAsia"/>
                      <w:color w:val="auto"/>
                      <w:highlight w:val="none"/>
                      <w:lang w:eastAsia="zh-CN"/>
                    </w:rPr>
                    <w:t>项目收集</w:t>
                  </w:r>
                  <w:r>
                    <w:rPr>
                      <w:rFonts w:hint="eastAsia"/>
                      <w:color w:val="auto"/>
                      <w:highlight w:val="none"/>
                    </w:rPr>
                    <w:t>检查</w:t>
                  </w:r>
                  <w:r>
                    <w:rPr>
                      <w:rFonts w:hint="eastAsia"/>
                      <w:color w:val="auto"/>
                      <w:highlight w:val="none"/>
                      <w:lang w:eastAsia="zh-CN"/>
                    </w:rPr>
                    <w:t>过程中</w:t>
                  </w:r>
                  <w:r>
                    <w:rPr>
                      <w:rFonts w:hint="eastAsia"/>
                      <w:color w:val="auto"/>
                      <w:highlight w:val="none"/>
                    </w:rPr>
                    <w:t>发现已破损的</w:t>
                  </w:r>
                  <w:r>
                    <w:rPr>
                      <w:rFonts w:hint="eastAsia"/>
                      <w:color w:val="auto"/>
                      <w:highlight w:val="none"/>
                      <w:lang w:eastAsia="zh-CN"/>
                    </w:rPr>
                    <w:t>废铅蓄电池采用覆膜缠绕密封置于耐酸、耐腐蚀的带盖塑料(PE)箱内</w:t>
                  </w:r>
                  <w:r>
                    <w:rPr>
                      <w:rFonts w:hint="eastAsia"/>
                      <w:color w:val="auto"/>
                      <w:highlight w:val="none"/>
                    </w:rPr>
                    <w:t>进行单独存放</w:t>
                  </w:r>
                </w:p>
              </w:tc>
              <w:tc>
                <w:tcPr>
                  <w:tcW w:w="708"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tcBorders>
                    <w:tl2br w:val="nil"/>
                    <w:tr2bl w:val="nil"/>
                  </w:tcBorders>
                  <w:vAlign w:val="center"/>
                </w:tcPr>
                <w:p>
                  <w:pPr>
                    <w:pStyle w:val="22"/>
                    <w:rPr>
                      <w:color w:val="auto"/>
                      <w:highlight w:val="none"/>
                    </w:rPr>
                  </w:pPr>
                  <w:r>
                    <w:rPr>
                      <w:rFonts w:hint="eastAsia"/>
                      <w:color w:val="auto"/>
                      <w:highlight w:val="none"/>
                    </w:rPr>
                    <w:t>运输</w:t>
                  </w:r>
                </w:p>
              </w:tc>
              <w:tc>
                <w:tcPr>
                  <w:tcW w:w="2958" w:type="dxa"/>
                  <w:tcBorders>
                    <w:tl2br w:val="nil"/>
                    <w:tr2bl w:val="nil"/>
                  </w:tcBorders>
                  <w:vAlign w:val="center"/>
                </w:tcPr>
                <w:p>
                  <w:pPr>
                    <w:pStyle w:val="22"/>
                    <w:rPr>
                      <w:color w:val="auto"/>
                      <w:highlight w:val="none"/>
                    </w:rPr>
                  </w:pPr>
                  <w:r>
                    <w:rPr>
                      <w:rFonts w:hint="eastAsia"/>
                      <w:color w:val="auto"/>
                      <w:highlight w:val="none"/>
                    </w:rPr>
                    <w:t>（一）废电池应采取有效的包装措施</w:t>
                  </w:r>
                  <w:r>
                    <w:rPr>
                      <w:rFonts w:hint="eastAsia"/>
                      <w:color w:val="auto"/>
                      <w:highlight w:val="none"/>
                      <w:lang w:eastAsia="zh-CN"/>
                    </w:rPr>
                    <w:t>，</w:t>
                  </w:r>
                  <w:r>
                    <w:rPr>
                      <w:rFonts w:hint="eastAsia"/>
                      <w:color w:val="auto"/>
                      <w:highlight w:val="none"/>
                    </w:rPr>
                    <w:t>防止运输过程中有毒有害物质泄漏造成污染。</w:t>
                  </w:r>
                </w:p>
                <w:p>
                  <w:pPr>
                    <w:pStyle w:val="22"/>
                    <w:rPr>
                      <w:color w:val="auto"/>
                      <w:highlight w:val="none"/>
                    </w:rPr>
                  </w:pPr>
                  <w:r>
                    <w:rPr>
                      <w:rFonts w:hint="eastAsia"/>
                      <w:color w:val="auto"/>
                      <w:highlight w:val="none"/>
                    </w:rPr>
                    <w:t>（二）废锂离子电池运输前应采取预放电、独立包装等措施</w:t>
                  </w:r>
                  <w:r>
                    <w:rPr>
                      <w:rFonts w:hint="eastAsia"/>
                      <w:color w:val="auto"/>
                      <w:highlight w:val="none"/>
                      <w:lang w:eastAsia="zh-CN"/>
                    </w:rPr>
                    <w:t>，</w:t>
                  </w:r>
                  <w:r>
                    <w:rPr>
                      <w:rFonts w:hint="eastAsia"/>
                      <w:color w:val="auto"/>
                      <w:highlight w:val="none"/>
                    </w:rPr>
                    <w:t>防止因撞击或短路发生爆炸等引起的环境风险。</w:t>
                  </w:r>
                </w:p>
                <w:p>
                  <w:pPr>
                    <w:pStyle w:val="22"/>
                    <w:rPr>
                      <w:color w:val="auto"/>
                      <w:highlight w:val="none"/>
                    </w:rPr>
                  </w:pPr>
                  <w:r>
                    <w:rPr>
                      <w:rFonts w:hint="eastAsia"/>
                      <w:color w:val="auto"/>
                      <w:highlight w:val="none"/>
                    </w:rPr>
                    <w:t>（三）禁止在运输过程中擅自倾倒和丢弃废电池</w:t>
                  </w:r>
                </w:p>
              </w:tc>
              <w:tc>
                <w:tcPr>
                  <w:tcW w:w="2728" w:type="dxa"/>
                  <w:tcBorders>
                    <w:tl2br w:val="nil"/>
                    <w:tr2bl w:val="nil"/>
                  </w:tcBorders>
                  <w:vAlign w:val="center"/>
                </w:tcPr>
                <w:p>
                  <w:pPr>
                    <w:pStyle w:val="22"/>
                    <w:rPr>
                      <w:color w:val="auto"/>
                      <w:highlight w:val="none"/>
                    </w:rPr>
                  </w:pPr>
                  <w:r>
                    <w:rPr>
                      <w:rFonts w:hint="eastAsia"/>
                      <w:color w:val="auto"/>
                      <w:highlight w:val="none"/>
                    </w:rPr>
                    <w:t>本项目运输过程采用有效的包装物进行包装；运输途中不得擅自倾倒和丢弃废电池</w:t>
                  </w:r>
                </w:p>
              </w:tc>
              <w:tc>
                <w:tcPr>
                  <w:tcW w:w="708" w:type="dxa"/>
                  <w:tcBorders>
                    <w:tl2br w:val="nil"/>
                    <w:tr2bl w:val="nil"/>
                  </w:tcBorders>
                  <w:vAlign w:val="center"/>
                </w:tcPr>
                <w:p>
                  <w:pPr>
                    <w:pStyle w:val="22"/>
                    <w:rPr>
                      <w:color w:val="auto"/>
                      <w:highlight w:val="none"/>
                    </w:rPr>
                  </w:pPr>
                  <w:r>
                    <w:rPr>
                      <w:rFonts w:hint="eastAsia"/>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40" w:type="dxa"/>
                  <w:tcBorders>
                    <w:tl2br w:val="nil"/>
                    <w:tr2bl w:val="nil"/>
                  </w:tcBorders>
                  <w:vAlign w:val="center"/>
                </w:tcPr>
                <w:p>
                  <w:pPr>
                    <w:pStyle w:val="22"/>
                    <w:rPr>
                      <w:color w:val="auto"/>
                      <w:highlight w:val="none"/>
                    </w:rPr>
                  </w:pPr>
                  <w:r>
                    <w:rPr>
                      <w:rFonts w:hint="eastAsia"/>
                      <w:color w:val="auto"/>
                      <w:highlight w:val="none"/>
                    </w:rPr>
                    <w:t>贮存</w:t>
                  </w:r>
                </w:p>
              </w:tc>
              <w:tc>
                <w:tcPr>
                  <w:tcW w:w="2958" w:type="dxa"/>
                  <w:tcBorders>
                    <w:tl2br w:val="nil"/>
                    <w:tr2bl w:val="nil"/>
                  </w:tcBorders>
                  <w:vAlign w:val="center"/>
                </w:tcPr>
                <w:p>
                  <w:pPr>
                    <w:pStyle w:val="22"/>
                    <w:rPr>
                      <w:color w:val="auto"/>
                      <w:highlight w:val="none"/>
                    </w:rPr>
                  </w:pPr>
                  <w:r>
                    <w:rPr>
                      <w:rFonts w:hint="eastAsia"/>
                      <w:color w:val="auto"/>
                      <w:highlight w:val="none"/>
                    </w:rPr>
                    <w:t>（一）废电池应分类贮存</w:t>
                  </w:r>
                  <w:r>
                    <w:rPr>
                      <w:rFonts w:hint="eastAsia"/>
                      <w:color w:val="auto"/>
                      <w:highlight w:val="none"/>
                      <w:lang w:eastAsia="zh-CN"/>
                    </w:rPr>
                    <w:t>，</w:t>
                  </w:r>
                  <w:r>
                    <w:rPr>
                      <w:rFonts w:hint="eastAsia"/>
                      <w:color w:val="auto"/>
                      <w:highlight w:val="none"/>
                    </w:rPr>
                    <w:t>禁止露天堆放。破损的废电池应单独贮存。贮存场所应定期清理、清运。</w:t>
                  </w:r>
                </w:p>
                <w:p>
                  <w:pPr>
                    <w:pStyle w:val="22"/>
                    <w:rPr>
                      <w:color w:val="auto"/>
                      <w:highlight w:val="none"/>
                    </w:rPr>
                  </w:pPr>
                  <w:r>
                    <w:rPr>
                      <w:rFonts w:hint="eastAsia"/>
                      <w:color w:val="auto"/>
                      <w:highlight w:val="none"/>
                    </w:rPr>
                    <w:t>（二）</w:t>
                  </w:r>
                  <w:r>
                    <w:rPr>
                      <w:rFonts w:hint="eastAsia"/>
                      <w:color w:val="auto"/>
                      <w:highlight w:val="none"/>
                      <w:lang w:eastAsia="zh-CN"/>
                    </w:rPr>
                    <w:t>废铅蓄电池</w:t>
                  </w:r>
                  <w:r>
                    <w:rPr>
                      <w:rFonts w:hint="eastAsia"/>
                      <w:color w:val="auto"/>
                      <w:highlight w:val="none"/>
                    </w:rPr>
                    <w:t>的贮存场所应防止电解液泄漏。</w:t>
                  </w:r>
                  <w:r>
                    <w:rPr>
                      <w:rFonts w:hint="eastAsia"/>
                      <w:color w:val="auto"/>
                      <w:highlight w:val="none"/>
                      <w:lang w:eastAsia="zh-CN"/>
                    </w:rPr>
                    <w:t>废铅蓄电池</w:t>
                  </w:r>
                  <w:r>
                    <w:rPr>
                      <w:rFonts w:hint="eastAsia"/>
                      <w:color w:val="auto"/>
                      <w:highlight w:val="none"/>
                    </w:rPr>
                    <w:t>的贮存应避免遭受雨淋水浸。</w:t>
                  </w:r>
                </w:p>
                <w:p>
                  <w:pPr>
                    <w:pStyle w:val="22"/>
                    <w:rPr>
                      <w:color w:val="auto"/>
                      <w:highlight w:val="none"/>
                    </w:rPr>
                  </w:pPr>
                  <w:r>
                    <w:rPr>
                      <w:rFonts w:hint="eastAsia"/>
                      <w:color w:val="auto"/>
                      <w:highlight w:val="none"/>
                    </w:rPr>
                    <w:t>（三）废锂离子电池贮存前应进行安全性检测</w:t>
                  </w:r>
                  <w:r>
                    <w:rPr>
                      <w:rFonts w:hint="eastAsia"/>
                      <w:color w:val="auto"/>
                      <w:highlight w:val="none"/>
                      <w:lang w:eastAsia="zh-CN"/>
                    </w:rPr>
                    <w:t>，</w:t>
                  </w:r>
                  <w:r>
                    <w:rPr>
                      <w:rFonts w:hint="eastAsia"/>
                      <w:color w:val="auto"/>
                      <w:highlight w:val="none"/>
                    </w:rPr>
                    <w:t>避光贮存</w:t>
                  </w:r>
                  <w:r>
                    <w:rPr>
                      <w:rFonts w:hint="eastAsia"/>
                      <w:color w:val="auto"/>
                      <w:highlight w:val="none"/>
                      <w:lang w:eastAsia="zh-CN"/>
                    </w:rPr>
                    <w:t>，</w:t>
                  </w:r>
                  <w:r>
                    <w:rPr>
                      <w:rFonts w:hint="eastAsia"/>
                      <w:color w:val="auto"/>
                      <w:highlight w:val="none"/>
                    </w:rPr>
                    <w:t>应控制贮存场所的环境温度</w:t>
                  </w:r>
                  <w:r>
                    <w:rPr>
                      <w:rFonts w:hint="eastAsia"/>
                      <w:color w:val="auto"/>
                      <w:highlight w:val="none"/>
                      <w:lang w:eastAsia="zh-CN"/>
                    </w:rPr>
                    <w:t>，</w:t>
                  </w:r>
                  <w:r>
                    <w:rPr>
                      <w:rFonts w:hint="eastAsia"/>
                      <w:color w:val="auto"/>
                      <w:highlight w:val="none"/>
                    </w:rPr>
                    <w:t>避免因高温自燃等引起的环境风险</w:t>
                  </w:r>
                </w:p>
              </w:tc>
              <w:tc>
                <w:tcPr>
                  <w:tcW w:w="2728" w:type="dxa"/>
                  <w:tcBorders>
                    <w:tl2br w:val="nil"/>
                    <w:tr2bl w:val="nil"/>
                  </w:tcBorders>
                  <w:vAlign w:val="center"/>
                </w:tcPr>
                <w:p>
                  <w:pPr>
                    <w:pStyle w:val="22"/>
                    <w:rPr>
                      <w:color w:val="auto"/>
                      <w:highlight w:val="none"/>
                    </w:rPr>
                  </w:pPr>
                  <w:r>
                    <w:rPr>
                      <w:rFonts w:hint="eastAsia"/>
                      <w:color w:val="auto"/>
                      <w:highlight w:val="none"/>
                      <w:lang w:eastAsia="zh-CN"/>
                    </w:rPr>
                    <w:t>本项目在危险废物贮存点贮存废铅蓄电池，</w:t>
                  </w:r>
                  <w:r>
                    <w:rPr>
                      <w:rFonts w:hint="eastAsia"/>
                      <w:color w:val="auto"/>
                      <w:highlight w:val="none"/>
                    </w:rPr>
                    <w:t>本项目储存区域贴有醒目的</w:t>
                  </w:r>
                  <w:r>
                    <w:rPr>
                      <w:rFonts w:hint="eastAsia"/>
                      <w:color w:val="auto"/>
                      <w:highlight w:val="none"/>
                      <w:lang w:eastAsia="zh-CN"/>
                    </w:rPr>
                    <w:t>废铅蓄电池</w:t>
                  </w:r>
                  <w:r>
                    <w:rPr>
                      <w:rFonts w:hint="eastAsia"/>
                      <w:color w:val="auto"/>
                      <w:highlight w:val="none"/>
                    </w:rPr>
                    <w:t>标识；对于破损及未破损区域进行分区存放；储存区为厂房内部</w:t>
                  </w:r>
                  <w:r>
                    <w:rPr>
                      <w:rFonts w:hint="eastAsia"/>
                      <w:color w:val="auto"/>
                      <w:highlight w:val="none"/>
                      <w:lang w:eastAsia="zh-CN"/>
                    </w:rPr>
                    <w:t>，</w:t>
                  </w:r>
                  <w:r>
                    <w:rPr>
                      <w:rFonts w:hint="eastAsia"/>
                      <w:color w:val="auto"/>
                      <w:highlight w:val="none"/>
                    </w:rPr>
                    <w:t>四周设置截流槽、导流渠</w:t>
                  </w:r>
                  <w:r>
                    <w:rPr>
                      <w:rFonts w:hint="eastAsia"/>
                      <w:color w:val="auto"/>
                      <w:highlight w:val="none"/>
                      <w:lang w:eastAsia="zh-CN"/>
                    </w:rPr>
                    <w:t>，</w:t>
                  </w:r>
                  <w:r>
                    <w:rPr>
                      <w:rFonts w:hint="eastAsia"/>
                      <w:color w:val="auto"/>
                      <w:highlight w:val="none"/>
                    </w:rPr>
                    <w:t>并与</w:t>
                  </w:r>
                  <w:r>
                    <w:rPr>
                      <w:rFonts w:hint="eastAsia"/>
                      <w:color w:val="auto"/>
                      <w:highlight w:val="none"/>
                      <w:lang w:eastAsia="zh-CN"/>
                    </w:rPr>
                    <w:t>集液池</w:t>
                  </w:r>
                  <w:r>
                    <w:rPr>
                      <w:rFonts w:hint="eastAsia"/>
                      <w:color w:val="auto"/>
                      <w:highlight w:val="none"/>
                    </w:rPr>
                    <w:t>相连接</w:t>
                  </w:r>
                </w:p>
              </w:tc>
              <w:tc>
                <w:tcPr>
                  <w:tcW w:w="708" w:type="dxa"/>
                  <w:tcBorders>
                    <w:tl2br w:val="nil"/>
                    <w:tr2bl w:val="nil"/>
                  </w:tcBorders>
                  <w:vAlign w:val="center"/>
                </w:tcPr>
                <w:p>
                  <w:pPr>
                    <w:pStyle w:val="22"/>
                    <w:rPr>
                      <w:color w:val="auto"/>
                      <w:highlight w:val="none"/>
                    </w:rPr>
                  </w:pPr>
                  <w:r>
                    <w:rPr>
                      <w:rFonts w:hint="eastAsia"/>
                      <w:color w:val="auto"/>
                      <w:highlight w:val="none"/>
                    </w:rPr>
                    <w:t>符合</w:t>
                  </w:r>
                </w:p>
              </w:tc>
            </w:tr>
          </w:tbl>
          <w:p>
            <w:pPr>
              <w:pStyle w:val="12"/>
              <w:ind w:firstLine="480"/>
              <w:rPr>
                <w:color w:val="auto"/>
                <w:highlight w:val="none"/>
              </w:rPr>
            </w:pPr>
            <w:r>
              <w:rPr>
                <w:rFonts w:hint="eastAsia"/>
                <w:color w:val="auto"/>
                <w:highlight w:val="none"/>
              </w:rPr>
              <w:t>本项目与《废电池污染防治技术政策》（公告2016第82号）中相关内容符合。</w:t>
            </w:r>
          </w:p>
          <w:p>
            <w:pPr>
              <w:pStyle w:val="12"/>
              <w:ind w:firstLine="480"/>
              <w:rPr>
                <w:rFonts w:hint="eastAsia"/>
                <w:color w:val="auto"/>
                <w:highlight w:val="none"/>
                <w:lang w:eastAsia="zh-CN"/>
              </w:rPr>
            </w:pPr>
            <w:r>
              <w:rPr>
                <w:rFonts w:hint="eastAsia"/>
                <w:color w:val="auto"/>
                <w:highlight w:val="none"/>
                <w:lang w:val="en-US" w:eastAsia="zh-CN"/>
              </w:rPr>
              <w:t>5.6</w:t>
            </w:r>
            <w:r>
              <w:rPr>
                <w:rFonts w:hint="eastAsia"/>
                <w:color w:val="auto"/>
                <w:highlight w:val="none"/>
                <w:lang w:eastAsia="zh-CN"/>
              </w:rPr>
              <w:t>项目对照《废铅蓄电池污染防治行动方案》（环办固体[2019]3号）进行相符性分析详见下表</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lang w:val="en-US" w:eastAsia="zh-CN"/>
              </w:rPr>
              <w:t xml:space="preserve"> </w:t>
            </w:r>
            <w:r>
              <w:rPr>
                <w:rFonts w:hint="eastAsia"/>
                <w:color w:val="auto"/>
                <w:highlight w:val="none"/>
              </w:rPr>
              <w:t xml:space="preserve">  </w:t>
            </w:r>
            <w:r>
              <w:rPr>
                <w:color w:val="auto"/>
                <w:highlight w:val="none"/>
              </w:rPr>
              <w:t>与</w:t>
            </w:r>
            <w:r>
              <w:rPr>
                <w:rFonts w:hint="eastAsia"/>
                <w:color w:val="auto"/>
                <w:highlight w:val="none"/>
              </w:rPr>
              <w:t>《</w:t>
            </w:r>
            <w:r>
              <w:rPr>
                <w:rFonts w:hint="eastAsia"/>
                <w:color w:val="auto"/>
                <w:highlight w:val="none"/>
                <w:lang w:eastAsia="zh-CN"/>
              </w:rPr>
              <w:t>废铅蓄电池</w:t>
            </w:r>
            <w:r>
              <w:rPr>
                <w:rFonts w:hint="eastAsia"/>
                <w:color w:val="auto"/>
                <w:highlight w:val="none"/>
              </w:rPr>
              <w:t>污染防治行动方案》（环办固体[2019]3 号）</w:t>
            </w:r>
            <w:r>
              <w:rPr>
                <w:color w:val="auto"/>
                <w:highlight w:val="none"/>
              </w:rPr>
              <w:t>符合性分析</w:t>
            </w:r>
          </w:p>
          <w:tbl>
            <w:tblPr>
              <w:tblStyle w:val="15"/>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9"/>
              <w:gridCol w:w="2969"/>
              <w:gridCol w:w="2729"/>
              <w:gridCol w:w="7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29" w:type="dxa"/>
                  <w:tcBorders>
                    <w:tl2br w:val="nil"/>
                    <w:tr2bl w:val="nil"/>
                  </w:tcBorders>
                  <w:vAlign w:val="center"/>
                </w:tcPr>
                <w:p>
                  <w:pPr>
                    <w:pStyle w:val="25"/>
                    <w:rPr>
                      <w:rFonts w:hint="default"/>
                      <w:color w:val="auto"/>
                      <w:highlight w:val="none"/>
                    </w:rPr>
                  </w:pPr>
                  <w:r>
                    <w:rPr>
                      <w:color w:val="auto"/>
                      <w:highlight w:val="none"/>
                    </w:rPr>
                    <w:t>序号</w:t>
                  </w:r>
                </w:p>
              </w:tc>
              <w:tc>
                <w:tcPr>
                  <w:tcW w:w="2969" w:type="dxa"/>
                  <w:tcBorders>
                    <w:tl2br w:val="nil"/>
                    <w:tr2bl w:val="nil"/>
                  </w:tcBorders>
                  <w:vAlign w:val="center"/>
                </w:tcPr>
                <w:p>
                  <w:pPr>
                    <w:pStyle w:val="25"/>
                    <w:rPr>
                      <w:rFonts w:hint="default"/>
                      <w:color w:val="auto"/>
                      <w:highlight w:val="none"/>
                    </w:rPr>
                  </w:pPr>
                  <w:r>
                    <w:rPr>
                      <w:color w:val="auto"/>
                      <w:highlight w:val="none"/>
                    </w:rPr>
                    <w:t>分析内容</w:t>
                  </w:r>
                </w:p>
              </w:tc>
              <w:tc>
                <w:tcPr>
                  <w:tcW w:w="2729" w:type="dxa"/>
                  <w:tcBorders>
                    <w:tl2br w:val="nil"/>
                    <w:tr2bl w:val="nil"/>
                  </w:tcBorders>
                  <w:vAlign w:val="center"/>
                </w:tcPr>
                <w:p>
                  <w:pPr>
                    <w:pStyle w:val="25"/>
                    <w:rPr>
                      <w:rFonts w:hint="default"/>
                      <w:color w:val="auto"/>
                      <w:highlight w:val="none"/>
                    </w:rPr>
                  </w:pPr>
                  <w:r>
                    <w:rPr>
                      <w:color w:val="auto"/>
                      <w:highlight w:val="none"/>
                    </w:rPr>
                    <w:t>本项目情况</w:t>
                  </w:r>
                </w:p>
              </w:tc>
              <w:tc>
                <w:tcPr>
                  <w:tcW w:w="707"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29" w:type="dxa"/>
                  <w:tcBorders>
                    <w:tl2br w:val="nil"/>
                    <w:tr2bl w:val="nil"/>
                  </w:tcBorders>
                  <w:vAlign w:val="center"/>
                </w:tcPr>
                <w:p>
                  <w:pPr>
                    <w:pStyle w:val="22"/>
                    <w:rPr>
                      <w:bCs/>
                      <w:color w:val="auto"/>
                      <w:highlight w:val="none"/>
                    </w:rPr>
                  </w:pPr>
                  <w:r>
                    <w:rPr>
                      <w:rFonts w:hint="eastAsia"/>
                      <w:bCs/>
                      <w:color w:val="auto"/>
                      <w:highlight w:val="none"/>
                    </w:rPr>
                    <w:t>1</w:t>
                  </w:r>
                </w:p>
              </w:tc>
              <w:tc>
                <w:tcPr>
                  <w:tcW w:w="2969" w:type="dxa"/>
                  <w:tcBorders>
                    <w:tl2br w:val="nil"/>
                    <w:tr2bl w:val="nil"/>
                  </w:tcBorders>
                  <w:vAlign w:val="center"/>
                </w:tcPr>
                <w:p>
                  <w:pPr>
                    <w:pStyle w:val="22"/>
                    <w:rPr>
                      <w:bCs/>
                      <w:color w:val="auto"/>
                      <w:highlight w:val="none"/>
                    </w:rPr>
                  </w:pPr>
                  <w:r>
                    <w:rPr>
                      <w:rFonts w:hint="eastAsia"/>
                      <w:bCs/>
                      <w:color w:val="auto"/>
                      <w:highlight w:val="none"/>
                    </w:rPr>
                    <w:t>开展</w:t>
                  </w:r>
                  <w:r>
                    <w:rPr>
                      <w:rFonts w:hint="eastAsia"/>
                      <w:bCs/>
                      <w:color w:val="auto"/>
                      <w:highlight w:val="none"/>
                      <w:lang w:eastAsia="zh-CN"/>
                    </w:rPr>
                    <w:t>废铅蓄电池</w:t>
                  </w:r>
                  <w:r>
                    <w:rPr>
                      <w:rFonts w:hint="eastAsia"/>
                      <w:bCs/>
                      <w:color w:val="auto"/>
                      <w:highlight w:val="none"/>
                    </w:rPr>
                    <w:t>集中收集和跨区域转运制度试点。为探索完善</w:t>
                  </w:r>
                  <w:r>
                    <w:rPr>
                      <w:rFonts w:hint="eastAsia"/>
                      <w:bCs/>
                      <w:color w:val="auto"/>
                      <w:highlight w:val="none"/>
                      <w:lang w:eastAsia="zh-CN"/>
                    </w:rPr>
                    <w:t>废铅蓄电池</w:t>
                  </w:r>
                  <w:r>
                    <w:rPr>
                      <w:rFonts w:hint="eastAsia"/>
                      <w:bCs/>
                      <w:color w:val="auto"/>
                      <w:highlight w:val="none"/>
                    </w:rPr>
                    <w:t>收集、转移管理制度</w:t>
                  </w:r>
                  <w:r>
                    <w:rPr>
                      <w:rFonts w:hint="eastAsia"/>
                      <w:bCs/>
                      <w:color w:val="auto"/>
                      <w:highlight w:val="none"/>
                      <w:lang w:eastAsia="zh-CN"/>
                    </w:rPr>
                    <w:t>，</w:t>
                  </w:r>
                  <w:r>
                    <w:rPr>
                      <w:rFonts w:hint="eastAsia"/>
                      <w:bCs/>
                      <w:color w:val="auto"/>
                      <w:highlight w:val="none"/>
                    </w:rPr>
                    <w:t>选择有条件的地区</w:t>
                  </w:r>
                  <w:r>
                    <w:rPr>
                      <w:rFonts w:hint="eastAsia"/>
                      <w:bCs/>
                      <w:color w:val="auto"/>
                      <w:highlight w:val="none"/>
                      <w:lang w:eastAsia="zh-CN"/>
                    </w:rPr>
                    <w:t>，</w:t>
                  </w:r>
                  <w:r>
                    <w:rPr>
                      <w:rFonts w:hint="eastAsia"/>
                      <w:bCs/>
                      <w:color w:val="auto"/>
                      <w:highlight w:val="none"/>
                    </w:rPr>
                    <w:t>开展</w:t>
                  </w:r>
                  <w:r>
                    <w:rPr>
                      <w:rFonts w:hint="eastAsia"/>
                      <w:bCs/>
                      <w:color w:val="auto"/>
                      <w:highlight w:val="none"/>
                      <w:lang w:eastAsia="zh-CN"/>
                    </w:rPr>
                    <w:t>废铅蓄电池</w:t>
                  </w:r>
                  <w:r>
                    <w:rPr>
                      <w:rFonts w:hint="eastAsia"/>
                      <w:bCs/>
                      <w:color w:val="auto"/>
                      <w:highlight w:val="none"/>
                    </w:rPr>
                    <w:t>集中收集和跨区域转运制度试点</w:t>
                  </w:r>
                  <w:r>
                    <w:rPr>
                      <w:rFonts w:hint="eastAsia"/>
                      <w:bCs/>
                      <w:color w:val="auto"/>
                      <w:highlight w:val="none"/>
                      <w:lang w:eastAsia="zh-CN"/>
                    </w:rPr>
                    <w:t>，</w:t>
                  </w:r>
                  <w:r>
                    <w:rPr>
                      <w:rFonts w:hint="eastAsia"/>
                      <w:bCs/>
                      <w:color w:val="auto"/>
                      <w:highlight w:val="none"/>
                    </w:rPr>
                    <w:t>对未破损的密封式免维护</w:t>
                  </w:r>
                  <w:r>
                    <w:rPr>
                      <w:rFonts w:hint="eastAsia"/>
                      <w:bCs/>
                      <w:color w:val="auto"/>
                      <w:highlight w:val="none"/>
                      <w:lang w:eastAsia="zh-CN"/>
                    </w:rPr>
                    <w:t>废铅蓄电池</w:t>
                  </w:r>
                  <w:r>
                    <w:rPr>
                      <w:rFonts w:hint="eastAsia"/>
                      <w:bCs/>
                      <w:color w:val="auto"/>
                      <w:highlight w:val="none"/>
                    </w:rPr>
                    <w:t>在收集、贮存、转移等环节有条件豁免或简化管理要求</w:t>
                  </w:r>
                  <w:r>
                    <w:rPr>
                      <w:rFonts w:hint="eastAsia"/>
                      <w:bCs/>
                      <w:color w:val="auto"/>
                      <w:highlight w:val="none"/>
                      <w:lang w:eastAsia="zh-CN"/>
                    </w:rPr>
                    <w:t>，</w:t>
                  </w:r>
                  <w:r>
                    <w:rPr>
                      <w:rFonts w:hint="eastAsia"/>
                      <w:bCs/>
                      <w:color w:val="auto"/>
                      <w:highlight w:val="none"/>
                    </w:rPr>
                    <w:t>降低成本</w:t>
                  </w:r>
                  <w:r>
                    <w:rPr>
                      <w:rFonts w:hint="eastAsia"/>
                      <w:bCs/>
                      <w:color w:val="auto"/>
                      <w:highlight w:val="none"/>
                      <w:lang w:eastAsia="zh-CN"/>
                    </w:rPr>
                    <w:t>，</w:t>
                  </w:r>
                  <w:r>
                    <w:rPr>
                      <w:rFonts w:hint="eastAsia"/>
                      <w:bCs/>
                      <w:color w:val="auto"/>
                      <w:highlight w:val="none"/>
                    </w:rPr>
                    <w:t>提高效率</w:t>
                  </w:r>
                  <w:r>
                    <w:rPr>
                      <w:rFonts w:hint="eastAsia"/>
                      <w:bCs/>
                      <w:color w:val="auto"/>
                      <w:highlight w:val="none"/>
                      <w:lang w:eastAsia="zh-CN"/>
                    </w:rPr>
                    <w:t>，</w:t>
                  </w:r>
                  <w:r>
                    <w:rPr>
                      <w:rFonts w:hint="eastAsia"/>
                      <w:bCs/>
                      <w:color w:val="auto"/>
                      <w:highlight w:val="none"/>
                    </w:rPr>
                    <w:t>推动建立规范有序的收集处理体系</w:t>
                  </w:r>
                </w:p>
              </w:tc>
              <w:tc>
                <w:tcPr>
                  <w:tcW w:w="2729" w:type="dxa"/>
                  <w:tcBorders>
                    <w:tl2br w:val="nil"/>
                    <w:tr2bl w:val="nil"/>
                  </w:tcBorders>
                  <w:vAlign w:val="center"/>
                </w:tcPr>
                <w:p>
                  <w:pPr>
                    <w:pStyle w:val="22"/>
                    <w:rPr>
                      <w:bCs/>
                      <w:color w:val="auto"/>
                      <w:highlight w:val="none"/>
                    </w:rPr>
                  </w:pPr>
                  <w:r>
                    <w:rPr>
                      <w:rFonts w:hint="eastAsia"/>
                      <w:bCs/>
                      <w:color w:val="auto"/>
                      <w:highlight w:val="none"/>
                    </w:rPr>
                    <w:t>根据</w:t>
                  </w:r>
                  <w:r>
                    <w:rPr>
                      <w:rFonts w:hint="eastAsia"/>
                      <w:bCs/>
                      <w:color w:val="auto"/>
                      <w:highlight w:val="none"/>
                      <w:lang w:eastAsia="zh-CN"/>
                    </w:rPr>
                    <w:t>《国家危险废物名录》（2025年版）</w:t>
                  </w:r>
                  <w:r>
                    <w:rPr>
                      <w:rFonts w:hint="eastAsia"/>
                      <w:bCs/>
                      <w:color w:val="auto"/>
                      <w:highlight w:val="none"/>
                    </w:rPr>
                    <w:t>中“未破损的</w:t>
                  </w:r>
                  <w:r>
                    <w:rPr>
                      <w:rFonts w:hint="eastAsia"/>
                      <w:bCs/>
                      <w:color w:val="auto"/>
                      <w:highlight w:val="none"/>
                      <w:lang w:eastAsia="zh-CN"/>
                    </w:rPr>
                    <w:t>废铅蓄电池，</w:t>
                  </w:r>
                  <w:r>
                    <w:rPr>
                      <w:rFonts w:hint="eastAsia"/>
                      <w:bCs/>
                      <w:color w:val="auto"/>
                      <w:highlight w:val="none"/>
                    </w:rPr>
                    <w:t>运输工具满足防雨、防渗漏、防遗撒要求</w:t>
                  </w:r>
                  <w:r>
                    <w:rPr>
                      <w:rFonts w:hint="eastAsia"/>
                      <w:bCs/>
                      <w:color w:val="auto"/>
                      <w:highlight w:val="none"/>
                      <w:lang w:eastAsia="zh-CN"/>
                    </w:rPr>
                    <w:t>，</w:t>
                  </w:r>
                  <w:r>
                    <w:rPr>
                      <w:rFonts w:hint="eastAsia"/>
                      <w:bCs/>
                      <w:color w:val="auto"/>
                      <w:highlight w:val="none"/>
                    </w:rPr>
                    <w:t>运输过程不按照危险废物进行运输”</w:t>
                  </w:r>
                  <w:r>
                    <w:rPr>
                      <w:rFonts w:hint="eastAsia"/>
                      <w:bCs/>
                      <w:color w:val="auto"/>
                      <w:highlight w:val="none"/>
                      <w:lang w:eastAsia="zh-CN"/>
                    </w:rPr>
                    <w:t>，</w:t>
                  </w:r>
                  <w:r>
                    <w:rPr>
                      <w:rFonts w:hint="eastAsia"/>
                      <w:bCs/>
                      <w:color w:val="auto"/>
                      <w:highlight w:val="none"/>
                    </w:rPr>
                    <w:t>本项目满足文件要求后</w:t>
                  </w:r>
                  <w:r>
                    <w:rPr>
                      <w:rFonts w:hint="eastAsia"/>
                      <w:bCs/>
                      <w:color w:val="auto"/>
                      <w:highlight w:val="none"/>
                      <w:lang w:eastAsia="zh-CN"/>
                    </w:rPr>
                    <w:t>，</w:t>
                  </w:r>
                  <w:r>
                    <w:rPr>
                      <w:rFonts w:hint="eastAsia"/>
                      <w:bCs/>
                      <w:color w:val="auto"/>
                      <w:highlight w:val="none"/>
                    </w:rPr>
                    <w:t>可不按照危险废物进行运输</w:t>
                  </w:r>
                  <w:r>
                    <w:rPr>
                      <w:rFonts w:hint="eastAsia"/>
                      <w:bCs/>
                      <w:color w:val="auto"/>
                      <w:highlight w:val="none"/>
                      <w:lang w:eastAsia="zh-CN"/>
                    </w:rPr>
                    <w:t>，</w:t>
                  </w:r>
                  <w:r>
                    <w:rPr>
                      <w:rFonts w:hint="eastAsia"/>
                      <w:bCs/>
                      <w:color w:val="auto"/>
                      <w:highlight w:val="none"/>
                    </w:rPr>
                    <w:t>破损</w:t>
                  </w:r>
                  <w:r>
                    <w:rPr>
                      <w:rFonts w:hint="eastAsia"/>
                      <w:bCs/>
                      <w:color w:val="auto"/>
                      <w:highlight w:val="none"/>
                      <w:lang w:eastAsia="zh-CN"/>
                    </w:rPr>
                    <w:t>废铅蓄电池</w:t>
                  </w:r>
                  <w:r>
                    <w:rPr>
                      <w:rFonts w:hint="eastAsia"/>
                      <w:bCs/>
                      <w:color w:val="auto"/>
                      <w:highlight w:val="none"/>
                    </w:rPr>
                    <w:t>按照危险废物进行运输管理</w:t>
                  </w:r>
                </w:p>
              </w:tc>
              <w:tc>
                <w:tcPr>
                  <w:tcW w:w="707" w:type="dxa"/>
                  <w:tcBorders>
                    <w:tl2br w:val="nil"/>
                    <w:tr2bl w:val="nil"/>
                  </w:tcBorders>
                  <w:vAlign w:val="center"/>
                </w:tcPr>
                <w:p>
                  <w:pPr>
                    <w:pStyle w:val="22"/>
                    <w:rPr>
                      <w:bCs/>
                      <w:color w:val="auto"/>
                      <w:highlight w:val="none"/>
                    </w:rPr>
                  </w:pPr>
                  <w:r>
                    <w:rPr>
                      <w:rFonts w:hint="eastAsia"/>
                      <w:bCs/>
                      <w:color w:val="auto"/>
                      <w:highlight w:val="none"/>
                    </w:rPr>
                    <w:t>符合</w:t>
                  </w:r>
                </w:p>
              </w:tc>
            </w:tr>
          </w:tbl>
          <w:p>
            <w:pPr>
              <w:pStyle w:val="12"/>
              <w:ind w:firstLine="480"/>
              <w:rPr>
                <w:color w:val="auto"/>
                <w:highlight w:val="none"/>
              </w:rPr>
            </w:pPr>
            <w:r>
              <w:rPr>
                <w:rFonts w:hint="eastAsia"/>
                <w:color w:val="auto"/>
                <w:highlight w:val="none"/>
              </w:rPr>
              <w:t>本项目与《</w:t>
            </w:r>
            <w:r>
              <w:rPr>
                <w:rFonts w:hint="eastAsia"/>
                <w:color w:val="auto"/>
                <w:highlight w:val="none"/>
                <w:lang w:eastAsia="zh-CN"/>
              </w:rPr>
              <w:t>废铅蓄电池</w:t>
            </w:r>
            <w:r>
              <w:rPr>
                <w:rFonts w:hint="eastAsia"/>
                <w:color w:val="auto"/>
                <w:highlight w:val="none"/>
              </w:rPr>
              <w:t>污染防治行动方案》（环办固体[2019]3 号）中相关内容符合。</w:t>
            </w:r>
          </w:p>
          <w:p>
            <w:pPr>
              <w:pStyle w:val="12"/>
              <w:ind w:firstLine="480"/>
              <w:rPr>
                <w:color w:val="auto"/>
                <w:highlight w:val="none"/>
              </w:rPr>
            </w:pPr>
            <w:r>
              <w:rPr>
                <w:rFonts w:hint="eastAsia"/>
                <w:color w:val="auto"/>
                <w:highlight w:val="none"/>
                <w:lang w:val="en-US" w:eastAsia="zh-CN"/>
              </w:rPr>
              <w:t>5.7</w:t>
            </w:r>
            <w:r>
              <w:rPr>
                <w:rFonts w:hint="eastAsia"/>
                <w:color w:val="auto"/>
                <w:highlight w:val="none"/>
              </w:rPr>
              <w:t>本项目与《危险废物转移管理办法》（部令 第23号）的符合性分析详见</w:t>
            </w:r>
            <w:r>
              <w:rPr>
                <w:rFonts w:hint="eastAsia"/>
                <w:color w:val="auto"/>
                <w:highlight w:val="none"/>
                <w:lang w:eastAsia="zh-CN"/>
              </w:rPr>
              <w:t>下</w:t>
            </w:r>
            <w:r>
              <w:rPr>
                <w:rFonts w:hint="eastAsia"/>
                <w:color w:val="auto"/>
                <w:highlight w:val="none"/>
              </w:rPr>
              <w:t>表。</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与</w:t>
            </w:r>
            <w:r>
              <w:rPr>
                <w:rFonts w:hint="eastAsia"/>
                <w:color w:val="auto"/>
                <w:highlight w:val="none"/>
              </w:rPr>
              <w:t>《危险废物转移管理办法》（部令 第23号）</w:t>
            </w:r>
            <w:r>
              <w:rPr>
                <w:color w:val="auto"/>
                <w:highlight w:val="none"/>
              </w:rPr>
              <w:t>符合性分析</w:t>
            </w:r>
          </w:p>
          <w:tbl>
            <w:tblPr>
              <w:tblStyle w:val="15"/>
              <w:tblW w:w="743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0"/>
              <w:gridCol w:w="3168"/>
              <w:gridCol w:w="2728"/>
              <w:gridCol w:w="7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30" w:type="dxa"/>
                  <w:tcBorders>
                    <w:tl2br w:val="nil"/>
                    <w:tr2bl w:val="nil"/>
                  </w:tcBorders>
                  <w:vAlign w:val="center"/>
                </w:tcPr>
                <w:p>
                  <w:pPr>
                    <w:pStyle w:val="25"/>
                    <w:rPr>
                      <w:rFonts w:hint="default"/>
                      <w:color w:val="auto"/>
                      <w:highlight w:val="none"/>
                    </w:rPr>
                  </w:pPr>
                  <w:r>
                    <w:rPr>
                      <w:color w:val="auto"/>
                      <w:highlight w:val="none"/>
                    </w:rPr>
                    <w:t>序号</w:t>
                  </w:r>
                </w:p>
              </w:tc>
              <w:tc>
                <w:tcPr>
                  <w:tcW w:w="3168" w:type="dxa"/>
                  <w:tcBorders>
                    <w:tl2br w:val="nil"/>
                    <w:tr2bl w:val="nil"/>
                  </w:tcBorders>
                  <w:vAlign w:val="center"/>
                </w:tcPr>
                <w:p>
                  <w:pPr>
                    <w:pStyle w:val="25"/>
                    <w:rPr>
                      <w:rFonts w:hint="default"/>
                      <w:color w:val="auto"/>
                      <w:highlight w:val="none"/>
                    </w:rPr>
                  </w:pPr>
                  <w:r>
                    <w:rPr>
                      <w:color w:val="auto"/>
                      <w:highlight w:val="none"/>
                    </w:rPr>
                    <w:t>分析内容</w:t>
                  </w:r>
                </w:p>
              </w:tc>
              <w:tc>
                <w:tcPr>
                  <w:tcW w:w="2728" w:type="dxa"/>
                  <w:tcBorders>
                    <w:tl2br w:val="nil"/>
                    <w:tr2bl w:val="nil"/>
                  </w:tcBorders>
                  <w:vAlign w:val="center"/>
                </w:tcPr>
                <w:p>
                  <w:pPr>
                    <w:pStyle w:val="25"/>
                    <w:rPr>
                      <w:rFonts w:hint="default"/>
                      <w:color w:val="auto"/>
                      <w:highlight w:val="none"/>
                    </w:rPr>
                  </w:pPr>
                  <w:r>
                    <w:rPr>
                      <w:color w:val="auto"/>
                      <w:highlight w:val="none"/>
                    </w:rPr>
                    <w:t>本项目情况</w:t>
                  </w:r>
                </w:p>
              </w:tc>
              <w:tc>
                <w:tcPr>
                  <w:tcW w:w="708"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30" w:type="dxa"/>
                  <w:tcBorders>
                    <w:tl2br w:val="nil"/>
                    <w:tr2bl w:val="nil"/>
                  </w:tcBorders>
                  <w:vAlign w:val="center"/>
                </w:tcPr>
                <w:p>
                  <w:pPr>
                    <w:pStyle w:val="22"/>
                    <w:rPr>
                      <w:bCs/>
                      <w:color w:val="auto"/>
                      <w:highlight w:val="none"/>
                    </w:rPr>
                  </w:pPr>
                  <w:r>
                    <w:rPr>
                      <w:rFonts w:hint="eastAsia"/>
                      <w:bCs/>
                      <w:color w:val="auto"/>
                      <w:highlight w:val="none"/>
                    </w:rPr>
                    <w:t>1</w:t>
                  </w:r>
                </w:p>
              </w:tc>
              <w:tc>
                <w:tcPr>
                  <w:tcW w:w="3168" w:type="dxa"/>
                  <w:tcBorders>
                    <w:tl2br w:val="nil"/>
                    <w:tr2bl w:val="nil"/>
                  </w:tcBorders>
                  <w:vAlign w:val="center"/>
                </w:tcPr>
                <w:p>
                  <w:pPr>
                    <w:pStyle w:val="22"/>
                    <w:rPr>
                      <w:bCs/>
                      <w:color w:val="auto"/>
                      <w:highlight w:val="none"/>
                    </w:rPr>
                  </w:pPr>
                  <w:r>
                    <w:rPr>
                      <w:rFonts w:hint="eastAsia"/>
                      <w:bCs/>
                      <w:color w:val="auto"/>
                      <w:highlight w:val="none"/>
                    </w:rPr>
                    <w:t>危险废物转移应当遵循就近原则</w:t>
                  </w:r>
                </w:p>
              </w:tc>
              <w:tc>
                <w:tcPr>
                  <w:tcW w:w="2728" w:type="dxa"/>
                  <w:tcBorders>
                    <w:tl2br w:val="nil"/>
                    <w:tr2bl w:val="nil"/>
                  </w:tcBorders>
                  <w:vAlign w:val="center"/>
                </w:tcPr>
                <w:p>
                  <w:pPr>
                    <w:pStyle w:val="22"/>
                    <w:rPr>
                      <w:rFonts w:hint="eastAsia" w:eastAsiaTheme="minorEastAsia"/>
                      <w:bCs/>
                      <w:color w:val="auto"/>
                      <w:highlight w:val="none"/>
                      <w:lang w:eastAsia="zh-CN"/>
                    </w:rPr>
                  </w:pPr>
                  <w:r>
                    <w:rPr>
                      <w:rFonts w:hint="eastAsia"/>
                      <w:bCs/>
                      <w:color w:val="auto"/>
                      <w:highlight w:val="none"/>
                      <w:lang w:eastAsia="zh-CN"/>
                    </w:rPr>
                    <w:t>本项目</w:t>
                  </w:r>
                  <w:r>
                    <w:rPr>
                      <w:rFonts w:hint="eastAsia"/>
                      <w:bCs/>
                      <w:color w:val="auto"/>
                      <w:highlight w:val="none"/>
                    </w:rPr>
                    <w:t>危险废物转移遵循就近原则</w:t>
                  </w:r>
                </w:p>
              </w:tc>
              <w:tc>
                <w:tcPr>
                  <w:tcW w:w="708" w:type="dxa"/>
                  <w:tcBorders>
                    <w:tl2br w:val="nil"/>
                    <w:tr2bl w:val="nil"/>
                  </w:tcBorders>
                  <w:vAlign w:val="center"/>
                </w:tcPr>
                <w:p>
                  <w:pPr>
                    <w:pStyle w:val="22"/>
                    <w:rPr>
                      <w:bCs/>
                      <w:color w:val="auto"/>
                      <w:highlight w:val="none"/>
                    </w:rPr>
                  </w:pPr>
                  <w:r>
                    <w:rPr>
                      <w:rFonts w:hint="eastAsia"/>
                      <w:bCs/>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30" w:type="dxa"/>
                  <w:tcBorders>
                    <w:tl2br w:val="nil"/>
                    <w:tr2bl w:val="nil"/>
                  </w:tcBorders>
                  <w:vAlign w:val="center"/>
                </w:tcPr>
                <w:p>
                  <w:pPr>
                    <w:pStyle w:val="22"/>
                    <w:rPr>
                      <w:bCs/>
                      <w:color w:val="auto"/>
                      <w:highlight w:val="none"/>
                    </w:rPr>
                  </w:pPr>
                  <w:r>
                    <w:rPr>
                      <w:rFonts w:hint="eastAsia"/>
                      <w:bCs/>
                      <w:color w:val="auto"/>
                      <w:highlight w:val="none"/>
                    </w:rPr>
                    <w:t>2</w:t>
                  </w:r>
                </w:p>
              </w:tc>
              <w:tc>
                <w:tcPr>
                  <w:tcW w:w="3168" w:type="dxa"/>
                  <w:tcBorders>
                    <w:tl2br w:val="nil"/>
                    <w:tr2bl w:val="nil"/>
                  </w:tcBorders>
                  <w:vAlign w:val="center"/>
                </w:tcPr>
                <w:p>
                  <w:pPr>
                    <w:pStyle w:val="22"/>
                    <w:rPr>
                      <w:bCs/>
                      <w:color w:val="auto"/>
                      <w:highlight w:val="none"/>
                    </w:rPr>
                  </w:pPr>
                  <w:r>
                    <w:rPr>
                      <w:rFonts w:hint="eastAsia"/>
                      <w:bCs/>
                      <w:color w:val="auto"/>
                      <w:highlight w:val="none"/>
                    </w:rPr>
                    <w:t>转移危险废物的</w:t>
                  </w:r>
                  <w:r>
                    <w:rPr>
                      <w:rFonts w:hint="eastAsia"/>
                      <w:bCs/>
                      <w:color w:val="auto"/>
                      <w:highlight w:val="none"/>
                      <w:lang w:eastAsia="zh-CN"/>
                    </w:rPr>
                    <w:t>，</w:t>
                  </w:r>
                  <w:r>
                    <w:rPr>
                      <w:rFonts w:hint="eastAsia"/>
                      <w:bCs/>
                      <w:color w:val="auto"/>
                      <w:highlight w:val="none"/>
                    </w:rPr>
                    <w:t>应当执行危险废物转移联单制度</w:t>
                  </w:r>
                  <w:r>
                    <w:rPr>
                      <w:rFonts w:hint="eastAsia"/>
                      <w:bCs/>
                      <w:color w:val="auto"/>
                      <w:highlight w:val="none"/>
                      <w:lang w:eastAsia="zh-CN"/>
                    </w:rPr>
                    <w:t>，</w:t>
                  </w:r>
                  <w:r>
                    <w:rPr>
                      <w:rFonts w:hint="eastAsia"/>
                      <w:bCs/>
                      <w:color w:val="auto"/>
                      <w:highlight w:val="none"/>
                    </w:rPr>
                    <w:t>法律法规另有规定的除外。</w:t>
                  </w:r>
                </w:p>
                <w:p>
                  <w:pPr>
                    <w:pStyle w:val="22"/>
                    <w:rPr>
                      <w:bCs/>
                      <w:color w:val="auto"/>
                      <w:highlight w:val="none"/>
                    </w:rPr>
                  </w:pPr>
                  <w:r>
                    <w:rPr>
                      <w:rFonts w:hint="eastAsia"/>
                      <w:bCs/>
                      <w:color w:val="auto"/>
                      <w:highlight w:val="none"/>
                    </w:rPr>
                    <w:t>危险废物转移联</w:t>
                  </w:r>
                  <w:r>
                    <w:rPr>
                      <w:rFonts w:hint="eastAsia"/>
                      <w:bCs/>
                      <w:color w:val="auto"/>
                      <w:highlight w:val="none"/>
                      <w:lang w:val="en-US" w:eastAsia="zh-CN"/>
                    </w:rPr>
                    <w:t xml:space="preserve">  </w:t>
                  </w:r>
                  <w:r>
                    <w:rPr>
                      <w:rFonts w:hint="eastAsia"/>
                      <w:bCs/>
                      <w:color w:val="auto"/>
                      <w:highlight w:val="none"/>
                    </w:rPr>
                    <w:t>单的格式和内容由生态环境部另行制定</w:t>
                  </w:r>
                </w:p>
              </w:tc>
              <w:tc>
                <w:tcPr>
                  <w:tcW w:w="2728" w:type="dxa"/>
                  <w:tcBorders>
                    <w:tl2br w:val="nil"/>
                    <w:tr2bl w:val="nil"/>
                  </w:tcBorders>
                  <w:vAlign w:val="center"/>
                </w:tcPr>
                <w:p>
                  <w:pPr>
                    <w:pStyle w:val="22"/>
                    <w:rPr>
                      <w:bCs/>
                      <w:color w:val="auto"/>
                      <w:highlight w:val="none"/>
                    </w:rPr>
                  </w:pPr>
                  <w:r>
                    <w:rPr>
                      <w:rFonts w:hint="eastAsia"/>
                      <w:bCs/>
                      <w:color w:val="auto"/>
                      <w:highlight w:val="none"/>
                    </w:rPr>
                    <w:t>本项目按规定执行危险废物转移联单制度</w:t>
                  </w:r>
                </w:p>
              </w:tc>
              <w:tc>
                <w:tcPr>
                  <w:tcW w:w="708" w:type="dxa"/>
                  <w:tcBorders>
                    <w:tl2br w:val="nil"/>
                    <w:tr2bl w:val="nil"/>
                  </w:tcBorders>
                  <w:vAlign w:val="center"/>
                </w:tcPr>
                <w:p>
                  <w:pPr>
                    <w:pStyle w:val="22"/>
                    <w:rPr>
                      <w:bCs/>
                      <w:color w:val="auto"/>
                      <w:highlight w:val="none"/>
                    </w:rPr>
                  </w:pPr>
                  <w:r>
                    <w:rPr>
                      <w:rFonts w:hint="eastAsia"/>
                      <w:bCs/>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30" w:type="dxa"/>
                  <w:tcBorders>
                    <w:tl2br w:val="nil"/>
                    <w:tr2bl w:val="nil"/>
                  </w:tcBorders>
                  <w:vAlign w:val="center"/>
                </w:tcPr>
                <w:p>
                  <w:pPr>
                    <w:pStyle w:val="22"/>
                    <w:rPr>
                      <w:bCs/>
                      <w:color w:val="auto"/>
                      <w:highlight w:val="none"/>
                    </w:rPr>
                  </w:pPr>
                  <w:r>
                    <w:rPr>
                      <w:rFonts w:hint="eastAsia"/>
                      <w:bCs/>
                      <w:color w:val="auto"/>
                      <w:highlight w:val="none"/>
                    </w:rPr>
                    <w:t>3</w:t>
                  </w:r>
                </w:p>
              </w:tc>
              <w:tc>
                <w:tcPr>
                  <w:tcW w:w="3168" w:type="dxa"/>
                  <w:tcBorders>
                    <w:tl2br w:val="nil"/>
                    <w:tr2bl w:val="nil"/>
                  </w:tcBorders>
                  <w:vAlign w:val="center"/>
                </w:tcPr>
                <w:p>
                  <w:pPr>
                    <w:pStyle w:val="22"/>
                    <w:rPr>
                      <w:bCs/>
                      <w:color w:val="auto"/>
                      <w:highlight w:val="none"/>
                    </w:rPr>
                  </w:pPr>
                  <w:r>
                    <w:rPr>
                      <w:rFonts w:hint="eastAsia"/>
                      <w:bCs/>
                      <w:color w:val="auto"/>
                      <w:highlight w:val="none"/>
                    </w:rPr>
                    <w:t>转移危险废物的</w:t>
                  </w:r>
                  <w:r>
                    <w:rPr>
                      <w:rFonts w:hint="eastAsia"/>
                      <w:bCs/>
                      <w:color w:val="auto"/>
                      <w:highlight w:val="none"/>
                      <w:lang w:eastAsia="zh-CN"/>
                    </w:rPr>
                    <w:t>，</w:t>
                  </w:r>
                  <w:r>
                    <w:rPr>
                      <w:rFonts w:hint="eastAsia"/>
                      <w:bCs/>
                      <w:color w:val="auto"/>
                      <w:highlight w:val="none"/>
                    </w:rPr>
                    <w:t>应当通过国家危险废物信息管理系统（以下简称信息系统）填写、运行危险废物电子转移联单</w:t>
                  </w:r>
                  <w:r>
                    <w:rPr>
                      <w:rFonts w:hint="eastAsia"/>
                      <w:bCs/>
                      <w:color w:val="auto"/>
                      <w:highlight w:val="none"/>
                      <w:lang w:eastAsia="zh-CN"/>
                    </w:rPr>
                    <w:t>，</w:t>
                  </w:r>
                  <w:r>
                    <w:rPr>
                      <w:rFonts w:hint="eastAsia"/>
                      <w:bCs/>
                      <w:color w:val="auto"/>
                      <w:highlight w:val="none"/>
                    </w:rPr>
                    <w:t>并依照国家有关规定公开危险废物转移相关污染环境防治信息</w:t>
                  </w:r>
                </w:p>
              </w:tc>
              <w:tc>
                <w:tcPr>
                  <w:tcW w:w="2728" w:type="dxa"/>
                  <w:tcBorders>
                    <w:tl2br w:val="nil"/>
                    <w:tr2bl w:val="nil"/>
                  </w:tcBorders>
                  <w:vAlign w:val="center"/>
                </w:tcPr>
                <w:p>
                  <w:pPr>
                    <w:pStyle w:val="22"/>
                    <w:rPr>
                      <w:bCs/>
                      <w:color w:val="auto"/>
                      <w:highlight w:val="none"/>
                    </w:rPr>
                  </w:pPr>
                  <w:r>
                    <w:rPr>
                      <w:rFonts w:hint="eastAsia"/>
                      <w:bCs/>
                      <w:color w:val="auto"/>
                      <w:highlight w:val="none"/>
                    </w:rPr>
                    <w:t>本项目按规定通过国家危险废物信息管理系统填写、运行危险废物电子转移联单</w:t>
                  </w:r>
                  <w:r>
                    <w:rPr>
                      <w:rFonts w:hint="eastAsia"/>
                      <w:bCs/>
                      <w:color w:val="auto"/>
                      <w:highlight w:val="none"/>
                      <w:lang w:eastAsia="zh-CN"/>
                    </w:rPr>
                    <w:t>，</w:t>
                  </w:r>
                  <w:r>
                    <w:rPr>
                      <w:rFonts w:hint="eastAsia"/>
                      <w:bCs/>
                      <w:color w:val="auto"/>
                      <w:highlight w:val="none"/>
                    </w:rPr>
                    <w:t>并依照国家有关规定公开危险废物转移相关污染环境防治信息</w:t>
                  </w:r>
                </w:p>
              </w:tc>
              <w:tc>
                <w:tcPr>
                  <w:tcW w:w="708" w:type="dxa"/>
                  <w:tcBorders>
                    <w:tl2br w:val="nil"/>
                    <w:tr2bl w:val="nil"/>
                  </w:tcBorders>
                  <w:vAlign w:val="center"/>
                </w:tcPr>
                <w:p>
                  <w:pPr>
                    <w:pStyle w:val="22"/>
                    <w:rPr>
                      <w:bCs/>
                      <w:color w:val="auto"/>
                      <w:highlight w:val="none"/>
                    </w:rPr>
                  </w:pPr>
                  <w:r>
                    <w:rPr>
                      <w:rFonts w:hint="eastAsia"/>
                      <w:bCs/>
                      <w:color w:val="auto"/>
                      <w:highlight w:val="none"/>
                    </w:rPr>
                    <w:t>符合</w:t>
                  </w:r>
                </w:p>
              </w:tc>
            </w:tr>
          </w:tbl>
          <w:p>
            <w:pPr>
              <w:pStyle w:val="12"/>
              <w:ind w:firstLine="480"/>
              <w:rPr>
                <w:rFonts w:hint="eastAsia"/>
                <w:color w:val="auto"/>
                <w:highlight w:val="none"/>
              </w:rPr>
            </w:pPr>
            <w:r>
              <w:rPr>
                <w:rFonts w:hint="eastAsia"/>
                <w:color w:val="auto"/>
                <w:highlight w:val="none"/>
              </w:rPr>
              <w:t>本项目与《危险废物转移管理办法》（部令 第23号）中相关内容符合。</w:t>
            </w:r>
          </w:p>
          <w:p>
            <w:pPr>
              <w:pStyle w:val="12"/>
              <w:ind w:firstLine="480"/>
              <w:rPr>
                <w:rFonts w:hint="default" w:eastAsia="宋体"/>
                <w:color w:val="auto"/>
                <w:highlight w:val="none"/>
                <w:lang w:val="en-US" w:eastAsia="zh-CN"/>
              </w:rPr>
            </w:pPr>
            <w:r>
              <w:rPr>
                <w:rFonts w:hint="eastAsia"/>
                <w:color w:val="auto"/>
                <w:highlight w:val="none"/>
                <w:lang w:val="en-US" w:eastAsia="zh-CN"/>
              </w:rPr>
              <w:t>5.8本项目与“辽宁省《“十三五”挥发性有机物污染防治与削减工作实施方案》（辽环发〔2018〕69号）”</w:t>
            </w:r>
            <w:r>
              <w:rPr>
                <w:rFonts w:hint="eastAsia"/>
                <w:color w:val="auto"/>
                <w:highlight w:val="none"/>
                <w:lang w:eastAsia="zh-CN"/>
              </w:rPr>
              <w:t>符合性分析</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与</w:t>
            </w:r>
            <w:r>
              <w:rPr>
                <w:rFonts w:hint="eastAsia"/>
                <w:color w:val="auto"/>
                <w:highlight w:val="none"/>
              </w:rPr>
              <w:t>辽宁省《“十三五”挥发性有机物污染防治与削减工作实施方案》（辽环发〔2018〕69号）</w:t>
            </w:r>
            <w:r>
              <w:rPr>
                <w:color w:val="auto"/>
                <w:highlight w:val="none"/>
              </w:rPr>
              <w:t>符合性分析</w:t>
            </w:r>
          </w:p>
          <w:tbl>
            <w:tblPr>
              <w:tblStyle w:val="15"/>
              <w:tblW w:w="743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9"/>
              <w:gridCol w:w="3194"/>
              <w:gridCol w:w="2646"/>
              <w:gridCol w:w="7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29"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序号</w:t>
                  </w:r>
                </w:p>
              </w:tc>
              <w:tc>
                <w:tcPr>
                  <w:tcW w:w="3194" w:type="dxa"/>
                  <w:tcBorders>
                    <w:tl2br w:val="nil"/>
                    <w:tr2bl w:val="nil"/>
                  </w:tcBorders>
                  <w:vAlign w:val="center"/>
                </w:tcPr>
                <w:p>
                  <w:pPr>
                    <w:pStyle w:val="25"/>
                    <w:rPr>
                      <w:rFonts w:hint="default"/>
                      <w:color w:val="auto"/>
                      <w:highlight w:val="none"/>
                    </w:rPr>
                  </w:pPr>
                  <w:r>
                    <w:rPr>
                      <w:color w:val="auto"/>
                      <w:highlight w:val="none"/>
                    </w:rPr>
                    <w:t>分析内容</w:t>
                  </w:r>
                </w:p>
              </w:tc>
              <w:tc>
                <w:tcPr>
                  <w:tcW w:w="2646" w:type="dxa"/>
                  <w:tcBorders>
                    <w:tl2br w:val="nil"/>
                    <w:tr2bl w:val="nil"/>
                  </w:tcBorders>
                  <w:vAlign w:val="center"/>
                </w:tcPr>
                <w:p>
                  <w:pPr>
                    <w:pStyle w:val="25"/>
                    <w:rPr>
                      <w:rFonts w:hint="default"/>
                      <w:color w:val="auto"/>
                      <w:highlight w:val="none"/>
                    </w:rPr>
                  </w:pPr>
                  <w:r>
                    <w:rPr>
                      <w:color w:val="auto"/>
                      <w:highlight w:val="none"/>
                    </w:rPr>
                    <w:t>本项目情况</w:t>
                  </w:r>
                </w:p>
              </w:tc>
              <w:tc>
                <w:tcPr>
                  <w:tcW w:w="768"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29" w:type="dxa"/>
                  <w:tcBorders>
                    <w:tl2br w:val="nil"/>
                    <w:tr2bl w:val="nil"/>
                  </w:tcBorders>
                  <w:vAlign w:val="center"/>
                </w:tcPr>
                <w:p>
                  <w:pPr>
                    <w:pStyle w:val="22"/>
                    <w:rPr>
                      <w:rFonts w:hint="eastAsia" w:eastAsiaTheme="minorEastAsia"/>
                      <w:bCs/>
                      <w:color w:val="auto"/>
                      <w:highlight w:val="none"/>
                      <w:lang w:val="en-US" w:eastAsia="zh-CN"/>
                    </w:rPr>
                  </w:pPr>
                  <w:r>
                    <w:rPr>
                      <w:rFonts w:hint="eastAsia"/>
                      <w:bCs/>
                      <w:color w:val="auto"/>
                      <w:highlight w:val="none"/>
                      <w:lang w:val="en-US" w:eastAsia="zh-CN"/>
                    </w:rPr>
                    <w:t>1</w:t>
                  </w:r>
                </w:p>
              </w:tc>
              <w:tc>
                <w:tcPr>
                  <w:tcW w:w="3194" w:type="dxa"/>
                  <w:tcBorders>
                    <w:tl2br w:val="nil"/>
                    <w:tr2bl w:val="nil"/>
                  </w:tcBorders>
                  <w:vAlign w:val="center"/>
                </w:tcPr>
                <w:p>
                  <w:pPr>
                    <w:pStyle w:val="22"/>
                    <w:rPr>
                      <w:rFonts w:hint="eastAsia" w:eastAsiaTheme="minorEastAsia"/>
                      <w:bCs/>
                      <w:color w:val="auto"/>
                      <w:highlight w:val="none"/>
                      <w:lang w:eastAsia="zh-CN"/>
                    </w:rPr>
                  </w:pPr>
                  <w:r>
                    <w:rPr>
                      <w:rFonts w:hint="eastAsia" w:eastAsiaTheme="minorEastAsia"/>
                      <w:bCs/>
                      <w:color w:val="auto"/>
                      <w:highlight w:val="none"/>
                      <w:lang w:eastAsia="zh-CN"/>
                    </w:rPr>
                    <w:t>以改善环境空气质量为核心，因地制宜、突出重点，实施源头削减、过程控制、末端治理的全过程防治措施。实施</w:t>
                  </w:r>
                  <w:r>
                    <w:rPr>
                      <w:rFonts w:hint="eastAsia"/>
                      <w:bCs/>
                      <w:color w:val="auto"/>
                      <w:highlight w:val="none"/>
                      <w:lang w:eastAsia="zh-CN"/>
                    </w:rPr>
                    <w:t>VOCs</w:t>
                  </w:r>
                  <w:r>
                    <w:rPr>
                      <w:rFonts w:hint="eastAsia" w:eastAsiaTheme="minorEastAsia"/>
                      <w:bCs/>
                      <w:color w:val="auto"/>
                      <w:highlight w:val="none"/>
                      <w:lang w:eastAsia="zh-CN"/>
                    </w:rPr>
                    <w:t>与氮氧化物（NO</w:t>
                  </w:r>
                  <w:r>
                    <w:rPr>
                      <w:rFonts w:hint="eastAsia" w:eastAsiaTheme="minorEastAsia"/>
                      <w:bCs/>
                      <w:color w:val="auto"/>
                      <w:highlight w:val="none"/>
                      <w:vertAlign w:val="subscript"/>
                      <w:lang w:eastAsia="zh-CN"/>
                    </w:rPr>
                    <w:t>X</w:t>
                  </w:r>
                  <w:r>
                    <w:rPr>
                      <w:rFonts w:hint="eastAsia" w:eastAsiaTheme="minorEastAsia"/>
                      <w:bCs/>
                      <w:color w:val="auto"/>
                      <w:highlight w:val="none"/>
                      <w:lang w:eastAsia="zh-CN"/>
                    </w:rPr>
                    <w:t>）协同减排、点源与面源协同减排、有组织与无组织协同减排，突出重点行业和活性强的VOCs物质及恶臭类</w:t>
                  </w:r>
                  <w:r>
                    <w:rPr>
                      <w:rFonts w:hint="eastAsia"/>
                      <w:bCs/>
                      <w:color w:val="auto"/>
                      <w:highlight w:val="none"/>
                      <w:lang w:eastAsia="zh-CN"/>
                    </w:rPr>
                    <w:t>VOCs</w:t>
                  </w:r>
                  <w:r>
                    <w:rPr>
                      <w:rFonts w:hint="eastAsia" w:eastAsiaTheme="minorEastAsia"/>
                      <w:bCs/>
                      <w:color w:val="auto"/>
                      <w:highlight w:val="none"/>
                      <w:lang w:eastAsia="zh-CN"/>
                    </w:rPr>
                    <w:t>物质的排放控制。全面实施石化行业达标排放，深入推进化工、包装印刷行业</w:t>
                  </w:r>
                  <w:r>
                    <w:rPr>
                      <w:rFonts w:hint="eastAsia"/>
                      <w:bCs/>
                      <w:color w:val="auto"/>
                      <w:highlight w:val="none"/>
                      <w:lang w:eastAsia="zh-CN"/>
                    </w:rPr>
                    <w:t>VOCs</w:t>
                  </w:r>
                  <w:r>
                    <w:rPr>
                      <w:rFonts w:hint="eastAsia" w:eastAsiaTheme="minorEastAsia"/>
                      <w:bCs/>
                      <w:color w:val="auto"/>
                      <w:highlight w:val="none"/>
                      <w:lang w:eastAsia="zh-CN"/>
                    </w:rPr>
                    <w:t>综合治理，加大工业涂装</w:t>
                  </w:r>
                  <w:r>
                    <w:rPr>
                      <w:rFonts w:hint="eastAsia"/>
                      <w:bCs/>
                      <w:color w:val="auto"/>
                      <w:highlight w:val="none"/>
                      <w:lang w:eastAsia="zh-CN"/>
                    </w:rPr>
                    <w:t>VOCs</w:t>
                  </w:r>
                  <w:r>
                    <w:rPr>
                      <w:rFonts w:hint="eastAsia" w:eastAsiaTheme="minorEastAsia"/>
                      <w:bCs/>
                      <w:color w:val="auto"/>
                      <w:highlight w:val="none"/>
                      <w:lang w:eastAsia="zh-CN"/>
                    </w:rPr>
                    <w:t>治理力度，因地制宜推进其他工业行业</w:t>
                  </w:r>
                  <w:r>
                    <w:rPr>
                      <w:rFonts w:hint="eastAsia"/>
                      <w:bCs/>
                      <w:color w:val="auto"/>
                      <w:highlight w:val="none"/>
                      <w:lang w:eastAsia="zh-CN"/>
                    </w:rPr>
                    <w:t>VOCs</w:t>
                  </w:r>
                  <w:r>
                    <w:rPr>
                      <w:rFonts w:hint="eastAsia" w:eastAsiaTheme="minorEastAsia"/>
                      <w:bCs/>
                      <w:color w:val="auto"/>
                      <w:highlight w:val="none"/>
                      <w:lang w:eastAsia="zh-CN"/>
                    </w:rPr>
                    <w:t>综合治理。强化交通源、生活源、农业源等领域</w:t>
                  </w:r>
                  <w:r>
                    <w:rPr>
                      <w:rFonts w:hint="eastAsia"/>
                      <w:bCs/>
                      <w:color w:val="auto"/>
                      <w:highlight w:val="none"/>
                      <w:lang w:eastAsia="zh-CN"/>
                    </w:rPr>
                    <w:t>VOCs</w:t>
                  </w:r>
                  <w:r>
                    <w:rPr>
                      <w:rFonts w:hint="eastAsia" w:eastAsiaTheme="minorEastAsia"/>
                      <w:bCs/>
                      <w:color w:val="auto"/>
                      <w:highlight w:val="none"/>
                      <w:lang w:eastAsia="zh-CN"/>
                    </w:rPr>
                    <w:t>污染减排，以重点企业的深化治理为抓手，推动实施一批重点减排工程，切实削减</w:t>
                  </w:r>
                  <w:r>
                    <w:rPr>
                      <w:rFonts w:hint="eastAsia"/>
                      <w:bCs/>
                      <w:color w:val="auto"/>
                      <w:highlight w:val="none"/>
                      <w:lang w:eastAsia="zh-CN"/>
                    </w:rPr>
                    <w:t>VOCs</w:t>
                  </w:r>
                  <w:r>
                    <w:rPr>
                      <w:rFonts w:hint="eastAsia" w:eastAsiaTheme="minorEastAsia"/>
                      <w:bCs/>
                      <w:color w:val="auto"/>
                      <w:highlight w:val="none"/>
                      <w:lang w:eastAsia="zh-CN"/>
                    </w:rPr>
                    <w:t>排放总量。强化新增污染物排放控制，严格固定污染源排污许可，加强监测监控和执法监管，建立</w:t>
                  </w:r>
                  <w:r>
                    <w:rPr>
                      <w:rFonts w:hint="eastAsia"/>
                      <w:bCs/>
                      <w:color w:val="auto"/>
                      <w:highlight w:val="none"/>
                      <w:lang w:eastAsia="zh-CN"/>
                    </w:rPr>
                    <w:t>VOCs</w:t>
                  </w:r>
                  <w:r>
                    <w:rPr>
                      <w:rFonts w:hint="eastAsia" w:eastAsiaTheme="minorEastAsia"/>
                      <w:bCs/>
                      <w:color w:val="auto"/>
                      <w:highlight w:val="none"/>
                      <w:lang w:eastAsia="zh-CN"/>
                    </w:rPr>
                    <w:t>污染防治长效机制，促进环境空气质量持续改善和产业绿色发展</w:t>
                  </w:r>
                </w:p>
              </w:tc>
              <w:tc>
                <w:tcPr>
                  <w:tcW w:w="2646" w:type="dxa"/>
                  <w:tcBorders>
                    <w:tl2br w:val="nil"/>
                    <w:tr2bl w:val="nil"/>
                  </w:tcBorders>
                  <w:vAlign w:val="center"/>
                </w:tcPr>
                <w:p>
                  <w:pPr>
                    <w:pStyle w:val="22"/>
                    <w:rPr>
                      <w:rFonts w:hint="default" w:eastAsiaTheme="minorEastAsia"/>
                      <w:bCs/>
                      <w:color w:val="auto"/>
                      <w:highlight w:val="none"/>
                      <w:lang w:val="en-US" w:eastAsia="zh-CN"/>
                    </w:rPr>
                  </w:pPr>
                  <w:r>
                    <w:rPr>
                      <w:rFonts w:hint="default" w:eastAsiaTheme="minorEastAsia"/>
                      <w:bCs/>
                      <w:color w:val="auto"/>
                      <w:highlight w:val="none"/>
                      <w:lang w:val="en-US" w:eastAsia="zh-CN"/>
                    </w:rPr>
                    <w:t>本项目</w:t>
                  </w:r>
                  <w:r>
                    <w:rPr>
                      <w:rFonts w:hint="eastAsia"/>
                      <w:bCs/>
                      <w:color w:val="auto"/>
                      <w:highlight w:val="none"/>
                      <w:lang w:val="en-US" w:eastAsia="zh-CN"/>
                    </w:rPr>
                    <w:t>危险废物贮存点贮存废润滑油、废油桶、废油漆桶等危险废物，通过采用包装物加盖贮存等防治措施减少</w:t>
                  </w:r>
                  <w:r>
                    <w:rPr>
                      <w:rFonts w:hint="eastAsia" w:eastAsiaTheme="minorEastAsia"/>
                      <w:bCs/>
                      <w:color w:val="auto"/>
                      <w:highlight w:val="none"/>
                      <w:lang w:eastAsia="zh-CN"/>
                    </w:rPr>
                    <w:t>VOCs</w:t>
                  </w:r>
                  <w:r>
                    <w:rPr>
                      <w:rFonts w:hint="eastAsia"/>
                      <w:bCs/>
                      <w:color w:val="auto"/>
                      <w:highlight w:val="none"/>
                      <w:lang w:eastAsia="zh-CN"/>
                    </w:rPr>
                    <w:t>排放</w:t>
                  </w:r>
                  <w:r>
                    <w:rPr>
                      <w:rFonts w:hint="eastAsia"/>
                      <w:bCs/>
                      <w:color w:val="auto"/>
                      <w:highlight w:val="none"/>
                      <w:lang w:val="en-US" w:eastAsia="zh-CN"/>
                    </w:rPr>
                    <w:t>，</w:t>
                  </w:r>
                  <w:r>
                    <w:rPr>
                      <w:rFonts w:hint="default" w:eastAsiaTheme="minorEastAsia"/>
                      <w:bCs/>
                      <w:color w:val="auto"/>
                      <w:highlight w:val="none"/>
                      <w:lang w:val="en-US" w:eastAsia="zh-CN"/>
                    </w:rPr>
                    <w:t>本项目排放污染物不属于附件中的重点控制挥发性有机物物质名录</w:t>
                  </w:r>
                </w:p>
              </w:tc>
              <w:tc>
                <w:tcPr>
                  <w:tcW w:w="768" w:type="dxa"/>
                  <w:tcBorders>
                    <w:tl2br w:val="nil"/>
                    <w:tr2bl w:val="nil"/>
                  </w:tcBorders>
                  <w:vAlign w:val="center"/>
                </w:tcPr>
                <w:p>
                  <w:pPr>
                    <w:pStyle w:val="22"/>
                    <w:rPr>
                      <w:bCs/>
                      <w:color w:val="auto"/>
                      <w:highlight w:val="none"/>
                    </w:rPr>
                  </w:pPr>
                  <w:r>
                    <w:rPr>
                      <w:rFonts w:hint="eastAsia"/>
                      <w:bCs/>
                      <w:color w:val="auto"/>
                      <w:highlight w:val="none"/>
                    </w:rPr>
                    <w:t>符合</w:t>
                  </w:r>
                </w:p>
              </w:tc>
            </w:tr>
          </w:tbl>
          <w:p>
            <w:pPr>
              <w:pStyle w:val="12"/>
              <w:ind w:firstLine="480"/>
              <w:rPr>
                <w:rFonts w:hint="eastAsia"/>
                <w:color w:val="auto"/>
                <w:highlight w:val="none"/>
              </w:rPr>
            </w:pPr>
            <w:r>
              <w:rPr>
                <w:rFonts w:hint="eastAsia"/>
                <w:color w:val="auto"/>
                <w:highlight w:val="none"/>
                <w:lang w:eastAsia="zh-CN"/>
              </w:rPr>
              <w:t>本项目与</w:t>
            </w:r>
            <w:r>
              <w:rPr>
                <w:rFonts w:hint="eastAsia"/>
                <w:color w:val="auto"/>
                <w:highlight w:val="none"/>
                <w:lang w:val="en-US" w:eastAsia="zh-CN"/>
              </w:rPr>
              <w:t>辽宁省《“十三五”挥发性有机物污染防治与削减工作实施方案》（辽环发〔2018〕69号）中相关内容符合。</w:t>
            </w:r>
          </w:p>
          <w:p>
            <w:pPr>
              <w:pStyle w:val="12"/>
              <w:ind w:firstLine="480"/>
              <w:rPr>
                <w:rFonts w:hint="eastAsia"/>
                <w:color w:val="auto"/>
                <w:highlight w:val="none"/>
                <w:lang w:eastAsia="zh-CN"/>
              </w:rPr>
            </w:pPr>
            <w:r>
              <w:rPr>
                <w:rFonts w:hint="eastAsia"/>
                <w:color w:val="auto"/>
                <w:highlight w:val="none"/>
                <w:lang w:val="en-US" w:eastAsia="zh-CN"/>
              </w:rPr>
              <w:t>5.9本项目与</w:t>
            </w:r>
            <w:r>
              <w:rPr>
                <w:rFonts w:hint="eastAsia"/>
                <w:color w:val="auto"/>
                <w:highlight w:val="none"/>
              </w:rPr>
              <w:t>《“十三五”</w:t>
            </w:r>
            <w:bookmarkStart w:id="2" w:name="OLE_LINK1"/>
            <w:r>
              <w:rPr>
                <w:rFonts w:hint="eastAsia"/>
                <w:color w:val="auto"/>
                <w:highlight w:val="none"/>
              </w:rPr>
              <w:t>挥发性有机物污染防治工作方案</w:t>
            </w:r>
            <w:bookmarkEnd w:id="2"/>
            <w:r>
              <w:rPr>
                <w:rFonts w:hint="eastAsia"/>
                <w:color w:val="auto"/>
                <w:highlight w:val="none"/>
              </w:rPr>
              <w:t>》（环大气〔2017〕121号）</w:t>
            </w:r>
            <w:r>
              <w:rPr>
                <w:rFonts w:hint="eastAsia"/>
                <w:color w:val="auto"/>
                <w:highlight w:val="none"/>
                <w:lang w:eastAsia="zh-CN"/>
              </w:rPr>
              <w:t>符合性分析</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与</w:t>
            </w:r>
            <w:r>
              <w:rPr>
                <w:rFonts w:hint="eastAsia"/>
                <w:color w:val="auto"/>
                <w:highlight w:val="none"/>
              </w:rPr>
              <w:t>《“十三五”挥发性有机物污染防治工作方案》（环大气〔2017〕121号）</w:t>
            </w:r>
            <w:r>
              <w:rPr>
                <w:color w:val="auto"/>
                <w:highlight w:val="none"/>
              </w:rPr>
              <w:t>符合性分析</w:t>
            </w:r>
          </w:p>
          <w:tbl>
            <w:tblPr>
              <w:tblStyle w:val="15"/>
              <w:tblW w:w="743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6"/>
              <w:gridCol w:w="3137"/>
              <w:gridCol w:w="2626"/>
              <w:gridCol w:w="7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06"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序号</w:t>
                  </w:r>
                </w:p>
              </w:tc>
              <w:tc>
                <w:tcPr>
                  <w:tcW w:w="3137" w:type="dxa"/>
                  <w:tcBorders>
                    <w:tl2br w:val="nil"/>
                    <w:tr2bl w:val="nil"/>
                  </w:tcBorders>
                  <w:vAlign w:val="center"/>
                </w:tcPr>
                <w:p>
                  <w:pPr>
                    <w:pStyle w:val="25"/>
                    <w:rPr>
                      <w:rFonts w:hint="default"/>
                      <w:color w:val="auto"/>
                      <w:highlight w:val="none"/>
                    </w:rPr>
                  </w:pPr>
                  <w:r>
                    <w:rPr>
                      <w:color w:val="auto"/>
                      <w:highlight w:val="none"/>
                    </w:rPr>
                    <w:t>分析内容</w:t>
                  </w:r>
                </w:p>
              </w:tc>
              <w:tc>
                <w:tcPr>
                  <w:tcW w:w="2626" w:type="dxa"/>
                  <w:tcBorders>
                    <w:tl2br w:val="nil"/>
                    <w:tr2bl w:val="nil"/>
                  </w:tcBorders>
                  <w:vAlign w:val="center"/>
                </w:tcPr>
                <w:p>
                  <w:pPr>
                    <w:pStyle w:val="25"/>
                    <w:rPr>
                      <w:rFonts w:hint="default"/>
                      <w:color w:val="auto"/>
                      <w:highlight w:val="none"/>
                    </w:rPr>
                  </w:pPr>
                  <w:r>
                    <w:rPr>
                      <w:color w:val="auto"/>
                      <w:highlight w:val="none"/>
                    </w:rPr>
                    <w:t>本项目情况</w:t>
                  </w:r>
                </w:p>
              </w:tc>
              <w:tc>
                <w:tcPr>
                  <w:tcW w:w="768"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06" w:type="dxa"/>
                  <w:tcBorders>
                    <w:tl2br w:val="nil"/>
                    <w:tr2bl w:val="nil"/>
                  </w:tcBorders>
                  <w:vAlign w:val="center"/>
                </w:tcPr>
                <w:p>
                  <w:pPr>
                    <w:pStyle w:val="22"/>
                    <w:rPr>
                      <w:rFonts w:hint="eastAsia" w:eastAsiaTheme="minorEastAsia"/>
                      <w:bCs/>
                      <w:color w:val="auto"/>
                      <w:highlight w:val="none"/>
                      <w:lang w:val="en-US" w:eastAsia="zh-CN"/>
                    </w:rPr>
                  </w:pPr>
                  <w:r>
                    <w:rPr>
                      <w:rFonts w:hint="eastAsia"/>
                      <w:bCs/>
                      <w:color w:val="auto"/>
                      <w:highlight w:val="none"/>
                      <w:lang w:val="en-US" w:eastAsia="zh-CN"/>
                    </w:rPr>
                    <w:t>1</w:t>
                  </w:r>
                </w:p>
              </w:tc>
              <w:tc>
                <w:tcPr>
                  <w:tcW w:w="3137" w:type="dxa"/>
                  <w:tcBorders>
                    <w:tl2br w:val="nil"/>
                    <w:tr2bl w:val="nil"/>
                  </w:tcBorders>
                  <w:vAlign w:val="center"/>
                </w:tcPr>
                <w:p>
                  <w:pPr>
                    <w:pStyle w:val="22"/>
                    <w:rPr>
                      <w:rFonts w:hint="eastAsia" w:eastAsiaTheme="minorEastAsia"/>
                      <w:bCs/>
                      <w:color w:val="auto"/>
                      <w:highlight w:val="none"/>
                      <w:lang w:eastAsia="zh-CN"/>
                    </w:rPr>
                  </w:pPr>
                  <w:r>
                    <w:rPr>
                      <w:rFonts w:hint="eastAsia" w:eastAsiaTheme="minorEastAsia"/>
                      <w:bCs/>
                      <w:color w:val="auto"/>
                      <w:highlight w:val="none"/>
                      <w:lang w:eastAsia="zh-CN"/>
                    </w:rPr>
                    <w:t>以改善环境空气质量为核心，以重点地区为主要着力点，以重点行业和重点污染物为主要控制对象，推进</w:t>
                  </w:r>
                  <w:r>
                    <w:rPr>
                      <w:rFonts w:hint="eastAsia"/>
                      <w:bCs/>
                      <w:color w:val="auto"/>
                      <w:highlight w:val="none"/>
                      <w:lang w:eastAsia="zh-CN"/>
                    </w:rPr>
                    <w:t>VOCs</w:t>
                  </w:r>
                  <w:r>
                    <w:rPr>
                      <w:rFonts w:hint="eastAsia" w:eastAsiaTheme="minorEastAsia"/>
                      <w:bCs/>
                      <w:color w:val="auto"/>
                      <w:highlight w:val="none"/>
                      <w:lang w:eastAsia="zh-CN"/>
                    </w:rPr>
                    <w:t>与NOx协同减排，强化新增污染物排放控制，实施固定污染源排污许可，全面加强基础能力建设和政策支持保障，因地制宜，突出重点，源头防控，分业施策，建立</w:t>
                  </w:r>
                  <w:r>
                    <w:rPr>
                      <w:rFonts w:hint="eastAsia"/>
                      <w:bCs/>
                      <w:color w:val="auto"/>
                      <w:highlight w:val="none"/>
                      <w:lang w:eastAsia="zh-CN"/>
                    </w:rPr>
                    <w:t>VOCs</w:t>
                  </w:r>
                  <w:r>
                    <w:rPr>
                      <w:rFonts w:hint="eastAsia" w:eastAsiaTheme="minorEastAsia"/>
                      <w:bCs/>
                      <w:color w:val="auto"/>
                      <w:highlight w:val="none"/>
                      <w:lang w:eastAsia="zh-CN"/>
                    </w:rPr>
                    <w:t>污染防治长效机制，促进环境空气质量持续改善和产业绿色发展</w:t>
                  </w:r>
                </w:p>
              </w:tc>
              <w:tc>
                <w:tcPr>
                  <w:tcW w:w="2626" w:type="dxa"/>
                  <w:tcBorders>
                    <w:tl2br w:val="nil"/>
                    <w:tr2bl w:val="nil"/>
                  </w:tcBorders>
                  <w:vAlign w:val="center"/>
                </w:tcPr>
                <w:p>
                  <w:pPr>
                    <w:pStyle w:val="22"/>
                    <w:rPr>
                      <w:rFonts w:hint="default" w:eastAsiaTheme="minorEastAsia"/>
                      <w:bCs/>
                      <w:color w:val="auto"/>
                      <w:highlight w:val="none"/>
                      <w:lang w:val="en-US" w:eastAsia="zh-CN"/>
                    </w:rPr>
                  </w:pPr>
                  <w:r>
                    <w:rPr>
                      <w:rFonts w:hint="eastAsia"/>
                      <w:bCs/>
                      <w:color w:val="auto"/>
                      <w:highlight w:val="none"/>
                      <w:lang w:val="en-US" w:eastAsia="zh-CN"/>
                    </w:rPr>
                    <w:t>危险废物贮存点贮存废润滑油、废油桶、废油漆桶等危险废物，包装物加盖贮存等措施。二道沟公司已取得排污许可证登记回执，待本项目发生实际排污前变更排污许可登记</w:t>
                  </w:r>
                </w:p>
              </w:tc>
              <w:tc>
                <w:tcPr>
                  <w:tcW w:w="768" w:type="dxa"/>
                  <w:tcBorders>
                    <w:tl2br w:val="nil"/>
                    <w:tr2bl w:val="nil"/>
                  </w:tcBorders>
                  <w:vAlign w:val="center"/>
                </w:tcPr>
                <w:p>
                  <w:pPr>
                    <w:pStyle w:val="22"/>
                    <w:rPr>
                      <w:bCs/>
                      <w:color w:val="auto"/>
                      <w:highlight w:val="none"/>
                    </w:rPr>
                  </w:pPr>
                  <w:r>
                    <w:rPr>
                      <w:rFonts w:hint="eastAsia"/>
                      <w:bCs/>
                      <w:color w:val="auto"/>
                      <w:highlight w:val="none"/>
                    </w:rPr>
                    <w:t>符合</w:t>
                  </w:r>
                </w:p>
              </w:tc>
            </w:tr>
          </w:tbl>
          <w:p>
            <w:pPr>
              <w:pStyle w:val="12"/>
              <w:ind w:firstLine="480"/>
              <w:rPr>
                <w:rFonts w:hint="eastAsia" w:eastAsia="宋体"/>
                <w:color w:val="auto"/>
                <w:highlight w:val="none"/>
                <w:lang w:eastAsia="zh-CN"/>
              </w:rPr>
            </w:pPr>
            <w:r>
              <w:rPr>
                <w:rFonts w:hint="eastAsia"/>
                <w:color w:val="auto"/>
                <w:highlight w:val="none"/>
                <w:lang w:eastAsia="zh-CN"/>
              </w:rPr>
              <w:t>本项目与</w:t>
            </w:r>
            <w:r>
              <w:rPr>
                <w:rFonts w:hint="eastAsia"/>
                <w:color w:val="auto"/>
                <w:highlight w:val="none"/>
              </w:rPr>
              <w:t>《“十三五”挥发性有机物污染防治工作方案》（环大气〔2017〕121号）</w:t>
            </w:r>
            <w:r>
              <w:rPr>
                <w:rFonts w:hint="eastAsia"/>
                <w:color w:val="auto"/>
                <w:highlight w:val="none"/>
                <w:lang w:eastAsia="zh-CN"/>
              </w:rPr>
              <w:t>中相关内容符合。</w:t>
            </w:r>
          </w:p>
          <w:p>
            <w:pPr>
              <w:pStyle w:val="12"/>
              <w:ind w:firstLine="480"/>
              <w:rPr>
                <w:rFonts w:hint="eastAsia" w:eastAsia="宋体"/>
                <w:color w:val="auto"/>
                <w:highlight w:val="none"/>
                <w:lang w:eastAsia="zh-CN"/>
              </w:rPr>
            </w:pPr>
            <w:r>
              <w:rPr>
                <w:rFonts w:hint="eastAsia"/>
                <w:color w:val="auto"/>
                <w:highlight w:val="none"/>
                <w:lang w:val="en-US" w:eastAsia="zh-CN"/>
              </w:rPr>
              <w:t>5.10本项目与</w:t>
            </w:r>
            <w:r>
              <w:rPr>
                <w:rFonts w:hint="eastAsia"/>
                <w:color w:val="auto"/>
                <w:highlight w:val="none"/>
              </w:rPr>
              <w:t>《挥发性有机物（VOCs）污染防治技术政策》（公告2013年第31号）</w:t>
            </w:r>
            <w:r>
              <w:rPr>
                <w:rFonts w:hint="eastAsia"/>
                <w:color w:val="auto"/>
                <w:highlight w:val="none"/>
                <w:lang w:eastAsia="zh-CN"/>
              </w:rPr>
              <w:t>符合性分析</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与</w:t>
            </w:r>
            <w:r>
              <w:rPr>
                <w:rFonts w:hint="eastAsia"/>
                <w:color w:val="auto"/>
                <w:highlight w:val="none"/>
              </w:rPr>
              <w:t>《挥发性有机物（VOCs）污染防治技术政策》（公告2013年第31号）</w:t>
            </w:r>
            <w:r>
              <w:rPr>
                <w:color w:val="auto"/>
                <w:highlight w:val="none"/>
              </w:rPr>
              <w:t>符合性分析</w:t>
            </w:r>
          </w:p>
          <w:tbl>
            <w:tblPr>
              <w:tblStyle w:val="15"/>
              <w:tblW w:w="743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6"/>
              <w:gridCol w:w="3470"/>
              <w:gridCol w:w="2369"/>
              <w:gridCol w:w="8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2" w:hRule="atLeast"/>
                <w:jc w:val="center"/>
              </w:trPr>
              <w:tc>
                <w:tcPr>
                  <w:tcW w:w="756"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序号</w:t>
                  </w:r>
                </w:p>
              </w:tc>
              <w:tc>
                <w:tcPr>
                  <w:tcW w:w="3470" w:type="dxa"/>
                  <w:tcBorders>
                    <w:tl2br w:val="nil"/>
                    <w:tr2bl w:val="nil"/>
                  </w:tcBorders>
                  <w:vAlign w:val="center"/>
                </w:tcPr>
                <w:p>
                  <w:pPr>
                    <w:pStyle w:val="25"/>
                    <w:rPr>
                      <w:rFonts w:hint="default"/>
                      <w:color w:val="auto"/>
                      <w:highlight w:val="none"/>
                    </w:rPr>
                  </w:pPr>
                  <w:r>
                    <w:rPr>
                      <w:color w:val="auto"/>
                      <w:highlight w:val="none"/>
                    </w:rPr>
                    <w:t>分析内容</w:t>
                  </w:r>
                </w:p>
              </w:tc>
              <w:tc>
                <w:tcPr>
                  <w:tcW w:w="2369" w:type="dxa"/>
                  <w:tcBorders>
                    <w:tl2br w:val="nil"/>
                    <w:tr2bl w:val="nil"/>
                  </w:tcBorders>
                  <w:vAlign w:val="center"/>
                </w:tcPr>
                <w:p>
                  <w:pPr>
                    <w:pStyle w:val="25"/>
                    <w:rPr>
                      <w:rFonts w:hint="default"/>
                      <w:color w:val="auto"/>
                      <w:highlight w:val="none"/>
                    </w:rPr>
                  </w:pPr>
                  <w:r>
                    <w:rPr>
                      <w:color w:val="auto"/>
                      <w:highlight w:val="none"/>
                    </w:rPr>
                    <w:t>本项目情况</w:t>
                  </w:r>
                </w:p>
              </w:tc>
              <w:tc>
                <w:tcPr>
                  <w:tcW w:w="842"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86" w:hRule="atLeast"/>
                <w:jc w:val="center"/>
              </w:trPr>
              <w:tc>
                <w:tcPr>
                  <w:tcW w:w="756" w:type="dxa"/>
                  <w:tcBorders>
                    <w:tl2br w:val="nil"/>
                    <w:tr2bl w:val="nil"/>
                  </w:tcBorders>
                  <w:vAlign w:val="center"/>
                </w:tcPr>
                <w:p>
                  <w:pPr>
                    <w:pStyle w:val="22"/>
                    <w:rPr>
                      <w:rFonts w:hint="eastAsia" w:eastAsiaTheme="minorEastAsia"/>
                      <w:bCs/>
                      <w:color w:val="auto"/>
                      <w:highlight w:val="none"/>
                      <w:lang w:val="en-US" w:eastAsia="zh-CN"/>
                    </w:rPr>
                  </w:pPr>
                  <w:r>
                    <w:rPr>
                      <w:rFonts w:hint="eastAsia"/>
                      <w:bCs/>
                      <w:color w:val="auto"/>
                      <w:highlight w:val="none"/>
                      <w:lang w:val="en-US" w:eastAsia="zh-CN"/>
                    </w:rPr>
                    <w:t>1</w:t>
                  </w:r>
                </w:p>
              </w:tc>
              <w:tc>
                <w:tcPr>
                  <w:tcW w:w="3470" w:type="dxa"/>
                  <w:tcBorders>
                    <w:tl2br w:val="nil"/>
                    <w:tr2bl w:val="nil"/>
                  </w:tcBorders>
                  <w:vAlign w:val="center"/>
                </w:tcPr>
                <w:p>
                  <w:pPr>
                    <w:pStyle w:val="22"/>
                    <w:rPr>
                      <w:rFonts w:hint="eastAsia" w:eastAsiaTheme="minorEastAsia"/>
                      <w:bCs/>
                      <w:color w:val="auto"/>
                      <w:highlight w:val="none"/>
                      <w:lang w:eastAsia="zh-CN"/>
                    </w:rPr>
                  </w:pPr>
                  <w:r>
                    <w:rPr>
                      <w:rFonts w:hint="eastAsia"/>
                      <w:bCs/>
                      <w:color w:val="auto"/>
                      <w:highlight w:val="none"/>
                      <w:lang w:eastAsia="zh-CN"/>
                    </w:rPr>
                    <w:t>VOCs</w:t>
                  </w:r>
                  <w:r>
                    <w:rPr>
                      <w:rFonts w:hint="eastAsia" w:eastAsiaTheme="minorEastAsia"/>
                      <w:bCs/>
                      <w:color w:val="auto"/>
                      <w:highlight w:val="none"/>
                      <w:lang w:eastAsia="zh-CN"/>
                    </w:rPr>
                    <w:t>污染防治应遵循源头和过程控制与末端治理相结合的综合防治原则。在工业生产中采用清洁生产技术，严格控制含</w:t>
                  </w:r>
                  <w:r>
                    <w:rPr>
                      <w:rFonts w:hint="eastAsia"/>
                      <w:bCs/>
                      <w:color w:val="auto"/>
                      <w:highlight w:val="none"/>
                      <w:lang w:eastAsia="zh-CN"/>
                    </w:rPr>
                    <w:t>VOCs</w:t>
                  </w:r>
                  <w:r>
                    <w:rPr>
                      <w:rFonts w:hint="eastAsia" w:eastAsiaTheme="minorEastAsia"/>
                      <w:bCs/>
                      <w:color w:val="auto"/>
                      <w:highlight w:val="none"/>
                      <w:lang w:eastAsia="zh-CN"/>
                    </w:rPr>
                    <w:t>原料与产品在生产和储运销过程中的</w:t>
                  </w:r>
                  <w:r>
                    <w:rPr>
                      <w:rFonts w:hint="eastAsia"/>
                      <w:bCs/>
                      <w:color w:val="auto"/>
                      <w:highlight w:val="none"/>
                      <w:lang w:eastAsia="zh-CN"/>
                    </w:rPr>
                    <w:t>VOCs</w:t>
                  </w:r>
                  <w:r>
                    <w:rPr>
                      <w:rFonts w:hint="eastAsia" w:eastAsiaTheme="minorEastAsia"/>
                      <w:bCs/>
                      <w:color w:val="auto"/>
                      <w:highlight w:val="none"/>
                      <w:lang w:eastAsia="zh-CN"/>
                    </w:rPr>
                    <w:t>排放，鼓励对资源和能源的回收利用</w:t>
                  </w:r>
                  <w:r>
                    <w:rPr>
                      <w:rFonts w:hint="eastAsia"/>
                      <w:bCs/>
                      <w:color w:val="auto"/>
                      <w:highlight w:val="none"/>
                      <w:lang w:eastAsia="zh-CN"/>
                    </w:rPr>
                    <w:t>；</w:t>
                  </w:r>
                  <w:r>
                    <w:rPr>
                      <w:rFonts w:hint="eastAsia" w:eastAsiaTheme="minorEastAsia"/>
                      <w:bCs/>
                      <w:color w:val="auto"/>
                      <w:highlight w:val="none"/>
                      <w:lang w:eastAsia="zh-CN"/>
                    </w:rPr>
                    <w:t>鼓励在生产和生活中使用不含</w:t>
                  </w:r>
                  <w:r>
                    <w:rPr>
                      <w:rFonts w:hint="eastAsia"/>
                      <w:bCs/>
                      <w:color w:val="auto"/>
                      <w:highlight w:val="none"/>
                      <w:lang w:eastAsia="zh-CN"/>
                    </w:rPr>
                    <w:t>VOCs</w:t>
                  </w:r>
                  <w:r>
                    <w:rPr>
                      <w:rFonts w:hint="eastAsia" w:eastAsiaTheme="minorEastAsia"/>
                      <w:bCs/>
                      <w:color w:val="auto"/>
                      <w:highlight w:val="none"/>
                      <w:lang w:eastAsia="zh-CN"/>
                    </w:rPr>
                    <w:t>的替代产品或低</w:t>
                  </w:r>
                  <w:r>
                    <w:rPr>
                      <w:rFonts w:hint="eastAsia"/>
                      <w:bCs/>
                      <w:color w:val="auto"/>
                      <w:highlight w:val="none"/>
                      <w:lang w:eastAsia="zh-CN"/>
                    </w:rPr>
                    <w:t>VOCs</w:t>
                  </w:r>
                  <w:r>
                    <w:rPr>
                      <w:rFonts w:hint="eastAsia" w:eastAsiaTheme="minorEastAsia"/>
                      <w:bCs/>
                      <w:color w:val="auto"/>
                      <w:highlight w:val="none"/>
                      <w:lang w:eastAsia="zh-CN"/>
                    </w:rPr>
                    <w:t>含量的产品</w:t>
                  </w:r>
                </w:p>
              </w:tc>
              <w:tc>
                <w:tcPr>
                  <w:tcW w:w="2369" w:type="dxa"/>
                  <w:tcBorders>
                    <w:tl2br w:val="nil"/>
                    <w:tr2bl w:val="nil"/>
                  </w:tcBorders>
                  <w:vAlign w:val="center"/>
                </w:tcPr>
                <w:p>
                  <w:pPr>
                    <w:pStyle w:val="22"/>
                    <w:rPr>
                      <w:rFonts w:hint="default" w:eastAsiaTheme="minorEastAsia"/>
                      <w:bCs/>
                      <w:color w:val="auto"/>
                      <w:highlight w:val="none"/>
                      <w:lang w:val="en-US" w:eastAsia="zh-CN"/>
                    </w:rPr>
                  </w:pPr>
                  <w:r>
                    <w:rPr>
                      <w:rFonts w:hint="eastAsia"/>
                      <w:bCs/>
                      <w:color w:val="auto"/>
                      <w:highlight w:val="none"/>
                      <w:lang w:val="en-US" w:eastAsia="zh-CN"/>
                    </w:rPr>
                    <w:t>危险废物贮存点贮存废润滑油、废油桶、废油漆桶等危险废物，通过包装物加盖贮存等措施进行收集贮存，实现贮存过程控制</w:t>
                  </w:r>
                </w:p>
              </w:tc>
              <w:tc>
                <w:tcPr>
                  <w:tcW w:w="842" w:type="dxa"/>
                  <w:tcBorders>
                    <w:tl2br w:val="nil"/>
                    <w:tr2bl w:val="nil"/>
                  </w:tcBorders>
                  <w:vAlign w:val="center"/>
                </w:tcPr>
                <w:p>
                  <w:pPr>
                    <w:pStyle w:val="22"/>
                    <w:rPr>
                      <w:bCs/>
                      <w:color w:val="auto"/>
                      <w:highlight w:val="none"/>
                    </w:rPr>
                  </w:pPr>
                  <w:r>
                    <w:rPr>
                      <w:rFonts w:hint="eastAsia"/>
                      <w:bCs/>
                      <w:color w:val="auto"/>
                      <w:highlight w:val="none"/>
                    </w:rPr>
                    <w:t>符合</w:t>
                  </w:r>
                </w:p>
              </w:tc>
            </w:tr>
          </w:tbl>
          <w:p>
            <w:pPr>
              <w:pStyle w:val="12"/>
              <w:ind w:firstLine="480"/>
              <w:rPr>
                <w:rFonts w:hint="eastAsia"/>
                <w:color w:val="auto"/>
                <w:highlight w:val="none"/>
                <w:lang w:eastAsia="zh-CN"/>
              </w:rPr>
            </w:pPr>
            <w:r>
              <w:rPr>
                <w:rFonts w:hint="eastAsia"/>
                <w:color w:val="auto"/>
                <w:highlight w:val="none"/>
                <w:lang w:eastAsia="zh-CN"/>
              </w:rPr>
              <w:t>本项目与</w:t>
            </w:r>
            <w:r>
              <w:rPr>
                <w:rFonts w:hint="eastAsia"/>
                <w:color w:val="auto"/>
                <w:highlight w:val="none"/>
              </w:rPr>
              <w:t>《挥发性有机物（VOCs）污染防治技术政策》（公告2013年第31号）</w:t>
            </w:r>
            <w:r>
              <w:rPr>
                <w:rFonts w:hint="eastAsia"/>
                <w:color w:val="auto"/>
                <w:highlight w:val="none"/>
                <w:lang w:eastAsia="zh-CN"/>
              </w:rPr>
              <w:t>中相关内容符合。</w:t>
            </w:r>
          </w:p>
          <w:p>
            <w:pPr>
              <w:pStyle w:val="12"/>
              <w:ind w:firstLine="480"/>
              <w:rPr>
                <w:rFonts w:hint="eastAsia"/>
                <w:color w:val="auto"/>
                <w:highlight w:val="none"/>
                <w:lang w:eastAsia="zh-CN"/>
              </w:rPr>
            </w:pPr>
            <w:r>
              <w:rPr>
                <w:rFonts w:hint="eastAsia"/>
                <w:color w:val="auto"/>
                <w:highlight w:val="none"/>
                <w:lang w:val="en-US" w:eastAsia="zh-CN"/>
              </w:rPr>
              <w:t>5.11本项目与</w:t>
            </w:r>
            <w:r>
              <w:rPr>
                <w:rFonts w:hint="eastAsia"/>
                <w:color w:val="auto"/>
                <w:highlight w:val="none"/>
              </w:rPr>
              <w:t>《关于印发《2020年挥发性有机物治理攻坚方案》的通知》（环大气〔2020〕33号）</w:t>
            </w:r>
            <w:r>
              <w:rPr>
                <w:rFonts w:hint="eastAsia"/>
                <w:color w:val="auto"/>
                <w:highlight w:val="none"/>
                <w:lang w:eastAsia="zh-CN"/>
              </w:rPr>
              <w:t>符合性分析</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与</w:t>
            </w:r>
            <w:r>
              <w:rPr>
                <w:rFonts w:hint="eastAsia"/>
                <w:color w:val="auto"/>
                <w:highlight w:val="none"/>
              </w:rPr>
              <w:t>《关于印发《2020年挥发性有机物治理攻坚方案》的通知》（环大气〔2020〕33号）</w:t>
            </w:r>
            <w:r>
              <w:rPr>
                <w:color w:val="auto"/>
                <w:highlight w:val="none"/>
              </w:rPr>
              <w:t>符合性分析</w:t>
            </w:r>
          </w:p>
          <w:tbl>
            <w:tblPr>
              <w:tblStyle w:val="15"/>
              <w:tblW w:w="743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1"/>
              <w:gridCol w:w="3771"/>
              <w:gridCol w:w="2042"/>
              <w:gridCol w:w="8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81"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序号</w:t>
                  </w:r>
                </w:p>
              </w:tc>
              <w:tc>
                <w:tcPr>
                  <w:tcW w:w="3771" w:type="dxa"/>
                  <w:tcBorders>
                    <w:tl2br w:val="nil"/>
                    <w:tr2bl w:val="nil"/>
                  </w:tcBorders>
                  <w:vAlign w:val="center"/>
                </w:tcPr>
                <w:p>
                  <w:pPr>
                    <w:pStyle w:val="25"/>
                    <w:rPr>
                      <w:rFonts w:hint="default"/>
                      <w:color w:val="auto"/>
                      <w:highlight w:val="none"/>
                    </w:rPr>
                  </w:pPr>
                  <w:r>
                    <w:rPr>
                      <w:color w:val="auto"/>
                      <w:highlight w:val="none"/>
                    </w:rPr>
                    <w:t>分析内容</w:t>
                  </w:r>
                </w:p>
              </w:tc>
              <w:tc>
                <w:tcPr>
                  <w:tcW w:w="2042" w:type="dxa"/>
                  <w:tcBorders>
                    <w:tl2br w:val="nil"/>
                    <w:tr2bl w:val="nil"/>
                  </w:tcBorders>
                  <w:vAlign w:val="center"/>
                </w:tcPr>
                <w:p>
                  <w:pPr>
                    <w:pStyle w:val="25"/>
                    <w:rPr>
                      <w:rFonts w:hint="default"/>
                      <w:color w:val="auto"/>
                      <w:highlight w:val="none"/>
                    </w:rPr>
                  </w:pPr>
                  <w:r>
                    <w:rPr>
                      <w:color w:val="auto"/>
                      <w:highlight w:val="none"/>
                    </w:rPr>
                    <w:t>本项目情况</w:t>
                  </w:r>
                </w:p>
              </w:tc>
              <w:tc>
                <w:tcPr>
                  <w:tcW w:w="843"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81" w:type="dxa"/>
                  <w:tcBorders>
                    <w:tl2br w:val="nil"/>
                    <w:tr2bl w:val="nil"/>
                  </w:tcBorders>
                  <w:vAlign w:val="center"/>
                </w:tcPr>
                <w:p>
                  <w:pPr>
                    <w:pStyle w:val="22"/>
                    <w:rPr>
                      <w:rFonts w:hint="eastAsia" w:eastAsiaTheme="minorEastAsia"/>
                      <w:bCs/>
                      <w:color w:val="auto"/>
                      <w:highlight w:val="none"/>
                      <w:lang w:val="en-US" w:eastAsia="zh-CN"/>
                    </w:rPr>
                  </w:pPr>
                  <w:r>
                    <w:rPr>
                      <w:rFonts w:hint="eastAsia"/>
                      <w:bCs/>
                      <w:color w:val="auto"/>
                      <w:highlight w:val="none"/>
                      <w:lang w:val="en-US" w:eastAsia="zh-CN"/>
                    </w:rPr>
                    <w:t>1</w:t>
                  </w:r>
                </w:p>
              </w:tc>
              <w:tc>
                <w:tcPr>
                  <w:tcW w:w="3771" w:type="dxa"/>
                  <w:tcBorders>
                    <w:tl2br w:val="nil"/>
                    <w:tr2bl w:val="nil"/>
                  </w:tcBorders>
                  <w:vAlign w:val="center"/>
                </w:tcPr>
                <w:p>
                  <w:pPr>
                    <w:pStyle w:val="22"/>
                    <w:rPr>
                      <w:rFonts w:hint="eastAsia" w:eastAsiaTheme="minorEastAsia"/>
                      <w:bCs/>
                      <w:color w:val="auto"/>
                      <w:highlight w:val="none"/>
                      <w:lang w:eastAsia="zh-CN"/>
                    </w:rPr>
                  </w:pPr>
                  <w:r>
                    <w:rPr>
                      <w:rFonts w:hint="eastAsia" w:eastAsiaTheme="minorEastAsia"/>
                      <w:bCs/>
                      <w:color w:val="auto"/>
                      <w:highlight w:val="none"/>
                      <w:lang w:eastAsia="zh-CN"/>
                    </w:rPr>
                    <w:t>企业在无组织排放排查整治过程中，在保证安全的前提下，加强含VOCs物料全方位、全链条、全环节密闭管理。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VOCs物料的包装容器、含VOCs废料（渣、液）、废吸附剂等通过加盖、封装等方式密闭，妥善存放，不得随意丢弃，7月15日前集中清运一次，交有资质的单位处置；处置单位在贮存、清洗、破碎等环节应按要求对VOCs无组织排放废气进行收集、处理。高VOCs含量废水的集输、储存和处理环节，应加盖密闭</w:t>
                  </w:r>
                </w:p>
              </w:tc>
              <w:tc>
                <w:tcPr>
                  <w:tcW w:w="2042" w:type="dxa"/>
                  <w:tcBorders>
                    <w:tl2br w:val="nil"/>
                    <w:tr2bl w:val="nil"/>
                  </w:tcBorders>
                  <w:vAlign w:val="center"/>
                </w:tcPr>
                <w:p>
                  <w:pPr>
                    <w:pStyle w:val="22"/>
                    <w:rPr>
                      <w:rFonts w:hint="default" w:eastAsiaTheme="minorEastAsia"/>
                      <w:bCs/>
                      <w:color w:val="auto"/>
                      <w:highlight w:val="none"/>
                      <w:lang w:val="en-US" w:eastAsia="zh-CN"/>
                    </w:rPr>
                  </w:pPr>
                  <w:r>
                    <w:rPr>
                      <w:rFonts w:hint="default" w:eastAsiaTheme="minorEastAsia"/>
                      <w:bCs/>
                      <w:color w:val="auto"/>
                      <w:highlight w:val="none"/>
                      <w:lang w:val="en-US" w:eastAsia="zh-CN"/>
                    </w:rPr>
                    <w:t>本项目</w:t>
                  </w:r>
                  <w:r>
                    <w:rPr>
                      <w:rFonts w:hint="eastAsia"/>
                      <w:bCs/>
                      <w:color w:val="auto"/>
                      <w:highlight w:val="none"/>
                      <w:lang w:val="en-US" w:eastAsia="zh-CN"/>
                    </w:rPr>
                    <w:t>废润滑油</w:t>
                  </w:r>
                  <w:r>
                    <w:rPr>
                      <w:rFonts w:hint="default" w:eastAsiaTheme="minorEastAsia"/>
                      <w:bCs/>
                      <w:color w:val="auto"/>
                      <w:highlight w:val="none"/>
                      <w:lang w:val="en-US" w:eastAsia="zh-CN"/>
                    </w:rPr>
                    <w:t>采用铁桶承装加盖贮存</w:t>
                  </w:r>
                  <w:r>
                    <w:rPr>
                      <w:rFonts w:hint="eastAsia"/>
                      <w:bCs/>
                      <w:color w:val="auto"/>
                      <w:highlight w:val="none"/>
                      <w:lang w:val="en-US" w:eastAsia="zh-CN"/>
                    </w:rPr>
                    <w:t>，</w:t>
                  </w:r>
                  <w:r>
                    <w:rPr>
                      <w:rFonts w:hint="eastAsia" w:eastAsiaTheme="minorEastAsia"/>
                      <w:bCs/>
                      <w:color w:val="auto"/>
                      <w:highlight w:val="none"/>
                      <w:lang w:eastAsia="zh-CN"/>
                    </w:rPr>
                    <w:t>在保证安全</w:t>
                  </w:r>
                  <w:r>
                    <w:rPr>
                      <w:rFonts w:hint="eastAsia"/>
                      <w:bCs/>
                      <w:color w:val="auto"/>
                      <w:highlight w:val="none"/>
                      <w:lang w:eastAsia="zh-CN"/>
                    </w:rPr>
                    <w:t>可操作性强</w:t>
                  </w:r>
                  <w:r>
                    <w:rPr>
                      <w:rFonts w:hint="eastAsia" w:eastAsiaTheme="minorEastAsia"/>
                      <w:bCs/>
                      <w:color w:val="auto"/>
                      <w:highlight w:val="none"/>
                      <w:lang w:eastAsia="zh-CN"/>
                    </w:rPr>
                    <w:t>的前提下，加强含VOCs物料全方位、全链条、全环节密闭管理</w:t>
                  </w:r>
                </w:p>
              </w:tc>
              <w:tc>
                <w:tcPr>
                  <w:tcW w:w="843" w:type="dxa"/>
                  <w:tcBorders>
                    <w:tl2br w:val="nil"/>
                    <w:tr2bl w:val="nil"/>
                  </w:tcBorders>
                  <w:vAlign w:val="center"/>
                </w:tcPr>
                <w:p>
                  <w:pPr>
                    <w:pStyle w:val="22"/>
                    <w:rPr>
                      <w:bCs/>
                      <w:color w:val="auto"/>
                      <w:highlight w:val="none"/>
                    </w:rPr>
                  </w:pPr>
                  <w:r>
                    <w:rPr>
                      <w:rFonts w:hint="eastAsia"/>
                      <w:bCs/>
                      <w:color w:val="auto"/>
                      <w:highlight w:val="none"/>
                    </w:rPr>
                    <w:t>符合</w:t>
                  </w:r>
                </w:p>
              </w:tc>
            </w:tr>
          </w:tbl>
          <w:p>
            <w:pPr>
              <w:pStyle w:val="12"/>
              <w:ind w:firstLine="480"/>
              <w:rPr>
                <w:rFonts w:hint="eastAsia"/>
                <w:color w:val="auto"/>
                <w:highlight w:val="none"/>
                <w:lang w:val="en-US" w:eastAsia="zh-CN"/>
              </w:rPr>
            </w:pPr>
            <w:r>
              <w:rPr>
                <w:rFonts w:hint="eastAsia"/>
                <w:color w:val="auto"/>
                <w:highlight w:val="none"/>
                <w:lang w:val="en-US" w:eastAsia="zh-CN"/>
              </w:rPr>
              <w:t>本项目与</w:t>
            </w:r>
            <w:r>
              <w:rPr>
                <w:rFonts w:hint="eastAsia"/>
                <w:color w:val="auto"/>
                <w:highlight w:val="none"/>
              </w:rPr>
              <w:t>《关于印发《2020年挥发性有机物治理攻坚方案》的通知》（环大气〔2020〕33号）</w:t>
            </w:r>
            <w:r>
              <w:rPr>
                <w:rFonts w:hint="eastAsia"/>
                <w:color w:val="auto"/>
                <w:highlight w:val="none"/>
                <w:lang w:eastAsia="zh-CN"/>
              </w:rPr>
              <w:t>中相关内容符合。</w:t>
            </w:r>
          </w:p>
          <w:p>
            <w:pPr>
              <w:pStyle w:val="12"/>
              <w:ind w:firstLine="480"/>
              <w:rPr>
                <w:color w:val="auto"/>
                <w:highlight w:val="none"/>
              </w:rPr>
            </w:pPr>
            <w:r>
              <w:rPr>
                <w:rFonts w:hint="eastAsia"/>
                <w:color w:val="auto"/>
                <w:highlight w:val="none"/>
              </w:rPr>
              <w:t>5.1</w:t>
            </w:r>
            <w:r>
              <w:rPr>
                <w:rFonts w:hint="eastAsia"/>
                <w:color w:val="auto"/>
                <w:highlight w:val="none"/>
                <w:lang w:val="en-US" w:eastAsia="zh-CN"/>
              </w:rPr>
              <w:t>2</w:t>
            </w:r>
            <w:r>
              <w:rPr>
                <w:rFonts w:hint="eastAsia"/>
                <w:color w:val="auto"/>
                <w:highlight w:val="none"/>
              </w:rPr>
              <w:t>本项目与《关于</w:t>
            </w:r>
            <w:r>
              <w:rPr>
                <w:rFonts w:hint="eastAsia"/>
                <w:color w:val="auto"/>
                <w:highlight w:val="none"/>
                <w:lang w:eastAsia="zh-CN"/>
              </w:rPr>
              <w:t>加强土壤污染重点监管单位土壤环境管理的通知</w:t>
            </w:r>
            <w:r>
              <w:rPr>
                <w:rFonts w:hint="eastAsia"/>
                <w:color w:val="auto"/>
                <w:highlight w:val="none"/>
              </w:rPr>
              <w:t>》（</w:t>
            </w:r>
            <w:r>
              <w:rPr>
                <w:rFonts w:hint="eastAsia"/>
                <w:color w:val="auto"/>
                <w:highlight w:val="none"/>
                <w:lang w:eastAsia="zh-CN"/>
              </w:rPr>
              <w:t>朝</w:t>
            </w:r>
            <w:r>
              <w:rPr>
                <w:rFonts w:hint="eastAsia"/>
                <w:color w:val="auto"/>
                <w:highlight w:val="none"/>
              </w:rPr>
              <w:t>环函〔202</w:t>
            </w:r>
            <w:r>
              <w:rPr>
                <w:rFonts w:hint="eastAsia"/>
                <w:color w:val="auto"/>
                <w:highlight w:val="none"/>
                <w:lang w:val="en-US" w:eastAsia="zh-CN"/>
              </w:rPr>
              <w:t>3</w:t>
            </w:r>
            <w:r>
              <w:rPr>
                <w:rFonts w:hint="eastAsia"/>
                <w:color w:val="auto"/>
                <w:highlight w:val="none"/>
              </w:rPr>
              <w:t>〕</w:t>
            </w:r>
            <w:r>
              <w:rPr>
                <w:rFonts w:hint="eastAsia"/>
                <w:color w:val="auto"/>
                <w:highlight w:val="none"/>
                <w:lang w:val="en-US" w:eastAsia="zh-CN"/>
              </w:rPr>
              <w:t>51</w:t>
            </w:r>
            <w:r>
              <w:rPr>
                <w:rFonts w:hint="eastAsia"/>
                <w:color w:val="auto"/>
                <w:highlight w:val="none"/>
              </w:rPr>
              <w:t>号）的符合性分析详见</w:t>
            </w:r>
            <w:r>
              <w:rPr>
                <w:rFonts w:hint="eastAsia"/>
                <w:color w:val="auto"/>
                <w:highlight w:val="none"/>
                <w:lang w:eastAsia="zh-CN"/>
              </w:rPr>
              <w:t>下</w:t>
            </w:r>
            <w:r>
              <w:rPr>
                <w:rFonts w:hint="eastAsia"/>
                <w:color w:val="auto"/>
                <w:highlight w:val="none"/>
              </w:rPr>
              <w:t>表。</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与</w:t>
            </w:r>
            <w:r>
              <w:rPr>
                <w:rFonts w:hint="eastAsia"/>
                <w:color w:val="auto"/>
                <w:highlight w:val="none"/>
              </w:rPr>
              <w:t>《关于加强土壤污染重点监管单位土壤环境管理的通知》（朝环函〔2023〕51号）</w:t>
            </w:r>
            <w:r>
              <w:rPr>
                <w:color w:val="auto"/>
                <w:highlight w:val="none"/>
              </w:rPr>
              <w:t>符合性分析</w:t>
            </w:r>
          </w:p>
          <w:tbl>
            <w:tblPr>
              <w:tblStyle w:val="15"/>
              <w:tblW w:w="743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6"/>
              <w:gridCol w:w="3323"/>
              <w:gridCol w:w="2377"/>
              <w:gridCol w:w="8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06"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序号</w:t>
                  </w:r>
                </w:p>
              </w:tc>
              <w:tc>
                <w:tcPr>
                  <w:tcW w:w="3323" w:type="dxa"/>
                  <w:tcBorders>
                    <w:tl2br w:val="nil"/>
                    <w:tr2bl w:val="nil"/>
                  </w:tcBorders>
                  <w:vAlign w:val="center"/>
                </w:tcPr>
                <w:p>
                  <w:pPr>
                    <w:pStyle w:val="25"/>
                    <w:rPr>
                      <w:rFonts w:hint="default"/>
                      <w:color w:val="auto"/>
                      <w:highlight w:val="none"/>
                    </w:rPr>
                  </w:pPr>
                  <w:r>
                    <w:rPr>
                      <w:color w:val="auto"/>
                      <w:highlight w:val="none"/>
                    </w:rPr>
                    <w:t>分析内容</w:t>
                  </w:r>
                </w:p>
              </w:tc>
              <w:tc>
                <w:tcPr>
                  <w:tcW w:w="2377" w:type="dxa"/>
                  <w:tcBorders>
                    <w:tl2br w:val="nil"/>
                    <w:tr2bl w:val="nil"/>
                  </w:tcBorders>
                  <w:vAlign w:val="center"/>
                </w:tcPr>
                <w:p>
                  <w:pPr>
                    <w:pStyle w:val="25"/>
                    <w:rPr>
                      <w:rFonts w:hint="default"/>
                      <w:color w:val="auto"/>
                      <w:highlight w:val="none"/>
                    </w:rPr>
                  </w:pPr>
                  <w:r>
                    <w:rPr>
                      <w:color w:val="auto"/>
                      <w:highlight w:val="none"/>
                    </w:rPr>
                    <w:t>本项目情况</w:t>
                  </w:r>
                </w:p>
              </w:tc>
              <w:tc>
                <w:tcPr>
                  <w:tcW w:w="832"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06" w:type="dxa"/>
                  <w:tcBorders>
                    <w:tl2br w:val="nil"/>
                    <w:tr2bl w:val="nil"/>
                  </w:tcBorders>
                  <w:vAlign w:val="center"/>
                </w:tcPr>
                <w:p>
                  <w:pPr>
                    <w:pStyle w:val="22"/>
                    <w:rPr>
                      <w:rFonts w:hint="eastAsia" w:eastAsiaTheme="minorEastAsia"/>
                      <w:bCs/>
                      <w:color w:val="auto"/>
                      <w:highlight w:val="none"/>
                      <w:lang w:val="en-US" w:eastAsia="zh-CN"/>
                    </w:rPr>
                  </w:pPr>
                  <w:r>
                    <w:rPr>
                      <w:rFonts w:hint="eastAsia"/>
                      <w:bCs/>
                      <w:color w:val="auto"/>
                      <w:highlight w:val="none"/>
                      <w:lang w:val="en-US" w:eastAsia="zh-CN"/>
                    </w:rPr>
                    <w:t>1</w:t>
                  </w:r>
                </w:p>
              </w:tc>
              <w:tc>
                <w:tcPr>
                  <w:tcW w:w="3323" w:type="dxa"/>
                  <w:tcBorders>
                    <w:tl2br w:val="nil"/>
                    <w:tr2bl w:val="nil"/>
                  </w:tcBorders>
                  <w:vAlign w:val="center"/>
                </w:tcPr>
                <w:p>
                  <w:pPr>
                    <w:pStyle w:val="22"/>
                    <w:rPr>
                      <w:rFonts w:hint="eastAsia" w:eastAsiaTheme="minorEastAsia"/>
                      <w:bCs/>
                      <w:color w:val="auto"/>
                      <w:highlight w:val="none"/>
                      <w:lang w:eastAsia="zh-CN"/>
                    </w:rPr>
                  </w:pPr>
                  <w:r>
                    <w:rPr>
                      <w:rFonts w:hint="eastAsia"/>
                      <w:bCs/>
                      <w:color w:val="auto"/>
                      <w:highlight w:val="none"/>
                      <w:lang w:eastAsia="zh-CN"/>
                    </w:rPr>
                    <w:t>做好新改扩建项目的土壤及地下水污染防治工作。重点监管单位新、改、扩建项目进行环境影响评价时应该按照《环境影响评价技术导则土壤环境（试行）》（</w:t>
                  </w:r>
                  <w:r>
                    <w:rPr>
                      <w:rFonts w:hint="eastAsia"/>
                      <w:bCs/>
                      <w:color w:val="auto"/>
                      <w:highlight w:val="none"/>
                      <w:lang w:val="en-US" w:eastAsia="zh-CN"/>
                    </w:rPr>
                    <w:t>HJ 964-2018</w:t>
                  </w:r>
                  <w:r>
                    <w:rPr>
                      <w:rFonts w:hint="eastAsia"/>
                      <w:bCs/>
                      <w:color w:val="auto"/>
                      <w:highlight w:val="none"/>
                      <w:lang w:eastAsia="zh-CN"/>
                    </w:rPr>
                    <w:t>）要求，做好项目用地土壤现状调查</w:t>
                  </w:r>
                </w:p>
              </w:tc>
              <w:tc>
                <w:tcPr>
                  <w:tcW w:w="2377" w:type="dxa"/>
                  <w:tcBorders>
                    <w:tl2br w:val="nil"/>
                    <w:tr2bl w:val="nil"/>
                  </w:tcBorders>
                  <w:vAlign w:val="center"/>
                </w:tcPr>
                <w:p>
                  <w:pPr>
                    <w:pStyle w:val="22"/>
                    <w:rPr>
                      <w:rFonts w:hint="default" w:eastAsiaTheme="minorEastAsia"/>
                      <w:bCs/>
                      <w:color w:val="auto"/>
                      <w:highlight w:val="none"/>
                      <w:lang w:val="en-US" w:eastAsia="zh-CN"/>
                    </w:rPr>
                  </w:pPr>
                  <w:r>
                    <w:rPr>
                      <w:rFonts w:hint="eastAsia"/>
                      <w:bCs/>
                      <w:color w:val="auto"/>
                      <w:highlight w:val="none"/>
                      <w:lang w:val="en-US" w:eastAsia="zh-CN"/>
                    </w:rPr>
                    <w:t>本项目现阶段为环境影响评价阶段，已进行现状调查，根据监测结果可知，均符合《土壤环境质量建设用地土壤污染风险管控标准（试行）》（GB36600-2018）表1中二类用地筛选值</w:t>
                  </w:r>
                </w:p>
              </w:tc>
              <w:tc>
                <w:tcPr>
                  <w:tcW w:w="832" w:type="dxa"/>
                  <w:tcBorders>
                    <w:tl2br w:val="nil"/>
                    <w:tr2bl w:val="nil"/>
                  </w:tcBorders>
                  <w:vAlign w:val="center"/>
                </w:tcPr>
                <w:p>
                  <w:pPr>
                    <w:pStyle w:val="22"/>
                    <w:rPr>
                      <w:bCs/>
                      <w:color w:val="auto"/>
                      <w:highlight w:val="none"/>
                    </w:rPr>
                  </w:pPr>
                  <w:r>
                    <w:rPr>
                      <w:rFonts w:hint="eastAsia"/>
                      <w:bCs/>
                      <w:color w:val="auto"/>
                      <w:highlight w:val="none"/>
                    </w:rPr>
                    <w:t>符合</w:t>
                  </w:r>
                </w:p>
              </w:tc>
            </w:tr>
          </w:tbl>
          <w:p>
            <w:pPr>
              <w:pStyle w:val="12"/>
              <w:ind w:firstLine="480"/>
              <w:rPr>
                <w:rFonts w:hint="eastAsia"/>
                <w:color w:val="auto"/>
                <w:highlight w:val="none"/>
              </w:rPr>
            </w:pPr>
            <w:r>
              <w:rPr>
                <w:rFonts w:hint="eastAsia"/>
                <w:color w:val="auto"/>
                <w:highlight w:val="none"/>
              </w:rPr>
              <w:t>本项目与《关于加强土壤污染重点监管单位土壤环境管理的通知》（朝环函〔2023〕51号）中相关内容符合。</w:t>
            </w:r>
          </w:p>
          <w:p>
            <w:pPr>
              <w:pStyle w:val="12"/>
              <w:ind w:firstLine="480"/>
              <w:rPr>
                <w:color w:val="auto"/>
                <w:highlight w:val="none"/>
              </w:rPr>
            </w:pPr>
            <w:r>
              <w:rPr>
                <w:rFonts w:hint="eastAsia"/>
                <w:color w:val="auto"/>
                <w:highlight w:val="none"/>
              </w:rPr>
              <w:t>5.1</w:t>
            </w:r>
            <w:r>
              <w:rPr>
                <w:rFonts w:hint="eastAsia"/>
                <w:color w:val="auto"/>
                <w:highlight w:val="none"/>
                <w:lang w:val="en-US" w:eastAsia="zh-CN"/>
              </w:rPr>
              <w:t>3</w:t>
            </w:r>
            <w:r>
              <w:rPr>
                <w:rFonts w:hint="eastAsia"/>
                <w:color w:val="auto"/>
                <w:highlight w:val="none"/>
              </w:rPr>
              <w:t>本项目与关于印发《朝阳市深入打好重污染天气消除、臭氧污染防治和柴油货车污染治理攻坚战新突破三年行动方案》的通知（朝环发〔2023〕44号）的符合性分析详见</w:t>
            </w:r>
            <w:r>
              <w:rPr>
                <w:rFonts w:hint="eastAsia"/>
                <w:color w:val="auto"/>
                <w:highlight w:val="none"/>
                <w:lang w:eastAsia="zh-CN"/>
              </w:rPr>
              <w:t>下</w:t>
            </w:r>
            <w:r>
              <w:rPr>
                <w:rFonts w:hint="eastAsia"/>
                <w:color w:val="auto"/>
                <w:highlight w:val="none"/>
              </w:rPr>
              <w:t>表。</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与</w:t>
            </w:r>
            <w:r>
              <w:rPr>
                <w:rFonts w:hint="eastAsia"/>
                <w:color w:val="auto"/>
                <w:highlight w:val="none"/>
              </w:rPr>
              <w:t>关于印发《朝阳市深入打好重污染天气消除、臭氧污染防治和柴油货车污染治理攻坚战新突破三年行动方案》的通知（</w:t>
            </w:r>
            <w:r>
              <w:rPr>
                <w:rFonts w:hint="eastAsia"/>
                <w:color w:val="auto"/>
                <w:highlight w:val="none"/>
                <w:lang w:eastAsia="zh-CN"/>
              </w:rPr>
              <w:t>朝</w:t>
            </w:r>
            <w:r>
              <w:rPr>
                <w:rFonts w:hint="eastAsia"/>
                <w:color w:val="auto"/>
                <w:highlight w:val="none"/>
              </w:rPr>
              <w:t>环</w:t>
            </w:r>
            <w:r>
              <w:rPr>
                <w:rFonts w:hint="eastAsia"/>
                <w:color w:val="auto"/>
                <w:highlight w:val="none"/>
                <w:lang w:eastAsia="zh-CN"/>
              </w:rPr>
              <w:t>发</w:t>
            </w:r>
            <w:r>
              <w:rPr>
                <w:rFonts w:hint="eastAsia"/>
                <w:color w:val="auto"/>
                <w:highlight w:val="none"/>
              </w:rPr>
              <w:t>〔202</w:t>
            </w:r>
            <w:r>
              <w:rPr>
                <w:rFonts w:hint="eastAsia"/>
                <w:color w:val="auto"/>
                <w:highlight w:val="none"/>
                <w:lang w:val="en-US" w:eastAsia="zh-CN"/>
              </w:rPr>
              <w:t>3</w:t>
            </w:r>
            <w:r>
              <w:rPr>
                <w:rFonts w:hint="eastAsia"/>
                <w:color w:val="auto"/>
                <w:highlight w:val="none"/>
              </w:rPr>
              <w:t>〕</w:t>
            </w:r>
            <w:r>
              <w:rPr>
                <w:rFonts w:hint="eastAsia"/>
                <w:color w:val="auto"/>
                <w:highlight w:val="none"/>
                <w:lang w:val="en-US" w:eastAsia="zh-CN"/>
              </w:rPr>
              <w:t>44</w:t>
            </w:r>
            <w:r>
              <w:rPr>
                <w:rFonts w:hint="eastAsia"/>
                <w:color w:val="auto"/>
                <w:highlight w:val="none"/>
              </w:rPr>
              <w:t>号）</w:t>
            </w:r>
            <w:r>
              <w:rPr>
                <w:color w:val="auto"/>
                <w:highlight w:val="none"/>
              </w:rPr>
              <w:t>符合性分析</w:t>
            </w:r>
          </w:p>
          <w:tbl>
            <w:tblPr>
              <w:tblStyle w:val="15"/>
              <w:tblW w:w="743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3691"/>
              <w:gridCol w:w="2016"/>
              <w:gridCol w:w="8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96" w:type="dxa"/>
                  <w:tcBorders>
                    <w:tl2br w:val="nil"/>
                    <w:tr2bl w:val="nil"/>
                  </w:tcBorders>
                  <w:vAlign w:val="center"/>
                </w:tcPr>
                <w:p>
                  <w:pPr>
                    <w:pStyle w:val="25"/>
                    <w:rPr>
                      <w:rFonts w:hint="default"/>
                      <w:color w:val="auto"/>
                      <w:highlight w:val="none"/>
                    </w:rPr>
                  </w:pPr>
                  <w:r>
                    <w:rPr>
                      <w:color w:val="auto"/>
                      <w:highlight w:val="none"/>
                    </w:rPr>
                    <w:t>序号</w:t>
                  </w:r>
                </w:p>
              </w:tc>
              <w:tc>
                <w:tcPr>
                  <w:tcW w:w="3691" w:type="dxa"/>
                  <w:tcBorders>
                    <w:tl2br w:val="nil"/>
                    <w:tr2bl w:val="nil"/>
                  </w:tcBorders>
                  <w:vAlign w:val="center"/>
                </w:tcPr>
                <w:p>
                  <w:pPr>
                    <w:pStyle w:val="25"/>
                    <w:rPr>
                      <w:rFonts w:hint="default"/>
                      <w:color w:val="auto"/>
                      <w:highlight w:val="none"/>
                    </w:rPr>
                  </w:pPr>
                  <w:r>
                    <w:rPr>
                      <w:color w:val="auto"/>
                      <w:highlight w:val="none"/>
                    </w:rPr>
                    <w:t>分析内容</w:t>
                  </w:r>
                </w:p>
              </w:tc>
              <w:tc>
                <w:tcPr>
                  <w:tcW w:w="2016" w:type="dxa"/>
                  <w:tcBorders>
                    <w:tl2br w:val="nil"/>
                    <w:tr2bl w:val="nil"/>
                  </w:tcBorders>
                  <w:vAlign w:val="center"/>
                </w:tcPr>
                <w:p>
                  <w:pPr>
                    <w:pStyle w:val="25"/>
                    <w:rPr>
                      <w:rFonts w:hint="default"/>
                      <w:color w:val="auto"/>
                      <w:highlight w:val="none"/>
                    </w:rPr>
                  </w:pPr>
                  <w:r>
                    <w:rPr>
                      <w:color w:val="auto"/>
                      <w:highlight w:val="none"/>
                    </w:rPr>
                    <w:t>本项目情况</w:t>
                  </w:r>
                </w:p>
              </w:tc>
              <w:tc>
                <w:tcPr>
                  <w:tcW w:w="832" w:type="dxa"/>
                  <w:tcBorders>
                    <w:tl2br w:val="nil"/>
                    <w:tr2bl w:val="nil"/>
                  </w:tcBorders>
                  <w:vAlign w:val="center"/>
                </w:tcPr>
                <w:p>
                  <w:pPr>
                    <w:pStyle w:val="25"/>
                    <w:rPr>
                      <w:rFonts w:hint="default"/>
                      <w:color w:val="auto"/>
                      <w:highlight w:val="none"/>
                    </w:rPr>
                  </w:pPr>
                  <w:r>
                    <w:rPr>
                      <w:color w:val="auto"/>
                      <w:highlight w:val="none"/>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96" w:type="dxa"/>
                  <w:tcBorders>
                    <w:tl2br w:val="nil"/>
                    <w:tr2bl w:val="nil"/>
                  </w:tcBorders>
                  <w:vAlign w:val="center"/>
                </w:tcPr>
                <w:p>
                  <w:pPr>
                    <w:pStyle w:val="22"/>
                    <w:rPr>
                      <w:bCs/>
                      <w:color w:val="auto"/>
                      <w:highlight w:val="none"/>
                    </w:rPr>
                  </w:pPr>
                  <w:r>
                    <w:rPr>
                      <w:rFonts w:hint="eastAsia"/>
                      <w:bCs/>
                      <w:color w:val="auto"/>
                      <w:highlight w:val="none"/>
                    </w:rPr>
                    <w:t>1</w:t>
                  </w:r>
                </w:p>
              </w:tc>
              <w:tc>
                <w:tcPr>
                  <w:tcW w:w="3691" w:type="dxa"/>
                  <w:tcBorders>
                    <w:tl2br w:val="nil"/>
                    <w:tr2bl w:val="nil"/>
                  </w:tcBorders>
                  <w:vAlign w:val="center"/>
                </w:tcPr>
                <w:p>
                  <w:pPr>
                    <w:pStyle w:val="22"/>
                    <w:rPr>
                      <w:bCs/>
                      <w:color w:val="auto"/>
                      <w:highlight w:val="none"/>
                    </w:rPr>
                  </w:pPr>
                  <w:r>
                    <w:rPr>
                      <w:rFonts w:hint="eastAsia"/>
                      <w:bCs/>
                      <w:color w:val="auto"/>
                      <w:highlight w:val="none"/>
                    </w:rPr>
                    <w:t>统筹大气污染防治与“双碳”目标要求，将打好重污染天气消除、臭氧污染防治和柴油货车污染治理三个标志性战役任务措施与降碳措施一体谋划、一体推进，优化调整产业、能源、运输结构，从源头减少大气污染物和碳排放，推进绿色低碳发展实现新突破。促进产业绿色转型升级，坚决遏制高耗能、高排放、低水平项目盲目发展，开展传统产业集群和工业园区升级改造。推动能源清洁低碳转型，开展散煤清洁化替代和供热管网覆盖范围内燃煤锅炉关停整合。构建绿色交通运输体系，坚持“车、油、路、企”统筹，以柴油货车和非道路移动机械为监管重点，聚焦煤炭、焦炭、矿石等大宗物料运输通道，坚持源头防控、过程防控和协同防控，加快推进“公转铁”，提高机动车和非道路移动机械绿色低碳水平。聚焦挥发性有机物（VOCs）、氮氧化物（NOx）等多污染物协同减排。以化工、涂装、制药、包装印刷和油品储运销等为重点，加强VOCs源头、无组织、末端全流程治理。高质量完成钢铁行业超低排放改造，推动玻璃、矿物棉、铸造、石灰、电石等行业深度治理。严把治理工程质量，多措并举治理低价中标乱象。统筹做好大气污染防治过程中安全防范工作</w:t>
                  </w:r>
                </w:p>
              </w:tc>
              <w:tc>
                <w:tcPr>
                  <w:tcW w:w="2016" w:type="dxa"/>
                  <w:tcBorders>
                    <w:tl2br w:val="nil"/>
                    <w:tr2bl w:val="nil"/>
                  </w:tcBorders>
                  <w:vAlign w:val="center"/>
                </w:tcPr>
                <w:p>
                  <w:pPr>
                    <w:pStyle w:val="22"/>
                    <w:rPr>
                      <w:rFonts w:hint="default" w:eastAsiaTheme="minorEastAsia"/>
                      <w:bCs/>
                      <w:color w:val="auto"/>
                      <w:highlight w:val="none"/>
                      <w:lang w:val="en-US" w:eastAsia="zh-CN"/>
                    </w:rPr>
                  </w:pPr>
                  <w:r>
                    <w:rPr>
                      <w:rFonts w:hint="eastAsia"/>
                      <w:bCs/>
                      <w:color w:val="auto"/>
                      <w:highlight w:val="none"/>
                      <w:lang w:val="en-US" w:eastAsia="zh-CN"/>
                    </w:rPr>
                    <w:t>本项目为二道沟公司配套建设的危险废物贮存项目，项目</w:t>
                  </w:r>
                  <w:r>
                    <w:rPr>
                      <w:rFonts w:hint="eastAsia"/>
                      <w:color w:val="auto"/>
                      <w:highlight w:val="none"/>
                    </w:rPr>
                    <w:t>单纯收集、贮存</w:t>
                  </w:r>
                  <w:r>
                    <w:rPr>
                      <w:rFonts w:hint="eastAsia"/>
                      <w:color w:val="auto"/>
                      <w:highlight w:val="none"/>
                      <w:lang w:eastAsia="zh-CN"/>
                    </w:rPr>
                    <w:t>企业产生的危险废物，不属于</w:t>
                  </w:r>
                  <w:r>
                    <w:rPr>
                      <w:rFonts w:hint="eastAsia"/>
                      <w:bCs/>
                      <w:color w:val="auto"/>
                      <w:highlight w:val="none"/>
                    </w:rPr>
                    <w:t>高耗能、高排放、低水平项目</w:t>
                  </w:r>
                  <w:r>
                    <w:rPr>
                      <w:rFonts w:hint="eastAsia"/>
                      <w:bCs/>
                      <w:color w:val="auto"/>
                      <w:highlight w:val="none"/>
                      <w:lang w:eastAsia="zh-CN"/>
                    </w:rPr>
                    <w:t>；本项目贮存产生的废气通过加盖贮存</w:t>
                  </w:r>
                  <w:r>
                    <w:rPr>
                      <w:rFonts w:hint="eastAsia"/>
                      <w:bCs/>
                      <w:color w:val="auto"/>
                      <w:highlight w:val="none"/>
                      <w:lang w:val="en-US" w:eastAsia="zh-CN"/>
                    </w:rPr>
                    <w:t>等措施</w:t>
                  </w:r>
                </w:p>
              </w:tc>
              <w:tc>
                <w:tcPr>
                  <w:tcW w:w="832" w:type="dxa"/>
                  <w:tcBorders>
                    <w:tl2br w:val="nil"/>
                    <w:tr2bl w:val="nil"/>
                  </w:tcBorders>
                  <w:vAlign w:val="center"/>
                </w:tcPr>
                <w:p>
                  <w:pPr>
                    <w:pStyle w:val="22"/>
                    <w:rPr>
                      <w:bCs/>
                      <w:color w:val="auto"/>
                      <w:highlight w:val="none"/>
                    </w:rPr>
                  </w:pPr>
                  <w:r>
                    <w:rPr>
                      <w:rFonts w:hint="eastAsia"/>
                      <w:bCs/>
                      <w:color w:val="auto"/>
                      <w:highlight w:val="none"/>
                    </w:rPr>
                    <w:t>符合</w:t>
                  </w:r>
                </w:p>
              </w:tc>
            </w:tr>
          </w:tbl>
          <w:p>
            <w:pPr>
              <w:pStyle w:val="12"/>
              <w:ind w:firstLine="480"/>
              <w:rPr>
                <w:rFonts w:hint="eastAsia"/>
                <w:color w:val="auto"/>
                <w:highlight w:val="none"/>
                <w:lang w:eastAsia="zh-CN"/>
              </w:rPr>
            </w:pPr>
            <w:r>
              <w:rPr>
                <w:rFonts w:hint="eastAsia"/>
                <w:color w:val="auto"/>
                <w:highlight w:val="none"/>
              </w:rPr>
              <w:t>本项目与《关于印发《朝阳市深入打好重污染天气消除、臭氧污染防治和柴油货车污染治理攻坚战新突破三年行动方案》的通知》（朝环发〔2023〕44号）中相关内容符合</w:t>
            </w:r>
            <w:r>
              <w:rPr>
                <w:rFonts w:hint="eastAsia"/>
                <w:color w:val="auto"/>
                <w:highlight w:val="none"/>
                <w:lang w:eastAsia="zh-CN"/>
              </w:rPr>
              <w:t>。</w:t>
            </w:r>
          </w:p>
          <w:p>
            <w:pPr>
              <w:pStyle w:val="12"/>
              <w:ind w:firstLine="480"/>
              <w:rPr>
                <w:color w:val="auto"/>
                <w:highlight w:val="none"/>
              </w:rPr>
            </w:pPr>
            <w:r>
              <w:rPr>
                <w:rFonts w:hint="eastAsia"/>
                <w:color w:val="auto"/>
                <w:highlight w:val="none"/>
              </w:rPr>
              <w:t>5.1</w:t>
            </w:r>
            <w:r>
              <w:rPr>
                <w:rFonts w:hint="eastAsia"/>
                <w:color w:val="auto"/>
                <w:highlight w:val="none"/>
                <w:lang w:val="en-US" w:eastAsia="zh-CN"/>
              </w:rPr>
              <w:t>4</w:t>
            </w:r>
            <w:r>
              <w:rPr>
                <w:rFonts w:hint="eastAsia"/>
                <w:color w:val="auto"/>
                <w:highlight w:val="none"/>
              </w:rPr>
              <w:t>本项目与《中华人民共和国防沙治沙法》的符合性分析详见</w:t>
            </w:r>
            <w:r>
              <w:rPr>
                <w:rFonts w:hint="eastAsia"/>
                <w:color w:val="auto"/>
                <w:highlight w:val="none"/>
                <w:lang w:eastAsia="zh-CN"/>
              </w:rPr>
              <w:t>下</w:t>
            </w:r>
            <w:r>
              <w:rPr>
                <w:rFonts w:hint="eastAsia"/>
                <w:color w:val="auto"/>
                <w:highlight w:val="none"/>
              </w:rPr>
              <w:t>表。</w:t>
            </w:r>
          </w:p>
          <w:p>
            <w:pPr>
              <w:pStyle w:val="23"/>
              <w:numPr>
                <w:ilvl w:val="0"/>
                <w:numId w:val="2"/>
              </w:numPr>
              <w:bidi w:val="0"/>
              <w:ind w:left="0" w:leftChars="0" w:firstLine="0" w:firstLineChars="0"/>
              <w:rPr>
                <w:rFonts w:hint="default"/>
                <w:color w:val="auto"/>
                <w:highlight w:val="none"/>
              </w:rPr>
            </w:pPr>
            <w:r>
              <w:rPr>
                <w:rFonts w:hint="eastAsia"/>
                <w:color w:val="auto"/>
                <w:highlight w:val="none"/>
                <w:lang w:val="en-US" w:eastAsia="zh-CN"/>
              </w:rPr>
              <w:t xml:space="preserve">   </w:t>
            </w:r>
            <w:r>
              <w:rPr>
                <w:rFonts w:hint="default"/>
                <w:color w:val="auto"/>
                <w:highlight w:val="none"/>
              </w:rPr>
              <w:t>与</w:t>
            </w:r>
            <w:r>
              <w:rPr>
                <w:rFonts w:hint="eastAsia"/>
                <w:color w:val="auto"/>
                <w:highlight w:val="none"/>
              </w:rPr>
              <w:t>“</w:t>
            </w:r>
            <w:r>
              <w:rPr>
                <w:rFonts w:hint="eastAsia" w:ascii="Times New Roman" w:hAnsi="Times New Roman" w:eastAsia="宋体"/>
                <w:color w:val="auto"/>
                <w:highlight w:val="none"/>
                <w:lang w:val="en-US" w:eastAsia="zh-CN"/>
              </w:rPr>
              <w:t>《</w:t>
            </w:r>
            <w:r>
              <w:rPr>
                <w:rFonts w:hint="eastAsia"/>
                <w:color w:val="auto"/>
                <w:highlight w:val="none"/>
                <w:lang w:val="en-US" w:eastAsia="zh-CN"/>
              </w:rPr>
              <w:t>中华人民共和国</w:t>
            </w:r>
            <w:r>
              <w:rPr>
                <w:rFonts w:hint="eastAsia" w:ascii="Times New Roman" w:hAnsi="Times New Roman" w:eastAsia="宋体"/>
                <w:color w:val="auto"/>
                <w:highlight w:val="none"/>
                <w:lang w:val="en-US" w:eastAsia="zh-CN"/>
              </w:rPr>
              <w:t>防沙治沙法</w:t>
            </w:r>
            <w:r>
              <w:rPr>
                <w:rFonts w:hint="eastAsia"/>
                <w:color w:val="auto"/>
                <w:highlight w:val="none"/>
                <w:lang w:val="en-US" w:eastAsia="zh-CN"/>
              </w:rPr>
              <w:t>》</w:t>
            </w:r>
            <w:r>
              <w:rPr>
                <w:rFonts w:hint="eastAsia"/>
                <w:color w:val="auto"/>
                <w:highlight w:val="none"/>
              </w:rPr>
              <w:t>”</w:t>
            </w:r>
            <w:r>
              <w:rPr>
                <w:rFonts w:hint="default"/>
                <w:color w:val="auto"/>
                <w:highlight w:val="none"/>
              </w:rPr>
              <w:t>符合性分析</w:t>
            </w:r>
          </w:p>
          <w:tbl>
            <w:tblPr>
              <w:tblStyle w:val="15"/>
              <w:tblW w:w="741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6"/>
              <w:gridCol w:w="3292"/>
              <w:gridCol w:w="2403"/>
              <w:gridCol w:w="8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32" w:hRule="atLeast"/>
              </w:trPr>
              <w:tc>
                <w:tcPr>
                  <w:tcW w:w="906" w:type="dxa"/>
                  <w:tcBorders>
                    <w:tl2br w:val="nil"/>
                    <w:tr2bl w:val="nil"/>
                  </w:tcBorders>
                  <w:vAlign w:val="center"/>
                </w:tcPr>
                <w:p>
                  <w:pPr>
                    <w:pStyle w:val="25"/>
                    <w:bidi w:val="0"/>
                    <w:rPr>
                      <w:rFonts w:hint="eastAsia"/>
                      <w:color w:val="auto"/>
                      <w:highlight w:val="none"/>
                      <w:lang w:val="en-US" w:eastAsia="zh-CN"/>
                    </w:rPr>
                  </w:pPr>
                  <w:r>
                    <w:rPr>
                      <w:rFonts w:hint="eastAsia"/>
                      <w:color w:val="auto"/>
                      <w:highlight w:val="none"/>
                      <w:lang w:val="en-US" w:eastAsia="zh-CN"/>
                    </w:rPr>
                    <w:t>序号</w:t>
                  </w:r>
                </w:p>
              </w:tc>
              <w:tc>
                <w:tcPr>
                  <w:tcW w:w="3292" w:type="dxa"/>
                  <w:tcBorders>
                    <w:tl2br w:val="nil"/>
                    <w:tr2bl w:val="nil"/>
                  </w:tcBorders>
                  <w:vAlign w:val="center"/>
                </w:tcPr>
                <w:p>
                  <w:pPr>
                    <w:pStyle w:val="25"/>
                    <w:bidi w:val="0"/>
                    <w:rPr>
                      <w:rFonts w:hint="default"/>
                      <w:color w:val="auto"/>
                      <w:highlight w:val="none"/>
                      <w:lang w:val="en-US" w:eastAsia="zh-CN"/>
                    </w:rPr>
                  </w:pPr>
                  <w:r>
                    <w:rPr>
                      <w:rFonts w:hint="default"/>
                      <w:color w:val="auto"/>
                      <w:highlight w:val="none"/>
                      <w:lang w:val="en-US" w:eastAsia="zh-CN"/>
                    </w:rPr>
                    <w:t>分析内容</w:t>
                  </w:r>
                </w:p>
              </w:tc>
              <w:tc>
                <w:tcPr>
                  <w:tcW w:w="2403" w:type="dxa"/>
                  <w:tcBorders>
                    <w:tl2br w:val="nil"/>
                    <w:tr2bl w:val="nil"/>
                  </w:tcBorders>
                  <w:vAlign w:val="center"/>
                </w:tcPr>
                <w:p>
                  <w:pPr>
                    <w:pStyle w:val="25"/>
                    <w:bidi w:val="0"/>
                    <w:rPr>
                      <w:rFonts w:hint="default"/>
                      <w:color w:val="auto"/>
                      <w:highlight w:val="none"/>
                      <w:lang w:val="en-US" w:eastAsia="zh-CN"/>
                    </w:rPr>
                  </w:pPr>
                  <w:r>
                    <w:rPr>
                      <w:rFonts w:hint="default"/>
                      <w:color w:val="auto"/>
                      <w:highlight w:val="none"/>
                      <w:lang w:val="en-US" w:eastAsia="zh-CN"/>
                    </w:rPr>
                    <w:t>本项目情况</w:t>
                  </w:r>
                </w:p>
              </w:tc>
              <w:tc>
                <w:tcPr>
                  <w:tcW w:w="816" w:type="dxa"/>
                  <w:tcBorders>
                    <w:tl2br w:val="nil"/>
                    <w:tr2bl w:val="nil"/>
                  </w:tcBorders>
                  <w:vAlign w:val="center"/>
                </w:tcPr>
                <w:p>
                  <w:pPr>
                    <w:pStyle w:val="25"/>
                    <w:bidi w:val="0"/>
                    <w:rPr>
                      <w:rFonts w:hint="default"/>
                      <w:color w:val="auto"/>
                      <w:highlight w:val="none"/>
                      <w:lang w:val="en-US" w:eastAsia="zh-CN"/>
                    </w:rPr>
                  </w:pPr>
                  <w:r>
                    <w:rPr>
                      <w:rFonts w:hint="default"/>
                      <w:color w:val="auto"/>
                      <w:highlight w:val="none"/>
                      <w:lang w:val="en-US" w:eastAsia="zh-CN"/>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44" w:hRule="atLeast"/>
              </w:trPr>
              <w:tc>
                <w:tcPr>
                  <w:tcW w:w="906" w:type="dxa"/>
                  <w:tcBorders>
                    <w:tl2br w:val="nil"/>
                    <w:tr2bl w:val="nil"/>
                  </w:tcBorders>
                  <w:vAlign w:val="center"/>
                </w:tcPr>
                <w:p>
                  <w:pPr>
                    <w:pStyle w:val="22"/>
                    <w:bidi w:val="0"/>
                    <w:rPr>
                      <w:rFonts w:hint="eastAsia"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1</w:t>
                  </w:r>
                </w:p>
              </w:tc>
              <w:tc>
                <w:tcPr>
                  <w:tcW w:w="3292" w:type="dxa"/>
                  <w:tcBorders>
                    <w:tl2br w:val="nil"/>
                    <w:tr2bl w:val="nil"/>
                  </w:tcBorders>
                  <w:vAlign w:val="center"/>
                </w:tcPr>
                <w:p>
                  <w:pPr>
                    <w:pStyle w:val="22"/>
                    <w:bidi w:val="0"/>
                    <w:rPr>
                      <w:rFonts w:hint="eastAsia"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第二十一条：在沙化土地范围内从事开发建设活动的，必须事先就该项目可能对当地及相关地区生态产生的影响进行环境影响评价，依法提交环境影响报告；环境影响报告应当包括有关防沙治沙的内容</w:t>
                  </w:r>
                </w:p>
              </w:tc>
              <w:tc>
                <w:tcPr>
                  <w:tcW w:w="2403" w:type="dxa"/>
                  <w:tcBorders>
                    <w:tl2br w:val="nil"/>
                    <w:tr2bl w:val="nil"/>
                  </w:tcBorders>
                  <w:vAlign w:val="center"/>
                </w:tcPr>
                <w:p>
                  <w:pPr>
                    <w:pStyle w:val="22"/>
                    <w:bidi w:val="0"/>
                    <w:rPr>
                      <w:rFonts w:hint="eastAsia"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本项目在原有库房内进行建设，项目依法进行环境影响评价编制，并提出危废贮存点地面硬化及防渗等处理措施，项目施工期设置围挡、洒水抑尘等措施</w:t>
                  </w:r>
                </w:p>
              </w:tc>
              <w:tc>
                <w:tcPr>
                  <w:tcW w:w="816" w:type="dxa"/>
                  <w:tcBorders>
                    <w:tl2br w:val="nil"/>
                    <w:tr2bl w:val="nil"/>
                  </w:tcBorders>
                  <w:vAlign w:val="center"/>
                </w:tcPr>
                <w:p>
                  <w:pPr>
                    <w:pStyle w:val="22"/>
                    <w:bidi w:val="0"/>
                    <w:rPr>
                      <w:rFonts w:hint="default"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符合</w:t>
                  </w:r>
                </w:p>
              </w:tc>
            </w:tr>
          </w:tbl>
          <w:p>
            <w:pPr>
              <w:pStyle w:val="12"/>
              <w:ind w:firstLine="480"/>
              <w:rPr>
                <w:rFonts w:hint="eastAsia"/>
                <w:color w:val="auto"/>
                <w:highlight w:val="none"/>
                <w:lang w:eastAsia="zh-CN"/>
              </w:rPr>
            </w:pPr>
            <w:r>
              <w:rPr>
                <w:rFonts w:hint="eastAsia"/>
                <w:color w:val="auto"/>
                <w:highlight w:val="none"/>
              </w:rPr>
              <w:t>本项目与《中华人民共和国防沙治沙法》中相关内容符合</w:t>
            </w:r>
            <w:r>
              <w:rPr>
                <w:rFonts w:hint="eastAsia"/>
                <w:color w:val="auto"/>
                <w:highlight w:val="none"/>
                <w:lang w:eastAsia="zh-CN"/>
              </w:rPr>
              <w:t>。</w:t>
            </w:r>
          </w:p>
          <w:p>
            <w:pPr>
              <w:pStyle w:val="12"/>
              <w:ind w:firstLine="480"/>
              <w:rPr>
                <w:color w:val="auto"/>
                <w:highlight w:val="none"/>
              </w:rPr>
            </w:pPr>
            <w:r>
              <w:rPr>
                <w:rFonts w:hint="eastAsia"/>
                <w:color w:val="auto"/>
                <w:highlight w:val="none"/>
              </w:rPr>
              <w:t>5.1</w:t>
            </w:r>
            <w:r>
              <w:rPr>
                <w:rFonts w:hint="eastAsia"/>
                <w:color w:val="auto"/>
                <w:highlight w:val="none"/>
                <w:lang w:val="en-US" w:eastAsia="zh-CN"/>
              </w:rPr>
              <w:t>5</w:t>
            </w:r>
            <w:r>
              <w:rPr>
                <w:rFonts w:hint="eastAsia"/>
                <w:color w:val="auto"/>
                <w:highlight w:val="none"/>
              </w:rPr>
              <w:t>本项目与《辽宁省防沙治沙条例》的符合性分析详见</w:t>
            </w:r>
            <w:r>
              <w:rPr>
                <w:rFonts w:hint="eastAsia"/>
                <w:color w:val="auto"/>
                <w:highlight w:val="none"/>
                <w:lang w:eastAsia="zh-CN"/>
              </w:rPr>
              <w:t>下</w:t>
            </w:r>
            <w:r>
              <w:rPr>
                <w:rFonts w:hint="eastAsia"/>
                <w:color w:val="auto"/>
                <w:highlight w:val="none"/>
              </w:rPr>
              <w:t>表。</w:t>
            </w:r>
          </w:p>
          <w:p>
            <w:pPr>
              <w:pStyle w:val="23"/>
              <w:numPr>
                <w:ilvl w:val="0"/>
                <w:numId w:val="2"/>
              </w:numPr>
              <w:bidi w:val="0"/>
              <w:ind w:left="0" w:leftChars="0" w:firstLine="0" w:firstLineChars="0"/>
              <w:rPr>
                <w:rFonts w:hint="default"/>
                <w:color w:val="auto"/>
                <w:highlight w:val="none"/>
              </w:rPr>
            </w:pPr>
            <w:r>
              <w:rPr>
                <w:rFonts w:hint="eastAsia"/>
                <w:color w:val="auto"/>
                <w:highlight w:val="none"/>
                <w:lang w:val="en-US" w:eastAsia="zh-CN"/>
              </w:rPr>
              <w:t xml:space="preserve">   </w:t>
            </w:r>
            <w:r>
              <w:rPr>
                <w:rFonts w:hint="default"/>
                <w:color w:val="auto"/>
                <w:highlight w:val="none"/>
              </w:rPr>
              <w:t>与</w:t>
            </w:r>
            <w:r>
              <w:rPr>
                <w:rFonts w:hint="eastAsia"/>
                <w:color w:val="auto"/>
                <w:highlight w:val="none"/>
              </w:rPr>
              <w:t>“</w:t>
            </w:r>
            <w:r>
              <w:rPr>
                <w:rFonts w:hint="eastAsia"/>
                <w:color w:val="auto"/>
                <w:highlight w:val="none"/>
                <w:lang w:val="en-US" w:eastAsia="zh-CN"/>
              </w:rPr>
              <w:t>《</w:t>
            </w:r>
            <w:r>
              <w:rPr>
                <w:rFonts w:hint="eastAsia" w:ascii="Times New Roman" w:hAnsi="Times New Roman" w:eastAsia="宋体"/>
                <w:color w:val="auto"/>
                <w:highlight w:val="none"/>
                <w:lang w:val="en-US" w:eastAsia="zh-CN"/>
              </w:rPr>
              <w:t>辽宁省</w:t>
            </w:r>
            <w:r>
              <w:rPr>
                <w:rFonts w:hint="eastAsia"/>
                <w:color w:val="auto"/>
                <w:highlight w:val="none"/>
                <w:lang w:val="en-US" w:eastAsia="zh-CN"/>
              </w:rPr>
              <w:t>防沙</w:t>
            </w:r>
            <w:r>
              <w:rPr>
                <w:rFonts w:hint="eastAsia" w:ascii="Times New Roman" w:hAnsi="Times New Roman" w:eastAsia="宋体"/>
                <w:color w:val="auto"/>
                <w:highlight w:val="none"/>
                <w:lang w:val="en-US" w:eastAsia="zh-CN"/>
              </w:rPr>
              <w:t>治沙条例》</w:t>
            </w:r>
            <w:r>
              <w:rPr>
                <w:rFonts w:hint="eastAsia"/>
                <w:color w:val="auto"/>
                <w:highlight w:val="none"/>
              </w:rPr>
              <w:t>”</w:t>
            </w:r>
            <w:r>
              <w:rPr>
                <w:rFonts w:hint="default"/>
                <w:color w:val="auto"/>
                <w:highlight w:val="none"/>
              </w:rPr>
              <w:t>符合性分析</w:t>
            </w:r>
          </w:p>
          <w:tbl>
            <w:tblPr>
              <w:tblStyle w:val="15"/>
              <w:tblW w:w="743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2998"/>
              <w:gridCol w:w="2562"/>
              <w:gridCol w:w="8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1056" w:type="dxa"/>
                  <w:tcBorders>
                    <w:tl2br w:val="nil"/>
                    <w:tr2bl w:val="nil"/>
                  </w:tcBorders>
                  <w:vAlign w:val="center"/>
                </w:tcPr>
                <w:p>
                  <w:pPr>
                    <w:pStyle w:val="25"/>
                    <w:bidi w:val="0"/>
                    <w:rPr>
                      <w:rFonts w:hint="eastAsia"/>
                      <w:color w:val="auto"/>
                      <w:highlight w:val="none"/>
                      <w:lang w:val="en-US" w:eastAsia="zh-CN"/>
                    </w:rPr>
                  </w:pPr>
                  <w:r>
                    <w:rPr>
                      <w:rFonts w:hint="eastAsia"/>
                      <w:color w:val="auto"/>
                      <w:highlight w:val="none"/>
                      <w:lang w:val="en-US" w:eastAsia="zh-CN"/>
                    </w:rPr>
                    <w:t>序号</w:t>
                  </w:r>
                </w:p>
              </w:tc>
              <w:tc>
                <w:tcPr>
                  <w:tcW w:w="2998" w:type="dxa"/>
                  <w:tcBorders>
                    <w:tl2br w:val="nil"/>
                    <w:tr2bl w:val="nil"/>
                  </w:tcBorders>
                  <w:vAlign w:val="center"/>
                </w:tcPr>
                <w:p>
                  <w:pPr>
                    <w:pStyle w:val="25"/>
                    <w:bidi w:val="0"/>
                    <w:rPr>
                      <w:rFonts w:hint="default"/>
                      <w:color w:val="auto"/>
                      <w:highlight w:val="none"/>
                      <w:lang w:val="en-US" w:eastAsia="zh-CN"/>
                    </w:rPr>
                  </w:pPr>
                  <w:r>
                    <w:rPr>
                      <w:rFonts w:hint="default"/>
                      <w:color w:val="auto"/>
                      <w:highlight w:val="none"/>
                      <w:lang w:val="en-US" w:eastAsia="zh-CN"/>
                    </w:rPr>
                    <w:t>分析内容</w:t>
                  </w:r>
                </w:p>
              </w:tc>
              <w:tc>
                <w:tcPr>
                  <w:tcW w:w="2562" w:type="dxa"/>
                  <w:tcBorders>
                    <w:tl2br w:val="nil"/>
                    <w:tr2bl w:val="nil"/>
                  </w:tcBorders>
                  <w:vAlign w:val="center"/>
                </w:tcPr>
                <w:p>
                  <w:pPr>
                    <w:pStyle w:val="25"/>
                    <w:bidi w:val="0"/>
                    <w:rPr>
                      <w:rFonts w:hint="default"/>
                      <w:color w:val="auto"/>
                      <w:highlight w:val="none"/>
                      <w:lang w:val="en-US" w:eastAsia="zh-CN"/>
                    </w:rPr>
                  </w:pPr>
                  <w:r>
                    <w:rPr>
                      <w:rFonts w:hint="default"/>
                      <w:color w:val="auto"/>
                      <w:highlight w:val="none"/>
                      <w:lang w:val="en-US" w:eastAsia="zh-CN"/>
                    </w:rPr>
                    <w:t>本项目情况</w:t>
                  </w:r>
                </w:p>
              </w:tc>
              <w:tc>
                <w:tcPr>
                  <w:tcW w:w="818" w:type="dxa"/>
                  <w:tcBorders>
                    <w:tl2br w:val="nil"/>
                    <w:tr2bl w:val="nil"/>
                  </w:tcBorders>
                  <w:vAlign w:val="center"/>
                </w:tcPr>
                <w:p>
                  <w:pPr>
                    <w:pStyle w:val="25"/>
                    <w:bidi w:val="0"/>
                    <w:rPr>
                      <w:rFonts w:hint="default"/>
                      <w:color w:val="auto"/>
                      <w:highlight w:val="none"/>
                      <w:lang w:val="en-US" w:eastAsia="zh-CN"/>
                    </w:rPr>
                  </w:pPr>
                  <w:r>
                    <w:rPr>
                      <w:rFonts w:hint="default"/>
                      <w:color w:val="auto"/>
                      <w:highlight w:val="none"/>
                      <w:lang w:val="en-US" w:eastAsia="zh-CN"/>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trPr>
              <w:tc>
                <w:tcPr>
                  <w:tcW w:w="1056" w:type="dxa"/>
                  <w:tcBorders>
                    <w:tl2br w:val="nil"/>
                    <w:tr2bl w:val="nil"/>
                  </w:tcBorders>
                  <w:vAlign w:val="center"/>
                </w:tcPr>
                <w:p>
                  <w:pPr>
                    <w:pStyle w:val="22"/>
                    <w:bidi w:val="0"/>
                    <w:rPr>
                      <w:rFonts w:hint="default"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1</w:t>
                  </w:r>
                </w:p>
              </w:tc>
              <w:tc>
                <w:tcPr>
                  <w:tcW w:w="2998" w:type="dxa"/>
                  <w:tcBorders>
                    <w:tl2br w:val="nil"/>
                    <w:tr2bl w:val="nil"/>
                  </w:tcBorders>
                  <w:vAlign w:val="center"/>
                </w:tcPr>
                <w:p>
                  <w:pPr>
                    <w:pStyle w:val="22"/>
                    <w:bidi w:val="0"/>
                    <w:rPr>
                      <w:rFonts w:hint="eastAsia"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第二十条 林业、畜牧、国土资源等行政主管部门应当加强沙化土地所在地区林地、草地资源的保护，严格限制征收、征用沙化土地所在地区的林地、草地。禁止非法改变林地、草地用途</w:t>
                  </w:r>
                </w:p>
              </w:tc>
              <w:tc>
                <w:tcPr>
                  <w:tcW w:w="2562" w:type="dxa"/>
                  <w:tcBorders>
                    <w:tl2br w:val="nil"/>
                    <w:tr2bl w:val="nil"/>
                  </w:tcBorders>
                  <w:vAlign w:val="center"/>
                </w:tcPr>
                <w:p>
                  <w:pPr>
                    <w:pStyle w:val="22"/>
                    <w:bidi w:val="0"/>
                    <w:rPr>
                      <w:rFonts w:hint="default"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本项目在原有库房内进行改造，不涉及改变林地、草地用途等事项</w:t>
                  </w:r>
                </w:p>
              </w:tc>
              <w:tc>
                <w:tcPr>
                  <w:tcW w:w="818" w:type="dxa"/>
                  <w:tcBorders>
                    <w:tl2br w:val="nil"/>
                    <w:tr2bl w:val="nil"/>
                  </w:tcBorders>
                  <w:vAlign w:val="center"/>
                </w:tcPr>
                <w:p>
                  <w:pPr>
                    <w:pStyle w:val="22"/>
                    <w:bidi w:val="0"/>
                    <w:rPr>
                      <w:rFonts w:hint="default"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1" w:hRule="atLeast"/>
              </w:trPr>
              <w:tc>
                <w:tcPr>
                  <w:tcW w:w="1056" w:type="dxa"/>
                  <w:tcBorders>
                    <w:tl2br w:val="nil"/>
                    <w:tr2bl w:val="nil"/>
                  </w:tcBorders>
                  <w:vAlign w:val="center"/>
                </w:tcPr>
                <w:p>
                  <w:pPr>
                    <w:pStyle w:val="22"/>
                    <w:bidi w:val="0"/>
                    <w:rPr>
                      <w:rFonts w:hint="default"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2</w:t>
                  </w:r>
                </w:p>
              </w:tc>
              <w:tc>
                <w:tcPr>
                  <w:tcW w:w="2998" w:type="dxa"/>
                  <w:tcBorders>
                    <w:tl2br w:val="nil"/>
                    <w:tr2bl w:val="nil"/>
                  </w:tcBorders>
                  <w:vAlign w:val="center"/>
                </w:tcPr>
                <w:p>
                  <w:pPr>
                    <w:pStyle w:val="22"/>
                    <w:bidi w:val="0"/>
                    <w:rPr>
                      <w:rFonts w:hint="eastAsia"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第二十二条 省及沙化土地所在地区的县级以上人民政府应当采取有效措施，鼓励发展替代燃料，开发利用沼气、太阳能、风能等能源，推广节能技术，提高能源利用率；在安排对农业和农村节能技术、节能产品推广应用资金投入中，应当将沙化土地所在地区的新能源开发及节能技术、节能产品推广列为重要内容</w:t>
                  </w:r>
                </w:p>
              </w:tc>
              <w:tc>
                <w:tcPr>
                  <w:tcW w:w="2562" w:type="dxa"/>
                  <w:tcBorders>
                    <w:tl2br w:val="nil"/>
                    <w:tr2bl w:val="nil"/>
                  </w:tcBorders>
                  <w:vAlign w:val="center"/>
                </w:tcPr>
                <w:p>
                  <w:pPr>
                    <w:pStyle w:val="22"/>
                    <w:bidi w:val="0"/>
                    <w:rPr>
                      <w:rFonts w:hint="default"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本项目运营过程消耗的能源主要为电，不涉及燃料</w:t>
                  </w:r>
                </w:p>
              </w:tc>
              <w:tc>
                <w:tcPr>
                  <w:tcW w:w="818"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20" w:hRule="atLeast"/>
              </w:trPr>
              <w:tc>
                <w:tcPr>
                  <w:tcW w:w="1056" w:type="dxa"/>
                  <w:tcBorders>
                    <w:tl2br w:val="nil"/>
                    <w:tr2bl w:val="nil"/>
                  </w:tcBorders>
                  <w:vAlign w:val="center"/>
                </w:tcPr>
                <w:p>
                  <w:pPr>
                    <w:pStyle w:val="22"/>
                    <w:bidi w:val="0"/>
                    <w:rPr>
                      <w:rFonts w:hint="default"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3</w:t>
                  </w:r>
                </w:p>
              </w:tc>
              <w:tc>
                <w:tcPr>
                  <w:tcW w:w="2998" w:type="dxa"/>
                  <w:tcBorders>
                    <w:tl2br w:val="nil"/>
                    <w:tr2bl w:val="nil"/>
                  </w:tcBorders>
                  <w:vAlign w:val="center"/>
                </w:tcPr>
                <w:p>
                  <w:pPr>
                    <w:pStyle w:val="22"/>
                    <w:bidi w:val="0"/>
                    <w:rPr>
                      <w:rFonts w:hint="default"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第二十三条：在沙化土地范围内从事开发建设活动的，必须依法进行环境影响评价，提交环境影响报告。环境影响报告应当包括有关防沙治沙的内容。环境保护行政主管部门在审批环境影响报告时，应当就报告中有关防沙治沙的内容征求同级林业行政主管部门的意见。开发建设项目中的防沙治沙工程设施建设和生态保护措施的实施，必须与开发建设同步进行</w:t>
                  </w:r>
                </w:p>
              </w:tc>
              <w:tc>
                <w:tcPr>
                  <w:tcW w:w="2562" w:type="dxa"/>
                  <w:tcBorders>
                    <w:tl2br w:val="nil"/>
                    <w:tr2bl w:val="nil"/>
                  </w:tcBorders>
                  <w:vAlign w:val="center"/>
                </w:tcPr>
                <w:p>
                  <w:pPr>
                    <w:pStyle w:val="22"/>
                    <w:bidi w:val="0"/>
                    <w:rPr>
                      <w:rFonts w:hint="eastAsia" w:ascii="Times New Roman" w:hAnsi="Times New Roman" w:eastAsia="宋体" w:cs="Times New Roman"/>
                      <w:b w:val="0"/>
                      <w:bCs w:val="0"/>
                      <w:color w:val="auto"/>
                      <w:kern w:val="2"/>
                      <w:szCs w:val="24"/>
                      <w:highlight w:val="none"/>
                      <w:lang w:val="en-US" w:eastAsia="zh-CN"/>
                    </w:rPr>
                  </w:pPr>
                  <w:r>
                    <w:rPr>
                      <w:rFonts w:hint="eastAsia"/>
                      <w:color w:val="auto"/>
                      <w:highlight w:val="none"/>
                      <w:lang w:val="en-US" w:eastAsia="zh-CN"/>
                    </w:rPr>
                    <w:t>本项目在原有库房内进行建设，项目依法进行环境影响评价编制，并包括防沙治沙的内容，项目施工期设置围挡、洒水抑尘等措施</w:t>
                  </w:r>
                </w:p>
              </w:tc>
              <w:tc>
                <w:tcPr>
                  <w:tcW w:w="818"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符合</w:t>
                  </w:r>
                </w:p>
              </w:tc>
            </w:tr>
          </w:tbl>
          <w:p>
            <w:pPr>
              <w:pStyle w:val="12"/>
              <w:ind w:firstLine="480"/>
              <w:rPr>
                <w:rFonts w:hint="eastAsia"/>
                <w:color w:val="auto"/>
                <w:highlight w:val="none"/>
                <w:lang w:eastAsia="zh-CN"/>
              </w:rPr>
            </w:pPr>
            <w:r>
              <w:rPr>
                <w:rFonts w:hint="eastAsia"/>
                <w:color w:val="auto"/>
                <w:highlight w:val="none"/>
              </w:rPr>
              <w:t>本项目与《辽宁省防沙治沙条例》中相关内容符合</w:t>
            </w:r>
            <w:r>
              <w:rPr>
                <w:rFonts w:hint="eastAsia"/>
                <w:color w:val="auto"/>
                <w:highlight w:val="none"/>
                <w:lang w:eastAsia="zh-CN"/>
              </w:rPr>
              <w:t>。</w:t>
            </w:r>
          </w:p>
          <w:p>
            <w:pPr>
              <w:pStyle w:val="12"/>
              <w:ind w:firstLine="480"/>
              <w:rPr>
                <w:rFonts w:hint="eastAsia" w:eastAsia="宋体"/>
                <w:color w:val="auto"/>
                <w:highlight w:val="none"/>
                <w:lang w:val="en-US" w:eastAsia="zh-CN"/>
              </w:rPr>
            </w:pPr>
            <w:r>
              <w:rPr>
                <w:rFonts w:hint="eastAsia" w:eastAsia="宋体"/>
                <w:color w:val="auto"/>
                <w:highlight w:val="none"/>
              </w:rPr>
              <w:t>5.1</w:t>
            </w:r>
            <w:r>
              <w:rPr>
                <w:rFonts w:hint="eastAsia" w:eastAsia="宋体"/>
                <w:color w:val="auto"/>
                <w:highlight w:val="none"/>
                <w:lang w:val="en-US" w:eastAsia="zh-CN"/>
              </w:rPr>
              <w:t>6本项目与《辽宁省科尔沁沙地歼灭战和荒漠化综合防治行动方案（2023-2030年）的通知》（辽政办发[2023]9号）符合性分析</w:t>
            </w:r>
          </w:p>
          <w:p>
            <w:pPr>
              <w:pStyle w:val="23"/>
              <w:numPr>
                <w:ilvl w:val="0"/>
                <w:numId w:val="2"/>
              </w:numPr>
              <w:bidi w:val="0"/>
              <w:ind w:left="0" w:leftChars="0" w:firstLine="0" w:firstLineChars="0"/>
              <w:rPr>
                <w:rFonts w:hint="eastAsia" w:ascii="Times New Roman" w:hAnsi="Times New Roman" w:cs="Times New Roman"/>
                <w:color w:val="auto"/>
                <w:highlight w:val="none"/>
                <w:lang w:val="en-US" w:eastAsia="zh-CN"/>
              </w:rPr>
            </w:pPr>
            <w:r>
              <w:rPr>
                <w:rFonts w:hint="eastAsia" w:cs="Times New Roman"/>
                <w:color w:val="auto"/>
                <w:highlight w:val="none"/>
                <w:lang w:val="en-US" w:eastAsia="zh-CN"/>
              </w:rPr>
              <w:t xml:space="preserve">  </w:t>
            </w:r>
            <w:r>
              <w:rPr>
                <w:rFonts w:hint="eastAsia" w:ascii="Times New Roman" w:hAnsi="Times New Roman" w:cs="Times New Roman"/>
                <w:color w:val="auto"/>
                <w:highlight w:val="none"/>
                <w:lang w:val="en-US" w:eastAsia="zh-CN"/>
              </w:rPr>
              <w:t>与《辽宁省科尔沁沙地</w:t>
            </w:r>
            <w:r>
              <w:rPr>
                <w:rFonts w:hint="eastAsia" w:ascii="Times New Roman" w:hAnsi="Times New Roman" w:eastAsia="宋体"/>
                <w:color w:val="auto"/>
                <w:highlight w:val="none"/>
                <w:lang w:val="en-US" w:eastAsia="zh-CN"/>
              </w:rPr>
              <w:t>歼灭战</w:t>
            </w:r>
            <w:r>
              <w:rPr>
                <w:rFonts w:hint="eastAsia" w:ascii="Times New Roman" w:hAnsi="Times New Roman" w:cs="Times New Roman"/>
                <w:color w:val="auto"/>
                <w:highlight w:val="none"/>
                <w:lang w:val="en-US" w:eastAsia="zh-CN"/>
              </w:rPr>
              <w:t>和荒漠化综合防治行动方案》符合性分析</w:t>
            </w:r>
          </w:p>
          <w:tbl>
            <w:tblPr>
              <w:tblStyle w:val="15"/>
              <w:tblW w:w="7390"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034"/>
              <w:gridCol w:w="3353"/>
              <w:gridCol w:w="2196"/>
              <w:gridCol w:w="80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1034" w:type="dxa"/>
                  <w:noWrap w:val="0"/>
                  <w:vAlign w:val="center"/>
                </w:tcPr>
                <w:p>
                  <w:pPr>
                    <w:pStyle w:val="37"/>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b/>
                      <w:bCs/>
                      <w:color w:val="auto"/>
                      <w:kern w:val="21"/>
                      <w:sz w:val="21"/>
                      <w:szCs w:val="21"/>
                      <w:highlight w:val="none"/>
                      <w:lang w:val="en-US" w:eastAsia="zh-CN"/>
                    </w:rPr>
                  </w:pPr>
                  <w:r>
                    <w:rPr>
                      <w:rFonts w:hint="eastAsia" w:ascii="Times New Roman"/>
                      <w:b/>
                      <w:bCs/>
                      <w:color w:val="auto"/>
                      <w:kern w:val="21"/>
                      <w:sz w:val="21"/>
                      <w:szCs w:val="21"/>
                      <w:highlight w:val="none"/>
                      <w:lang w:val="en-US" w:eastAsia="zh-CN"/>
                    </w:rPr>
                    <w:t>序号</w:t>
                  </w:r>
                </w:p>
              </w:tc>
              <w:tc>
                <w:tcPr>
                  <w:tcW w:w="3353" w:type="dxa"/>
                  <w:noWrap w:val="0"/>
                  <w:vAlign w:val="center"/>
                </w:tcPr>
                <w:p>
                  <w:pPr>
                    <w:pStyle w:val="25"/>
                    <w:bidi w:val="0"/>
                    <w:ind w:firstLine="0" w:firstLineChars="0"/>
                    <w:rPr>
                      <w:rFonts w:hint="default" w:ascii="Times New Roman" w:hAnsi="Times New Roman"/>
                      <w:b/>
                      <w:bCs/>
                      <w:color w:val="auto"/>
                      <w:kern w:val="21"/>
                      <w:sz w:val="21"/>
                      <w:szCs w:val="21"/>
                      <w:highlight w:val="none"/>
                    </w:rPr>
                  </w:pPr>
                  <w:r>
                    <w:rPr>
                      <w:rFonts w:hint="default"/>
                      <w:color w:val="auto"/>
                      <w:highlight w:val="none"/>
                      <w:lang w:val="en-US" w:eastAsia="zh-CN"/>
                    </w:rPr>
                    <w:t>分析内容</w:t>
                  </w:r>
                </w:p>
              </w:tc>
              <w:tc>
                <w:tcPr>
                  <w:tcW w:w="2196" w:type="dxa"/>
                  <w:noWrap w:val="0"/>
                  <w:vAlign w:val="center"/>
                </w:tcPr>
                <w:p>
                  <w:pPr>
                    <w:pStyle w:val="25"/>
                    <w:bidi w:val="0"/>
                    <w:ind w:firstLine="0" w:firstLineChars="0"/>
                    <w:rPr>
                      <w:rFonts w:hint="eastAsia" w:ascii="Times New Roman" w:hAnsi="Times New Roman" w:eastAsia="宋体"/>
                      <w:b/>
                      <w:bCs/>
                      <w:color w:val="auto"/>
                      <w:kern w:val="21"/>
                      <w:sz w:val="21"/>
                      <w:szCs w:val="21"/>
                      <w:highlight w:val="none"/>
                      <w:lang w:val="en-US" w:eastAsia="zh-CN"/>
                    </w:rPr>
                  </w:pPr>
                  <w:r>
                    <w:rPr>
                      <w:rFonts w:hint="default"/>
                      <w:color w:val="auto"/>
                      <w:highlight w:val="none"/>
                      <w:lang w:val="en-US" w:eastAsia="zh-CN"/>
                    </w:rPr>
                    <w:t>本项目情况</w:t>
                  </w:r>
                </w:p>
              </w:tc>
              <w:tc>
                <w:tcPr>
                  <w:tcW w:w="807" w:type="dxa"/>
                  <w:noWrap w:val="0"/>
                  <w:vAlign w:val="center"/>
                </w:tcPr>
                <w:p>
                  <w:pPr>
                    <w:pStyle w:val="37"/>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b/>
                      <w:bCs/>
                      <w:color w:val="auto"/>
                      <w:kern w:val="21"/>
                      <w:sz w:val="21"/>
                      <w:szCs w:val="21"/>
                      <w:highlight w:val="none"/>
                      <w:lang w:eastAsia="zh-CN"/>
                    </w:rPr>
                  </w:pPr>
                  <w:r>
                    <w:rPr>
                      <w:rFonts w:hint="eastAsia" w:ascii="Times New Roman"/>
                      <w:b/>
                      <w:bCs/>
                      <w:color w:val="auto"/>
                      <w:kern w:val="21"/>
                      <w:sz w:val="21"/>
                      <w:szCs w:val="21"/>
                      <w:highlight w:val="none"/>
                      <w:lang w:val="en-US" w:eastAsia="zh-CN"/>
                    </w:rPr>
                    <w:t>分析结果</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1034" w:type="dxa"/>
                  <w:noWrap w:val="0"/>
                  <w:vAlign w:val="center"/>
                </w:tcPr>
                <w:p>
                  <w:pPr>
                    <w:pStyle w:val="22"/>
                    <w:bidi w:val="0"/>
                    <w:rPr>
                      <w:rFonts w:hint="eastAsia"/>
                      <w:color w:val="auto"/>
                      <w:highlight w:val="none"/>
                      <w:lang w:val="en-US" w:eastAsia="zh-CN"/>
                    </w:rPr>
                  </w:pPr>
                  <w:r>
                    <w:rPr>
                      <w:rFonts w:hint="eastAsia"/>
                      <w:color w:val="auto"/>
                      <w:highlight w:val="none"/>
                      <w:lang w:val="en-US" w:eastAsia="zh-CN"/>
                    </w:rPr>
                    <w:t>1</w:t>
                  </w:r>
                </w:p>
              </w:tc>
              <w:tc>
                <w:tcPr>
                  <w:tcW w:w="3353" w:type="dxa"/>
                  <w:noWrap w:val="0"/>
                  <w:vAlign w:val="center"/>
                </w:tcPr>
                <w:p>
                  <w:pPr>
                    <w:pStyle w:val="22"/>
                    <w:bidi w:val="0"/>
                    <w:rPr>
                      <w:rFonts w:hint="eastAsia"/>
                      <w:color w:val="auto"/>
                      <w:highlight w:val="none"/>
                      <w:lang w:val="en-US" w:eastAsia="zh-CN"/>
                    </w:rPr>
                  </w:pPr>
                  <w:r>
                    <w:rPr>
                      <w:rFonts w:hint="eastAsia"/>
                      <w:color w:val="auto"/>
                      <w:highlight w:val="none"/>
                      <w:lang w:val="en-US" w:eastAsia="zh-CN"/>
                    </w:rPr>
                    <w:t>二、总体要求</w:t>
                  </w:r>
                </w:p>
                <w:p>
                  <w:pPr>
                    <w:pStyle w:val="22"/>
                    <w:bidi w:val="0"/>
                    <w:rPr>
                      <w:rFonts w:hint="eastAsia"/>
                      <w:color w:val="auto"/>
                      <w:highlight w:val="none"/>
                      <w:lang w:val="en-US" w:eastAsia="zh-CN"/>
                    </w:rPr>
                  </w:pPr>
                  <w:r>
                    <w:rPr>
                      <w:rFonts w:hint="eastAsia"/>
                      <w:color w:val="auto"/>
                      <w:highlight w:val="none"/>
                      <w:lang w:val="en-US" w:eastAsia="zh-CN"/>
                    </w:rPr>
                    <w:t>明确了指导思想和基本原则。依据整体工作安排，科学量化目标任务，分阶段提出了近期目标(2025年)和远期目标(2030年)。到2030年，全面打赢科尔沁沙地歼灭战，荒漠化综合防治取得决定性进展，区域生态系统稳定性显著提高。</w:t>
                  </w:r>
                </w:p>
                <w:p>
                  <w:pPr>
                    <w:pStyle w:val="22"/>
                    <w:bidi w:val="0"/>
                    <w:rPr>
                      <w:rFonts w:hint="eastAsia"/>
                      <w:color w:val="auto"/>
                      <w:highlight w:val="none"/>
                      <w:lang w:val="en-US" w:eastAsia="zh-CN"/>
                    </w:rPr>
                  </w:pPr>
                  <w:r>
                    <w:rPr>
                      <w:rFonts w:hint="eastAsia"/>
                      <w:color w:val="auto"/>
                      <w:highlight w:val="none"/>
                      <w:lang w:val="en-US" w:eastAsia="zh-CN"/>
                    </w:rPr>
                    <w:t>1、持续提升植被综合盖度。2030年现有沙化林草用地植被综合盖度达到80%以上。</w:t>
                  </w:r>
                </w:p>
                <w:p>
                  <w:pPr>
                    <w:pStyle w:val="22"/>
                    <w:bidi w:val="0"/>
                    <w:rPr>
                      <w:rFonts w:hint="eastAsia"/>
                      <w:color w:val="auto"/>
                      <w:highlight w:val="none"/>
                      <w:lang w:val="en-US" w:eastAsia="zh-CN"/>
                    </w:rPr>
                  </w:pPr>
                  <w:r>
                    <w:rPr>
                      <w:rFonts w:hint="eastAsia"/>
                      <w:color w:val="auto"/>
                      <w:highlight w:val="none"/>
                      <w:lang w:val="en-US" w:eastAsia="zh-CN"/>
                    </w:rPr>
                    <w:t>2、加大沙化耕地治理力度。对具备灌溉条件的沙化荒漠化耕地，农田防护林配置率2030年不低于70%；沙化耕地治理覆盖率2030年达到100%。</w:t>
                  </w:r>
                </w:p>
                <w:p>
                  <w:pPr>
                    <w:pStyle w:val="22"/>
                    <w:bidi w:val="0"/>
                    <w:rPr>
                      <w:rFonts w:hint="eastAsia"/>
                      <w:color w:val="auto"/>
                      <w:highlight w:val="none"/>
                      <w:lang w:val="en-US" w:eastAsia="zh-CN"/>
                    </w:rPr>
                  </w:pPr>
                  <w:r>
                    <w:rPr>
                      <w:rFonts w:hint="eastAsia"/>
                      <w:color w:val="auto"/>
                      <w:highlight w:val="none"/>
                      <w:lang w:val="en-US" w:eastAsia="zh-CN"/>
                    </w:rPr>
                    <w:t>3、提高荒漠化林草用地植被综合盖度。2030年达到70%以上。</w:t>
                  </w:r>
                </w:p>
                <w:p>
                  <w:pPr>
                    <w:pStyle w:val="22"/>
                    <w:bidi w:val="0"/>
                    <w:rPr>
                      <w:rFonts w:hint="eastAsia"/>
                      <w:color w:val="auto"/>
                      <w:highlight w:val="none"/>
                      <w:lang w:val="en-US" w:eastAsia="zh-CN"/>
                    </w:rPr>
                  </w:pPr>
                  <w:r>
                    <w:rPr>
                      <w:rFonts w:hint="eastAsia"/>
                      <w:color w:val="auto"/>
                      <w:highlight w:val="none"/>
                      <w:lang w:val="en-US" w:eastAsia="zh-CN"/>
                    </w:rPr>
                    <w:t>4、合理利用水资源。区域水土保持率目标值 2030年为77.68%。10条重点河流15个控制断面的生态流量保证率不低于90%，生态水量保证率不低于75%。</w:t>
                  </w:r>
                </w:p>
                <w:p>
                  <w:pPr>
                    <w:pStyle w:val="22"/>
                    <w:bidi w:val="0"/>
                    <w:rPr>
                      <w:rFonts w:hint="eastAsia"/>
                      <w:color w:val="auto"/>
                      <w:highlight w:val="none"/>
                      <w:lang w:val="en-US" w:eastAsia="zh-CN"/>
                    </w:rPr>
                  </w:pPr>
                  <w:r>
                    <w:rPr>
                      <w:rFonts w:hint="eastAsia"/>
                      <w:color w:val="auto"/>
                      <w:highlight w:val="none"/>
                      <w:lang w:val="en-US" w:eastAsia="zh-CN"/>
                    </w:rPr>
                    <w:t>5、扭转林草资源保护形势。2030年林草资源保护形势实现根本性扭转，建立完善的林草资源保护长效机制。</w:t>
                  </w:r>
                </w:p>
                <w:p>
                  <w:pPr>
                    <w:pStyle w:val="22"/>
                    <w:bidi w:val="0"/>
                    <w:rPr>
                      <w:rFonts w:hint="eastAsia"/>
                      <w:color w:val="auto"/>
                      <w:highlight w:val="none"/>
                      <w:lang w:val="en-US" w:eastAsia="zh-CN"/>
                    </w:rPr>
                  </w:pPr>
                  <w:r>
                    <w:rPr>
                      <w:rFonts w:hint="eastAsia"/>
                      <w:color w:val="auto"/>
                      <w:highlight w:val="none"/>
                      <w:lang w:val="en-US" w:eastAsia="zh-CN"/>
                    </w:rPr>
                    <w:t>6、推广应用绿色惠民模式。新能源开发、生态修复和产业发展相结合的绿色惠民模式2030年得到广泛应用</w:t>
                  </w:r>
                </w:p>
              </w:tc>
              <w:tc>
                <w:tcPr>
                  <w:tcW w:w="2196" w:type="dxa"/>
                  <w:noWrap w:val="0"/>
                  <w:vAlign w:val="center"/>
                </w:tcPr>
                <w:p>
                  <w:pPr>
                    <w:pStyle w:val="22"/>
                    <w:bidi w:val="0"/>
                    <w:rPr>
                      <w:rFonts w:hint="eastAsia"/>
                      <w:color w:val="auto"/>
                      <w:highlight w:val="none"/>
                      <w:lang w:val="en-US" w:eastAsia="zh-CN"/>
                    </w:rPr>
                  </w:pPr>
                  <w:r>
                    <w:rPr>
                      <w:rFonts w:hint="eastAsia"/>
                      <w:color w:val="auto"/>
                      <w:highlight w:val="none"/>
                      <w:lang w:val="en-US" w:eastAsia="zh-CN"/>
                    </w:rPr>
                    <w:t>项目占地范围内不涉及沙化林草用地、沙化耕地、荒漠化林草用地。项目不新增用水，不涉及水土保持，河流生态流量等内容。项目不涉及林草资源</w:t>
                  </w:r>
                </w:p>
              </w:tc>
              <w:tc>
                <w:tcPr>
                  <w:tcW w:w="807" w:type="dxa"/>
                  <w:noWrap w:val="0"/>
                  <w:vAlign w:val="center"/>
                </w:tcPr>
                <w:p>
                  <w:pPr>
                    <w:pStyle w:val="22"/>
                    <w:bidi w:val="0"/>
                    <w:rPr>
                      <w:rFonts w:hint="default"/>
                      <w:color w:val="auto"/>
                      <w:highlight w:val="none"/>
                      <w:lang w:val="en-US" w:eastAsia="zh-CN"/>
                    </w:rPr>
                  </w:pPr>
                  <w:r>
                    <w:rPr>
                      <w:rFonts w:hint="default"/>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1034" w:type="dxa"/>
                  <w:noWrap w:val="0"/>
                  <w:vAlign w:val="center"/>
                </w:tcPr>
                <w:p>
                  <w:pPr>
                    <w:pStyle w:val="22"/>
                    <w:bidi w:val="0"/>
                    <w:rPr>
                      <w:rFonts w:hint="default"/>
                      <w:color w:val="auto"/>
                      <w:highlight w:val="none"/>
                      <w:lang w:val="en-US" w:eastAsia="zh-CN"/>
                    </w:rPr>
                  </w:pPr>
                  <w:r>
                    <w:rPr>
                      <w:rFonts w:hint="eastAsia"/>
                      <w:color w:val="auto"/>
                      <w:highlight w:val="none"/>
                      <w:lang w:val="en-US" w:eastAsia="zh-CN"/>
                    </w:rPr>
                    <w:t>2</w:t>
                  </w:r>
                </w:p>
              </w:tc>
              <w:tc>
                <w:tcPr>
                  <w:tcW w:w="3353" w:type="dxa"/>
                  <w:noWrap w:val="0"/>
                  <w:vAlign w:val="center"/>
                </w:tcPr>
                <w:p>
                  <w:pPr>
                    <w:pStyle w:val="22"/>
                    <w:bidi w:val="0"/>
                    <w:rPr>
                      <w:rFonts w:hint="eastAsia"/>
                      <w:color w:val="auto"/>
                      <w:highlight w:val="none"/>
                      <w:lang w:val="en-US" w:eastAsia="zh-CN"/>
                    </w:rPr>
                  </w:pPr>
                  <w:r>
                    <w:rPr>
                      <w:rFonts w:hint="eastAsia"/>
                      <w:color w:val="auto"/>
                      <w:highlight w:val="none"/>
                      <w:lang w:val="en-US" w:eastAsia="zh-CN"/>
                    </w:rPr>
                    <w:t>三、分区布局</w:t>
                  </w:r>
                </w:p>
                <w:p>
                  <w:pPr>
                    <w:pStyle w:val="22"/>
                    <w:bidi w:val="0"/>
                    <w:rPr>
                      <w:rFonts w:hint="eastAsia"/>
                      <w:color w:val="auto"/>
                      <w:highlight w:val="none"/>
                      <w:lang w:val="en-US" w:eastAsia="zh-CN"/>
                    </w:rPr>
                  </w:pPr>
                  <w:r>
                    <w:rPr>
                      <w:rFonts w:hint="eastAsia"/>
                      <w:color w:val="auto"/>
                      <w:highlight w:val="none"/>
                      <w:lang w:val="en-US" w:eastAsia="zh-CN"/>
                    </w:rPr>
                    <w:t>行动范围为全省沙化荒漠化土地分布的9市24县(市、区)，区划为科尔沁沙地歼灭战攻坚区、科尔沁沙地南缘阻击区、沿海沿河沙地治理区和荒漠化综合防治区等4个治理区。</w:t>
                  </w:r>
                </w:p>
                <w:p>
                  <w:pPr>
                    <w:pStyle w:val="22"/>
                    <w:bidi w:val="0"/>
                    <w:rPr>
                      <w:rFonts w:hint="eastAsia"/>
                      <w:color w:val="auto"/>
                      <w:highlight w:val="none"/>
                      <w:lang w:val="en-US" w:eastAsia="zh-CN"/>
                    </w:rPr>
                  </w:pPr>
                  <w:r>
                    <w:rPr>
                      <w:rFonts w:hint="eastAsia"/>
                      <w:color w:val="auto"/>
                      <w:highlight w:val="none"/>
                      <w:lang w:val="en-US" w:eastAsia="zh-CN"/>
                    </w:rPr>
                    <w:t>1、科尔沁沙地歼灭战攻坚区。包括沈阳市、阜新市和朝阳市的康平县、阜蒙县、彰武县、建平县、北票市5个县(市)。沙化土地面积427万亩，占全省沙化土地面积的63.4%。主要以沙化土地全面治理为重点，实施退化林草修复、沙化耕地治理和小流域综合治理等，实现治理全覆盖。</w:t>
                  </w:r>
                </w:p>
                <w:p>
                  <w:pPr>
                    <w:pStyle w:val="22"/>
                    <w:bidi w:val="0"/>
                    <w:rPr>
                      <w:rFonts w:hint="eastAsia"/>
                      <w:color w:val="auto"/>
                      <w:highlight w:val="none"/>
                      <w:lang w:val="en-US" w:eastAsia="zh-CN"/>
                    </w:rPr>
                  </w:pPr>
                  <w:r>
                    <w:rPr>
                      <w:rFonts w:hint="eastAsia"/>
                      <w:color w:val="auto"/>
                      <w:highlight w:val="none"/>
                      <w:lang w:val="en-US" w:eastAsia="zh-CN"/>
                    </w:rPr>
                    <w:t>2、科尔沁沙地南缘阻击区。包括沈阳市、锦州市、铁岭市的法库县、新民市、黑山县、义县、昌图县5个县(市)。沙化土地面积 160.50万亩，占全省沙化土地面积的23.9%。主要以沙化耕地治理为重点，开展农田防护林网建设，实施保护性耕作，大力营造科尔沁沙地南缘锁边林草带，阻击科尔沁沙地南侵。</w:t>
                  </w:r>
                </w:p>
                <w:p>
                  <w:pPr>
                    <w:pStyle w:val="22"/>
                    <w:bidi w:val="0"/>
                    <w:rPr>
                      <w:rFonts w:hint="eastAsia"/>
                      <w:color w:val="auto"/>
                      <w:highlight w:val="none"/>
                      <w:lang w:val="en-US" w:eastAsia="zh-CN"/>
                    </w:rPr>
                  </w:pPr>
                  <w:r>
                    <w:rPr>
                      <w:rFonts w:hint="eastAsia"/>
                      <w:color w:val="auto"/>
                      <w:highlight w:val="none"/>
                      <w:lang w:val="en-US" w:eastAsia="zh-CN"/>
                    </w:rPr>
                    <w:t>3、沿海沿河沙地治理区。包括沈阳市、大连市、鞍山市、盘锦市和葫芦岛市的辽中区、瓦房店市、台安县、盘山县、连山区、龙港区、南票区、绥中县、兴城市9个县(市、区)。主要以海防林等防护林体系建设为重点，加强退化林草修复和湿地生态系统保护修复，提升沿海沿河生态系统质量。</w:t>
                  </w:r>
                </w:p>
                <w:p>
                  <w:pPr>
                    <w:pStyle w:val="22"/>
                    <w:bidi w:val="0"/>
                    <w:rPr>
                      <w:rFonts w:hint="eastAsia"/>
                      <w:color w:val="auto"/>
                      <w:highlight w:val="none"/>
                      <w:lang w:val="en-US" w:eastAsia="zh-CN"/>
                    </w:rPr>
                  </w:pPr>
                  <w:r>
                    <w:rPr>
                      <w:rFonts w:hint="eastAsia"/>
                      <w:color w:val="auto"/>
                      <w:highlight w:val="none"/>
                      <w:lang w:val="en-US" w:eastAsia="zh-CN"/>
                    </w:rPr>
                    <w:t>4、荒漠化综合防治区。包括朝阳市的双塔区、龙城区、朝阳县、建平县、喀左县、北票市、凌源市7个县(市、区，建平县、北票市与科尔沁沙地歼灭战攻坚区重叠)。荒漠化土地总面积742.53万亩。加强以水土保持林草建设为主的综合治理，提升植被综合盖度，防止水土流失，改善生态环境，有效遏制土地荒漠化</w:t>
                  </w:r>
                </w:p>
              </w:tc>
              <w:tc>
                <w:tcPr>
                  <w:tcW w:w="2196" w:type="dxa"/>
                  <w:noWrap w:val="0"/>
                  <w:vAlign w:val="center"/>
                </w:tcPr>
                <w:p>
                  <w:pPr>
                    <w:pStyle w:val="22"/>
                    <w:bidi w:val="0"/>
                    <w:rPr>
                      <w:rFonts w:hint="eastAsia"/>
                      <w:color w:val="auto"/>
                      <w:highlight w:val="none"/>
                      <w:lang w:val="en-US" w:eastAsia="zh-CN"/>
                    </w:rPr>
                  </w:pPr>
                  <w:r>
                    <w:rPr>
                      <w:rFonts w:hint="eastAsia"/>
                      <w:color w:val="auto"/>
                      <w:highlight w:val="none"/>
                      <w:lang w:val="en-US" w:eastAsia="zh-CN"/>
                    </w:rPr>
                    <w:t>本项目位于北票市，属于通知所列科尔沁沙地歼灭战攻坚区及荒漠化综合防治区。</w:t>
                  </w:r>
                </w:p>
                <w:p>
                  <w:pPr>
                    <w:pStyle w:val="22"/>
                    <w:bidi w:val="0"/>
                    <w:rPr>
                      <w:rFonts w:hint="eastAsia"/>
                      <w:color w:val="auto"/>
                      <w:highlight w:val="none"/>
                      <w:lang w:val="en-US" w:eastAsia="zh-CN"/>
                    </w:rPr>
                  </w:pPr>
                  <w:r>
                    <w:rPr>
                      <w:rFonts w:hint="eastAsia"/>
                      <w:color w:val="auto"/>
                      <w:highlight w:val="none"/>
                      <w:lang w:val="en-US" w:eastAsia="zh-CN"/>
                    </w:rPr>
                    <w:t>本项目在现有厂区内建设，不涉及退化林草修复、沙化耕地治理和小流域综合治理等内容。本项目不在科尔沁沙地南缘阻击区和沿海沿河沙地治理区。本项目建成后，应防止水土流失，改善生态环境，有效遏制土地荒漠化</w:t>
                  </w:r>
                </w:p>
              </w:tc>
              <w:tc>
                <w:tcPr>
                  <w:tcW w:w="807" w:type="dxa"/>
                  <w:noWrap w:val="0"/>
                  <w:vAlign w:val="center"/>
                </w:tcPr>
                <w:p>
                  <w:pPr>
                    <w:pStyle w:val="22"/>
                    <w:bidi w:val="0"/>
                    <w:rPr>
                      <w:rFonts w:hint="eastAsia"/>
                      <w:color w:val="auto"/>
                      <w:highlight w:val="none"/>
                      <w:lang w:val="en-US" w:eastAsia="zh-CN"/>
                    </w:rPr>
                  </w:pPr>
                  <w:r>
                    <w:rPr>
                      <w:rFonts w:hint="eastAsia"/>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1034" w:type="dxa"/>
                  <w:noWrap w:val="0"/>
                  <w:vAlign w:val="center"/>
                </w:tcPr>
                <w:p>
                  <w:pPr>
                    <w:pStyle w:val="22"/>
                    <w:bidi w:val="0"/>
                    <w:rPr>
                      <w:rFonts w:hint="default"/>
                      <w:color w:val="auto"/>
                      <w:highlight w:val="none"/>
                      <w:lang w:val="en-US" w:eastAsia="zh-CN"/>
                    </w:rPr>
                  </w:pPr>
                  <w:r>
                    <w:rPr>
                      <w:rFonts w:hint="eastAsia"/>
                      <w:color w:val="auto"/>
                      <w:highlight w:val="none"/>
                      <w:lang w:val="en-US" w:eastAsia="zh-CN"/>
                    </w:rPr>
                    <w:t>3</w:t>
                  </w:r>
                </w:p>
              </w:tc>
              <w:tc>
                <w:tcPr>
                  <w:tcW w:w="3353" w:type="dxa"/>
                  <w:noWrap w:val="0"/>
                  <w:vAlign w:val="center"/>
                </w:tcPr>
                <w:p>
                  <w:pPr>
                    <w:pStyle w:val="22"/>
                    <w:bidi w:val="0"/>
                    <w:rPr>
                      <w:rFonts w:hint="eastAsia"/>
                      <w:color w:val="auto"/>
                      <w:highlight w:val="none"/>
                      <w:lang w:val="en-US" w:eastAsia="zh-CN"/>
                    </w:rPr>
                  </w:pPr>
                  <w:r>
                    <w:rPr>
                      <w:rFonts w:hint="eastAsia"/>
                      <w:color w:val="auto"/>
                      <w:highlight w:val="none"/>
                      <w:lang w:val="en-US" w:eastAsia="zh-CN"/>
                    </w:rPr>
                    <w:t>四、重点任务</w:t>
                  </w:r>
                </w:p>
                <w:p>
                  <w:pPr>
                    <w:pStyle w:val="22"/>
                    <w:bidi w:val="0"/>
                    <w:rPr>
                      <w:rFonts w:hint="eastAsia"/>
                      <w:color w:val="auto"/>
                      <w:highlight w:val="none"/>
                      <w:lang w:val="en-US" w:eastAsia="zh-CN"/>
                    </w:rPr>
                  </w:pPr>
                  <w:r>
                    <w:rPr>
                      <w:rFonts w:hint="eastAsia"/>
                      <w:color w:val="auto"/>
                      <w:highlight w:val="none"/>
                      <w:lang w:val="en-US" w:eastAsia="zh-CN"/>
                    </w:rPr>
                    <w:t>坚持全省统筹，上下联动，将科尔沁沙地歼灭战和荒漠化综合防治融入全省生态文明建设总体布局，以全面振兴新突破三年行动为契机，实施植被综合盖度精准提升、沙化耕地精准治理、水资源利用与保护、自然资源生态保护修复、湿地保护修复、重大科技攻关和技术推广、试点示范、监测评估8大重点任务，23个项目。计划投资98亿元，完成治理总任务2400万亩，其中林草任务1800万亩</w:t>
                  </w:r>
                </w:p>
              </w:tc>
              <w:tc>
                <w:tcPr>
                  <w:tcW w:w="2196" w:type="dxa"/>
                  <w:noWrap w:val="0"/>
                  <w:vAlign w:val="center"/>
                </w:tcPr>
                <w:p>
                  <w:pPr>
                    <w:pStyle w:val="22"/>
                    <w:bidi w:val="0"/>
                    <w:rPr>
                      <w:rFonts w:hint="eastAsia"/>
                      <w:color w:val="auto"/>
                      <w:highlight w:val="none"/>
                      <w:lang w:val="en-US" w:eastAsia="zh-CN"/>
                    </w:rPr>
                  </w:pPr>
                  <w:r>
                    <w:rPr>
                      <w:rFonts w:hint="eastAsia"/>
                      <w:color w:val="auto"/>
                      <w:highlight w:val="none"/>
                      <w:lang w:val="en-US" w:eastAsia="zh-CN"/>
                    </w:rPr>
                    <w:t>本项目用地范围内不涉及沙化土地区域，影响范围内不涉及植被综合盖度精准提升区域、沙化耕地精准治理区域、水资源保护区、自然保护区、湿地保护区等</w:t>
                  </w:r>
                </w:p>
              </w:tc>
              <w:tc>
                <w:tcPr>
                  <w:tcW w:w="807" w:type="dxa"/>
                  <w:noWrap w:val="0"/>
                  <w:vAlign w:val="center"/>
                </w:tcPr>
                <w:p>
                  <w:pPr>
                    <w:pStyle w:val="22"/>
                    <w:bidi w:val="0"/>
                    <w:rPr>
                      <w:rFonts w:hint="eastAsia"/>
                      <w:color w:val="auto"/>
                      <w:highlight w:val="none"/>
                      <w:lang w:val="en-US" w:eastAsia="zh-CN"/>
                    </w:rPr>
                  </w:pPr>
                  <w:r>
                    <w:rPr>
                      <w:rFonts w:hint="eastAsia"/>
                      <w:color w:val="auto"/>
                      <w:highlight w:val="none"/>
                      <w:lang w:val="en-US" w:eastAsia="zh-CN"/>
                    </w:rPr>
                    <w:t>符合</w:t>
                  </w:r>
                </w:p>
              </w:tc>
            </w:tr>
          </w:tbl>
          <w:p>
            <w:pPr>
              <w:pStyle w:val="12"/>
              <w:ind w:firstLine="480"/>
              <w:rPr>
                <w:rFonts w:hint="eastAsia"/>
                <w:color w:val="auto"/>
                <w:highlight w:val="none"/>
                <w:lang w:eastAsia="zh-CN"/>
              </w:rPr>
            </w:pPr>
            <w:r>
              <w:rPr>
                <w:rFonts w:hint="eastAsia"/>
                <w:color w:val="auto"/>
                <w:highlight w:val="none"/>
              </w:rPr>
              <w:t>本项目与《辽宁省科尔沁沙地歼灭战和荒漠化综合防治行动方案》中相关内容符合</w:t>
            </w:r>
            <w:r>
              <w:rPr>
                <w:rFonts w:hint="eastAsia"/>
                <w:color w:val="auto"/>
                <w:highlight w:val="none"/>
                <w:lang w:eastAsia="zh-CN"/>
              </w:rPr>
              <w:t>。</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5.1</w:t>
            </w:r>
            <w:r>
              <w:rPr>
                <w:rFonts w:hint="eastAsia" w:ascii="Times New Roman" w:hAnsi="Times New Roman" w:eastAsia="宋体" w:cs="Times New Roman"/>
                <w:color w:val="auto"/>
                <w:highlight w:val="none"/>
                <w:lang w:val="en-US" w:eastAsia="zh-CN"/>
              </w:rPr>
              <w:t>7本项目与《土壤污染源头防控行动计划》（环土壤[2024]80号）符合性分析</w:t>
            </w:r>
          </w:p>
          <w:p>
            <w:pPr>
              <w:pStyle w:val="23"/>
              <w:numPr>
                <w:ilvl w:val="0"/>
                <w:numId w:val="2"/>
              </w:numPr>
              <w:bidi w:val="0"/>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与《土壤污染源头防控行动计划》符合性分析</w:t>
            </w:r>
          </w:p>
          <w:tbl>
            <w:tblPr>
              <w:tblStyle w:val="15"/>
              <w:tblW w:w="7438"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039"/>
              <w:gridCol w:w="3845"/>
              <w:gridCol w:w="1741"/>
              <w:gridCol w:w="81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1039" w:type="dxa"/>
                  <w:noWrap w:val="0"/>
                  <w:vAlign w:val="center"/>
                </w:tcPr>
                <w:p>
                  <w:pPr>
                    <w:pStyle w:val="25"/>
                    <w:bidi w:val="0"/>
                    <w:ind w:firstLine="0" w:firstLineChars="0"/>
                    <w:rPr>
                      <w:rFonts w:hint="eastAsia" w:ascii="Times New Roman" w:hAnsi="Times New Roman" w:cs="Times New Roman"/>
                      <w:b/>
                      <w:bCs/>
                      <w:color w:val="auto"/>
                      <w:kern w:val="21"/>
                      <w:sz w:val="21"/>
                      <w:szCs w:val="21"/>
                      <w:highlight w:val="none"/>
                      <w:lang w:val="en-US" w:eastAsia="zh-CN"/>
                    </w:rPr>
                  </w:pPr>
                  <w:r>
                    <w:rPr>
                      <w:rFonts w:hint="eastAsia" w:ascii="Times New Roman" w:hAnsi="Times New Roman" w:cs="Times New Roman"/>
                      <w:b/>
                      <w:bCs/>
                      <w:color w:val="auto"/>
                      <w:kern w:val="21"/>
                      <w:sz w:val="21"/>
                      <w:szCs w:val="21"/>
                      <w:highlight w:val="none"/>
                      <w:lang w:val="en-US" w:eastAsia="zh-CN"/>
                    </w:rPr>
                    <w:t>序号</w:t>
                  </w:r>
                </w:p>
              </w:tc>
              <w:tc>
                <w:tcPr>
                  <w:tcW w:w="3845" w:type="dxa"/>
                  <w:noWrap w:val="0"/>
                  <w:vAlign w:val="center"/>
                </w:tcPr>
                <w:p>
                  <w:pPr>
                    <w:pStyle w:val="25"/>
                    <w:bidi w:val="0"/>
                    <w:ind w:firstLine="0" w:firstLineChars="0"/>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lang w:val="en-US" w:eastAsia="zh-CN"/>
                    </w:rPr>
                    <w:t>分析内容</w:t>
                  </w:r>
                </w:p>
              </w:tc>
              <w:tc>
                <w:tcPr>
                  <w:tcW w:w="1741" w:type="dxa"/>
                  <w:noWrap w:val="0"/>
                  <w:vAlign w:val="center"/>
                </w:tcPr>
                <w:p>
                  <w:pPr>
                    <w:pStyle w:val="25"/>
                    <w:bidi w:val="0"/>
                    <w:ind w:firstLine="0" w:firstLineChars="0"/>
                    <w:rPr>
                      <w:rFonts w:hint="eastAsia" w:ascii="Times New Roman" w:hAnsi="Times New Roman" w:cs="Times New Roman"/>
                      <w:b/>
                      <w:bCs/>
                      <w:color w:val="auto"/>
                      <w:kern w:val="21"/>
                      <w:sz w:val="21"/>
                      <w:szCs w:val="21"/>
                      <w:highlight w:val="none"/>
                      <w:lang w:val="en-US" w:eastAsia="zh-CN"/>
                    </w:rPr>
                  </w:pPr>
                  <w:r>
                    <w:rPr>
                      <w:rFonts w:hint="default" w:ascii="Times New Roman" w:hAnsi="Times New Roman" w:cs="Times New Roman"/>
                      <w:b/>
                      <w:bCs/>
                      <w:color w:val="auto"/>
                      <w:kern w:val="21"/>
                      <w:sz w:val="21"/>
                      <w:szCs w:val="21"/>
                      <w:highlight w:val="none"/>
                      <w:lang w:val="en-US" w:eastAsia="zh-CN"/>
                    </w:rPr>
                    <w:t>本项目情况</w:t>
                  </w:r>
                </w:p>
              </w:tc>
              <w:tc>
                <w:tcPr>
                  <w:tcW w:w="813" w:type="dxa"/>
                  <w:noWrap w:val="0"/>
                  <w:vAlign w:val="center"/>
                </w:tcPr>
                <w:p>
                  <w:pPr>
                    <w:pStyle w:val="25"/>
                    <w:bidi w:val="0"/>
                    <w:ind w:firstLine="0" w:firstLineChars="0"/>
                    <w:rPr>
                      <w:rFonts w:hint="eastAsia" w:ascii="Times New Roman" w:hAnsi="Times New Roman" w:cs="Times New Roman"/>
                      <w:b/>
                      <w:bCs/>
                      <w:color w:val="auto"/>
                      <w:kern w:val="21"/>
                      <w:sz w:val="21"/>
                      <w:szCs w:val="21"/>
                      <w:highlight w:val="none"/>
                      <w:lang w:eastAsia="zh-CN"/>
                    </w:rPr>
                  </w:pPr>
                  <w:r>
                    <w:rPr>
                      <w:rFonts w:hint="eastAsia" w:ascii="Times New Roman" w:hAnsi="Times New Roman" w:cs="Times New Roman"/>
                      <w:b/>
                      <w:bCs/>
                      <w:color w:val="auto"/>
                      <w:kern w:val="21"/>
                      <w:sz w:val="21"/>
                      <w:szCs w:val="21"/>
                      <w:highlight w:val="none"/>
                      <w:lang w:val="en-US" w:eastAsia="zh-CN"/>
                    </w:rPr>
                    <w:t>分析结果</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97" w:hRule="atLeast"/>
                <w:jc w:val="center"/>
              </w:trPr>
              <w:tc>
                <w:tcPr>
                  <w:tcW w:w="1039" w:type="dxa"/>
                  <w:noWrap w:val="0"/>
                  <w:vAlign w:val="center"/>
                </w:tcPr>
                <w:p>
                  <w:pPr>
                    <w:pStyle w:val="22"/>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w:t>
                  </w:r>
                </w:p>
              </w:tc>
              <w:tc>
                <w:tcPr>
                  <w:tcW w:w="3845" w:type="dxa"/>
                  <w:noWrap w:val="0"/>
                  <w:vAlign w:val="center"/>
                </w:tcPr>
                <w:p>
                  <w:pPr>
                    <w:pStyle w:val="22"/>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严格环境监管重点单位名录管理，确保土壤污染重点监管单位和地下水污染防治重点排污单位应纳尽纳。加强以排污许可为核心的环境管理，督促土壤污染重点监管单位按照排污许可证规定和标准规范落实控制有毒有害物质排放、土壤污染隐患排查、自行监测等要求。完善重点场所和设施设备清单，全面查清隐患并落实整改，优化提升自行监测工作质量，积极推进防腐防渗改造、存储转运密闭化、管道输送可视化等绿色化改造。已造成土壤和地下水污染的企业在实施改建、扩建和技术改造项目时，必须采取有效措施防控已有污染。持续推进重点行业防渗漏、隐患排查、周边监测等技术规范制修订。排放涉镉等重金属的大气、水环境重点排污单位，依法对排放口和周边环境进行定期监测，评估对周边农用地土壤重金属累积性风险，并采取有效措施防范环境风险</w:t>
                  </w:r>
                </w:p>
              </w:tc>
              <w:tc>
                <w:tcPr>
                  <w:tcW w:w="1741" w:type="dxa"/>
                  <w:noWrap w:val="0"/>
                  <w:vAlign w:val="center"/>
                </w:tcPr>
                <w:p>
                  <w:pPr>
                    <w:pStyle w:val="22"/>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辽宁二道沟黄金矿业有限责任公司2024年已列入土壤污染重点监管单位，已按照管理要求进行土壤和地下水监测，本项目建成后，公司可根据实际情况进行更新土壤和地下水监测情况</w:t>
                  </w:r>
                </w:p>
              </w:tc>
              <w:tc>
                <w:tcPr>
                  <w:tcW w:w="813" w:type="dxa"/>
                  <w:noWrap w:val="0"/>
                  <w:vAlign w:val="center"/>
                </w:tcPr>
                <w:p>
                  <w:pPr>
                    <w:pStyle w:val="22"/>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bl>
          <w:p>
            <w:pPr>
              <w:pStyle w:val="12"/>
              <w:ind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rPr>
              <w:t>本项目与《土壤污染源头防控行动计划》（环土壤[2024]80号）中相关内容符合</w:t>
            </w:r>
            <w:r>
              <w:rPr>
                <w:rFonts w:hint="eastAsia" w:ascii="Times New Roman" w:hAnsi="Times New Roman" w:eastAsia="宋体" w:cs="Times New Roman"/>
                <w:color w:val="auto"/>
                <w:highlight w:val="none"/>
                <w:lang w:eastAsia="zh-CN"/>
              </w:rPr>
              <w:t>。</w:t>
            </w:r>
          </w:p>
          <w:p>
            <w:pPr>
              <w:rPr>
                <w:rFonts w:hint="eastAsia" w:ascii="Times New Roman" w:hAnsi="Times New Roman" w:eastAsia="宋体" w:cs="Times New Roman"/>
                <w:color w:val="auto"/>
                <w:highlight w:val="none"/>
                <w:lang w:eastAsia="zh-CN"/>
              </w:rPr>
            </w:pPr>
          </w:p>
          <w:p>
            <w:pPr>
              <w:rPr>
                <w:rFonts w:hint="eastAsia" w:ascii="Times New Roman" w:hAnsi="Times New Roman" w:eastAsia="宋体" w:cs="Times New Roman"/>
                <w:color w:val="auto"/>
                <w:highlight w:val="none"/>
                <w:lang w:eastAsia="zh-CN"/>
              </w:rPr>
            </w:pPr>
          </w:p>
          <w:p>
            <w:pPr>
              <w:rPr>
                <w:rFonts w:hint="eastAsia" w:ascii="Times New Roman" w:hAnsi="Times New Roman" w:eastAsia="宋体" w:cs="Times New Roman"/>
                <w:color w:val="auto"/>
                <w:highlight w:val="none"/>
                <w:lang w:eastAsia="zh-CN"/>
              </w:rPr>
            </w:pPr>
          </w:p>
          <w:p>
            <w:pPr>
              <w:rPr>
                <w:rFonts w:hint="eastAsia" w:ascii="Times New Roman" w:hAnsi="Times New Roman" w:eastAsia="宋体" w:cs="Times New Roman"/>
                <w:color w:val="auto"/>
                <w:highlight w:val="none"/>
                <w:lang w:eastAsia="zh-CN"/>
              </w:rPr>
            </w:pPr>
          </w:p>
          <w:p>
            <w:pPr>
              <w:rPr>
                <w:rFonts w:hint="eastAsia" w:ascii="Times New Roman" w:hAnsi="Times New Roman" w:eastAsia="宋体" w:cs="Times New Roman"/>
                <w:color w:val="auto"/>
                <w:highlight w:val="none"/>
                <w:lang w:eastAsia="zh-CN"/>
              </w:rPr>
            </w:pPr>
          </w:p>
          <w:p>
            <w:pPr>
              <w:rPr>
                <w:rFonts w:hint="eastAsia" w:ascii="Times New Roman" w:hAnsi="Times New Roman" w:eastAsia="宋体" w:cs="Times New Roman"/>
                <w:color w:val="auto"/>
                <w:highlight w:val="none"/>
                <w:lang w:eastAsia="zh-CN"/>
              </w:rPr>
            </w:pPr>
          </w:p>
          <w:p>
            <w:pPr>
              <w:rPr>
                <w:rFonts w:hint="eastAsia" w:ascii="Times New Roman" w:hAnsi="Times New Roman" w:eastAsia="宋体" w:cs="Times New Roman"/>
                <w:color w:val="auto"/>
                <w:highlight w:val="none"/>
                <w:lang w:eastAsia="zh-CN"/>
              </w:rPr>
            </w:pPr>
          </w:p>
          <w:p>
            <w:pPr>
              <w:rPr>
                <w:rFonts w:hint="eastAsia" w:ascii="Times New Roman" w:hAnsi="Times New Roman" w:eastAsia="宋体" w:cs="Times New Roman"/>
                <w:color w:val="auto"/>
                <w:highlight w:val="none"/>
                <w:lang w:eastAsia="zh-CN"/>
              </w:rPr>
            </w:pPr>
          </w:p>
          <w:p>
            <w:pPr>
              <w:rPr>
                <w:rFonts w:hint="eastAsia" w:ascii="Times New Roman" w:hAnsi="Times New Roman" w:eastAsia="宋体" w:cs="Times New Roman"/>
                <w:color w:val="auto"/>
                <w:highlight w:val="none"/>
                <w:lang w:eastAsia="zh-CN"/>
              </w:rPr>
            </w:pPr>
          </w:p>
          <w:p>
            <w:pPr>
              <w:rPr>
                <w:rFonts w:hint="eastAsia" w:ascii="Times New Roman" w:hAnsi="Times New Roman" w:eastAsia="宋体" w:cs="Times New Roman"/>
                <w:color w:val="auto"/>
                <w:highlight w:val="none"/>
                <w:lang w:eastAsia="zh-CN"/>
              </w:rPr>
            </w:pPr>
          </w:p>
          <w:p>
            <w:pPr>
              <w:rPr>
                <w:rFonts w:hint="eastAsia" w:ascii="Times New Roman" w:hAnsi="Times New Roman" w:eastAsia="宋体" w:cs="Times New Roman"/>
                <w:color w:val="auto"/>
                <w:highlight w:val="none"/>
                <w:lang w:eastAsia="zh-CN"/>
              </w:rPr>
            </w:pPr>
          </w:p>
        </w:tc>
      </w:tr>
    </w:tbl>
    <w:p>
      <w:pPr>
        <w:spacing w:line="360" w:lineRule="auto"/>
        <w:outlineLvl w:val="0"/>
        <w:rPr>
          <w:rFonts w:eastAsia="黑体"/>
          <w:color w:val="auto"/>
          <w:sz w:val="30"/>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二、建设项目工程分析</w:t>
      </w:r>
    </w:p>
    <w:tbl>
      <w:tblPr>
        <w:tblStyle w:val="15"/>
        <w:tblW w:w="9060"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3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99" w:type="dxa"/>
            <w:vAlign w:val="center"/>
          </w:tcPr>
          <w:p>
            <w:pPr>
              <w:adjustRightInd w:val="0"/>
              <w:snapToGrid w:val="0"/>
              <w:jc w:val="center"/>
              <w:rPr>
                <w:rFonts w:cs="宋体"/>
                <w:color w:val="auto"/>
                <w:sz w:val="21"/>
                <w:szCs w:val="21"/>
                <w:highlight w:val="none"/>
              </w:rPr>
            </w:pPr>
            <w:r>
              <w:rPr>
                <w:rFonts w:hint="eastAsia" w:ascii="Times New Roman" w:hAnsi="Times New Roman" w:eastAsia="宋体" w:cs="Times New Roman"/>
                <w:color w:val="auto"/>
                <w:kern w:val="2"/>
                <w:sz w:val="24"/>
                <w:szCs w:val="22"/>
                <w:highlight w:val="none"/>
                <w:lang w:val="en-US" w:eastAsia="zh-CN" w:bidi="ar-SA"/>
              </w:rPr>
              <w:t>建设内容</w:t>
            </w:r>
          </w:p>
        </w:tc>
        <w:tc>
          <w:tcPr>
            <w:tcW w:w="8361" w:type="dxa"/>
          </w:tcPr>
          <w:p>
            <w:pPr>
              <w:pStyle w:val="27"/>
              <w:ind w:firstLine="482"/>
              <w:rPr>
                <w:rFonts w:hint="eastAsia" w:eastAsia="宋体"/>
                <w:color w:val="auto"/>
                <w:highlight w:val="none"/>
                <w:lang w:eastAsia="zh-CN"/>
              </w:rPr>
            </w:pPr>
            <w:r>
              <w:rPr>
                <w:color w:val="auto"/>
                <w:highlight w:val="none"/>
              </w:rPr>
              <w:t>1项目</w:t>
            </w:r>
            <w:r>
              <w:rPr>
                <w:rFonts w:hint="eastAsia"/>
                <w:color w:val="auto"/>
                <w:highlight w:val="none"/>
                <w:lang w:eastAsia="zh-CN"/>
              </w:rPr>
              <w:t>由来</w:t>
            </w:r>
          </w:p>
          <w:p>
            <w:pPr>
              <w:pStyle w:val="12"/>
              <w:ind w:firstLine="480"/>
              <w:rPr>
                <w:rFonts w:hint="eastAsia"/>
                <w:color w:val="auto"/>
                <w:highlight w:val="none"/>
                <w:lang w:val="en-US" w:eastAsia="zh-CN"/>
              </w:rPr>
            </w:pPr>
            <w:r>
              <w:rPr>
                <w:rFonts w:hint="eastAsia"/>
                <w:color w:val="auto"/>
                <w:highlight w:val="none"/>
                <w:lang w:val="en-US" w:eastAsia="zh-CN"/>
              </w:rPr>
              <w:t>辽宁二道沟黄金矿业有限责任公司是中国黄金集团下属矿山企业，该公司下设两个采区，分别为二道沟采区和平房采区，其中二道沟采区包含红旗采区和正北沟采区。二道沟矿区隶属朝阳北票市龙潭镇管辖，位于龙潭镇政府所在地北西方向约11km。</w:t>
            </w:r>
          </w:p>
          <w:p>
            <w:pPr>
              <w:pStyle w:val="12"/>
              <w:ind w:firstLine="480"/>
              <w:rPr>
                <w:rFonts w:hint="eastAsia"/>
                <w:color w:val="auto"/>
                <w:highlight w:val="none"/>
                <w:lang w:val="en-US" w:eastAsia="zh-CN"/>
              </w:rPr>
            </w:pPr>
            <w:r>
              <w:rPr>
                <w:rFonts w:hint="eastAsia"/>
                <w:color w:val="auto"/>
                <w:highlight w:val="none"/>
                <w:lang w:val="en-US" w:eastAsia="zh-CN"/>
              </w:rPr>
              <w:t>本次仅对二道沟采区（含红旗采区和正北沟采区）内产生的危险废物进行收集贮存。红旗采区和正北沟采区均在二道沟采区矿区范围内，不涉及跨厂区运输。</w:t>
            </w:r>
          </w:p>
          <w:p>
            <w:pPr>
              <w:pStyle w:val="12"/>
              <w:ind w:firstLine="480"/>
              <w:rPr>
                <w:rFonts w:hint="eastAsia"/>
                <w:color w:val="auto"/>
                <w:highlight w:val="none"/>
              </w:rPr>
            </w:pPr>
            <w:r>
              <w:rPr>
                <w:rFonts w:hint="eastAsia"/>
                <w:color w:val="auto"/>
                <w:highlight w:val="none"/>
              </w:rPr>
              <w:t>项目</w:t>
            </w:r>
            <w:r>
              <w:rPr>
                <w:rFonts w:hint="eastAsia"/>
                <w:color w:val="auto"/>
                <w:highlight w:val="none"/>
                <w:lang w:eastAsia="zh-CN"/>
              </w:rPr>
              <w:t>拟</w:t>
            </w:r>
            <w:r>
              <w:rPr>
                <w:rFonts w:hint="eastAsia"/>
                <w:color w:val="auto"/>
                <w:highlight w:val="none"/>
              </w:rPr>
              <w:t>总投资</w:t>
            </w:r>
            <w:r>
              <w:rPr>
                <w:rFonts w:hint="eastAsia"/>
                <w:color w:val="auto"/>
                <w:highlight w:val="none"/>
                <w:lang w:val="en-US" w:eastAsia="zh-CN"/>
              </w:rPr>
              <w:t>2.5</w:t>
            </w:r>
            <w:r>
              <w:rPr>
                <w:rFonts w:hint="eastAsia"/>
                <w:color w:val="auto"/>
                <w:highlight w:val="none"/>
              </w:rPr>
              <w:t>万元，</w:t>
            </w:r>
            <w:r>
              <w:rPr>
                <w:rFonts w:hint="eastAsia"/>
                <w:color w:val="auto"/>
                <w:highlight w:val="none"/>
                <w:lang w:eastAsia="zh-CN"/>
              </w:rPr>
              <w:t>利用原有库房进行改造成符合危险废物贮存的危险废物贮存点，用于贮存二道沟公司</w:t>
            </w:r>
            <w:r>
              <w:rPr>
                <w:rFonts w:hint="eastAsia"/>
                <w:color w:val="auto"/>
                <w:highlight w:val="none"/>
                <w:lang w:val="en-US" w:eastAsia="zh-CN"/>
              </w:rPr>
              <w:t>二道沟采区（含红旗采区和正北沟采区）内</w:t>
            </w:r>
            <w:r>
              <w:rPr>
                <w:rFonts w:hint="eastAsia"/>
                <w:color w:val="auto"/>
                <w:highlight w:val="none"/>
                <w:lang w:eastAsia="zh-CN"/>
              </w:rPr>
              <w:t>产生的危险废物</w:t>
            </w:r>
            <w:r>
              <w:rPr>
                <w:rFonts w:hint="eastAsia"/>
                <w:color w:val="auto"/>
                <w:highlight w:val="none"/>
              </w:rPr>
              <w:t>。</w:t>
            </w:r>
          </w:p>
          <w:p>
            <w:pPr>
              <w:pStyle w:val="12"/>
              <w:ind w:firstLine="480"/>
              <w:rPr>
                <w:rFonts w:hint="eastAsia"/>
                <w:color w:val="auto"/>
                <w:highlight w:val="none"/>
                <w:lang w:eastAsia="zh-CN"/>
              </w:rPr>
            </w:pPr>
            <w:r>
              <w:rPr>
                <w:rFonts w:hint="eastAsia"/>
                <w:color w:val="auto"/>
                <w:highlight w:val="none"/>
                <w:lang w:eastAsia="zh-CN"/>
              </w:rPr>
              <w:t>项目现场已对库房进行改造，朝阳市生态环境局北票分局已对此做出不予处罚的情况说明，见附件</w:t>
            </w:r>
            <w:r>
              <w:rPr>
                <w:rFonts w:hint="eastAsia"/>
                <w:color w:val="auto"/>
                <w:highlight w:val="none"/>
                <w:lang w:val="en-US" w:eastAsia="zh-CN"/>
              </w:rPr>
              <w:t>6</w:t>
            </w:r>
            <w:r>
              <w:rPr>
                <w:rFonts w:hint="eastAsia"/>
                <w:color w:val="auto"/>
                <w:highlight w:val="none"/>
                <w:lang w:eastAsia="zh-CN"/>
              </w:rPr>
              <w:t>。</w:t>
            </w:r>
          </w:p>
          <w:p>
            <w:pPr>
              <w:pStyle w:val="27"/>
              <w:ind w:firstLine="482"/>
              <w:rPr>
                <w:color w:val="auto"/>
                <w:highlight w:val="none"/>
              </w:rPr>
            </w:pPr>
            <w:r>
              <w:rPr>
                <w:color w:val="auto"/>
                <w:highlight w:val="none"/>
              </w:rPr>
              <w:t>2建设内容及规模</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项目建设内容组成一览表</w:t>
            </w:r>
          </w:p>
          <w:tbl>
            <w:tblPr>
              <w:tblStyle w:val="15"/>
              <w:tblW w:w="81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381"/>
              <w:gridCol w:w="4173"/>
              <w:gridCol w:w="15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62" w:type="dxa"/>
                  <w:tcBorders>
                    <w:tl2br w:val="nil"/>
                    <w:tr2bl w:val="nil"/>
                  </w:tcBorders>
                  <w:vAlign w:val="center"/>
                </w:tcPr>
                <w:p>
                  <w:pPr>
                    <w:pStyle w:val="25"/>
                    <w:rPr>
                      <w:rFonts w:hint="default"/>
                      <w:color w:val="auto"/>
                      <w:highlight w:val="none"/>
                    </w:rPr>
                  </w:pPr>
                  <w:r>
                    <w:rPr>
                      <w:color w:val="auto"/>
                      <w:highlight w:val="none"/>
                    </w:rPr>
                    <w:t>项目</w:t>
                  </w:r>
                </w:p>
              </w:tc>
              <w:tc>
                <w:tcPr>
                  <w:tcW w:w="1381" w:type="dxa"/>
                  <w:tcBorders>
                    <w:tl2br w:val="nil"/>
                    <w:tr2bl w:val="nil"/>
                  </w:tcBorders>
                  <w:vAlign w:val="center"/>
                </w:tcPr>
                <w:p>
                  <w:pPr>
                    <w:pStyle w:val="25"/>
                    <w:rPr>
                      <w:rFonts w:hint="default"/>
                      <w:color w:val="auto"/>
                      <w:highlight w:val="none"/>
                    </w:rPr>
                  </w:pPr>
                  <w:r>
                    <w:rPr>
                      <w:color w:val="auto"/>
                      <w:highlight w:val="none"/>
                    </w:rPr>
                    <w:t>建设内容</w:t>
                  </w:r>
                </w:p>
              </w:tc>
              <w:tc>
                <w:tcPr>
                  <w:tcW w:w="4173" w:type="dxa"/>
                  <w:tcBorders>
                    <w:tl2br w:val="nil"/>
                    <w:tr2bl w:val="nil"/>
                  </w:tcBorders>
                  <w:vAlign w:val="center"/>
                </w:tcPr>
                <w:p>
                  <w:pPr>
                    <w:pStyle w:val="25"/>
                    <w:rPr>
                      <w:rFonts w:hint="default"/>
                      <w:color w:val="auto"/>
                      <w:highlight w:val="none"/>
                    </w:rPr>
                  </w:pPr>
                  <w:r>
                    <w:rPr>
                      <w:color w:val="auto"/>
                      <w:highlight w:val="none"/>
                    </w:rPr>
                    <w:t>建设内容</w:t>
                  </w:r>
                </w:p>
              </w:tc>
              <w:tc>
                <w:tcPr>
                  <w:tcW w:w="1526" w:type="dxa"/>
                  <w:tcBorders>
                    <w:tl2br w:val="nil"/>
                    <w:tr2bl w:val="nil"/>
                  </w:tcBorders>
                  <w:vAlign w:val="center"/>
                </w:tcPr>
                <w:p>
                  <w:pPr>
                    <w:pStyle w:val="25"/>
                    <w:rPr>
                      <w:rFonts w:hint="default"/>
                      <w:color w:val="auto"/>
                      <w:highlight w:val="none"/>
                    </w:rPr>
                  </w:pPr>
                  <w:r>
                    <w:rPr>
                      <w:color w:val="auto"/>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62" w:type="dxa"/>
                  <w:tcBorders>
                    <w:tl2br w:val="nil"/>
                    <w:tr2bl w:val="nil"/>
                  </w:tcBorders>
                  <w:vAlign w:val="center"/>
                </w:tcPr>
                <w:p>
                  <w:pPr>
                    <w:pStyle w:val="22"/>
                    <w:rPr>
                      <w:color w:val="auto"/>
                      <w:highlight w:val="none"/>
                    </w:rPr>
                  </w:pPr>
                  <w:r>
                    <w:rPr>
                      <w:rFonts w:hint="eastAsia"/>
                      <w:color w:val="auto"/>
                      <w:highlight w:val="none"/>
                    </w:rPr>
                    <w:t>主体工程</w:t>
                  </w:r>
                </w:p>
              </w:tc>
              <w:tc>
                <w:tcPr>
                  <w:tcW w:w="1381"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危险废物贮存点</w:t>
                  </w:r>
                </w:p>
              </w:tc>
              <w:tc>
                <w:tcPr>
                  <w:tcW w:w="4173"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eastAsia="zh-CN"/>
                    </w:rPr>
                    <w:t>钢筋砼结构，长</w:t>
                  </w:r>
                  <w:r>
                    <w:rPr>
                      <w:rFonts w:hint="eastAsia"/>
                      <w:color w:val="auto"/>
                      <w:highlight w:val="none"/>
                      <w:lang w:val="en-US" w:eastAsia="zh-CN"/>
                    </w:rPr>
                    <w:t>12.4m</w:t>
                  </w:r>
                  <w:r>
                    <w:rPr>
                      <w:rFonts w:hint="eastAsia"/>
                      <w:color w:val="auto"/>
                      <w:highlight w:val="none"/>
                      <w:lang w:eastAsia="zh-CN"/>
                    </w:rPr>
                    <w:t>，宽</w:t>
                  </w:r>
                  <w:r>
                    <w:rPr>
                      <w:rFonts w:hint="eastAsia"/>
                      <w:color w:val="auto"/>
                      <w:highlight w:val="none"/>
                      <w:lang w:val="en-US" w:eastAsia="zh-CN"/>
                    </w:rPr>
                    <w:t>9.8m</w:t>
                  </w:r>
                  <w:r>
                    <w:rPr>
                      <w:rFonts w:hint="eastAsia"/>
                      <w:color w:val="auto"/>
                      <w:highlight w:val="none"/>
                      <w:lang w:eastAsia="zh-CN"/>
                    </w:rPr>
                    <w:t>，高</w:t>
                  </w:r>
                  <w:r>
                    <w:rPr>
                      <w:rFonts w:hint="eastAsia"/>
                      <w:color w:val="auto"/>
                      <w:highlight w:val="none"/>
                      <w:lang w:val="en-US" w:eastAsia="zh-CN"/>
                    </w:rPr>
                    <w:t>4m，</w:t>
                  </w:r>
                  <w:r>
                    <w:rPr>
                      <w:rFonts w:hint="eastAsia"/>
                      <w:color w:val="auto"/>
                      <w:highlight w:val="none"/>
                      <w:lang w:eastAsia="zh-CN"/>
                    </w:rPr>
                    <w:t>建筑面积</w:t>
                  </w:r>
                  <w:r>
                    <w:rPr>
                      <w:rFonts w:hint="eastAsia"/>
                      <w:color w:val="auto"/>
                      <w:highlight w:val="none"/>
                      <w:lang w:val="en-US" w:eastAsia="zh-CN"/>
                    </w:rPr>
                    <w:t>121.52m</w:t>
                  </w:r>
                  <w:r>
                    <w:rPr>
                      <w:rFonts w:hint="eastAsia"/>
                      <w:color w:val="auto"/>
                      <w:highlight w:val="none"/>
                      <w:vertAlign w:val="superscript"/>
                      <w:lang w:val="en-US" w:eastAsia="zh-CN"/>
                    </w:rPr>
                    <w:t>2</w:t>
                  </w:r>
                  <w:r>
                    <w:rPr>
                      <w:rFonts w:hint="eastAsia"/>
                      <w:color w:val="auto"/>
                      <w:highlight w:val="none"/>
                      <w:lang w:eastAsia="zh-CN"/>
                    </w:rPr>
                    <w:t>，分区贮存危险废物（废润滑油贮存区</w:t>
                  </w:r>
                  <w:r>
                    <w:rPr>
                      <w:rFonts w:hint="eastAsia"/>
                      <w:color w:val="auto"/>
                      <w:highlight w:val="none"/>
                      <w:lang w:val="en-US" w:eastAsia="zh-CN"/>
                    </w:rPr>
                    <w:t>31.32m</w:t>
                  </w:r>
                  <w:r>
                    <w:rPr>
                      <w:rFonts w:hint="eastAsia"/>
                      <w:color w:val="auto"/>
                      <w:highlight w:val="none"/>
                      <w:vertAlign w:val="superscript"/>
                      <w:lang w:val="en-US" w:eastAsia="zh-CN"/>
                    </w:rPr>
                    <w:t>2</w:t>
                  </w:r>
                  <w:r>
                    <w:rPr>
                      <w:rFonts w:hint="eastAsia"/>
                      <w:color w:val="auto"/>
                      <w:highlight w:val="none"/>
                      <w:lang w:eastAsia="zh-CN"/>
                    </w:rPr>
                    <w:t>、废油桶贮存区</w:t>
                  </w:r>
                  <w:r>
                    <w:rPr>
                      <w:rFonts w:hint="eastAsia"/>
                      <w:color w:val="auto"/>
                      <w:highlight w:val="none"/>
                      <w:lang w:val="en-US" w:eastAsia="zh-CN"/>
                    </w:rPr>
                    <w:t>17.4m</w:t>
                  </w:r>
                  <w:r>
                    <w:rPr>
                      <w:rFonts w:hint="eastAsia"/>
                      <w:color w:val="auto"/>
                      <w:highlight w:val="none"/>
                      <w:vertAlign w:val="superscript"/>
                      <w:lang w:val="en-US" w:eastAsia="zh-CN"/>
                    </w:rPr>
                    <w:t>2</w:t>
                  </w:r>
                  <w:r>
                    <w:rPr>
                      <w:rFonts w:hint="eastAsia"/>
                      <w:color w:val="auto"/>
                      <w:highlight w:val="none"/>
                      <w:lang w:eastAsia="zh-CN"/>
                    </w:rPr>
                    <w:t>、废铅蓄电池贮存区</w:t>
                  </w:r>
                  <w:r>
                    <w:rPr>
                      <w:rFonts w:hint="eastAsia"/>
                      <w:color w:val="auto"/>
                      <w:highlight w:val="none"/>
                      <w:lang w:val="en-US" w:eastAsia="zh-CN"/>
                    </w:rPr>
                    <w:t>8.7m</w:t>
                  </w:r>
                  <w:r>
                    <w:rPr>
                      <w:rFonts w:hint="eastAsia"/>
                      <w:color w:val="auto"/>
                      <w:highlight w:val="none"/>
                      <w:vertAlign w:val="superscript"/>
                      <w:lang w:val="en-US" w:eastAsia="zh-CN"/>
                    </w:rPr>
                    <w:t>2</w:t>
                  </w:r>
                  <w:r>
                    <w:rPr>
                      <w:rFonts w:hint="eastAsia"/>
                      <w:color w:val="auto"/>
                      <w:highlight w:val="none"/>
                      <w:lang w:eastAsia="zh-CN"/>
                    </w:rPr>
                    <w:t>、废电解液贮存区</w:t>
                  </w:r>
                  <w:r>
                    <w:rPr>
                      <w:rFonts w:hint="eastAsia"/>
                      <w:color w:val="auto"/>
                      <w:highlight w:val="none"/>
                      <w:lang w:val="en-US" w:eastAsia="zh-CN"/>
                    </w:rPr>
                    <w:t>5.8m</w:t>
                  </w:r>
                  <w:r>
                    <w:rPr>
                      <w:rFonts w:hint="eastAsia"/>
                      <w:color w:val="auto"/>
                      <w:highlight w:val="none"/>
                      <w:vertAlign w:val="superscript"/>
                      <w:lang w:val="en-US" w:eastAsia="zh-CN"/>
                    </w:rPr>
                    <w:t>2</w:t>
                  </w:r>
                  <w:r>
                    <w:rPr>
                      <w:rFonts w:hint="eastAsia"/>
                      <w:color w:val="auto"/>
                      <w:highlight w:val="none"/>
                      <w:lang w:eastAsia="zh-CN"/>
                    </w:rPr>
                    <w:t>、废劳保用品贮存区</w:t>
                  </w:r>
                  <w:r>
                    <w:rPr>
                      <w:rFonts w:hint="eastAsia"/>
                      <w:color w:val="auto"/>
                      <w:highlight w:val="none"/>
                      <w:lang w:val="en-US" w:eastAsia="zh-CN"/>
                    </w:rPr>
                    <w:t>1m</w:t>
                  </w:r>
                  <w:r>
                    <w:rPr>
                      <w:rFonts w:hint="eastAsia"/>
                      <w:color w:val="auto"/>
                      <w:highlight w:val="none"/>
                      <w:vertAlign w:val="superscript"/>
                      <w:lang w:val="en-US" w:eastAsia="zh-CN"/>
                    </w:rPr>
                    <w:t>2</w:t>
                  </w:r>
                  <w:r>
                    <w:rPr>
                      <w:rFonts w:hint="eastAsia"/>
                      <w:color w:val="auto"/>
                      <w:highlight w:val="none"/>
                      <w:lang w:eastAsia="zh-CN"/>
                    </w:rPr>
                    <w:t>、废油漆桶贮存区</w:t>
                  </w:r>
                  <w:r>
                    <w:rPr>
                      <w:rFonts w:hint="eastAsia"/>
                      <w:color w:val="auto"/>
                      <w:highlight w:val="none"/>
                      <w:lang w:val="en-US" w:eastAsia="zh-CN"/>
                    </w:rPr>
                    <w:t>5.8m</w:t>
                  </w:r>
                  <w:r>
                    <w:rPr>
                      <w:rFonts w:hint="eastAsia"/>
                      <w:color w:val="auto"/>
                      <w:highlight w:val="none"/>
                      <w:vertAlign w:val="superscript"/>
                      <w:lang w:val="en-US" w:eastAsia="zh-CN"/>
                    </w:rPr>
                    <w:t>2</w:t>
                  </w:r>
                  <w:r>
                    <w:rPr>
                      <w:rFonts w:hint="eastAsia"/>
                      <w:color w:val="auto"/>
                      <w:highlight w:val="none"/>
                      <w:lang w:eastAsia="zh-CN"/>
                    </w:rPr>
                    <w:t>）</w:t>
                  </w:r>
                </w:p>
              </w:tc>
              <w:tc>
                <w:tcPr>
                  <w:tcW w:w="1526"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改造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62" w:type="dxa"/>
                  <w:tcBorders>
                    <w:tl2br w:val="nil"/>
                    <w:tr2bl w:val="nil"/>
                  </w:tcBorders>
                  <w:vAlign w:val="center"/>
                </w:tcPr>
                <w:p>
                  <w:pPr>
                    <w:pStyle w:val="22"/>
                    <w:bidi w:val="0"/>
                    <w:rPr>
                      <w:color w:val="auto"/>
                      <w:highlight w:val="none"/>
                    </w:rPr>
                  </w:pPr>
                  <w:r>
                    <w:rPr>
                      <w:rFonts w:hint="eastAsia"/>
                      <w:color w:val="auto"/>
                      <w:highlight w:val="none"/>
                    </w:rPr>
                    <w:t>辅助工程</w:t>
                  </w:r>
                </w:p>
              </w:tc>
              <w:tc>
                <w:tcPr>
                  <w:tcW w:w="1381"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道路</w:t>
                  </w:r>
                </w:p>
              </w:tc>
              <w:tc>
                <w:tcPr>
                  <w:tcW w:w="4173"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依托厂内道路运输</w:t>
                  </w:r>
                </w:p>
              </w:tc>
              <w:tc>
                <w:tcPr>
                  <w:tcW w:w="1526"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62" w:type="dxa"/>
                  <w:vMerge w:val="restart"/>
                  <w:tcBorders>
                    <w:tl2br w:val="nil"/>
                    <w:tr2bl w:val="nil"/>
                  </w:tcBorders>
                  <w:vAlign w:val="center"/>
                </w:tcPr>
                <w:p>
                  <w:pPr>
                    <w:pStyle w:val="22"/>
                    <w:rPr>
                      <w:color w:val="auto"/>
                      <w:highlight w:val="none"/>
                    </w:rPr>
                  </w:pPr>
                  <w:r>
                    <w:rPr>
                      <w:rFonts w:hint="eastAsia"/>
                      <w:color w:val="auto"/>
                      <w:highlight w:val="none"/>
                    </w:rPr>
                    <w:t>公用工程</w:t>
                  </w:r>
                </w:p>
              </w:tc>
              <w:tc>
                <w:tcPr>
                  <w:tcW w:w="1381"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供水</w:t>
                  </w:r>
                </w:p>
              </w:tc>
              <w:tc>
                <w:tcPr>
                  <w:tcW w:w="4173"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企业内供水</w:t>
                  </w:r>
                </w:p>
              </w:tc>
              <w:tc>
                <w:tcPr>
                  <w:tcW w:w="1526"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55" w:hRule="atLeast"/>
                <w:jc w:val="center"/>
              </w:trPr>
              <w:tc>
                <w:tcPr>
                  <w:tcW w:w="1062" w:type="dxa"/>
                  <w:vMerge w:val="continue"/>
                  <w:tcBorders>
                    <w:tl2br w:val="nil"/>
                    <w:tr2bl w:val="nil"/>
                  </w:tcBorders>
                  <w:textDirection w:val="tbRlV"/>
                  <w:vAlign w:val="center"/>
                </w:tcPr>
                <w:p>
                  <w:pPr>
                    <w:pStyle w:val="22"/>
                    <w:rPr>
                      <w:color w:val="auto"/>
                      <w:highlight w:val="none"/>
                    </w:rPr>
                  </w:pPr>
                </w:p>
              </w:tc>
              <w:tc>
                <w:tcPr>
                  <w:tcW w:w="1381"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供电</w:t>
                  </w:r>
                </w:p>
              </w:tc>
              <w:tc>
                <w:tcPr>
                  <w:tcW w:w="4173" w:type="dxa"/>
                  <w:tcBorders>
                    <w:tl2br w:val="nil"/>
                    <w:tr2bl w:val="nil"/>
                  </w:tcBorders>
                  <w:vAlign w:val="center"/>
                </w:tcPr>
                <w:p>
                  <w:pPr>
                    <w:pStyle w:val="22"/>
                    <w:rPr>
                      <w:rFonts w:hint="eastAsia"/>
                      <w:color w:val="auto"/>
                      <w:highlight w:val="none"/>
                      <w:lang w:eastAsia="zh-CN"/>
                    </w:rPr>
                  </w:pPr>
                  <w:r>
                    <w:rPr>
                      <w:rFonts w:hint="eastAsia"/>
                      <w:color w:val="auto"/>
                      <w:highlight w:val="none"/>
                      <w:lang w:eastAsia="zh-CN"/>
                    </w:rPr>
                    <w:t>厂内供电</w:t>
                  </w:r>
                </w:p>
              </w:tc>
              <w:tc>
                <w:tcPr>
                  <w:tcW w:w="1526" w:type="dxa"/>
                  <w:tcBorders>
                    <w:tl2br w:val="nil"/>
                    <w:tr2bl w:val="nil"/>
                  </w:tcBorders>
                  <w:vAlign w:val="center"/>
                </w:tcPr>
                <w:p>
                  <w:pPr>
                    <w:pStyle w:val="22"/>
                    <w:rPr>
                      <w:color w:val="auto"/>
                      <w:highlight w:val="none"/>
                    </w:rPr>
                  </w:pPr>
                  <w:r>
                    <w:rPr>
                      <w:rFonts w:hint="eastAsia"/>
                      <w:color w:val="auto"/>
                      <w:highlight w:val="none"/>
                      <w:lang w:eastAsia="zh-CN"/>
                    </w:rPr>
                    <w:t>新建供电路线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62" w:type="dxa"/>
                  <w:vMerge w:val="continue"/>
                  <w:tcBorders>
                    <w:tl2br w:val="nil"/>
                    <w:tr2bl w:val="nil"/>
                  </w:tcBorders>
                  <w:textDirection w:val="tbRlV"/>
                  <w:vAlign w:val="center"/>
                </w:tcPr>
                <w:p>
                  <w:pPr>
                    <w:pStyle w:val="22"/>
                    <w:rPr>
                      <w:color w:val="auto"/>
                      <w:highlight w:val="none"/>
                    </w:rPr>
                  </w:pPr>
                </w:p>
              </w:tc>
              <w:tc>
                <w:tcPr>
                  <w:tcW w:w="1381"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供暖</w:t>
                  </w:r>
                </w:p>
              </w:tc>
              <w:tc>
                <w:tcPr>
                  <w:tcW w:w="4173" w:type="dxa"/>
                  <w:tcBorders>
                    <w:tl2br w:val="nil"/>
                    <w:tr2bl w:val="nil"/>
                  </w:tcBorders>
                  <w:vAlign w:val="center"/>
                </w:tcPr>
                <w:p>
                  <w:pPr>
                    <w:pStyle w:val="22"/>
                    <w:rPr>
                      <w:rFonts w:hint="eastAsia"/>
                      <w:color w:val="auto"/>
                      <w:highlight w:val="none"/>
                      <w:lang w:eastAsia="zh-CN"/>
                    </w:rPr>
                  </w:pPr>
                  <w:r>
                    <w:rPr>
                      <w:rFonts w:hint="eastAsia"/>
                      <w:color w:val="auto"/>
                      <w:highlight w:val="none"/>
                      <w:lang w:eastAsia="zh-CN"/>
                    </w:rPr>
                    <w:t>车间不取暖</w:t>
                  </w:r>
                </w:p>
              </w:tc>
              <w:tc>
                <w:tcPr>
                  <w:tcW w:w="1526" w:type="dxa"/>
                  <w:tcBorders>
                    <w:tl2br w:val="nil"/>
                    <w:tr2bl w:val="nil"/>
                  </w:tcBorders>
                  <w:vAlign w:val="center"/>
                </w:tcPr>
                <w:p>
                  <w:pPr>
                    <w:pStyle w:val="22"/>
                    <w:rPr>
                      <w:color w:val="auto"/>
                      <w:highlight w:val="none"/>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62" w:type="dxa"/>
                  <w:vMerge w:val="continue"/>
                  <w:tcBorders>
                    <w:tl2br w:val="nil"/>
                    <w:tr2bl w:val="nil"/>
                  </w:tcBorders>
                  <w:textDirection w:val="tbRlV"/>
                  <w:vAlign w:val="center"/>
                </w:tcPr>
                <w:p>
                  <w:pPr>
                    <w:pStyle w:val="22"/>
                    <w:rPr>
                      <w:color w:val="auto"/>
                      <w:highlight w:val="none"/>
                    </w:rPr>
                  </w:pPr>
                </w:p>
              </w:tc>
              <w:tc>
                <w:tcPr>
                  <w:tcW w:w="1381"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排水</w:t>
                  </w:r>
                </w:p>
              </w:tc>
              <w:tc>
                <w:tcPr>
                  <w:tcW w:w="4173" w:type="dxa"/>
                  <w:tcBorders>
                    <w:tl2br w:val="nil"/>
                    <w:tr2bl w:val="nil"/>
                  </w:tcBorders>
                  <w:vAlign w:val="center"/>
                </w:tcPr>
                <w:p>
                  <w:pPr>
                    <w:pStyle w:val="22"/>
                    <w:rPr>
                      <w:rFonts w:hint="default"/>
                      <w:color w:val="auto"/>
                      <w:highlight w:val="none"/>
                      <w:lang w:val="en-US" w:eastAsia="zh-CN"/>
                    </w:rPr>
                  </w:pPr>
                  <w:r>
                    <w:rPr>
                      <w:rFonts w:hint="eastAsia"/>
                      <w:color w:val="auto"/>
                      <w:highlight w:val="none"/>
                      <w:lang w:eastAsia="zh-CN"/>
                    </w:rPr>
                    <w:t>项目员工为原有职工调配，不新增职工，无新增生活污水</w:t>
                  </w:r>
                </w:p>
              </w:tc>
              <w:tc>
                <w:tcPr>
                  <w:tcW w:w="1526"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62" w:type="dxa"/>
                  <w:tcBorders>
                    <w:tl2br w:val="nil"/>
                    <w:tr2bl w:val="nil"/>
                  </w:tcBorders>
                  <w:vAlign w:val="center"/>
                </w:tcPr>
                <w:p>
                  <w:pPr>
                    <w:pStyle w:val="22"/>
                    <w:rPr>
                      <w:color w:val="auto"/>
                      <w:highlight w:val="none"/>
                    </w:rPr>
                  </w:pPr>
                  <w:r>
                    <w:rPr>
                      <w:rFonts w:hint="eastAsia"/>
                      <w:color w:val="auto"/>
                      <w:highlight w:val="none"/>
                    </w:rPr>
                    <w:t>环保工程</w:t>
                  </w:r>
                </w:p>
              </w:tc>
              <w:tc>
                <w:tcPr>
                  <w:tcW w:w="1381"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废气</w:t>
                  </w:r>
                </w:p>
              </w:tc>
              <w:tc>
                <w:tcPr>
                  <w:tcW w:w="4173" w:type="dxa"/>
                  <w:tcBorders>
                    <w:tl2br w:val="nil"/>
                    <w:tr2bl w:val="nil"/>
                  </w:tcBorders>
                  <w:vAlign w:val="center"/>
                </w:tcPr>
                <w:p>
                  <w:pPr>
                    <w:pStyle w:val="22"/>
                    <w:rPr>
                      <w:rFonts w:hint="eastAsia"/>
                      <w:color w:val="auto"/>
                      <w:highlight w:val="none"/>
                      <w:lang w:eastAsia="zh-CN"/>
                    </w:rPr>
                  </w:pPr>
                  <w:r>
                    <w:rPr>
                      <w:rFonts w:hint="eastAsia"/>
                      <w:color w:val="auto"/>
                      <w:highlight w:val="none"/>
                      <w:lang w:eastAsia="zh-CN"/>
                    </w:rPr>
                    <w:t>加盖贮存，安装排风扇</w:t>
                  </w:r>
                </w:p>
              </w:tc>
              <w:tc>
                <w:tcPr>
                  <w:tcW w:w="1526"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62" w:type="dxa"/>
                  <w:vMerge w:val="restart"/>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环境风险</w:t>
                  </w:r>
                </w:p>
              </w:tc>
              <w:tc>
                <w:tcPr>
                  <w:tcW w:w="1381"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集液池</w:t>
                  </w:r>
                </w:p>
              </w:tc>
              <w:tc>
                <w:tcPr>
                  <w:tcW w:w="4173"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eastAsia="zh-CN"/>
                    </w:rPr>
                    <w:t>钢筋砼结构，长</w:t>
                  </w:r>
                  <w:r>
                    <w:rPr>
                      <w:rFonts w:hint="eastAsia"/>
                      <w:color w:val="auto"/>
                      <w:highlight w:val="none"/>
                      <w:lang w:val="en-US" w:eastAsia="zh-CN"/>
                    </w:rPr>
                    <w:t>1m</w:t>
                  </w:r>
                  <w:r>
                    <w:rPr>
                      <w:rFonts w:hint="eastAsia"/>
                      <w:color w:val="auto"/>
                      <w:highlight w:val="none"/>
                      <w:lang w:eastAsia="zh-CN"/>
                    </w:rPr>
                    <w:t>，宽</w:t>
                  </w:r>
                  <w:r>
                    <w:rPr>
                      <w:rFonts w:hint="eastAsia"/>
                      <w:color w:val="auto"/>
                      <w:highlight w:val="none"/>
                      <w:lang w:val="en-US" w:eastAsia="zh-CN"/>
                    </w:rPr>
                    <w:t>1m</w:t>
                  </w:r>
                  <w:r>
                    <w:rPr>
                      <w:rFonts w:hint="eastAsia"/>
                      <w:color w:val="auto"/>
                      <w:highlight w:val="none"/>
                      <w:lang w:eastAsia="zh-CN"/>
                    </w:rPr>
                    <w:t>，高</w:t>
                  </w:r>
                  <w:r>
                    <w:rPr>
                      <w:rFonts w:hint="eastAsia"/>
                      <w:color w:val="auto"/>
                      <w:highlight w:val="none"/>
                      <w:lang w:val="en-US" w:eastAsia="zh-CN"/>
                    </w:rPr>
                    <w:t>1m，容积1m</w:t>
                  </w:r>
                  <w:r>
                    <w:rPr>
                      <w:rFonts w:hint="eastAsia"/>
                      <w:color w:val="auto"/>
                      <w:highlight w:val="none"/>
                      <w:vertAlign w:val="superscript"/>
                      <w:lang w:val="en-US" w:eastAsia="zh-CN"/>
                    </w:rPr>
                    <w:t>3</w:t>
                  </w:r>
                </w:p>
              </w:tc>
              <w:tc>
                <w:tcPr>
                  <w:tcW w:w="1526"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62" w:type="dxa"/>
                  <w:vMerge w:val="continue"/>
                  <w:tcBorders>
                    <w:tl2br w:val="nil"/>
                    <w:tr2bl w:val="nil"/>
                  </w:tcBorders>
                  <w:vAlign w:val="center"/>
                </w:tcPr>
                <w:p>
                  <w:pPr>
                    <w:pStyle w:val="22"/>
                    <w:bidi w:val="0"/>
                    <w:rPr>
                      <w:rFonts w:hint="eastAsia"/>
                      <w:color w:val="auto"/>
                      <w:highlight w:val="none"/>
                      <w:lang w:eastAsia="zh-CN"/>
                    </w:rPr>
                  </w:pPr>
                </w:p>
              </w:tc>
              <w:tc>
                <w:tcPr>
                  <w:tcW w:w="1381" w:type="dxa"/>
                  <w:tcBorders>
                    <w:tl2br w:val="nil"/>
                    <w:tr2bl w:val="nil"/>
                  </w:tcBorders>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导流渠</w:t>
                  </w:r>
                </w:p>
              </w:tc>
              <w:tc>
                <w:tcPr>
                  <w:tcW w:w="4173" w:type="dxa"/>
                  <w:tcBorders>
                    <w:tl2br w:val="nil"/>
                    <w:tr2bl w:val="nil"/>
                  </w:tcBorders>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宽0.2m，分布于危险废物贮存点四周</w:t>
                  </w:r>
                </w:p>
              </w:tc>
              <w:tc>
                <w:tcPr>
                  <w:tcW w:w="1526" w:type="dxa"/>
                  <w:tcBorders>
                    <w:tl2br w:val="nil"/>
                    <w:tr2bl w:val="nil"/>
                  </w:tcBorders>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062" w:type="dxa"/>
                  <w:vMerge w:val="continue"/>
                  <w:tcBorders>
                    <w:tl2br w:val="nil"/>
                    <w:tr2bl w:val="nil"/>
                  </w:tcBorders>
                  <w:vAlign w:val="center"/>
                </w:tcPr>
                <w:p>
                  <w:pPr>
                    <w:pStyle w:val="22"/>
                    <w:bidi w:val="0"/>
                    <w:rPr>
                      <w:rFonts w:hint="eastAsia"/>
                      <w:color w:val="auto"/>
                      <w:highlight w:val="none"/>
                      <w:lang w:eastAsia="zh-CN"/>
                    </w:rPr>
                  </w:pPr>
                </w:p>
              </w:tc>
              <w:tc>
                <w:tcPr>
                  <w:tcW w:w="1381" w:type="dxa"/>
                  <w:tcBorders>
                    <w:tl2br w:val="nil"/>
                    <w:tr2bl w:val="nil"/>
                  </w:tcBorders>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防渗</w:t>
                  </w:r>
                </w:p>
              </w:tc>
              <w:tc>
                <w:tcPr>
                  <w:tcW w:w="4173" w:type="dxa"/>
                  <w:tcBorders>
                    <w:tl2br w:val="nil"/>
                    <w:tr2bl w:val="nil"/>
                  </w:tcBorders>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危废贮存点内地面及裙脚进行防腐防渗处理。项目贮存区地面、围堰采用坚固材料并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auto"/>
                      <w:highlight w:val="none"/>
                      <w:vertAlign w:val="superscript"/>
                      <w:lang w:eastAsia="zh-CN"/>
                    </w:rPr>
                    <w:t>-7</w:t>
                  </w:r>
                  <w:r>
                    <w:rPr>
                      <w:rFonts w:hint="eastAsia"/>
                      <w:color w:val="auto"/>
                      <w:highlight w:val="none"/>
                      <w:lang w:eastAsia="zh-CN"/>
                    </w:rPr>
                    <w:t>cm/s），或至少2mm厚高密度聚乙烯膜等人工防渗材料（渗透系数不大于10</w:t>
                  </w:r>
                  <w:r>
                    <w:rPr>
                      <w:rFonts w:hint="eastAsia"/>
                      <w:color w:val="auto"/>
                      <w:highlight w:val="none"/>
                      <w:vertAlign w:val="superscript"/>
                      <w:lang w:eastAsia="zh-CN"/>
                    </w:rPr>
                    <w:t>-10</w:t>
                  </w:r>
                  <w:r>
                    <w:rPr>
                      <w:rFonts w:hint="eastAsia"/>
                      <w:color w:val="auto"/>
                      <w:highlight w:val="none"/>
                      <w:lang w:eastAsia="zh-CN"/>
                    </w:rPr>
                    <w:t>cm/s），或其他防渗性能等效的材料</w:t>
                  </w:r>
                </w:p>
              </w:tc>
              <w:tc>
                <w:tcPr>
                  <w:tcW w:w="1526" w:type="dxa"/>
                  <w:tcBorders>
                    <w:tl2br w:val="nil"/>
                    <w:tr2bl w:val="nil"/>
                  </w:tcBorders>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新建</w:t>
                  </w:r>
                </w:p>
              </w:tc>
            </w:tr>
          </w:tbl>
          <w:p>
            <w:pPr>
              <w:pStyle w:val="27"/>
              <w:ind w:firstLine="482"/>
              <w:rPr>
                <w:rFonts w:hint="default"/>
                <w:color w:val="auto"/>
                <w:highlight w:val="none"/>
              </w:rPr>
            </w:pPr>
            <w:r>
              <w:rPr>
                <w:color w:val="auto"/>
                <w:highlight w:val="none"/>
              </w:rPr>
              <w:t>3主要设备</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主要设备一览表</w:t>
            </w:r>
          </w:p>
          <w:tbl>
            <w:tblPr>
              <w:tblStyle w:val="16"/>
              <w:tblW w:w="810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4"/>
              <w:gridCol w:w="1727"/>
              <w:gridCol w:w="2127"/>
              <w:gridCol w:w="1615"/>
              <w:gridCol w:w="19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4" w:hRule="atLeast"/>
                <w:jc w:val="center"/>
              </w:trPr>
              <w:tc>
                <w:tcPr>
                  <w:tcW w:w="684" w:type="dxa"/>
                  <w:tcBorders>
                    <w:tl2br w:val="nil"/>
                    <w:tr2bl w:val="nil"/>
                  </w:tcBorders>
                  <w:vAlign w:val="center"/>
                </w:tcPr>
                <w:p>
                  <w:pPr>
                    <w:pStyle w:val="25"/>
                    <w:rPr>
                      <w:rFonts w:hint="default"/>
                      <w:color w:val="auto"/>
                      <w:highlight w:val="none"/>
                    </w:rPr>
                  </w:pPr>
                  <w:r>
                    <w:rPr>
                      <w:color w:val="auto"/>
                      <w:highlight w:val="none"/>
                    </w:rPr>
                    <w:t>序号</w:t>
                  </w:r>
                </w:p>
              </w:tc>
              <w:tc>
                <w:tcPr>
                  <w:tcW w:w="1727" w:type="dxa"/>
                  <w:tcBorders>
                    <w:tl2br w:val="nil"/>
                    <w:tr2bl w:val="nil"/>
                  </w:tcBorders>
                  <w:vAlign w:val="center"/>
                </w:tcPr>
                <w:p>
                  <w:pPr>
                    <w:pStyle w:val="25"/>
                    <w:rPr>
                      <w:rFonts w:hint="default"/>
                      <w:color w:val="auto"/>
                      <w:highlight w:val="none"/>
                    </w:rPr>
                  </w:pPr>
                  <w:r>
                    <w:rPr>
                      <w:color w:val="auto"/>
                      <w:highlight w:val="none"/>
                    </w:rPr>
                    <w:t>设备名称</w:t>
                  </w:r>
                </w:p>
              </w:tc>
              <w:tc>
                <w:tcPr>
                  <w:tcW w:w="2127" w:type="dxa"/>
                  <w:tcBorders>
                    <w:tl2br w:val="nil"/>
                    <w:tr2bl w:val="nil"/>
                  </w:tcBorders>
                  <w:vAlign w:val="center"/>
                </w:tcPr>
                <w:p>
                  <w:pPr>
                    <w:pStyle w:val="25"/>
                    <w:rPr>
                      <w:rFonts w:hint="default"/>
                      <w:color w:val="auto"/>
                      <w:highlight w:val="none"/>
                    </w:rPr>
                  </w:pPr>
                  <w:r>
                    <w:rPr>
                      <w:color w:val="auto"/>
                      <w:highlight w:val="none"/>
                    </w:rPr>
                    <w:t>型号</w:t>
                  </w:r>
                </w:p>
              </w:tc>
              <w:tc>
                <w:tcPr>
                  <w:tcW w:w="1615" w:type="dxa"/>
                  <w:tcBorders>
                    <w:tl2br w:val="nil"/>
                    <w:tr2bl w:val="nil"/>
                  </w:tcBorders>
                  <w:vAlign w:val="center"/>
                </w:tcPr>
                <w:p>
                  <w:pPr>
                    <w:pStyle w:val="25"/>
                    <w:rPr>
                      <w:rFonts w:hint="eastAsia"/>
                      <w:color w:val="auto"/>
                      <w:highlight w:val="none"/>
                      <w:lang w:eastAsia="zh-CN"/>
                    </w:rPr>
                  </w:pPr>
                  <w:r>
                    <w:rPr>
                      <w:rFonts w:hint="eastAsia"/>
                      <w:color w:val="auto"/>
                      <w:highlight w:val="none"/>
                      <w:lang w:eastAsia="zh-CN"/>
                    </w:rPr>
                    <w:t>本项目</w:t>
                  </w:r>
                  <w:r>
                    <w:rPr>
                      <w:color w:val="auto"/>
                      <w:highlight w:val="none"/>
                    </w:rPr>
                    <w:t>数量（台/套</w:t>
                  </w:r>
                  <w:r>
                    <w:rPr>
                      <w:rFonts w:hint="eastAsia"/>
                      <w:color w:val="auto"/>
                      <w:highlight w:val="none"/>
                      <w:lang w:val="en-US" w:eastAsia="zh-CN"/>
                    </w:rPr>
                    <w:t>/吨</w:t>
                  </w:r>
                  <w:r>
                    <w:rPr>
                      <w:color w:val="auto"/>
                      <w:highlight w:val="none"/>
                    </w:rPr>
                    <w:t>）</w:t>
                  </w:r>
                </w:p>
              </w:tc>
              <w:tc>
                <w:tcPr>
                  <w:tcW w:w="1950" w:type="dxa"/>
                  <w:tcBorders>
                    <w:tl2br w:val="nil"/>
                    <w:tr2bl w:val="nil"/>
                  </w:tcBorders>
                  <w:vAlign w:val="center"/>
                </w:tcPr>
                <w:p>
                  <w:pPr>
                    <w:pStyle w:val="25"/>
                    <w:rPr>
                      <w:rFonts w:hint="default" w:eastAsiaTheme="minorEastAsia"/>
                      <w:color w:val="auto"/>
                      <w:highlight w:val="none"/>
                      <w:lang w:val="en-US" w:eastAsia="zh-CN"/>
                    </w:rPr>
                  </w:pPr>
                  <w:r>
                    <w:rPr>
                      <w:rFonts w:hint="eastAsia"/>
                      <w:color w:val="auto"/>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0" w:hRule="atLeast"/>
                <w:jc w:val="center"/>
              </w:trPr>
              <w:tc>
                <w:tcPr>
                  <w:tcW w:w="684"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1</w:t>
                  </w:r>
                </w:p>
              </w:tc>
              <w:tc>
                <w:tcPr>
                  <w:tcW w:w="1727"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eastAsia="zh-CN"/>
                    </w:rPr>
                    <w:t>铁桶</w:t>
                  </w:r>
                </w:p>
              </w:tc>
              <w:tc>
                <w:tcPr>
                  <w:tcW w:w="2127"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200L</w:t>
                  </w:r>
                </w:p>
              </w:tc>
              <w:tc>
                <w:tcPr>
                  <w:tcW w:w="1615"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5</w:t>
                  </w:r>
                </w:p>
              </w:tc>
              <w:tc>
                <w:tcPr>
                  <w:tcW w:w="1950" w:type="dxa"/>
                  <w:vMerge w:val="restart"/>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用于危险废物贮存、转运过程使用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684"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2</w:t>
                  </w:r>
                </w:p>
              </w:tc>
              <w:tc>
                <w:tcPr>
                  <w:tcW w:w="1727"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耐酸耐腐蚀箱</w:t>
                  </w:r>
                </w:p>
              </w:tc>
              <w:tc>
                <w:tcPr>
                  <w:tcW w:w="2127"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0.3m×0.4m×0.5m</w:t>
                  </w:r>
                </w:p>
              </w:tc>
              <w:tc>
                <w:tcPr>
                  <w:tcW w:w="1615"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5</w:t>
                  </w:r>
                </w:p>
              </w:tc>
              <w:tc>
                <w:tcPr>
                  <w:tcW w:w="1950" w:type="dxa"/>
                  <w:vMerge w:val="continue"/>
                  <w:tcBorders>
                    <w:tl2br w:val="nil"/>
                    <w:tr2bl w:val="nil"/>
                  </w:tcBorders>
                  <w:vAlign w:val="center"/>
                </w:tcPr>
                <w:p>
                  <w:pPr>
                    <w:pStyle w:val="22"/>
                    <w:bidi w:val="0"/>
                    <w:rPr>
                      <w:rFonts w:hint="eastAsia"/>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4" w:hRule="atLeast"/>
                <w:jc w:val="center"/>
              </w:trPr>
              <w:tc>
                <w:tcPr>
                  <w:tcW w:w="684"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3</w:t>
                  </w:r>
                </w:p>
              </w:tc>
              <w:tc>
                <w:tcPr>
                  <w:tcW w:w="1727"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eastAsia="zh-CN"/>
                    </w:rPr>
                    <w:t>防腐防渗托盘</w:t>
                  </w:r>
                </w:p>
              </w:tc>
              <w:tc>
                <w:tcPr>
                  <w:tcW w:w="2127"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0.6m×1.2m×0.2m</w:t>
                  </w:r>
                </w:p>
              </w:tc>
              <w:tc>
                <w:tcPr>
                  <w:tcW w:w="1615"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4</w:t>
                  </w:r>
                </w:p>
              </w:tc>
              <w:tc>
                <w:tcPr>
                  <w:tcW w:w="1950" w:type="dxa"/>
                  <w:vMerge w:val="continue"/>
                  <w:tcBorders>
                    <w:tl2br w:val="nil"/>
                    <w:tr2bl w:val="nil"/>
                  </w:tcBorders>
                  <w:vAlign w:val="center"/>
                </w:tcPr>
                <w:p>
                  <w:pPr>
                    <w:pStyle w:val="22"/>
                    <w:bidi w:val="0"/>
                    <w:rPr>
                      <w:rFonts w:hint="eastAsia"/>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3" w:hRule="atLeast"/>
                <w:jc w:val="center"/>
              </w:trPr>
              <w:tc>
                <w:tcPr>
                  <w:tcW w:w="684"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4</w:t>
                  </w:r>
                </w:p>
              </w:tc>
              <w:tc>
                <w:tcPr>
                  <w:tcW w:w="1727"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eastAsia="zh-CN"/>
                    </w:rPr>
                    <w:t>防爆灯具</w:t>
                  </w:r>
                </w:p>
              </w:tc>
              <w:tc>
                <w:tcPr>
                  <w:tcW w:w="2127"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w:t>
                  </w:r>
                </w:p>
              </w:tc>
              <w:tc>
                <w:tcPr>
                  <w:tcW w:w="1615"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1</w:t>
                  </w:r>
                </w:p>
              </w:tc>
              <w:tc>
                <w:tcPr>
                  <w:tcW w:w="1950"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w:t>
                  </w:r>
                </w:p>
              </w:tc>
            </w:tr>
          </w:tbl>
          <w:p>
            <w:pPr>
              <w:pStyle w:val="27"/>
              <w:ind w:firstLine="482"/>
              <w:rPr>
                <w:rFonts w:hint="default"/>
                <w:color w:val="auto"/>
                <w:highlight w:val="none"/>
              </w:rPr>
            </w:pPr>
            <w:r>
              <w:rPr>
                <w:color w:val="auto"/>
                <w:highlight w:val="none"/>
              </w:rPr>
              <w:t>4主要原辅材料及能源消耗</w:t>
            </w:r>
          </w:p>
          <w:p>
            <w:pPr>
              <w:pStyle w:val="12"/>
              <w:ind w:firstLine="480"/>
              <w:rPr>
                <w:color w:val="auto"/>
                <w:highlight w:val="none"/>
              </w:rPr>
            </w:pPr>
            <w:r>
              <w:rPr>
                <w:rFonts w:hint="eastAsia"/>
                <w:color w:val="auto"/>
                <w:highlight w:val="none"/>
              </w:rPr>
              <w:t>（1）原辅材料及能源消耗情况</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主要原辅材料及能源消耗情况</w:t>
            </w:r>
          </w:p>
          <w:tbl>
            <w:tblPr>
              <w:tblStyle w:val="16"/>
              <w:tblW w:w="817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3"/>
              <w:gridCol w:w="1374"/>
              <w:gridCol w:w="1430"/>
              <w:gridCol w:w="2020"/>
              <w:gridCol w:w="23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0" w:hRule="atLeast"/>
                <w:jc w:val="center"/>
              </w:trPr>
              <w:tc>
                <w:tcPr>
                  <w:tcW w:w="1033" w:type="dxa"/>
                  <w:tcBorders>
                    <w:tl2br w:val="nil"/>
                    <w:tr2bl w:val="nil"/>
                  </w:tcBorders>
                  <w:vAlign w:val="center"/>
                </w:tcPr>
                <w:p>
                  <w:pPr>
                    <w:pStyle w:val="25"/>
                    <w:rPr>
                      <w:rFonts w:hint="default"/>
                      <w:color w:val="auto"/>
                      <w:highlight w:val="none"/>
                    </w:rPr>
                  </w:pPr>
                  <w:r>
                    <w:rPr>
                      <w:color w:val="auto"/>
                      <w:highlight w:val="none"/>
                    </w:rPr>
                    <w:t>序号</w:t>
                  </w:r>
                </w:p>
              </w:tc>
              <w:tc>
                <w:tcPr>
                  <w:tcW w:w="1374" w:type="dxa"/>
                  <w:tcBorders>
                    <w:tl2br w:val="nil"/>
                    <w:tr2bl w:val="nil"/>
                  </w:tcBorders>
                  <w:vAlign w:val="center"/>
                </w:tcPr>
                <w:p>
                  <w:pPr>
                    <w:pStyle w:val="25"/>
                    <w:rPr>
                      <w:rFonts w:hint="default"/>
                      <w:color w:val="auto"/>
                      <w:highlight w:val="none"/>
                    </w:rPr>
                  </w:pPr>
                  <w:r>
                    <w:rPr>
                      <w:color w:val="auto"/>
                      <w:highlight w:val="none"/>
                    </w:rPr>
                    <w:t>名称</w:t>
                  </w:r>
                </w:p>
              </w:tc>
              <w:tc>
                <w:tcPr>
                  <w:tcW w:w="1430"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用量（</w:t>
                  </w:r>
                  <w:r>
                    <w:rPr>
                      <w:rFonts w:hint="eastAsia"/>
                      <w:color w:val="auto"/>
                      <w:highlight w:val="none"/>
                      <w:lang w:val="en-US" w:eastAsia="zh-CN"/>
                    </w:rPr>
                    <w:t>t/a</w:t>
                  </w:r>
                  <w:r>
                    <w:rPr>
                      <w:rFonts w:hint="eastAsia"/>
                      <w:color w:val="auto"/>
                      <w:highlight w:val="none"/>
                      <w:lang w:eastAsia="zh-CN"/>
                    </w:rPr>
                    <w:t>）</w:t>
                  </w:r>
                </w:p>
              </w:tc>
              <w:tc>
                <w:tcPr>
                  <w:tcW w:w="2020"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最大贮存量（</w:t>
                  </w:r>
                  <w:r>
                    <w:rPr>
                      <w:rFonts w:hint="eastAsia"/>
                      <w:color w:val="auto"/>
                      <w:highlight w:val="none"/>
                      <w:lang w:val="en-US" w:eastAsia="zh-CN"/>
                    </w:rPr>
                    <w:t>t</w:t>
                  </w:r>
                  <w:r>
                    <w:rPr>
                      <w:rFonts w:hint="eastAsia"/>
                      <w:color w:val="auto"/>
                      <w:highlight w:val="none"/>
                      <w:lang w:eastAsia="zh-CN"/>
                    </w:rPr>
                    <w:t>）</w:t>
                  </w:r>
                </w:p>
              </w:tc>
              <w:tc>
                <w:tcPr>
                  <w:tcW w:w="2321" w:type="dxa"/>
                  <w:tcBorders>
                    <w:tl2br w:val="nil"/>
                    <w:tr2bl w:val="nil"/>
                  </w:tcBorders>
                  <w:vAlign w:val="center"/>
                </w:tcPr>
                <w:p>
                  <w:pPr>
                    <w:pStyle w:val="25"/>
                    <w:rPr>
                      <w:rFonts w:hint="default"/>
                      <w:color w:val="auto"/>
                      <w:highlight w:val="none"/>
                    </w:rPr>
                  </w:pPr>
                  <w:r>
                    <w:rPr>
                      <w:color w:val="auto"/>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2" w:hRule="atLeast"/>
                <w:jc w:val="center"/>
              </w:trPr>
              <w:tc>
                <w:tcPr>
                  <w:tcW w:w="8178" w:type="dxa"/>
                  <w:gridSpan w:val="5"/>
                  <w:tcBorders>
                    <w:tl2br w:val="nil"/>
                    <w:tr2bl w:val="nil"/>
                  </w:tcBorders>
                  <w:vAlign w:val="center"/>
                </w:tcPr>
                <w:p>
                  <w:pPr>
                    <w:pStyle w:val="22"/>
                    <w:jc w:val="left"/>
                    <w:rPr>
                      <w:rFonts w:hint="eastAsia"/>
                      <w:color w:val="auto"/>
                      <w:highlight w:val="none"/>
                    </w:rPr>
                  </w:pPr>
                  <w:r>
                    <w:rPr>
                      <w:rFonts w:hint="eastAsia"/>
                      <w:color w:val="auto"/>
                      <w:highlight w:val="none"/>
                    </w:rPr>
                    <w:t>一、原辅材料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1033" w:type="dxa"/>
                  <w:tcBorders>
                    <w:tl2br w:val="nil"/>
                    <w:tr2bl w:val="nil"/>
                  </w:tcBorders>
                  <w:vAlign w:val="center"/>
                </w:tcPr>
                <w:p>
                  <w:pPr>
                    <w:pStyle w:val="22"/>
                    <w:rPr>
                      <w:color w:val="auto"/>
                      <w:highlight w:val="none"/>
                    </w:rPr>
                  </w:pPr>
                  <w:r>
                    <w:rPr>
                      <w:rFonts w:hint="eastAsia"/>
                      <w:color w:val="auto"/>
                      <w:highlight w:val="none"/>
                    </w:rPr>
                    <w:t>1</w:t>
                  </w:r>
                </w:p>
              </w:tc>
              <w:tc>
                <w:tcPr>
                  <w:tcW w:w="1374"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劳保用品</w:t>
                  </w:r>
                </w:p>
              </w:tc>
              <w:tc>
                <w:tcPr>
                  <w:tcW w:w="1430" w:type="dxa"/>
                  <w:tcBorders>
                    <w:tl2br w:val="nil"/>
                    <w:tr2bl w:val="nil"/>
                  </w:tcBorders>
                  <w:shd w:val="clear" w:color="auto" w:fill="auto"/>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0.01</w:t>
                  </w:r>
                </w:p>
              </w:tc>
              <w:tc>
                <w:tcPr>
                  <w:tcW w:w="2020" w:type="dxa"/>
                  <w:tcBorders>
                    <w:tl2br w:val="nil"/>
                    <w:tr2bl w:val="nil"/>
                  </w:tcBorders>
                  <w:shd w:val="clear" w:color="auto" w:fill="auto"/>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0.01</w:t>
                  </w:r>
                </w:p>
              </w:tc>
              <w:tc>
                <w:tcPr>
                  <w:tcW w:w="2321"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2" w:hRule="atLeast"/>
                <w:jc w:val="center"/>
              </w:trPr>
              <w:tc>
                <w:tcPr>
                  <w:tcW w:w="8178" w:type="dxa"/>
                  <w:gridSpan w:val="5"/>
                  <w:tcBorders>
                    <w:tl2br w:val="nil"/>
                    <w:tr2bl w:val="nil"/>
                  </w:tcBorders>
                  <w:vAlign w:val="center"/>
                </w:tcPr>
                <w:p>
                  <w:pPr>
                    <w:pStyle w:val="22"/>
                    <w:jc w:val="left"/>
                    <w:rPr>
                      <w:rFonts w:hint="eastAsia"/>
                      <w:color w:val="auto"/>
                      <w:highlight w:val="none"/>
                    </w:rPr>
                  </w:pPr>
                  <w:r>
                    <w:rPr>
                      <w:rFonts w:hint="eastAsia"/>
                      <w:color w:val="auto"/>
                      <w:highlight w:val="none"/>
                    </w:rPr>
                    <w:t>二、能源消耗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05" w:hRule="atLeast"/>
                <w:jc w:val="center"/>
              </w:trPr>
              <w:tc>
                <w:tcPr>
                  <w:tcW w:w="1033" w:type="dxa"/>
                  <w:tcBorders>
                    <w:tl2br w:val="nil"/>
                    <w:tr2bl w:val="nil"/>
                  </w:tcBorders>
                  <w:vAlign w:val="center"/>
                </w:tcPr>
                <w:p>
                  <w:pPr>
                    <w:pStyle w:val="22"/>
                    <w:rPr>
                      <w:color w:val="auto"/>
                      <w:highlight w:val="none"/>
                    </w:rPr>
                  </w:pPr>
                  <w:r>
                    <w:rPr>
                      <w:rFonts w:hint="eastAsia"/>
                      <w:color w:val="auto"/>
                      <w:highlight w:val="none"/>
                    </w:rPr>
                    <w:t>1</w:t>
                  </w:r>
                </w:p>
              </w:tc>
              <w:tc>
                <w:tcPr>
                  <w:tcW w:w="1374" w:type="dxa"/>
                  <w:tcBorders>
                    <w:tl2br w:val="nil"/>
                    <w:tr2bl w:val="nil"/>
                  </w:tcBorders>
                  <w:vAlign w:val="center"/>
                </w:tcPr>
                <w:p>
                  <w:pPr>
                    <w:pStyle w:val="22"/>
                    <w:rPr>
                      <w:color w:val="auto"/>
                      <w:highlight w:val="none"/>
                    </w:rPr>
                  </w:pPr>
                  <w:r>
                    <w:rPr>
                      <w:rFonts w:hint="eastAsia"/>
                      <w:color w:val="auto"/>
                      <w:highlight w:val="none"/>
                    </w:rPr>
                    <w:t>电（</w:t>
                  </w:r>
                  <w:r>
                    <w:rPr>
                      <w:color w:val="auto"/>
                      <w:highlight w:val="none"/>
                    </w:rPr>
                    <w:t>kWh/a</w:t>
                  </w:r>
                  <w:r>
                    <w:rPr>
                      <w:rFonts w:hint="eastAsia"/>
                      <w:color w:val="auto"/>
                      <w:highlight w:val="none"/>
                    </w:rPr>
                    <w:t>）</w:t>
                  </w:r>
                </w:p>
              </w:tc>
              <w:tc>
                <w:tcPr>
                  <w:tcW w:w="1430"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1250</w:t>
                  </w:r>
                </w:p>
              </w:tc>
              <w:tc>
                <w:tcPr>
                  <w:tcW w:w="2020"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c>
                <w:tcPr>
                  <w:tcW w:w="2321"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由厂区供电系统供给，用于危废贮存点照明</w:t>
                  </w:r>
                </w:p>
              </w:tc>
            </w:tr>
          </w:tbl>
          <w:p>
            <w:pPr>
              <w:pStyle w:val="27"/>
              <w:ind w:firstLine="482"/>
              <w:rPr>
                <w:rFonts w:hint="eastAsia" w:eastAsia="宋体"/>
                <w:color w:val="auto"/>
                <w:highlight w:val="none"/>
                <w:lang w:eastAsia="zh-CN"/>
              </w:rPr>
            </w:pPr>
            <w:r>
              <w:rPr>
                <w:color w:val="auto"/>
                <w:highlight w:val="none"/>
              </w:rPr>
              <w:t>5</w:t>
            </w:r>
            <w:r>
              <w:rPr>
                <w:rFonts w:hint="eastAsia"/>
                <w:color w:val="auto"/>
                <w:highlight w:val="none"/>
                <w:lang w:eastAsia="zh-CN"/>
              </w:rPr>
              <w:t>危险废物</w:t>
            </w:r>
            <w:r>
              <w:rPr>
                <w:rFonts w:hint="eastAsia" w:eastAsia="宋体"/>
                <w:color w:val="auto"/>
                <w:highlight w:val="none"/>
                <w:lang w:eastAsia="zh-CN"/>
              </w:rPr>
              <w:t>贮存</w:t>
            </w:r>
            <w:r>
              <w:rPr>
                <w:rFonts w:hint="eastAsia"/>
                <w:color w:val="auto"/>
                <w:highlight w:val="none"/>
                <w:lang w:eastAsia="zh-CN"/>
              </w:rPr>
              <w:t>情况</w:t>
            </w:r>
          </w:p>
          <w:p>
            <w:pPr>
              <w:pStyle w:val="12"/>
              <w:ind w:firstLine="480"/>
              <w:rPr>
                <w:rFonts w:hint="eastAsia"/>
                <w:color w:val="auto"/>
                <w:highlight w:val="none"/>
                <w:lang w:val="en-US" w:eastAsia="zh-CN"/>
              </w:rPr>
            </w:pPr>
            <w:r>
              <w:rPr>
                <w:rFonts w:hint="eastAsia"/>
                <w:color w:val="auto"/>
                <w:highlight w:val="none"/>
                <w:lang w:val="en-US" w:eastAsia="zh-CN"/>
              </w:rPr>
              <w:t>本次对原有库房改造后，进行危险废物的收集与贮存。</w:t>
            </w:r>
          </w:p>
          <w:p>
            <w:pPr>
              <w:pStyle w:val="12"/>
              <w:ind w:firstLine="480"/>
              <w:rPr>
                <w:rFonts w:hint="eastAsia"/>
                <w:color w:val="auto"/>
                <w:highlight w:val="none"/>
                <w:lang w:val="en-US" w:eastAsia="zh-CN"/>
              </w:rPr>
            </w:pPr>
            <w:r>
              <w:rPr>
                <w:rFonts w:hint="eastAsia"/>
                <w:color w:val="auto"/>
                <w:highlight w:val="none"/>
                <w:lang w:val="en-US" w:eastAsia="zh-CN"/>
              </w:rPr>
              <w:t>本项目收集贮存危险废物分为两部分，一部分为收集贮存危险废物：废润滑油、废油桶、废铅蓄电池、废油漆桶；另一部分为进行收集和储存操作过程中产生的废电解液、废劳保用品等。</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 xml:space="preserve">  </w:t>
            </w:r>
            <w:r>
              <w:rPr>
                <w:rFonts w:hint="eastAsia"/>
                <w:color w:val="auto"/>
                <w:highlight w:val="none"/>
                <w:lang w:eastAsia="zh-CN"/>
              </w:rPr>
              <w:t>贮存危险废物情况</w:t>
            </w:r>
          </w:p>
          <w:tbl>
            <w:tblPr>
              <w:tblStyle w:val="15"/>
              <w:tblW w:w="813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6"/>
              <w:gridCol w:w="634"/>
              <w:gridCol w:w="1191"/>
              <w:gridCol w:w="978"/>
              <w:gridCol w:w="686"/>
              <w:gridCol w:w="425"/>
              <w:gridCol w:w="613"/>
              <w:gridCol w:w="616"/>
              <w:gridCol w:w="668"/>
              <w:gridCol w:w="539"/>
              <w:gridCol w:w="539"/>
              <w:gridCol w:w="5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37" w:hRule="atLeast"/>
                <w:jc w:val="center"/>
              </w:trPr>
              <w:tc>
                <w:tcPr>
                  <w:tcW w:w="706" w:type="dxa"/>
                  <w:tcBorders>
                    <w:tl2br w:val="nil"/>
                    <w:tr2bl w:val="nil"/>
                  </w:tcBorders>
                  <w:vAlign w:val="center"/>
                </w:tcPr>
                <w:p>
                  <w:pPr>
                    <w:pStyle w:val="25"/>
                    <w:jc w:val="center"/>
                    <w:rPr>
                      <w:rFonts w:hint="eastAsia" w:eastAsiaTheme="minorEastAsia"/>
                      <w:color w:val="auto"/>
                      <w:highlight w:val="none"/>
                      <w:lang w:eastAsia="zh-CN"/>
                    </w:rPr>
                  </w:pPr>
                  <w:r>
                    <w:rPr>
                      <w:rFonts w:hint="eastAsia"/>
                      <w:color w:val="auto"/>
                      <w:highlight w:val="none"/>
                      <w:lang w:eastAsia="zh-CN"/>
                    </w:rPr>
                    <w:t>危险废物名称</w:t>
                  </w:r>
                </w:p>
              </w:tc>
              <w:tc>
                <w:tcPr>
                  <w:tcW w:w="634" w:type="dxa"/>
                  <w:tcBorders>
                    <w:tl2br w:val="nil"/>
                    <w:tr2bl w:val="nil"/>
                  </w:tcBorders>
                  <w:vAlign w:val="center"/>
                </w:tcPr>
                <w:p>
                  <w:pPr>
                    <w:pStyle w:val="25"/>
                    <w:jc w:val="center"/>
                    <w:rPr>
                      <w:rFonts w:hint="eastAsia" w:eastAsiaTheme="minorEastAsia"/>
                      <w:color w:val="auto"/>
                      <w:highlight w:val="none"/>
                      <w:lang w:eastAsia="zh-CN"/>
                    </w:rPr>
                  </w:pPr>
                  <w:r>
                    <w:rPr>
                      <w:rFonts w:hint="eastAsia"/>
                      <w:color w:val="auto"/>
                      <w:highlight w:val="none"/>
                      <w:lang w:eastAsia="zh-CN"/>
                    </w:rPr>
                    <w:t>类别</w:t>
                  </w:r>
                </w:p>
              </w:tc>
              <w:tc>
                <w:tcPr>
                  <w:tcW w:w="1191" w:type="dxa"/>
                  <w:tcBorders>
                    <w:tl2br w:val="nil"/>
                    <w:tr2bl w:val="nil"/>
                  </w:tcBorders>
                  <w:vAlign w:val="center"/>
                </w:tcPr>
                <w:p>
                  <w:pPr>
                    <w:pStyle w:val="25"/>
                    <w:jc w:val="center"/>
                    <w:rPr>
                      <w:rFonts w:hint="eastAsia" w:eastAsiaTheme="minorEastAsia"/>
                      <w:color w:val="auto"/>
                      <w:highlight w:val="none"/>
                      <w:lang w:eastAsia="zh-CN"/>
                    </w:rPr>
                  </w:pPr>
                  <w:r>
                    <w:rPr>
                      <w:rFonts w:hint="eastAsia"/>
                      <w:color w:val="auto"/>
                      <w:highlight w:val="none"/>
                      <w:lang w:eastAsia="zh-CN"/>
                    </w:rPr>
                    <w:t>危险废物代码</w:t>
                  </w:r>
                </w:p>
              </w:tc>
              <w:tc>
                <w:tcPr>
                  <w:tcW w:w="978" w:type="dxa"/>
                  <w:tcBorders>
                    <w:tl2br w:val="nil"/>
                    <w:tr2bl w:val="nil"/>
                  </w:tcBorders>
                  <w:vAlign w:val="center"/>
                </w:tcPr>
                <w:p>
                  <w:pPr>
                    <w:pStyle w:val="25"/>
                    <w:jc w:val="center"/>
                    <w:rPr>
                      <w:rFonts w:hint="eastAsia" w:eastAsiaTheme="minorEastAsia"/>
                      <w:color w:val="auto"/>
                      <w:highlight w:val="none"/>
                      <w:lang w:eastAsia="zh-CN"/>
                    </w:rPr>
                  </w:pPr>
                  <w:r>
                    <w:rPr>
                      <w:rFonts w:hint="eastAsia"/>
                      <w:color w:val="auto"/>
                      <w:highlight w:val="none"/>
                      <w:lang w:eastAsia="zh-CN"/>
                    </w:rPr>
                    <w:t>来源</w:t>
                  </w:r>
                </w:p>
              </w:tc>
              <w:tc>
                <w:tcPr>
                  <w:tcW w:w="686" w:type="dxa"/>
                  <w:tcBorders>
                    <w:tl2br w:val="nil"/>
                    <w:tr2bl w:val="nil"/>
                  </w:tcBorders>
                  <w:vAlign w:val="center"/>
                </w:tcPr>
                <w:p>
                  <w:pPr>
                    <w:pStyle w:val="25"/>
                    <w:jc w:val="center"/>
                    <w:rPr>
                      <w:rFonts w:hint="default"/>
                      <w:color w:val="auto"/>
                      <w:highlight w:val="none"/>
                      <w:lang w:val="en-US" w:eastAsia="zh-CN"/>
                    </w:rPr>
                  </w:pPr>
                  <w:r>
                    <w:rPr>
                      <w:rFonts w:hint="eastAsia"/>
                      <w:color w:val="auto"/>
                      <w:highlight w:val="none"/>
                      <w:lang w:eastAsia="zh-CN"/>
                    </w:rPr>
                    <w:t>年产生量</w:t>
                  </w:r>
                  <w:r>
                    <w:rPr>
                      <w:rFonts w:hint="eastAsia"/>
                      <w:color w:val="auto"/>
                      <w:highlight w:val="none"/>
                      <w:lang w:val="en-US" w:eastAsia="zh-CN"/>
                    </w:rPr>
                    <w:t>t/a</w:t>
                  </w:r>
                </w:p>
              </w:tc>
              <w:tc>
                <w:tcPr>
                  <w:tcW w:w="425" w:type="dxa"/>
                  <w:tcBorders>
                    <w:tl2br w:val="nil"/>
                    <w:tr2bl w:val="nil"/>
                  </w:tcBorders>
                  <w:vAlign w:val="center"/>
                </w:tcPr>
                <w:p>
                  <w:pPr>
                    <w:pStyle w:val="25"/>
                    <w:jc w:val="center"/>
                    <w:rPr>
                      <w:rFonts w:hint="eastAsia"/>
                      <w:color w:val="auto"/>
                      <w:highlight w:val="none"/>
                      <w:lang w:eastAsia="zh-CN"/>
                    </w:rPr>
                  </w:pPr>
                  <w:r>
                    <w:rPr>
                      <w:rFonts w:hint="eastAsia"/>
                      <w:color w:val="auto"/>
                      <w:highlight w:val="none"/>
                      <w:lang w:eastAsia="zh-CN"/>
                    </w:rPr>
                    <w:t>形态</w:t>
                  </w:r>
                </w:p>
              </w:tc>
              <w:tc>
                <w:tcPr>
                  <w:tcW w:w="613" w:type="dxa"/>
                  <w:tcBorders>
                    <w:tl2br w:val="nil"/>
                    <w:tr2bl w:val="nil"/>
                  </w:tcBorders>
                  <w:vAlign w:val="center"/>
                </w:tcPr>
                <w:p>
                  <w:pPr>
                    <w:pStyle w:val="25"/>
                    <w:jc w:val="center"/>
                    <w:rPr>
                      <w:rFonts w:hint="eastAsia"/>
                      <w:color w:val="auto"/>
                      <w:highlight w:val="none"/>
                      <w:lang w:eastAsia="zh-CN"/>
                    </w:rPr>
                  </w:pPr>
                  <w:r>
                    <w:rPr>
                      <w:rFonts w:hint="eastAsia"/>
                      <w:color w:val="auto"/>
                      <w:highlight w:val="none"/>
                      <w:lang w:eastAsia="zh-CN"/>
                    </w:rPr>
                    <w:t>危险特性</w:t>
                  </w:r>
                </w:p>
              </w:tc>
              <w:tc>
                <w:tcPr>
                  <w:tcW w:w="616" w:type="dxa"/>
                  <w:tcBorders>
                    <w:tl2br w:val="nil"/>
                    <w:tr2bl w:val="nil"/>
                  </w:tcBorders>
                  <w:vAlign w:val="center"/>
                </w:tcPr>
                <w:p>
                  <w:pPr>
                    <w:pStyle w:val="25"/>
                    <w:jc w:val="center"/>
                    <w:rPr>
                      <w:rFonts w:hint="eastAsia"/>
                      <w:color w:val="auto"/>
                      <w:highlight w:val="none"/>
                      <w:lang w:eastAsia="zh-CN"/>
                    </w:rPr>
                  </w:pPr>
                  <w:r>
                    <w:rPr>
                      <w:rFonts w:hint="eastAsia"/>
                      <w:color w:val="auto"/>
                      <w:highlight w:val="none"/>
                      <w:lang w:eastAsia="zh-CN"/>
                    </w:rPr>
                    <w:t>贮存方式</w:t>
                  </w:r>
                </w:p>
              </w:tc>
              <w:tc>
                <w:tcPr>
                  <w:tcW w:w="668" w:type="dxa"/>
                  <w:tcBorders>
                    <w:tl2br w:val="nil"/>
                    <w:tr2bl w:val="nil"/>
                  </w:tcBorders>
                  <w:vAlign w:val="center"/>
                </w:tcPr>
                <w:p>
                  <w:pPr>
                    <w:pStyle w:val="25"/>
                    <w:jc w:val="center"/>
                    <w:rPr>
                      <w:rFonts w:hint="default"/>
                      <w:color w:val="auto"/>
                      <w:highlight w:val="none"/>
                      <w:lang w:val="en-US" w:eastAsia="zh-CN"/>
                    </w:rPr>
                  </w:pPr>
                  <w:r>
                    <w:rPr>
                      <w:rFonts w:hint="eastAsia"/>
                      <w:color w:val="auto"/>
                      <w:highlight w:val="none"/>
                      <w:lang w:eastAsia="zh-CN"/>
                    </w:rPr>
                    <w:t>最大贮存量</w:t>
                  </w:r>
                  <w:r>
                    <w:rPr>
                      <w:rFonts w:hint="eastAsia"/>
                      <w:color w:val="auto"/>
                      <w:highlight w:val="none"/>
                      <w:lang w:val="en-US" w:eastAsia="zh-CN"/>
                    </w:rPr>
                    <w:t>t</w:t>
                  </w:r>
                </w:p>
              </w:tc>
              <w:tc>
                <w:tcPr>
                  <w:tcW w:w="539" w:type="dxa"/>
                  <w:tcBorders>
                    <w:tl2br w:val="nil"/>
                    <w:tr2bl w:val="nil"/>
                  </w:tcBorders>
                  <w:vAlign w:val="center"/>
                </w:tcPr>
                <w:p>
                  <w:pPr>
                    <w:pStyle w:val="25"/>
                    <w:jc w:val="center"/>
                    <w:rPr>
                      <w:rFonts w:hint="eastAsia"/>
                      <w:color w:val="auto"/>
                      <w:highlight w:val="none"/>
                      <w:lang w:eastAsia="zh-CN"/>
                    </w:rPr>
                  </w:pPr>
                  <w:r>
                    <w:rPr>
                      <w:rFonts w:hint="eastAsia"/>
                      <w:color w:val="auto"/>
                      <w:highlight w:val="none"/>
                      <w:lang w:eastAsia="zh-CN"/>
                    </w:rPr>
                    <w:t>贮存周期</w:t>
                  </w:r>
                </w:p>
              </w:tc>
              <w:tc>
                <w:tcPr>
                  <w:tcW w:w="539" w:type="dxa"/>
                  <w:tcBorders>
                    <w:tl2br w:val="nil"/>
                    <w:tr2bl w:val="nil"/>
                  </w:tcBorders>
                  <w:vAlign w:val="center"/>
                </w:tcPr>
                <w:p>
                  <w:pPr>
                    <w:pStyle w:val="25"/>
                    <w:jc w:val="center"/>
                    <w:rPr>
                      <w:rFonts w:hint="eastAsia"/>
                      <w:color w:val="auto"/>
                      <w:highlight w:val="none"/>
                      <w:lang w:eastAsia="zh-CN"/>
                    </w:rPr>
                  </w:pPr>
                  <w:r>
                    <w:rPr>
                      <w:rFonts w:hint="eastAsia"/>
                      <w:color w:val="auto"/>
                      <w:highlight w:val="none"/>
                      <w:lang w:eastAsia="zh-CN"/>
                    </w:rPr>
                    <w:t>转运频次</w:t>
                  </w:r>
                </w:p>
              </w:tc>
              <w:tc>
                <w:tcPr>
                  <w:tcW w:w="542" w:type="dxa"/>
                  <w:tcBorders>
                    <w:tl2br w:val="nil"/>
                    <w:tr2bl w:val="nil"/>
                  </w:tcBorders>
                  <w:vAlign w:val="center"/>
                </w:tcPr>
                <w:p>
                  <w:pPr>
                    <w:pStyle w:val="25"/>
                    <w:jc w:val="center"/>
                    <w:rPr>
                      <w:rFonts w:hint="eastAsia"/>
                      <w:color w:val="auto"/>
                      <w:highlight w:val="none"/>
                      <w:lang w:eastAsia="zh-CN"/>
                    </w:rPr>
                  </w:pPr>
                  <w:r>
                    <w:rPr>
                      <w:rFonts w:hint="eastAsia"/>
                      <w:color w:val="auto"/>
                      <w:highlight w:val="none"/>
                      <w:lang w:eastAsia="zh-CN"/>
                    </w:rPr>
                    <w:t>转运周期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27" w:hRule="atLeast"/>
                <w:jc w:val="center"/>
              </w:trPr>
              <w:tc>
                <w:tcPr>
                  <w:tcW w:w="706" w:type="dxa"/>
                  <w:tcBorders>
                    <w:tl2br w:val="nil"/>
                    <w:tr2bl w:val="nil"/>
                  </w:tcBorders>
                  <w:vAlign w:val="center"/>
                </w:tcPr>
                <w:p>
                  <w:pPr>
                    <w:pStyle w:val="22"/>
                    <w:jc w:val="center"/>
                    <w:rPr>
                      <w:rFonts w:hint="default" w:eastAsiaTheme="minorEastAsia"/>
                      <w:color w:val="auto"/>
                      <w:highlight w:val="none"/>
                      <w:lang w:val="en-US" w:eastAsia="zh-CN"/>
                    </w:rPr>
                  </w:pPr>
                  <w:r>
                    <w:rPr>
                      <w:rFonts w:hint="eastAsia"/>
                      <w:color w:val="auto"/>
                      <w:highlight w:val="none"/>
                      <w:lang w:eastAsia="zh-CN"/>
                    </w:rPr>
                    <w:t>废润滑油</w:t>
                  </w:r>
                </w:p>
              </w:tc>
              <w:tc>
                <w:tcPr>
                  <w:tcW w:w="634" w:type="dxa"/>
                  <w:tcBorders>
                    <w:tl2br w:val="nil"/>
                    <w:tr2bl w:val="nil"/>
                  </w:tcBorders>
                  <w:vAlign w:val="center"/>
                </w:tcPr>
                <w:p>
                  <w:pPr>
                    <w:pStyle w:val="22"/>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HW08</w:t>
                  </w:r>
                </w:p>
              </w:tc>
              <w:tc>
                <w:tcPr>
                  <w:tcW w:w="1191" w:type="dxa"/>
                  <w:tcBorders>
                    <w:tl2br w:val="nil"/>
                    <w:tr2bl w:val="nil"/>
                  </w:tcBorders>
                  <w:vAlign w:val="center"/>
                </w:tcPr>
                <w:p>
                  <w:pPr>
                    <w:pStyle w:val="22"/>
                    <w:bidi w:val="0"/>
                    <w:jc w:val="center"/>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900-214-08</w:t>
                  </w:r>
                </w:p>
              </w:tc>
              <w:tc>
                <w:tcPr>
                  <w:tcW w:w="978"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选厂、矿区设备维护及采区内车辆维护等</w:t>
                  </w:r>
                </w:p>
              </w:tc>
              <w:tc>
                <w:tcPr>
                  <w:tcW w:w="686"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1.81</w:t>
                  </w:r>
                </w:p>
              </w:tc>
              <w:tc>
                <w:tcPr>
                  <w:tcW w:w="425" w:type="dxa"/>
                  <w:tcBorders>
                    <w:tl2br w:val="nil"/>
                    <w:tr2bl w:val="nil"/>
                  </w:tcBorders>
                  <w:vAlign w:val="center"/>
                </w:tcPr>
                <w:p>
                  <w:pPr>
                    <w:pStyle w:val="22"/>
                    <w:jc w:val="center"/>
                    <w:rPr>
                      <w:rFonts w:hint="eastAsia" w:eastAsiaTheme="minorEastAsia"/>
                      <w:color w:val="auto"/>
                      <w:highlight w:val="none"/>
                      <w:lang w:eastAsia="zh-CN"/>
                    </w:rPr>
                  </w:pPr>
                  <w:r>
                    <w:rPr>
                      <w:rFonts w:hint="eastAsia"/>
                      <w:color w:val="auto"/>
                      <w:highlight w:val="none"/>
                      <w:lang w:eastAsia="zh-CN"/>
                    </w:rPr>
                    <w:t>液态</w:t>
                  </w:r>
                </w:p>
              </w:tc>
              <w:tc>
                <w:tcPr>
                  <w:tcW w:w="613" w:type="dxa"/>
                  <w:tcBorders>
                    <w:tl2br w:val="nil"/>
                    <w:tr2bl w:val="nil"/>
                  </w:tcBorders>
                  <w:vAlign w:val="center"/>
                </w:tcPr>
                <w:p>
                  <w:pPr>
                    <w:pStyle w:val="22"/>
                    <w:jc w:val="center"/>
                    <w:rPr>
                      <w:rFonts w:hint="eastAsia" w:eastAsiaTheme="minorEastAsia"/>
                      <w:color w:val="auto"/>
                      <w:highlight w:val="none"/>
                      <w:lang w:val="en-US" w:eastAsia="zh-CN"/>
                    </w:rPr>
                  </w:pPr>
                  <w:r>
                    <w:rPr>
                      <w:rFonts w:hint="eastAsia"/>
                      <w:color w:val="auto"/>
                      <w:highlight w:val="none"/>
                      <w:lang w:val="en-US" w:eastAsia="zh-CN"/>
                    </w:rPr>
                    <w:t>T</w:t>
                  </w:r>
                </w:p>
              </w:tc>
              <w:tc>
                <w:tcPr>
                  <w:tcW w:w="616" w:type="dxa"/>
                  <w:tcBorders>
                    <w:tl2br w:val="nil"/>
                    <w:tr2bl w:val="nil"/>
                  </w:tcBorders>
                  <w:vAlign w:val="center"/>
                </w:tcPr>
                <w:p>
                  <w:pPr>
                    <w:spacing w:line="240" w:lineRule="auto"/>
                    <w:jc w:val="center"/>
                    <w:textAlignment w:val="center"/>
                    <w:rPr>
                      <w:rFonts w:hint="default" w:ascii="Times New Roman" w:hAnsi="Times New Roman" w:eastAsia="宋体" w:cs="宋体"/>
                      <w:color w:val="auto"/>
                      <w:kern w:val="2"/>
                      <w:sz w:val="20"/>
                      <w:szCs w:val="20"/>
                      <w:highlight w:val="none"/>
                      <w:lang w:val="en-US" w:eastAsia="zh-CN" w:bidi="ar-SA"/>
                    </w:rPr>
                  </w:pPr>
                  <w:r>
                    <w:rPr>
                      <w:rFonts w:hint="eastAsia" w:ascii="Times New Roman" w:hAnsi="Times New Roman" w:eastAsia="宋体" w:cs="宋体"/>
                      <w:color w:val="auto"/>
                      <w:kern w:val="2"/>
                      <w:sz w:val="20"/>
                      <w:szCs w:val="20"/>
                      <w:highlight w:val="none"/>
                      <w:lang w:val="en-US" w:eastAsia="zh-CN" w:bidi="ar-SA"/>
                    </w:rPr>
                    <w:t>油桶加盖贮存</w:t>
                  </w:r>
                </w:p>
              </w:tc>
              <w:tc>
                <w:tcPr>
                  <w:tcW w:w="668" w:type="dxa"/>
                  <w:tcBorders>
                    <w:tl2br w:val="nil"/>
                    <w:tr2bl w:val="nil"/>
                  </w:tcBorders>
                  <w:vAlign w:val="center"/>
                </w:tcPr>
                <w:p>
                  <w:pPr>
                    <w:spacing w:line="240" w:lineRule="auto"/>
                    <w:jc w:val="center"/>
                    <w:textAlignment w:val="center"/>
                    <w:rPr>
                      <w:rFonts w:hint="default" w:ascii="Times New Roman" w:hAnsi="Times New Roman" w:eastAsia="宋体" w:cs="宋体"/>
                      <w:color w:val="auto"/>
                      <w:kern w:val="2"/>
                      <w:sz w:val="20"/>
                      <w:szCs w:val="20"/>
                      <w:highlight w:val="none"/>
                      <w:lang w:val="en-US" w:eastAsia="zh-CN" w:bidi="ar-SA"/>
                    </w:rPr>
                  </w:pPr>
                  <w:r>
                    <w:rPr>
                      <w:rFonts w:hint="eastAsia" w:ascii="Times New Roman" w:hAnsi="Times New Roman" w:eastAsia="宋体" w:cs="宋体"/>
                      <w:color w:val="auto"/>
                      <w:kern w:val="2"/>
                      <w:sz w:val="20"/>
                      <w:szCs w:val="20"/>
                      <w:highlight w:val="none"/>
                      <w:lang w:val="en-US" w:eastAsia="zh-CN" w:bidi="ar-SA"/>
                    </w:rPr>
                    <w:t>0.8</w:t>
                  </w:r>
                </w:p>
              </w:tc>
              <w:tc>
                <w:tcPr>
                  <w:tcW w:w="539" w:type="dxa"/>
                  <w:tcBorders>
                    <w:tl2br w:val="nil"/>
                    <w:tr2bl w:val="nil"/>
                  </w:tcBorders>
                  <w:vAlign w:val="center"/>
                </w:tcPr>
                <w:p>
                  <w:pPr>
                    <w:pStyle w:val="22"/>
                    <w:jc w:val="center"/>
                    <w:rPr>
                      <w:rFonts w:hint="default" w:eastAsiaTheme="minorEastAsia"/>
                      <w:color w:val="auto"/>
                      <w:highlight w:val="none"/>
                      <w:lang w:val="en-US" w:eastAsia="zh-CN"/>
                    </w:rPr>
                  </w:pPr>
                  <w:r>
                    <w:rPr>
                      <w:rFonts w:hint="eastAsia" w:cs="Times New Roman"/>
                      <w:color w:val="auto"/>
                      <w:kern w:val="2"/>
                      <w:sz w:val="21"/>
                      <w:szCs w:val="21"/>
                      <w:highlight w:val="none"/>
                      <w:lang w:val="en-US" w:eastAsia="zh-CN" w:bidi="ar-SA"/>
                    </w:rPr>
                    <w:t>≤1a</w:t>
                  </w:r>
                </w:p>
              </w:tc>
              <w:tc>
                <w:tcPr>
                  <w:tcW w:w="539" w:type="dxa"/>
                  <w:tcBorders>
                    <w:tl2br w:val="nil"/>
                    <w:tr2bl w:val="nil"/>
                  </w:tcBorders>
                  <w:vAlign w:val="center"/>
                </w:tcPr>
                <w:p>
                  <w:pPr>
                    <w:pStyle w:val="22"/>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3次/a</w:t>
                  </w:r>
                </w:p>
              </w:tc>
              <w:tc>
                <w:tcPr>
                  <w:tcW w:w="542" w:type="dxa"/>
                  <w:tcBorders>
                    <w:tl2br w:val="nil"/>
                    <w:tr2bl w:val="nil"/>
                  </w:tcBorders>
                  <w:vAlign w:val="center"/>
                </w:tcPr>
                <w:p>
                  <w:pPr>
                    <w:pStyle w:val="22"/>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1次/4月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540" w:hRule="atLeast"/>
                <w:jc w:val="center"/>
              </w:trPr>
              <w:tc>
                <w:tcPr>
                  <w:tcW w:w="706" w:type="dxa"/>
                  <w:vAlign w:val="center"/>
                </w:tcPr>
                <w:p>
                  <w:pPr>
                    <w:pStyle w:val="22"/>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废油桶</w:t>
                  </w:r>
                </w:p>
              </w:tc>
              <w:tc>
                <w:tcPr>
                  <w:tcW w:w="634" w:type="dxa"/>
                  <w:vAlign w:val="center"/>
                </w:tcPr>
                <w:p>
                  <w:pPr>
                    <w:pStyle w:val="22"/>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HW49</w:t>
                  </w:r>
                </w:p>
              </w:tc>
              <w:tc>
                <w:tcPr>
                  <w:tcW w:w="1191" w:type="dxa"/>
                  <w:vAlign w:val="center"/>
                </w:tcPr>
                <w:p>
                  <w:pPr>
                    <w:pStyle w:val="22"/>
                    <w:bidi w:val="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900-041-49</w:t>
                  </w:r>
                </w:p>
              </w:tc>
              <w:tc>
                <w:tcPr>
                  <w:tcW w:w="978" w:type="dxa"/>
                  <w:vAlign w:val="center"/>
                </w:tcPr>
                <w:p>
                  <w:pPr>
                    <w:pStyle w:val="22"/>
                    <w:bidi w:val="0"/>
                    <w:rPr>
                      <w:rFonts w:hint="eastAsia"/>
                      <w:color w:val="auto"/>
                      <w:highlight w:val="none"/>
                      <w:lang w:val="en-US" w:eastAsia="zh-CN"/>
                    </w:rPr>
                  </w:pPr>
                  <w:r>
                    <w:rPr>
                      <w:rFonts w:hint="eastAsia"/>
                      <w:color w:val="auto"/>
                      <w:highlight w:val="none"/>
                      <w:lang w:val="en-US" w:eastAsia="zh-CN"/>
                    </w:rPr>
                    <w:t>选厂、矿区设备维护及采区内车辆维护等</w:t>
                  </w:r>
                </w:p>
              </w:tc>
              <w:tc>
                <w:tcPr>
                  <w:tcW w:w="686" w:type="dxa"/>
                  <w:vAlign w:val="center"/>
                </w:tcPr>
                <w:p>
                  <w:pPr>
                    <w:pStyle w:val="22"/>
                    <w:bidi w:val="0"/>
                    <w:rPr>
                      <w:rFonts w:hint="default"/>
                      <w:color w:val="auto"/>
                      <w:highlight w:val="none"/>
                      <w:lang w:val="en-US" w:eastAsia="zh-CN"/>
                    </w:rPr>
                  </w:pPr>
                  <w:r>
                    <w:rPr>
                      <w:rFonts w:hint="eastAsia"/>
                      <w:color w:val="auto"/>
                      <w:highlight w:val="none"/>
                      <w:lang w:val="en-US" w:eastAsia="zh-CN"/>
                    </w:rPr>
                    <w:t>1.29</w:t>
                  </w:r>
                </w:p>
              </w:tc>
              <w:tc>
                <w:tcPr>
                  <w:tcW w:w="425" w:type="dxa"/>
                  <w:vAlign w:val="center"/>
                </w:tcPr>
                <w:p>
                  <w:pPr>
                    <w:pStyle w:val="22"/>
                    <w:jc w:val="center"/>
                    <w:rPr>
                      <w:rFonts w:hint="eastAsia"/>
                      <w:color w:val="auto"/>
                      <w:highlight w:val="none"/>
                      <w:lang w:eastAsia="zh-CN"/>
                    </w:rPr>
                  </w:pPr>
                  <w:r>
                    <w:rPr>
                      <w:rFonts w:hint="eastAsia"/>
                      <w:color w:val="auto"/>
                      <w:highlight w:val="none"/>
                      <w:lang w:eastAsia="zh-CN"/>
                    </w:rPr>
                    <w:t>固态</w:t>
                  </w:r>
                </w:p>
              </w:tc>
              <w:tc>
                <w:tcPr>
                  <w:tcW w:w="613" w:type="dxa"/>
                  <w:vAlign w:val="center"/>
                </w:tcPr>
                <w:p>
                  <w:pPr>
                    <w:pStyle w:val="22"/>
                    <w:jc w:val="center"/>
                    <w:rPr>
                      <w:rFonts w:hint="eastAsia"/>
                      <w:color w:val="auto"/>
                      <w:highlight w:val="none"/>
                    </w:rPr>
                  </w:pPr>
                  <w:r>
                    <w:rPr>
                      <w:rFonts w:hint="eastAsia"/>
                      <w:color w:val="auto"/>
                      <w:highlight w:val="none"/>
                    </w:rPr>
                    <w:t>T/In</w:t>
                  </w:r>
                </w:p>
              </w:tc>
              <w:tc>
                <w:tcPr>
                  <w:tcW w:w="616" w:type="dxa"/>
                  <w:vAlign w:val="center"/>
                </w:tcPr>
                <w:p>
                  <w:pPr>
                    <w:spacing w:line="240" w:lineRule="auto"/>
                    <w:jc w:val="center"/>
                    <w:textAlignment w:val="center"/>
                    <w:rPr>
                      <w:rFonts w:hint="eastAsia" w:ascii="Times New Roman" w:hAnsi="Times New Roman" w:eastAsia="宋体" w:cs="宋体"/>
                      <w:color w:val="auto"/>
                      <w:kern w:val="2"/>
                      <w:sz w:val="20"/>
                      <w:szCs w:val="20"/>
                      <w:highlight w:val="none"/>
                      <w:lang w:val="en-US" w:eastAsia="zh-CN" w:bidi="ar-SA"/>
                    </w:rPr>
                  </w:pPr>
                  <w:r>
                    <w:rPr>
                      <w:rFonts w:hint="eastAsia" w:ascii="Times New Roman" w:hAnsi="Times New Roman" w:eastAsia="宋体" w:cs="宋体"/>
                      <w:color w:val="auto"/>
                      <w:kern w:val="2"/>
                      <w:sz w:val="20"/>
                      <w:szCs w:val="20"/>
                      <w:highlight w:val="none"/>
                      <w:lang w:val="en-US" w:eastAsia="zh-CN" w:bidi="ar-SA"/>
                    </w:rPr>
                    <w:t>/</w:t>
                  </w:r>
                </w:p>
              </w:tc>
              <w:tc>
                <w:tcPr>
                  <w:tcW w:w="668" w:type="dxa"/>
                  <w:vAlign w:val="center"/>
                </w:tcPr>
                <w:p>
                  <w:pPr>
                    <w:spacing w:line="240" w:lineRule="auto"/>
                    <w:jc w:val="center"/>
                    <w:textAlignment w:val="center"/>
                    <w:rPr>
                      <w:rFonts w:hint="default" w:ascii="Times New Roman" w:hAnsi="Times New Roman" w:eastAsia="宋体" w:cs="宋体"/>
                      <w:color w:val="auto"/>
                      <w:kern w:val="2"/>
                      <w:sz w:val="20"/>
                      <w:szCs w:val="20"/>
                      <w:highlight w:val="none"/>
                      <w:lang w:val="en-US" w:eastAsia="zh-CN" w:bidi="ar-SA"/>
                    </w:rPr>
                  </w:pPr>
                  <w:r>
                    <w:rPr>
                      <w:rFonts w:hint="eastAsia" w:cs="宋体"/>
                      <w:color w:val="auto"/>
                      <w:kern w:val="2"/>
                      <w:sz w:val="20"/>
                      <w:szCs w:val="20"/>
                      <w:highlight w:val="none"/>
                      <w:lang w:val="en-US" w:eastAsia="zh-CN" w:bidi="ar-SA"/>
                    </w:rPr>
                    <w:t>0.8</w:t>
                  </w:r>
                </w:p>
              </w:tc>
              <w:tc>
                <w:tcPr>
                  <w:tcW w:w="539" w:type="dxa"/>
                  <w:vAlign w:val="center"/>
                </w:tcPr>
                <w:p>
                  <w:pPr>
                    <w:pStyle w:val="22"/>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≤1a</w:t>
                  </w:r>
                </w:p>
              </w:tc>
              <w:tc>
                <w:tcPr>
                  <w:tcW w:w="539" w:type="dxa"/>
                  <w:vAlign w:val="center"/>
                </w:tcPr>
                <w:p>
                  <w:pPr>
                    <w:pStyle w:val="22"/>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2次/a</w:t>
                  </w:r>
                </w:p>
              </w:tc>
              <w:tc>
                <w:tcPr>
                  <w:tcW w:w="542" w:type="dxa"/>
                  <w:vAlign w:val="center"/>
                </w:tcPr>
                <w:p>
                  <w:pPr>
                    <w:pStyle w:val="22"/>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1次/6月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32" w:hRule="atLeast"/>
                <w:jc w:val="center"/>
              </w:trPr>
              <w:tc>
                <w:tcPr>
                  <w:tcW w:w="706" w:type="dxa"/>
                  <w:vAlign w:val="center"/>
                </w:tcPr>
                <w:p>
                  <w:pPr>
                    <w:pStyle w:val="22"/>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废铅蓄电池</w:t>
                  </w:r>
                </w:p>
              </w:tc>
              <w:tc>
                <w:tcPr>
                  <w:tcW w:w="634" w:type="dxa"/>
                  <w:vAlign w:val="center"/>
                </w:tcPr>
                <w:p>
                  <w:pPr>
                    <w:pStyle w:val="22"/>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HW31</w:t>
                  </w:r>
                </w:p>
              </w:tc>
              <w:tc>
                <w:tcPr>
                  <w:tcW w:w="1191" w:type="dxa"/>
                  <w:vAlign w:val="center"/>
                </w:tcPr>
                <w:p>
                  <w:pPr>
                    <w:pStyle w:val="22"/>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900-052-31</w:t>
                  </w:r>
                </w:p>
              </w:tc>
              <w:tc>
                <w:tcPr>
                  <w:tcW w:w="978" w:type="dxa"/>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矿井设备检修产生</w:t>
                  </w:r>
                </w:p>
              </w:tc>
              <w:tc>
                <w:tcPr>
                  <w:tcW w:w="686" w:type="dxa"/>
                  <w:vAlign w:val="center"/>
                </w:tcPr>
                <w:p>
                  <w:pPr>
                    <w:pStyle w:val="22"/>
                    <w:bidi w:val="0"/>
                    <w:rPr>
                      <w:rFonts w:hint="default"/>
                      <w:color w:val="auto"/>
                      <w:highlight w:val="none"/>
                      <w:lang w:val="en-US" w:eastAsia="zh-CN"/>
                    </w:rPr>
                  </w:pPr>
                  <w:r>
                    <w:rPr>
                      <w:rFonts w:hint="eastAsia"/>
                      <w:color w:val="auto"/>
                      <w:highlight w:val="none"/>
                      <w:lang w:val="en-US" w:eastAsia="zh-CN"/>
                    </w:rPr>
                    <w:t>5.72</w:t>
                  </w:r>
                </w:p>
              </w:tc>
              <w:tc>
                <w:tcPr>
                  <w:tcW w:w="425" w:type="dxa"/>
                  <w:vAlign w:val="center"/>
                </w:tcPr>
                <w:p>
                  <w:pPr>
                    <w:pStyle w:val="22"/>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固态</w:t>
                  </w:r>
                </w:p>
              </w:tc>
              <w:tc>
                <w:tcPr>
                  <w:tcW w:w="613" w:type="dxa"/>
                  <w:vAlign w:val="center"/>
                </w:tcPr>
                <w:p>
                  <w:pPr>
                    <w:pStyle w:val="22"/>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T，C</w:t>
                  </w:r>
                </w:p>
              </w:tc>
              <w:tc>
                <w:tcPr>
                  <w:tcW w:w="616" w:type="dxa"/>
                  <w:vAlign w:val="center"/>
                </w:tcPr>
                <w:p>
                  <w:pPr>
                    <w:spacing w:line="240" w:lineRule="auto"/>
                    <w:jc w:val="center"/>
                    <w:textAlignment w:val="center"/>
                    <w:rPr>
                      <w:rFonts w:hint="eastAsia" w:ascii="Times New Roman" w:hAnsi="Times New Roman" w:eastAsia="宋体" w:cs="宋体"/>
                      <w:color w:val="auto"/>
                      <w:kern w:val="2"/>
                      <w:sz w:val="20"/>
                      <w:szCs w:val="20"/>
                      <w:highlight w:val="none"/>
                      <w:lang w:val="en-US" w:eastAsia="zh-CN" w:bidi="ar-SA"/>
                    </w:rPr>
                  </w:pPr>
                  <w:r>
                    <w:rPr>
                      <w:rFonts w:hint="eastAsia" w:ascii="Times New Roman" w:hAnsi="Times New Roman" w:eastAsia="宋体" w:cs="宋体"/>
                      <w:color w:val="auto"/>
                      <w:kern w:val="2"/>
                      <w:sz w:val="20"/>
                      <w:szCs w:val="20"/>
                      <w:highlight w:val="none"/>
                      <w:lang w:val="en-US" w:eastAsia="zh-CN" w:bidi="ar-SA"/>
                    </w:rPr>
                    <w:t>防腐防渗托盘</w:t>
                  </w:r>
                </w:p>
              </w:tc>
              <w:tc>
                <w:tcPr>
                  <w:tcW w:w="668" w:type="dxa"/>
                  <w:vAlign w:val="center"/>
                </w:tcPr>
                <w:p>
                  <w:pPr>
                    <w:spacing w:line="240" w:lineRule="auto"/>
                    <w:jc w:val="center"/>
                    <w:textAlignment w:val="center"/>
                    <w:rPr>
                      <w:rFonts w:hint="default" w:ascii="Times New Roman" w:hAnsi="Times New Roman" w:eastAsia="宋体" w:cs="宋体"/>
                      <w:color w:val="auto"/>
                      <w:kern w:val="2"/>
                      <w:sz w:val="20"/>
                      <w:szCs w:val="20"/>
                      <w:highlight w:val="none"/>
                      <w:lang w:val="en-US" w:eastAsia="zh-CN" w:bidi="ar-SA"/>
                    </w:rPr>
                  </w:pPr>
                  <w:r>
                    <w:rPr>
                      <w:rFonts w:hint="eastAsia" w:ascii="Times New Roman" w:hAnsi="Times New Roman" w:eastAsia="宋体" w:cs="宋体"/>
                      <w:color w:val="auto"/>
                      <w:kern w:val="2"/>
                      <w:sz w:val="20"/>
                      <w:szCs w:val="20"/>
                      <w:highlight w:val="none"/>
                      <w:lang w:val="en-US" w:eastAsia="zh-CN" w:bidi="ar-SA"/>
                    </w:rPr>
                    <w:t>1.01</w:t>
                  </w:r>
                </w:p>
              </w:tc>
              <w:tc>
                <w:tcPr>
                  <w:tcW w:w="539" w:type="dxa"/>
                  <w:vAlign w:val="center"/>
                </w:tcPr>
                <w:p>
                  <w:pPr>
                    <w:pStyle w:val="22"/>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≤90d</w:t>
                  </w:r>
                </w:p>
              </w:tc>
              <w:tc>
                <w:tcPr>
                  <w:tcW w:w="539" w:type="dxa"/>
                  <w:vAlign w:val="center"/>
                </w:tcPr>
                <w:p>
                  <w:pPr>
                    <w:pStyle w:val="22"/>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6次/a</w:t>
                  </w:r>
                </w:p>
              </w:tc>
              <w:tc>
                <w:tcPr>
                  <w:tcW w:w="542" w:type="dxa"/>
                  <w:vAlign w:val="center"/>
                </w:tcPr>
                <w:p>
                  <w:pPr>
                    <w:pStyle w:val="22"/>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1次/2月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36" w:hRule="atLeast"/>
                <w:jc w:val="center"/>
              </w:trPr>
              <w:tc>
                <w:tcPr>
                  <w:tcW w:w="706" w:type="dxa"/>
                  <w:vAlign w:val="center"/>
                </w:tcPr>
                <w:p>
                  <w:pPr>
                    <w:pStyle w:val="22"/>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废电解液</w:t>
                  </w:r>
                </w:p>
              </w:tc>
              <w:tc>
                <w:tcPr>
                  <w:tcW w:w="634"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HW31</w:t>
                  </w:r>
                </w:p>
              </w:tc>
              <w:tc>
                <w:tcPr>
                  <w:tcW w:w="1191"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900-052-31</w:t>
                  </w:r>
                </w:p>
              </w:tc>
              <w:tc>
                <w:tcPr>
                  <w:tcW w:w="978"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电池破损事故</w:t>
                  </w:r>
                </w:p>
              </w:tc>
              <w:tc>
                <w:tcPr>
                  <w:tcW w:w="686" w:type="dxa"/>
                  <w:vAlign w:val="center"/>
                </w:tcPr>
                <w:p>
                  <w:pPr>
                    <w:pStyle w:val="22"/>
                    <w:rPr>
                      <w:rFonts w:hint="default" w:ascii="Times New Roman" w:hAnsi="Times New Roman" w:cs="Times New Roman"/>
                      <w:color w:val="auto"/>
                      <w:kern w:val="2"/>
                      <w:sz w:val="21"/>
                      <w:szCs w:val="21"/>
                      <w:highlight w:val="none"/>
                      <w:lang w:val="en-US" w:eastAsia="zh-CN" w:bidi="ar-SA"/>
                    </w:rPr>
                  </w:pPr>
                  <w:r>
                    <w:rPr>
                      <w:rFonts w:hint="eastAsia"/>
                      <w:color w:val="auto"/>
                      <w:highlight w:val="none"/>
                      <w:lang w:val="en-US" w:eastAsia="zh-CN"/>
                    </w:rPr>
                    <w:t>0.026</w:t>
                  </w:r>
                </w:p>
              </w:tc>
              <w:tc>
                <w:tcPr>
                  <w:tcW w:w="425" w:type="dxa"/>
                  <w:vAlign w:val="center"/>
                </w:tcPr>
                <w:p>
                  <w:pPr>
                    <w:pStyle w:val="22"/>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液态</w:t>
                  </w:r>
                </w:p>
              </w:tc>
              <w:tc>
                <w:tcPr>
                  <w:tcW w:w="613" w:type="dxa"/>
                  <w:vAlign w:val="center"/>
                </w:tcPr>
                <w:p>
                  <w:pPr>
                    <w:pStyle w:val="22"/>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T，C</w:t>
                  </w:r>
                </w:p>
              </w:tc>
              <w:tc>
                <w:tcPr>
                  <w:tcW w:w="616" w:type="dxa"/>
                  <w:vAlign w:val="center"/>
                </w:tcPr>
                <w:p>
                  <w:pPr>
                    <w:pStyle w:val="22"/>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耐酸耐腐蚀加盖箱</w:t>
                  </w:r>
                </w:p>
              </w:tc>
              <w:tc>
                <w:tcPr>
                  <w:tcW w:w="668" w:type="dxa"/>
                  <w:vAlign w:val="center"/>
                </w:tcPr>
                <w:p>
                  <w:pPr>
                    <w:spacing w:line="240" w:lineRule="auto"/>
                    <w:jc w:val="center"/>
                    <w:textAlignment w:val="center"/>
                    <w:rPr>
                      <w:rFonts w:hint="default" w:ascii="Times New Roman" w:hAnsi="Times New Roman" w:eastAsia="宋体" w:cs="宋体"/>
                      <w:color w:val="auto"/>
                      <w:kern w:val="2"/>
                      <w:sz w:val="20"/>
                      <w:szCs w:val="20"/>
                      <w:highlight w:val="none"/>
                      <w:lang w:val="en-US" w:eastAsia="zh-CN" w:bidi="ar-SA"/>
                    </w:rPr>
                  </w:pPr>
                  <w:r>
                    <w:rPr>
                      <w:rFonts w:hint="eastAsia" w:cs="宋体"/>
                      <w:color w:val="auto"/>
                      <w:kern w:val="2"/>
                      <w:sz w:val="20"/>
                      <w:szCs w:val="20"/>
                      <w:highlight w:val="none"/>
                      <w:lang w:val="en-US" w:eastAsia="zh-CN" w:bidi="ar-SA"/>
                    </w:rPr>
                    <w:t>0.026</w:t>
                  </w:r>
                </w:p>
              </w:tc>
              <w:tc>
                <w:tcPr>
                  <w:tcW w:w="539" w:type="dxa"/>
                  <w:vAlign w:val="center"/>
                </w:tcPr>
                <w:p>
                  <w:pPr>
                    <w:pStyle w:val="22"/>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≤1a</w:t>
                  </w:r>
                </w:p>
              </w:tc>
              <w:tc>
                <w:tcPr>
                  <w:tcW w:w="539" w:type="dxa"/>
                  <w:vAlign w:val="center"/>
                </w:tcPr>
                <w:p>
                  <w:pPr>
                    <w:pStyle w:val="22"/>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1次/a</w:t>
                  </w:r>
                </w:p>
              </w:tc>
              <w:tc>
                <w:tcPr>
                  <w:tcW w:w="542" w:type="dxa"/>
                  <w:vAlign w:val="center"/>
                </w:tcPr>
                <w:p>
                  <w:pPr>
                    <w:pStyle w:val="22"/>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1次/a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1" w:hRule="atLeast"/>
                <w:jc w:val="center"/>
              </w:trPr>
              <w:tc>
                <w:tcPr>
                  <w:tcW w:w="706" w:type="dxa"/>
                  <w:vAlign w:val="center"/>
                </w:tcPr>
                <w:p>
                  <w:pPr>
                    <w:pStyle w:val="22"/>
                    <w:bidi w:val="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废劳保用品</w:t>
                  </w:r>
                </w:p>
              </w:tc>
              <w:tc>
                <w:tcPr>
                  <w:tcW w:w="634" w:type="dxa"/>
                  <w:shd w:val="clear" w:color="auto" w:fill="auto"/>
                  <w:vAlign w:val="center"/>
                </w:tcPr>
                <w:p>
                  <w:pPr>
                    <w:pStyle w:val="22"/>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HW49</w:t>
                  </w:r>
                </w:p>
              </w:tc>
              <w:tc>
                <w:tcPr>
                  <w:tcW w:w="1191" w:type="dxa"/>
                  <w:shd w:val="clear" w:color="auto" w:fill="auto"/>
                  <w:vAlign w:val="center"/>
                </w:tcPr>
                <w:p>
                  <w:pPr>
                    <w:pStyle w:val="22"/>
                    <w:bidi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900-041-49</w:t>
                  </w:r>
                </w:p>
              </w:tc>
              <w:tc>
                <w:tcPr>
                  <w:tcW w:w="978" w:type="dxa"/>
                  <w:vAlign w:val="center"/>
                </w:tcPr>
                <w:p>
                  <w:pPr>
                    <w:pStyle w:val="22"/>
                    <w:bidi w:val="0"/>
                    <w:rPr>
                      <w:rFonts w:hint="default"/>
                      <w:color w:val="auto"/>
                      <w:highlight w:val="none"/>
                      <w:lang w:val="en-US" w:eastAsia="zh-CN"/>
                    </w:rPr>
                  </w:pPr>
                  <w:r>
                    <w:rPr>
                      <w:rFonts w:hint="eastAsia"/>
                      <w:color w:val="auto"/>
                      <w:highlight w:val="none"/>
                      <w:lang w:val="en-US" w:eastAsia="zh-CN"/>
                    </w:rPr>
                    <w:t>危险废物运输操作过程中，沾染废润滑油、废电解液等破损</w:t>
                  </w:r>
                  <w:r>
                    <w:rPr>
                      <w:rFonts w:hint="eastAsia" w:cs="Times New Roman"/>
                      <w:color w:val="auto"/>
                      <w:kern w:val="2"/>
                      <w:sz w:val="21"/>
                      <w:szCs w:val="21"/>
                      <w:highlight w:val="none"/>
                      <w:lang w:val="en-US" w:eastAsia="zh-CN" w:bidi="ar-SA"/>
                    </w:rPr>
                    <w:t>废劳保用品</w:t>
                  </w:r>
                </w:p>
              </w:tc>
              <w:tc>
                <w:tcPr>
                  <w:tcW w:w="686" w:type="dxa"/>
                  <w:vAlign w:val="center"/>
                </w:tcPr>
                <w:p>
                  <w:pPr>
                    <w:pStyle w:val="22"/>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0.01</w:t>
                  </w:r>
                </w:p>
              </w:tc>
              <w:tc>
                <w:tcPr>
                  <w:tcW w:w="425" w:type="dxa"/>
                  <w:vAlign w:val="center"/>
                </w:tcPr>
                <w:p>
                  <w:pPr>
                    <w:pStyle w:val="22"/>
                    <w:jc w:val="center"/>
                    <w:rPr>
                      <w:rFonts w:hint="eastAsia"/>
                      <w:color w:val="auto"/>
                      <w:highlight w:val="none"/>
                      <w:lang w:eastAsia="zh-CN"/>
                    </w:rPr>
                  </w:pPr>
                  <w:r>
                    <w:rPr>
                      <w:rFonts w:hint="eastAsia"/>
                      <w:color w:val="auto"/>
                      <w:highlight w:val="none"/>
                      <w:lang w:eastAsia="zh-CN"/>
                    </w:rPr>
                    <w:t>固态</w:t>
                  </w:r>
                </w:p>
              </w:tc>
              <w:tc>
                <w:tcPr>
                  <w:tcW w:w="613" w:type="dxa"/>
                  <w:vAlign w:val="center"/>
                </w:tcPr>
                <w:p>
                  <w:pPr>
                    <w:pStyle w:val="22"/>
                    <w:jc w:val="center"/>
                    <w:rPr>
                      <w:rFonts w:hint="eastAsia"/>
                      <w:color w:val="auto"/>
                      <w:highlight w:val="none"/>
                      <w:lang w:val="en-US" w:eastAsia="zh-CN"/>
                    </w:rPr>
                  </w:pPr>
                  <w:r>
                    <w:rPr>
                      <w:rFonts w:hint="eastAsia"/>
                      <w:color w:val="auto"/>
                      <w:highlight w:val="none"/>
                      <w:lang w:eastAsia="zh-CN"/>
                    </w:rPr>
                    <w:t>固态</w:t>
                  </w:r>
                </w:p>
              </w:tc>
              <w:tc>
                <w:tcPr>
                  <w:tcW w:w="616" w:type="dxa"/>
                  <w:vAlign w:val="center"/>
                </w:tcPr>
                <w:p>
                  <w:pPr>
                    <w:pStyle w:val="22"/>
                    <w:jc w:val="center"/>
                    <w:rPr>
                      <w:rFonts w:hint="eastAsia"/>
                      <w:color w:val="auto"/>
                      <w:highlight w:val="none"/>
                      <w:lang w:eastAsia="zh-CN"/>
                    </w:rPr>
                  </w:pPr>
                  <w:r>
                    <w:rPr>
                      <w:rFonts w:hint="eastAsia"/>
                      <w:color w:val="auto"/>
                      <w:highlight w:val="none"/>
                    </w:rPr>
                    <w:t>耐酸耐腐蚀加盖箱</w:t>
                  </w:r>
                </w:p>
              </w:tc>
              <w:tc>
                <w:tcPr>
                  <w:tcW w:w="668" w:type="dxa"/>
                  <w:vAlign w:val="center"/>
                </w:tcPr>
                <w:p>
                  <w:pPr>
                    <w:spacing w:line="240" w:lineRule="auto"/>
                    <w:jc w:val="center"/>
                    <w:textAlignment w:val="center"/>
                    <w:rPr>
                      <w:rFonts w:hint="default" w:cs="宋体"/>
                      <w:color w:val="auto"/>
                      <w:kern w:val="2"/>
                      <w:sz w:val="20"/>
                      <w:szCs w:val="20"/>
                      <w:highlight w:val="none"/>
                      <w:lang w:val="en-US" w:eastAsia="zh-CN" w:bidi="ar-SA"/>
                    </w:rPr>
                  </w:pPr>
                  <w:r>
                    <w:rPr>
                      <w:rFonts w:hint="eastAsia" w:cs="宋体"/>
                      <w:color w:val="auto"/>
                      <w:kern w:val="2"/>
                      <w:sz w:val="20"/>
                      <w:szCs w:val="20"/>
                      <w:highlight w:val="none"/>
                      <w:lang w:val="en-US" w:eastAsia="zh-CN" w:bidi="ar-SA"/>
                    </w:rPr>
                    <w:t>0.01</w:t>
                  </w:r>
                </w:p>
              </w:tc>
              <w:tc>
                <w:tcPr>
                  <w:tcW w:w="539" w:type="dxa"/>
                  <w:vAlign w:val="center"/>
                </w:tcPr>
                <w:p>
                  <w:pPr>
                    <w:pStyle w:val="22"/>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≤1a</w:t>
                  </w:r>
                </w:p>
              </w:tc>
              <w:tc>
                <w:tcPr>
                  <w:tcW w:w="539" w:type="dxa"/>
                  <w:vAlign w:val="center"/>
                </w:tcPr>
                <w:p>
                  <w:pPr>
                    <w:pStyle w:val="22"/>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1次/a</w:t>
                  </w:r>
                </w:p>
              </w:tc>
              <w:tc>
                <w:tcPr>
                  <w:tcW w:w="542" w:type="dxa"/>
                  <w:vAlign w:val="center"/>
                </w:tcPr>
                <w:p>
                  <w:pPr>
                    <w:pStyle w:val="22"/>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1次/a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1" w:hRule="atLeast"/>
                <w:jc w:val="center"/>
              </w:trPr>
              <w:tc>
                <w:tcPr>
                  <w:tcW w:w="706" w:type="dxa"/>
                  <w:vAlign w:val="center"/>
                </w:tcPr>
                <w:p>
                  <w:pPr>
                    <w:pStyle w:val="22"/>
                    <w:bidi w:val="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废油漆桶</w:t>
                  </w:r>
                </w:p>
              </w:tc>
              <w:tc>
                <w:tcPr>
                  <w:tcW w:w="634" w:type="dxa"/>
                  <w:shd w:val="clear" w:color="auto" w:fill="auto"/>
                  <w:vAlign w:val="center"/>
                </w:tcPr>
                <w:p>
                  <w:pPr>
                    <w:pStyle w:val="22"/>
                    <w:bidi w:val="0"/>
                    <w:ind w:firstLine="0" w:firstLineChars="0"/>
                    <w:jc w:val="center"/>
                    <w:rPr>
                      <w:rFonts w:hint="eastAsia"/>
                      <w:color w:val="auto"/>
                      <w:highlight w:val="none"/>
                      <w:lang w:eastAsia="zh-CN"/>
                    </w:rPr>
                  </w:pPr>
                  <w:r>
                    <w:rPr>
                      <w:rFonts w:hint="eastAsia"/>
                      <w:color w:val="auto"/>
                      <w:highlight w:val="none"/>
                      <w:lang w:eastAsia="zh-CN"/>
                    </w:rPr>
                    <w:t>HW49</w:t>
                  </w:r>
                </w:p>
              </w:tc>
              <w:tc>
                <w:tcPr>
                  <w:tcW w:w="1191" w:type="dxa"/>
                  <w:shd w:val="clear" w:color="auto" w:fill="auto"/>
                  <w:vAlign w:val="center"/>
                </w:tcPr>
                <w:p>
                  <w:pPr>
                    <w:pStyle w:val="22"/>
                    <w:bidi w:val="0"/>
                    <w:ind w:firstLine="0" w:firstLineChars="0"/>
                    <w:jc w:val="center"/>
                    <w:rPr>
                      <w:rFonts w:hint="eastAsia"/>
                      <w:color w:val="auto"/>
                      <w:highlight w:val="none"/>
                      <w:lang w:eastAsia="zh-CN"/>
                    </w:rPr>
                  </w:pPr>
                  <w:r>
                    <w:rPr>
                      <w:rFonts w:hint="eastAsia"/>
                      <w:color w:val="auto"/>
                      <w:highlight w:val="none"/>
                      <w:lang w:eastAsia="zh-CN"/>
                    </w:rPr>
                    <w:t>900-041-49</w:t>
                  </w:r>
                </w:p>
              </w:tc>
              <w:tc>
                <w:tcPr>
                  <w:tcW w:w="978" w:type="dxa"/>
                  <w:vAlign w:val="center"/>
                </w:tcPr>
                <w:p>
                  <w:pPr>
                    <w:pStyle w:val="22"/>
                    <w:bidi w:val="0"/>
                    <w:rPr>
                      <w:rFonts w:hint="eastAsia"/>
                      <w:color w:val="auto"/>
                      <w:highlight w:val="none"/>
                      <w:lang w:val="en-US" w:eastAsia="zh-CN"/>
                    </w:rPr>
                  </w:pPr>
                  <w:r>
                    <w:rPr>
                      <w:rFonts w:hint="eastAsia"/>
                      <w:color w:val="auto"/>
                      <w:highlight w:val="none"/>
                      <w:lang w:val="en-US" w:eastAsia="zh-CN"/>
                    </w:rPr>
                    <w:t>设备设施防锈、矿区标记等</w:t>
                  </w:r>
                </w:p>
              </w:tc>
              <w:tc>
                <w:tcPr>
                  <w:tcW w:w="686" w:type="dxa"/>
                  <w:vAlign w:val="center"/>
                </w:tcPr>
                <w:p>
                  <w:pPr>
                    <w:pStyle w:val="22"/>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w:t>
                  </w:r>
                </w:p>
              </w:tc>
              <w:tc>
                <w:tcPr>
                  <w:tcW w:w="425" w:type="dxa"/>
                  <w:vAlign w:val="center"/>
                </w:tcPr>
                <w:p>
                  <w:pPr>
                    <w:pStyle w:val="22"/>
                    <w:jc w:val="center"/>
                    <w:rPr>
                      <w:rFonts w:hint="eastAsia"/>
                      <w:color w:val="auto"/>
                      <w:highlight w:val="none"/>
                      <w:lang w:eastAsia="zh-CN"/>
                    </w:rPr>
                  </w:pPr>
                  <w:r>
                    <w:rPr>
                      <w:rFonts w:hint="eastAsia"/>
                      <w:color w:val="auto"/>
                      <w:highlight w:val="none"/>
                      <w:lang w:eastAsia="zh-CN"/>
                    </w:rPr>
                    <w:t>固态</w:t>
                  </w:r>
                </w:p>
              </w:tc>
              <w:tc>
                <w:tcPr>
                  <w:tcW w:w="613" w:type="dxa"/>
                  <w:vAlign w:val="center"/>
                </w:tcPr>
                <w:p>
                  <w:pPr>
                    <w:pStyle w:val="22"/>
                    <w:jc w:val="center"/>
                    <w:rPr>
                      <w:rFonts w:hint="eastAsia"/>
                      <w:color w:val="auto"/>
                      <w:highlight w:val="none"/>
                    </w:rPr>
                  </w:pPr>
                  <w:r>
                    <w:rPr>
                      <w:rFonts w:hint="eastAsia"/>
                      <w:color w:val="auto"/>
                      <w:highlight w:val="none"/>
                      <w:lang w:eastAsia="zh-CN"/>
                    </w:rPr>
                    <w:t>固态</w:t>
                  </w:r>
                </w:p>
              </w:tc>
              <w:tc>
                <w:tcPr>
                  <w:tcW w:w="616" w:type="dxa"/>
                  <w:vAlign w:val="center"/>
                </w:tcPr>
                <w:p>
                  <w:pPr>
                    <w:pStyle w:val="22"/>
                    <w:jc w:val="center"/>
                    <w:rPr>
                      <w:rFonts w:hint="eastAsia" w:eastAsiaTheme="minorEastAsia"/>
                      <w:color w:val="auto"/>
                      <w:highlight w:val="none"/>
                      <w:lang w:eastAsia="zh-CN"/>
                    </w:rPr>
                  </w:pPr>
                  <w:r>
                    <w:rPr>
                      <w:rFonts w:hint="eastAsia"/>
                      <w:color w:val="auto"/>
                      <w:highlight w:val="none"/>
                      <w:lang w:eastAsia="zh-CN"/>
                    </w:rPr>
                    <w:t>加盖贮存</w:t>
                  </w:r>
                </w:p>
              </w:tc>
              <w:tc>
                <w:tcPr>
                  <w:tcW w:w="668" w:type="dxa"/>
                  <w:vAlign w:val="center"/>
                </w:tcPr>
                <w:p>
                  <w:pPr>
                    <w:spacing w:line="240" w:lineRule="auto"/>
                    <w:jc w:val="center"/>
                    <w:textAlignment w:val="center"/>
                    <w:rPr>
                      <w:rFonts w:hint="default" w:cs="宋体"/>
                      <w:color w:val="auto"/>
                      <w:kern w:val="2"/>
                      <w:sz w:val="20"/>
                      <w:szCs w:val="20"/>
                      <w:highlight w:val="none"/>
                      <w:lang w:val="en-US" w:eastAsia="zh-CN" w:bidi="ar-SA"/>
                    </w:rPr>
                  </w:pPr>
                  <w:r>
                    <w:rPr>
                      <w:rFonts w:hint="eastAsia" w:cs="宋体"/>
                      <w:color w:val="auto"/>
                      <w:kern w:val="2"/>
                      <w:sz w:val="20"/>
                      <w:szCs w:val="20"/>
                      <w:highlight w:val="none"/>
                      <w:lang w:val="en-US" w:eastAsia="zh-CN" w:bidi="ar-SA"/>
                    </w:rPr>
                    <w:t>0.1</w:t>
                  </w:r>
                </w:p>
              </w:tc>
              <w:tc>
                <w:tcPr>
                  <w:tcW w:w="539" w:type="dxa"/>
                  <w:vAlign w:val="center"/>
                </w:tcPr>
                <w:p>
                  <w:pPr>
                    <w:pStyle w:val="22"/>
                    <w:ind w:firstLine="0" w:firstLineChars="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≤1a</w:t>
                  </w:r>
                </w:p>
              </w:tc>
              <w:tc>
                <w:tcPr>
                  <w:tcW w:w="539" w:type="dxa"/>
                  <w:vAlign w:val="center"/>
                </w:tcPr>
                <w:p>
                  <w:pPr>
                    <w:pStyle w:val="22"/>
                    <w:ind w:firstLine="0" w:firstLineChars="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1次/a</w:t>
                  </w:r>
                </w:p>
              </w:tc>
              <w:tc>
                <w:tcPr>
                  <w:tcW w:w="542" w:type="dxa"/>
                  <w:vAlign w:val="center"/>
                </w:tcPr>
                <w:p>
                  <w:pPr>
                    <w:pStyle w:val="22"/>
                    <w:ind w:firstLine="0" w:firstLineChars="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1次/a</w:t>
                  </w:r>
                </w:p>
              </w:tc>
            </w:tr>
          </w:tbl>
          <w:p>
            <w:pPr>
              <w:pStyle w:val="23"/>
              <w:numPr>
                <w:ilvl w:val="0"/>
                <w:numId w:val="2"/>
              </w:numPr>
              <w:tabs>
                <w:tab w:val="clear" w:pos="0"/>
                <w:tab w:val="clear" w:pos="420"/>
              </w:tabs>
              <w:ind w:left="0" w:leftChars="0" w:firstLine="0" w:firstLineChars="0"/>
              <w:rPr>
                <w:rFonts w:hint="default"/>
                <w:color w:val="auto"/>
                <w:highlight w:val="none"/>
                <w:lang w:val="en-US" w:eastAsia="zh-CN"/>
              </w:rPr>
            </w:pPr>
            <w:r>
              <w:rPr>
                <w:rFonts w:hint="eastAsia"/>
                <w:color w:val="auto"/>
                <w:highlight w:val="none"/>
                <w:lang w:val="en-US" w:eastAsia="zh-CN"/>
              </w:rPr>
              <w:t xml:space="preserve">   二道沟公司涉及的油桶规格</w:t>
            </w:r>
          </w:p>
          <w:tbl>
            <w:tblPr>
              <w:tblStyle w:val="16"/>
              <w:tblW w:w="813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97"/>
              <w:gridCol w:w="2157"/>
              <w:gridCol w:w="2165"/>
              <w:gridCol w:w="15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297" w:type="dxa"/>
                  <w:vMerge w:val="restart"/>
                  <w:tcBorders>
                    <w:tl2br w:val="nil"/>
                    <w:tr2bl w:val="nil"/>
                  </w:tcBorders>
                  <w:vAlign w:val="center"/>
                </w:tcPr>
                <w:p>
                  <w:pPr>
                    <w:pStyle w:val="25"/>
                    <w:bidi w:val="0"/>
                    <w:rPr>
                      <w:color w:val="auto"/>
                      <w:highlight w:val="none"/>
                      <w:lang w:eastAsia="zh-CN"/>
                    </w:rPr>
                  </w:pPr>
                  <w:r>
                    <w:rPr>
                      <w:rFonts w:hint="eastAsia"/>
                      <w:color w:val="auto"/>
                      <w:highlight w:val="none"/>
                      <w:lang w:eastAsia="zh-CN"/>
                    </w:rPr>
                    <w:t>型号</w:t>
                  </w:r>
                </w:p>
              </w:tc>
              <w:tc>
                <w:tcPr>
                  <w:tcW w:w="4322" w:type="dxa"/>
                  <w:gridSpan w:val="2"/>
                  <w:tcBorders>
                    <w:tl2br w:val="nil"/>
                    <w:tr2bl w:val="nil"/>
                  </w:tcBorders>
                  <w:vAlign w:val="center"/>
                </w:tcPr>
                <w:p>
                  <w:pPr>
                    <w:pStyle w:val="25"/>
                    <w:bidi w:val="0"/>
                    <w:rPr>
                      <w:color w:val="auto"/>
                      <w:highlight w:val="none"/>
                      <w:lang w:eastAsia="zh-CN"/>
                    </w:rPr>
                  </w:pPr>
                  <w:r>
                    <w:rPr>
                      <w:rFonts w:hint="eastAsia"/>
                      <w:color w:val="auto"/>
                      <w:highlight w:val="none"/>
                      <w:lang w:eastAsia="zh-CN"/>
                    </w:rPr>
                    <w:t>外形尺寸（</w:t>
                  </w:r>
                  <w:r>
                    <w:rPr>
                      <w:rFonts w:hint="eastAsia"/>
                      <w:color w:val="auto"/>
                      <w:highlight w:val="none"/>
                      <w:lang w:val="en-US" w:eastAsia="zh-CN"/>
                    </w:rPr>
                    <w:t>mm</w:t>
                  </w:r>
                  <w:r>
                    <w:rPr>
                      <w:rFonts w:hint="eastAsia"/>
                      <w:color w:val="auto"/>
                      <w:highlight w:val="none"/>
                      <w:lang w:eastAsia="zh-CN"/>
                    </w:rPr>
                    <w:t>）</w:t>
                  </w:r>
                </w:p>
              </w:tc>
              <w:tc>
                <w:tcPr>
                  <w:tcW w:w="1519"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auto"/>
                      <w:highlight w:val="none"/>
                      <w:vertAlign w:val="baseline"/>
                      <w:lang w:eastAsia="zh-CN" w:bidi="ar-SA"/>
                    </w:rPr>
                  </w:pPr>
                  <w:r>
                    <w:rPr>
                      <w:rStyle w:val="31"/>
                      <w:rFonts w:hint="eastAsia"/>
                      <w:color w:val="auto"/>
                      <w:highlight w:val="none"/>
                      <w:lang w:eastAsia="zh-CN"/>
                    </w:rPr>
                    <w:t>空桶重量（</w:t>
                  </w:r>
                  <w:r>
                    <w:rPr>
                      <w:rStyle w:val="31"/>
                      <w:rFonts w:hint="eastAsia"/>
                      <w:color w:val="auto"/>
                      <w:highlight w:val="none"/>
                      <w:lang w:val="en-US" w:eastAsia="zh-CN"/>
                    </w:rPr>
                    <w:t>kg</w:t>
                  </w:r>
                  <w:r>
                    <w:rPr>
                      <w:rFonts w:hint="eastAsia"/>
                      <w:color w:val="auto"/>
                      <w:highlight w:val="none"/>
                      <w:vertAlign w:val="baseline"/>
                      <w:lang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297" w:type="dxa"/>
                  <w:vMerge w:val="continue"/>
                  <w:tcBorders>
                    <w:tl2br w:val="nil"/>
                    <w:tr2bl w:val="nil"/>
                  </w:tcBorders>
                  <w:vAlign w:val="center"/>
                </w:tcPr>
                <w:p>
                  <w:pPr>
                    <w:pStyle w:val="25"/>
                    <w:bidi w:val="0"/>
                    <w:rPr>
                      <w:color w:val="auto"/>
                      <w:highlight w:val="none"/>
                    </w:rPr>
                  </w:pPr>
                </w:p>
              </w:tc>
              <w:tc>
                <w:tcPr>
                  <w:tcW w:w="2157" w:type="dxa"/>
                  <w:tcBorders>
                    <w:tl2br w:val="nil"/>
                    <w:tr2bl w:val="nil"/>
                  </w:tcBorders>
                  <w:vAlign w:val="center"/>
                </w:tcPr>
                <w:p>
                  <w:pPr>
                    <w:pStyle w:val="25"/>
                    <w:bidi w:val="0"/>
                    <w:rPr>
                      <w:rFonts w:hint="default"/>
                      <w:color w:val="auto"/>
                      <w:highlight w:val="none"/>
                      <w:lang w:val="en-US" w:eastAsia="zh-CN"/>
                    </w:rPr>
                  </w:pPr>
                  <w:r>
                    <w:rPr>
                      <w:rFonts w:hint="eastAsia"/>
                      <w:color w:val="auto"/>
                      <w:highlight w:val="none"/>
                      <w:lang w:val="en-US" w:eastAsia="zh-CN"/>
                    </w:rPr>
                    <w:t>高度</w:t>
                  </w:r>
                </w:p>
              </w:tc>
              <w:tc>
                <w:tcPr>
                  <w:tcW w:w="2165"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直径</w:t>
                  </w:r>
                </w:p>
              </w:tc>
              <w:tc>
                <w:tcPr>
                  <w:tcW w:w="1519"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olor w:val="auto"/>
                      <w:highlight w:val="none"/>
                      <w:vertAlign w:val="baseline"/>
                      <w:lang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297"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200L</w:t>
                  </w:r>
                </w:p>
              </w:tc>
              <w:tc>
                <w:tcPr>
                  <w:tcW w:w="2157" w:type="dxa"/>
                  <w:tcBorders>
                    <w:tl2br w:val="nil"/>
                    <w:tr2bl w:val="nil"/>
                  </w:tcBorders>
                  <w:shd w:val="clear" w:color="auto" w:fill="auto"/>
                  <w:vAlign w:val="center"/>
                </w:tcPr>
                <w:p>
                  <w:pPr>
                    <w:pStyle w:val="22"/>
                    <w:bidi w:val="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800</w:t>
                  </w:r>
                </w:p>
              </w:tc>
              <w:tc>
                <w:tcPr>
                  <w:tcW w:w="2165" w:type="dxa"/>
                  <w:tcBorders>
                    <w:tl2br w:val="nil"/>
                    <w:tr2bl w:val="nil"/>
                  </w:tcBorders>
                  <w:shd w:val="clear" w:color="auto" w:fill="auto"/>
                  <w:vAlign w:val="center"/>
                </w:tcPr>
                <w:p>
                  <w:pPr>
                    <w:pStyle w:val="22"/>
                    <w:bidi w:val="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1200</w:t>
                  </w:r>
                </w:p>
              </w:tc>
              <w:tc>
                <w:tcPr>
                  <w:tcW w:w="1519"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297"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18L</w:t>
                  </w:r>
                </w:p>
              </w:tc>
              <w:tc>
                <w:tcPr>
                  <w:tcW w:w="2157"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362</w:t>
                  </w:r>
                </w:p>
              </w:tc>
              <w:tc>
                <w:tcPr>
                  <w:tcW w:w="2165"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295</w:t>
                  </w:r>
                </w:p>
              </w:tc>
              <w:tc>
                <w:tcPr>
                  <w:tcW w:w="1519"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2</w:t>
                  </w:r>
                </w:p>
              </w:tc>
            </w:tr>
          </w:tbl>
          <w:p>
            <w:pPr>
              <w:pStyle w:val="23"/>
              <w:numPr>
                <w:ilvl w:val="0"/>
                <w:numId w:val="2"/>
              </w:numPr>
              <w:tabs>
                <w:tab w:val="clear" w:pos="0"/>
                <w:tab w:val="clear" w:pos="420"/>
              </w:tabs>
              <w:ind w:left="0" w:leftChars="0" w:firstLine="0" w:firstLineChars="0"/>
              <w:rPr>
                <w:rFonts w:hint="default"/>
                <w:color w:val="auto"/>
                <w:highlight w:val="none"/>
                <w:lang w:val="en-US" w:eastAsia="zh-CN"/>
              </w:rPr>
            </w:pPr>
            <w:r>
              <w:rPr>
                <w:rFonts w:hint="eastAsia"/>
                <w:color w:val="auto"/>
                <w:highlight w:val="none"/>
                <w:lang w:val="en-US" w:eastAsia="zh-CN"/>
              </w:rPr>
              <w:t xml:space="preserve">   二道沟公司涉及的废铅酸蓄电池规格</w:t>
            </w:r>
          </w:p>
          <w:tbl>
            <w:tblPr>
              <w:tblStyle w:val="16"/>
              <w:tblW w:w="817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10"/>
              <w:gridCol w:w="1428"/>
              <w:gridCol w:w="1430"/>
              <w:gridCol w:w="1482"/>
              <w:gridCol w:w="15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1" w:hRule="atLeast"/>
                <w:jc w:val="center"/>
              </w:trPr>
              <w:tc>
                <w:tcPr>
                  <w:tcW w:w="2310" w:type="dxa"/>
                  <w:vMerge w:val="restart"/>
                  <w:tcBorders>
                    <w:tl2br w:val="nil"/>
                    <w:tr2bl w:val="nil"/>
                  </w:tcBorders>
                  <w:vAlign w:val="center"/>
                </w:tcPr>
                <w:p>
                  <w:pPr>
                    <w:pStyle w:val="25"/>
                    <w:bidi w:val="0"/>
                    <w:rPr>
                      <w:color w:val="auto"/>
                      <w:highlight w:val="none"/>
                      <w:lang w:eastAsia="zh-CN"/>
                    </w:rPr>
                  </w:pPr>
                  <w:r>
                    <w:rPr>
                      <w:rFonts w:hint="eastAsia"/>
                      <w:color w:val="auto"/>
                      <w:highlight w:val="none"/>
                      <w:lang w:eastAsia="zh-CN"/>
                    </w:rPr>
                    <w:t>电池型号</w:t>
                  </w:r>
                </w:p>
              </w:tc>
              <w:tc>
                <w:tcPr>
                  <w:tcW w:w="4340" w:type="dxa"/>
                  <w:gridSpan w:val="3"/>
                  <w:tcBorders>
                    <w:tl2br w:val="nil"/>
                    <w:tr2bl w:val="nil"/>
                  </w:tcBorders>
                  <w:vAlign w:val="center"/>
                </w:tcPr>
                <w:p>
                  <w:pPr>
                    <w:pStyle w:val="25"/>
                    <w:bidi w:val="0"/>
                    <w:rPr>
                      <w:color w:val="auto"/>
                      <w:highlight w:val="none"/>
                      <w:lang w:eastAsia="zh-CN"/>
                    </w:rPr>
                  </w:pPr>
                  <w:r>
                    <w:rPr>
                      <w:rFonts w:hint="eastAsia"/>
                      <w:color w:val="auto"/>
                      <w:highlight w:val="none"/>
                      <w:lang w:eastAsia="zh-CN"/>
                    </w:rPr>
                    <w:t>外形尺寸（</w:t>
                  </w:r>
                  <w:r>
                    <w:rPr>
                      <w:rFonts w:hint="eastAsia"/>
                      <w:color w:val="auto"/>
                      <w:highlight w:val="none"/>
                      <w:lang w:val="en-US" w:eastAsia="zh-CN"/>
                    </w:rPr>
                    <w:t>mm</w:t>
                  </w:r>
                  <w:r>
                    <w:rPr>
                      <w:rFonts w:hint="eastAsia"/>
                      <w:color w:val="auto"/>
                      <w:highlight w:val="none"/>
                      <w:lang w:eastAsia="zh-CN"/>
                    </w:rPr>
                    <w:t>）</w:t>
                  </w:r>
                </w:p>
              </w:tc>
              <w:tc>
                <w:tcPr>
                  <w:tcW w:w="1528"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color w:val="auto"/>
                      <w:highlight w:val="none"/>
                      <w:vertAlign w:val="baseline"/>
                      <w:lang w:eastAsia="zh-CN" w:bidi="ar-SA"/>
                    </w:rPr>
                  </w:pPr>
                  <w:r>
                    <w:rPr>
                      <w:rStyle w:val="31"/>
                      <w:rFonts w:hint="eastAsia"/>
                      <w:color w:val="auto"/>
                      <w:highlight w:val="none"/>
                      <w:lang w:eastAsia="zh-CN"/>
                    </w:rPr>
                    <w:t>重量（</w:t>
                  </w:r>
                  <w:r>
                    <w:rPr>
                      <w:rStyle w:val="31"/>
                      <w:rFonts w:hint="eastAsia"/>
                      <w:color w:val="auto"/>
                      <w:highlight w:val="none"/>
                      <w:lang w:val="en-US" w:eastAsia="zh-CN"/>
                    </w:rPr>
                    <w:t>kg</w:t>
                  </w:r>
                  <w:r>
                    <w:rPr>
                      <w:rFonts w:hint="eastAsia"/>
                      <w:color w:val="auto"/>
                      <w:highlight w:val="none"/>
                      <w:vertAlign w:val="baseline"/>
                      <w:lang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310" w:type="dxa"/>
                  <w:vMerge w:val="continue"/>
                  <w:tcBorders>
                    <w:tl2br w:val="nil"/>
                    <w:tr2bl w:val="nil"/>
                  </w:tcBorders>
                  <w:vAlign w:val="center"/>
                </w:tcPr>
                <w:p>
                  <w:pPr>
                    <w:pStyle w:val="25"/>
                    <w:bidi w:val="0"/>
                    <w:rPr>
                      <w:color w:val="auto"/>
                      <w:highlight w:val="none"/>
                    </w:rPr>
                  </w:pPr>
                </w:p>
              </w:tc>
              <w:tc>
                <w:tcPr>
                  <w:tcW w:w="1428"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长</w:t>
                  </w:r>
                </w:p>
              </w:tc>
              <w:tc>
                <w:tcPr>
                  <w:tcW w:w="1430"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宽</w:t>
                  </w:r>
                </w:p>
              </w:tc>
              <w:tc>
                <w:tcPr>
                  <w:tcW w:w="1482"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高</w:t>
                  </w:r>
                </w:p>
              </w:tc>
              <w:tc>
                <w:tcPr>
                  <w:tcW w:w="1528"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color w:val="auto"/>
                      <w:highlight w:val="none"/>
                      <w:vertAlign w:val="baseline"/>
                      <w:lang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310"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DM330KT</w:t>
                  </w:r>
                </w:p>
              </w:tc>
              <w:tc>
                <w:tcPr>
                  <w:tcW w:w="1428"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380</w:t>
                  </w:r>
                </w:p>
              </w:tc>
              <w:tc>
                <w:tcPr>
                  <w:tcW w:w="1430"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140</w:t>
                  </w:r>
                </w:p>
              </w:tc>
              <w:tc>
                <w:tcPr>
                  <w:tcW w:w="1482"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180</w:t>
                  </w:r>
                </w:p>
              </w:tc>
              <w:tc>
                <w:tcPr>
                  <w:tcW w:w="1528"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22</w:t>
                  </w:r>
                </w:p>
              </w:tc>
            </w:tr>
          </w:tbl>
          <w:p>
            <w:pPr>
              <w:pStyle w:val="12"/>
              <w:numPr>
                <w:ilvl w:val="0"/>
                <w:numId w:val="0"/>
              </w:numPr>
              <w:ind w:firstLine="480" w:firstLineChars="200"/>
              <w:rPr>
                <w:rFonts w:hint="eastAsia"/>
                <w:color w:val="auto"/>
                <w:highlight w:val="none"/>
                <w:lang w:eastAsia="zh-CN"/>
              </w:rPr>
            </w:pPr>
            <w:r>
              <w:rPr>
                <w:rFonts w:hint="eastAsia" w:cs="Times New Roman"/>
                <w:color w:val="auto"/>
                <w:kern w:val="2"/>
                <w:sz w:val="24"/>
                <w:szCs w:val="22"/>
                <w:highlight w:val="none"/>
                <w:lang w:val="en-US" w:eastAsia="zh-CN" w:bidi="ar-SA"/>
              </w:rPr>
              <w:t>5.1厂</w:t>
            </w:r>
            <w:r>
              <w:rPr>
                <w:rFonts w:hint="eastAsia"/>
                <w:color w:val="auto"/>
                <w:highlight w:val="none"/>
                <w:lang w:eastAsia="zh-CN"/>
              </w:rPr>
              <w:t>内收集</w:t>
            </w:r>
          </w:p>
          <w:p>
            <w:pPr>
              <w:pStyle w:val="12"/>
              <w:ind w:firstLine="480"/>
              <w:rPr>
                <w:rFonts w:hint="eastAsia" w:eastAsia="宋体"/>
                <w:color w:val="auto"/>
                <w:highlight w:val="none"/>
                <w:lang w:eastAsia="zh-CN"/>
              </w:rPr>
            </w:pPr>
            <w:r>
              <w:rPr>
                <w:rFonts w:hint="eastAsia"/>
                <w:color w:val="auto"/>
                <w:highlight w:val="none"/>
                <w:lang w:eastAsia="zh-CN"/>
              </w:rPr>
              <w:t>本项目废润滑油装入铁桶内，加盖收集运输。废油桶和废油漆桶</w:t>
            </w:r>
            <w:r>
              <w:rPr>
                <w:rFonts w:hint="eastAsia"/>
                <w:color w:val="auto"/>
                <w:highlight w:val="none"/>
              </w:rPr>
              <w:t>放置于防腐防渗漏托盘</w:t>
            </w:r>
            <w:r>
              <w:rPr>
                <w:rFonts w:hint="eastAsia"/>
                <w:color w:val="auto"/>
                <w:highlight w:val="none"/>
                <w:lang w:eastAsia="zh-CN"/>
              </w:rPr>
              <w:t>上运输。</w:t>
            </w:r>
          </w:p>
          <w:p>
            <w:pPr>
              <w:pStyle w:val="12"/>
              <w:ind w:firstLine="480"/>
              <w:rPr>
                <w:rFonts w:hint="eastAsia" w:eastAsia="宋体"/>
                <w:color w:val="auto"/>
                <w:highlight w:val="none"/>
                <w:lang w:eastAsia="zh-CN"/>
              </w:rPr>
            </w:pPr>
            <w:r>
              <w:rPr>
                <w:rFonts w:hint="eastAsia"/>
                <w:color w:val="auto"/>
                <w:highlight w:val="none"/>
                <w:lang w:eastAsia="zh-CN"/>
              </w:rPr>
              <w:t>本项目废铅蓄电池</w:t>
            </w:r>
            <w:r>
              <w:rPr>
                <w:rFonts w:hint="eastAsia"/>
                <w:color w:val="auto"/>
                <w:highlight w:val="none"/>
              </w:rPr>
              <w:t>放入耐酸耐腐蚀箱</w:t>
            </w:r>
            <w:r>
              <w:rPr>
                <w:rFonts w:hint="eastAsia"/>
                <w:color w:val="auto"/>
                <w:highlight w:val="none"/>
                <w:lang w:eastAsia="zh-CN"/>
              </w:rPr>
              <w:t>内收集运输</w:t>
            </w:r>
            <w:r>
              <w:rPr>
                <w:rFonts w:hint="eastAsia"/>
                <w:color w:val="auto"/>
                <w:highlight w:val="none"/>
              </w:rPr>
              <w:t>，</w:t>
            </w:r>
            <w:r>
              <w:rPr>
                <w:rFonts w:hint="eastAsia"/>
                <w:color w:val="auto"/>
                <w:highlight w:val="none"/>
                <w:lang w:eastAsia="zh-CN"/>
              </w:rPr>
              <w:t>事故状态下遇破损的废铅蓄电池采用覆膜缠绕密封后置于耐酸耐腐蚀箱内，</w:t>
            </w:r>
            <w:r>
              <w:rPr>
                <w:rFonts w:hint="eastAsia"/>
                <w:color w:val="auto"/>
                <w:highlight w:val="none"/>
              </w:rPr>
              <w:t>耐酸耐腐蚀箱加盖密闭，并放置于防腐防渗漏托盘</w:t>
            </w:r>
            <w:r>
              <w:rPr>
                <w:rFonts w:hint="eastAsia"/>
                <w:color w:val="auto"/>
                <w:highlight w:val="none"/>
                <w:lang w:eastAsia="zh-CN"/>
              </w:rPr>
              <w:t>上</w:t>
            </w:r>
            <w:r>
              <w:rPr>
                <w:rFonts w:hint="eastAsia"/>
                <w:color w:val="auto"/>
                <w:highlight w:val="none"/>
              </w:rPr>
              <w:t>贮存，</w:t>
            </w:r>
            <w:r>
              <w:rPr>
                <w:rFonts w:hint="eastAsia"/>
                <w:color w:val="auto"/>
                <w:highlight w:val="none"/>
                <w:lang w:eastAsia="zh-CN"/>
              </w:rPr>
              <w:t>废电解液产生后收集至耐酸耐腐蚀箱内加盖密闭贮存。废劳保用品更换后收集贮存在</w:t>
            </w:r>
            <w:r>
              <w:rPr>
                <w:rFonts w:hint="eastAsia"/>
                <w:color w:val="auto"/>
                <w:highlight w:val="none"/>
              </w:rPr>
              <w:t>耐酸耐腐蚀箱</w:t>
            </w:r>
            <w:r>
              <w:rPr>
                <w:rFonts w:hint="eastAsia"/>
                <w:color w:val="auto"/>
                <w:highlight w:val="none"/>
                <w:lang w:eastAsia="zh-CN"/>
              </w:rPr>
              <w:t>内。</w:t>
            </w:r>
          </w:p>
          <w:p>
            <w:pPr>
              <w:pStyle w:val="12"/>
              <w:ind w:firstLine="480"/>
              <w:rPr>
                <w:rFonts w:hint="eastAsia" w:eastAsia="宋体"/>
                <w:color w:val="auto"/>
                <w:highlight w:val="none"/>
                <w:lang w:eastAsia="zh-CN"/>
              </w:rPr>
            </w:pPr>
            <w:r>
              <w:rPr>
                <w:rFonts w:hint="eastAsia"/>
                <w:color w:val="auto"/>
                <w:highlight w:val="none"/>
                <w:lang w:eastAsia="zh-CN"/>
              </w:rPr>
              <w:t>危险废物收集过程应满足《危险废物贮存污染控制标准》（GB18597-2023）等相关要求。</w:t>
            </w:r>
          </w:p>
          <w:p>
            <w:pPr>
              <w:pStyle w:val="12"/>
              <w:ind w:firstLine="480"/>
              <w:rPr>
                <w:rFonts w:hint="default" w:eastAsia="宋体"/>
                <w:color w:val="auto"/>
                <w:highlight w:val="none"/>
                <w:lang w:val="en-US" w:eastAsia="zh-CN"/>
              </w:rPr>
            </w:pPr>
            <w:r>
              <w:rPr>
                <w:rFonts w:hint="eastAsia"/>
                <w:color w:val="auto"/>
                <w:highlight w:val="none"/>
                <w:lang w:val="en-US" w:eastAsia="zh-CN"/>
              </w:rPr>
              <w:t>5.2厂内运输</w:t>
            </w:r>
          </w:p>
          <w:p>
            <w:pPr>
              <w:pStyle w:val="12"/>
              <w:ind w:firstLine="480"/>
              <w:rPr>
                <w:rFonts w:hint="eastAsia"/>
                <w:color w:val="auto"/>
                <w:highlight w:val="none"/>
              </w:rPr>
            </w:pPr>
            <w:r>
              <w:rPr>
                <w:rFonts w:hint="eastAsia"/>
                <w:color w:val="auto"/>
                <w:highlight w:val="none"/>
              </w:rPr>
              <w:t>本项目危险废物分别经收集后，由</w:t>
            </w:r>
            <w:r>
              <w:rPr>
                <w:rFonts w:hint="eastAsia"/>
                <w:color w:val="auto"/>
                <w:highlight w:val="none"/>
                <w:lang w:eastAsia="zh-CN"/>
              </w:rPr>
              <w:t>厂</w:t>
            </w:r>
            <w:r>
              <w:rPr>
                <w:rFonts w:hint="eastAsia"/>
                <w:color w:val="auto"/>
                <w:highlight w:val="none"/>
              </w:rPr>
              <w:t>内汽车运输至本项目</w:t>
            </w:r>
            <w:r>
              <w:rPr>
                <w:rFonts w:hint="eastAsia"/>
                <w:color w:val="auto"/>
                <w:highlight w:val="none"/>
                <w:lang w:eastAsia="zh-CN"/>
              </w:rPr>
              <w:t>危险废物贮存点</w:t>
            </w:r>
            <w:r>
              <w:rPr>
                <w:rFonts w:hint="eastAsia"/>
                <w:color w:val="auto"/>
                <w:highlight w:val="none"/>
              </w:rPr>
              <w:t>，运输过程中使用封闭铁桶、硬质PVC耐酸耐腐蚀箱等包装承装，保证运输过程中无跑、</w:t>
            </w:r>
            <w:r>
              <w:rPr>
                <w:rFonts w:hint="eastAsia"/>
                <w:color w:val="auto"/>
                <w:highlight w:val="none"/>
                <w:lang w:eastAsia="zh-CN"/>
              </w:rPr>
              <w:t>冒</w:t>
            </w:r>
            <w:r>
              <w:rPr>
                <w:rFonts w:hint="eastAsia"/>
                <w:color w:val="auto"/>
                <w:highlight w:val="none"/>
              </w:rPr>
              <w:t>、滴、漏等现象发生；运输、搬运过程采用专人专车并做到轻拿轻放，保证危废不倾斜翻出。危险废物厂内运输过程应满足《危险废物收集、贮存、运输技术规范》（HJ2025-2012）等相关要求。</w:t>
            </w:r>
          </w:p>
          <w:p>
            <w:pPr>
              <w:pStyle w:val="12"/>
              <w:ind w:firstLine="480"/>
              <w:rPr>
                <w:rFonts w:hint="eastAsia"/>
                <w:color w:val="auto"/>
                <w:highlight w:val="none"/>
              </w:rPr>
            </w:pPr>
            <w:r>
              <w:rPr>
                <w:rFonts w:hint="eastAsia"/>
                <w:color w:val="auto"/>
                <w:highlight w:val="none"/>
              </w:rPr>
              <w:t>本项目运输路线主要为生产作业区运至</w:t>
            </w:r>
            <w:r>
              <w:rPr>
                <w:rFonts w:hint="eastAsia"/>
                <w:color w:val="auto"/>
                <w:highlight w:val="none"/>
                <w:lang w:eastAsia="zh-CN"/>
              </w:rPr>
              <w:t>危险废物贮存点</w:t>
            </w:r>
            <w:r>
              <w:rPr>
                <w:rFonts w:hint="eastAsia"/>
                <w:color w:val="auto"/>
                <w:highlight w:val="none"/>
              </w:rPr>
              <w:t>。</w:t>
            </w:r>
            <w:r>
              <w:rPr>
                <w:rFonts w:hint="eastAsia"/>
                <w:color w:val="auto"/>
                <w:highlight w:val="none"/>
                <w:lang w:eastAsia="zh-CN"/>
              </w:rPr>
              <w:t>废润滑油</w:t>
            </w:r>
            <w:r>
              <w:rPr>
                <w:rFonts w:hint="eastAsia"/>
                <w:color w:val="auto"/>
                <w:highlight w:val="none"/>
              </w:rPr>
              <w:t>为</w:t>
            </w:r>
            <w:r>
              <w:rPr>
                <w:rFonts w:hint="eastAsia"/>
                <w:color w:val="auto"/>
                <w:highlight w:val="none"/>
                <w:lang w:eastAsia="zh-CN"/>
              </w:rPr>
              <w:t>设备维修过程中产生</w:t>
            </w:r>
            <w:r>
              <w:rPr>
                <w:rFonts w:hint="eastAsia"/>
                <w:color w:val="auto"/>
                <w:highlight w:val="none"/>
              </w:rPr>
              <w:t>，要求在</w:t>
            </w:r>
            <w:r>
              <w:rPr>
                <w:rFonts w:hint="eastAsia"/>
                <w:color w:val="auto"/>
                <w:highlight w:val="none"/>
                <w:lang w:eastAsia="zh-CN"/>
              </w:rPr>
              <w:t>生产</w:t>
            </w:r>
            <w:r>
              <w:rPr>
                <w:rFonts w:hint="eastAsia"/>
                <w:color w:val="auto"/>
                <w:highlight w:val="none"/>
              </w:rPr>
              <w:t>点进行密闭桶装收集，运输过程需要使用小型</w:t>
            </w:r>
            <w:r>
              <w:rPr>
                <w:rFonts w:hint="eastAsia"/>
                <w:color w:val="auto"/>
                <w:highlight w:val="none"/>
                <w:lang w:eastAsia="zh-CN"/>
              </w:rPr>
              <w:t>车辆</w:t>
            </w:r>
            <w:r>
              <w:rPr>
                <w:rFonts w:hint="eastAsia"/>
                <w:color w:val="auto"/>
                <w:highlight w:val="none"/>
              </w:rPr>
              <w:t>作为运输工具，运输过程中应严防废油撒漏</w:t>
            </w:r>
            <w:r>
              <w:rPr>
                <w:rFonts w:hint="eastAsia"/>
                <w:color w:val="auto"/>
                <w:highlight w:val="none"/>
                <w:lang w:eastAsia="zh-CN"/>
              </w:rPr>
              <w:t>，废油桶与废润滑油一同从危险废物贮存点收集运输至危险废物贮存点</w:t>
            </w:r>
            <w:r>
              <w:rPr>
                <w:rFonts w:hint="eastAsia"/>
                <w:color w:val="auto"/>
                <w:highlight w:val="none"/>
              </w:rPr>
              <w:t>；废铅酸蓄电池要求使用PVC硬质耐酸耐腐蚀箱密闭包装</w:t>
            </w:r>
            <w:r>
              <w:rPr>
                <w:rFonts w:hint="eastAsia"/>
                <w:color w:val="auto"/>
                <w:highlight w:val="none"/>
                <w:lang w:eastAsia="zh-CN"/>
              </w:rPr>
              <w:t>进行</w:t>
            </w:r>
            <w:r>
              <w:rPr>
                <w:rFonts w:hint="eastAsia"/>
                <w:color w:val="auto"/>
                <w:highlight w:val="none"/>
              </w:rPr>
              <w:t>运输，运输工具为小型</w:t>
            </w:r>
            <w:r>
              <w:rPr>
                <w:rFonts w:hint="eastAsia"/>
                <w:color w:val="auto"/>
                <w:highlight w:val="none"/>
                <w:lang w:eastAsia="zh-CN"/>
              </w:rPr>
              <w:t>车辆</w:t>
            </w:r>
            <w:r>
              <w:rPr>
                <w:rFonts w:hint="eastAsia"/>
                <w:color w:val="auto"/>
                <w:highlight w:val="none"/>
              </w:rPr>
              <w:t>。</w:t>
            </w:r>
            <w:r>
              <w:rPr>
                <w:rFonts w:hint="eastAsia"/>
                <w:color w:val="auto"/>
                <w:highlight w:val="none"/>
                <w:lang w:eastAsia="zh-CN"/>
              </w:rPr>
              <w:t>废油漆桶收集后</w:t>
            </w:r>
            <w:r>
              <w:rPr>
                <w:rFonts w:hint="eastAsia"/>
                <w:color w:val="auto"/>
                <w:highlight w:val="none"/>
              </w:rPr>
              <w:t>置于防腐防渗漏托盘</w:t>
            </w:r>
            <w:r>
              <w:rPr>
                <w:rFonts w:hint="eastAsia"/>
                <w:color w:val="auto"/>
                <w:highlight w:val="none"/>
                <w:lang w:eastAsia="zh-CN"/>
              </w:rPr>
              <w:t>上进行运输</w:t>
            </w:r>
            <w:r>
              <w:rPr>
                <w:rFonts w:hint="eastAsia"/>
                <w:color w:val="auto"/>
                <w:highlight w:val="none"/>
              </w:rPr>
              <w:t>，运输工具为小型</w:t>
            </w:r>
            <w:r>
              <w:rPr>
                <w:rFonts w:hint="eastAsia"/>
                <w:color w:val="auto"/>
                <w:highlight w:val="none"/>
                <w:lang w:eastAsia="zh-CN"/>
              </w:rPr>
              <w:t>车辆</w:t>
            </w:r>
            <w:r>
              <w:rPr>
                <w:rFonts w:hint="eastAsia"/>
                <w:color w:val="auto"/>
                <w:highlight w:val="none"/>
              </w:rPr>
              <w:t>。</w:t>
            </w:r>
            <w:r>
              <w:rPr>
                <w:rFonts w:hint="eastAsia"/>
                <w:color w:val="auto"/>
                <w:highlight w:val="none"/>
                <w:lang w:val="en-US" w:eastAsia="zh-CN"/>
              </w:rPr>
              <w:t>废电解液收集后运至危险废物贮存点内；废劳保用品在危险贮存点位置直接更换，贮存在危险废物贮存点内，无需转运。</w:t>
            </w:r>
          </w:p>
          <w:p>
            <w:pPr>
              <w:pStyle w:val="12"/>
              <w:ind w:firstLine="480"/>
              <w:rPr>
                <w:rFonts w:hint="eastAsia"/>
                <w:color w:val="auto"/>
                <w:highlight w:val="none"/>
              </w:rPr>
            </w:pPr>
            <w:r>
              <w:rPr>
                <w:rFonts w:hint="eastAsia"/>
                <w:color w:val="auto"/>
                <w:highlight w:val="none"/>
              </w:rPr>
              <w:t>危险废物内部转运综合考虑厂区的实际情况确定转运路线。作业采用专用的工具，危险废物内部转运填写危险废物厂内转运记录表；危险废物内部转运结束后，应对转运路线进行检查和清理，确保无危险废物遗失在转运路线上，并对转运工具进行清洁。</w:t>
            </w:r>
          </w:p>
          <w:p>
            <w:pPr>
              <w:pStyle w:val="12"/>
              <w:ind w:firstLine="480"/>
              <w:rPr>
                <w:rFonts w:hint="default" w:eastAsia="宋体"/>
                <w:color w:val="auto"/>
                <w:highlight w:val="none"/>
                <w:lang w:val="en-US" w:eastAsia="zh-CN"/>
              </w:rPr>
            </w:pPr>
            <w:r>
              <w:rPr>
                <w:rFonts w:hint="eastAsia"/>
                <w:color w:val="auto"/>
                <w:highlight w:val="none"/>
                <w:lang w:val="en-US" w:eastAsia="zh-CN"/>
              </w:rPr>
              <w:t>5.3厂内贮存</w:t>
            </w:r>
          </w:p>
          <w:p>
            <w:pPr>
              <w:pStyle w:val="12"/>
              <w:ind w:firstLine="480"/>
              <w:rPr>
                <w:rFonts w:hint="eastAsia" w:eastAsia="宋体"/>
                <w:color w:val="auto"/>
                <w:highlight w:val="none"/>
                <w:lang w:eastAsia="zh-CN"/>
              </w:rPr>
            </w:pPr>
            <w:r>
              <w:rPr>
                <w:rFonts w:hint="eastAsia"/>
                <w:color w:val="auto"/>
                <w:highlight w:val="none"/>
              </w:rPr>
              <w:t>本项目</w:t>
            </w:r>
            <w:r>
              <w:rPr>
                <w:rFonts w:hint="eastAsia"/>
                <w:color w:val="auto"/>
                <w:highlight w:val="none"/>
                <w:lang w:eastAsia="zh-CN"/>
              </w:rPr>
              <w:t>危险废物合理规划转运时间，贮存量接近临界量时，应及时联系转运单位，禁止超量贮存。</w:t>
            </w:r>
          </w:p>
          <w:p>
            <w:pPr>
              <w:pStyle w:val="12"/>
              <w:ind w:firstLine="480"/>
              <w:rPr>
                <w:rFonts w:hint="eastAsia"/>
                <w:color w:val="auto"/>
                <w:highlight w:val="none"/>
                <w:lang w:eastAsia="zh-CN"/>
              </w:rPr>
            </w:pPr>
            <w:r>
              <w:rPr>
                <w:rFonts w:hint="eastAsia"/>
                <w:color w:val="auto"/>
                <w:highlight w:val="none"/>
                <w:lang w:eastAsia="zh-CN"/>
              </w:rPr>
              <w:t>本项目贮存危险废物分为两部分，一部分为收集贮存危险废物：废润滑油、废油桶、废铅蓄电池、废油漆桶；另一部分为本项目收集贮存过程中产生的</w:t>
            </w:r>
            <w:r>
              <w:rPr>
                <w:rFonts w:hint="eastAsia"/>
                <w:color w:val="auto"/>
                <w:highlight w:val="none"/>
                <w:lang w:val="en-US" w:eastAsia="zh-CN"/>
              </w:rPr>
              <w:t>废电解液、废劳保用品</w:t>
            </w:r>
            <w:r>
              <w:rPr>
                <w:rFonts w:hint="eastAsia"/>
                <w:color w:val="auto"/>
                <w:highlight w:val="none"/>
                <w:lang w:eastAsia="zh-CN"/>
              </w:rPr>
              <w:t>等。</w:t>
            </w:r>
          </w:p>
          <w:p>
            <w:pPr>
              <w:pStyle w:val="12"/>
              <w:ind w:firstLine="480"/>
              <w:rPr>
                <w:rFonts w:hint="eastAsia"/>
                <w:color w:val="auto"/>
                <w:highlight w:val="none"/>
                <w:lang w:eastAsia="zh-CN"/>
              </w:rPr>
            </w:pPr>
            <w:r>
              <w:rPr>
                <w:rFonts w:hint="eastAsia"/>
                <w:color w:val="auto"/>
                <w:highlight w:val="none"/>
                <w:lang w:eastAsia="zh-CN"/>
              </w:rPr>
              <w:t>本项目废润滑油采用铁桶加盖贮存；废油桶、废油漆桶（加盖）直接贮存于危险废物贮存内；完整未破损铅蓄电池采用托盘进行贮存，遇破损的废铅蓄电池采用覆膜缠绕密封后置于耐酸耐腐蚀箱内，</w:t>
            </w:r>
            <w:bookmarkStart w:id="3" w:name="OLE_LINK3"/>
            <w:r>
              <w:rPr>
                <w:rFonts w:hint="eastAsia"/>
                <w:color w:val="auto"/>
                <w:highlight w:val="none"/>
                <w:lang w:eastAsia="zh-CN"/>
              </w:rPr>
              <w:t>耐酸耐腐蚀箱加盖密闭</w:t>
            </w:r>
            <w:bookmarkEnd w:id="3"/>
            <w:r>
              <w:rPr>
                <w:rFonts w:hint="eastAsia"/>
                <w:color w:val="auto"/>
                <w:highlight w:val="none"/>
                <w:lang w:eastAsia="zh-CN"/>
              </w:rPr>
              <w:t>，并放置于防腐防渗漏托盘上贮存；废电解液、废劳保用品收集至耐酸耐腐蚀箱内加盖贮存。</w:t>
            </w:r>
          </w:p>
          <w:p>
            <w:pPr>
              <w:pStyle w:val="12"/>
              <w:ind w:firstLine="480"/>
              <w:rPr>
                <w:rFonts w:hint="eastAsia"/>
                <w:color w:val="auto"/>
                <w:highlight w:val="none"/>
                <w:lang w:eastAsia="zh-CN"/>
              </w:rPr>
            </w:pPr>
            <w:r>
              <w:rPr>
                <w:rFonts w:hint="eastAsia"/>
                <w:color w:val="auto"/>
                <w:highlight w:val="none"/>
                <w:lang w:eastAsia="zh-CN"/>
              </w:rPr>
              <w:t>危险废物贮存单位建立危险废物贮存的台账及管理制度。</w:t>
            </w:r>
          </w:p>
          <w:p>
            <w:pPr>
              <w:pStyle w:val="12"/>
              <w:ind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废油桶贮存区：</w:t>
            </w:r>
            <w:r>
              <w:rPr>
                <w:rFonts w:hint="eastAsia"/>
                <w:color w:val="auto"/>
                <w:highlight w:val="none"/>
                <w:lang w:val="en-US" w:eastAsia="zh-CN"/>
              </w:rPr>
              <w:t>按照每只200L铁桶占地面积约0.26m</w:t>
            </w:r>
            <w:r>
              <w:rPr>
                <w:rFonts w:hint="eastAsia"/>
                <w:color w:val="auto"/>
                <w:highlight w:val="none"/>
                <w:vertAlign w:val="superscript"/>
                <w:lang w:val="en-US" w:eastAsia="zh-CN"/>
              </w:rPr>
              <w:t>2</w:t>
            </w:r>
            <w:r>
              <w:rPr>
                <w:rFonts w:hint="eastAsia"/>
                <w:color w:val="auto"/>
                <w:highlight w:val="none"/>
                <w:lang w:val="en-US" w:eastAsia="zh-CN"/>
              </w:rPr>
              <w:t>，单只油桶重量约为20kg，贮存40个废油桶，占地面积约为10.4m</w:t>
            </w:r>
            <w:r>
              <w:rPr>
                <w:rFonts w:hint="eastAsia"/>
                <w:color w:val="auto"/>
                <w:highlight w:val="none"/>
                <w:vertAlign w:val="superscript"/>
                <w:lang w:val="en-US" w:eastAsia="zh-CN"/>
              </w:rPr>
              <w:t>2</w:t>
            </w:r>
            <w:r>
              <w:rPr>
                <w:rFonts w:hint="eastAsia"/>
                <w:color w:val="auto"/>
                <w:highlight w:val="none"/>
                <w:lang w:val="en-US" w:eastAsia="zh-CN"/>
              </w:rPr>
              <w:t>，本项目设计</w:t>
            </w:r>
            <w:r>
              <w:rPr>
                <w:rFonts w:hint="eastAsia" w:ascii="Times New Roman" w:hAnsi="Times New Roman" w:eastAsia="宋体" w:cs="Times New Roman"/>
                <w:color w:val="auto"/>
                <w:highlight w:val="none"/>
                <w:lang w:eastAsia="zh-CN"/>
              </w:rPr>
              <w:t>废油桶贮存区面积约为</w:t>
            </w:r>
            <w:r>
              <w:rPr>
                <w:rFonts w:hint="eastAsia" w:cs="Times New Roman"/>
                <w:color w:val="auto"/>
                <w:highlight w:val="none"/>
                <w:lang w:val="en-US" w:eastAsia="zh-CN"/>
              </w:rPr>
              <w:t>17.4</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lang w:val="en-US" w:eastAsia="zh-CN"/>
              </w:rPr>
              <w:t>，满足</w:t>
            </w:r>
            <w:r>
              <w:rPr>
                <w:rFonts w:hint="eastAsia" w:ascii="Times New Roman" w:hAnsi="Times New Roman" w:eastAsia="宋体" w:cs="Times New Roman"/>
                <w:color w:val="auto"/>
                <w:highlight w:val="none"/>
                <w:lang w:eastAsia="zh-CN"/>
              </w:rPr>
              <w:t>废油桶贮存要求。</w:t>
            </w:r>
          </w:p>
          <w:p>
            <w:pPr>
              <w:pStyle w:val="1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废铅蓄电池贮存区：本项目废铅蓄电池主要为矿井设备电池检修产生的，年产生约为</w:t>
            </w:r>
            <w:r>
              <w:rPr>
                <w:rFonts w:hint="eastAsia" w:ascii="Times New Roman" w:hAnsi="Times New Roman" w:eastAsia="宋体" w:cs="Times New Roman"/>
                <w:color w:val="auto"/>
                <w:highlight w:val="none"/>
                <w:lang w:val="en-US" w:eastAsia="zh-CN"/>
              </w:rPr>
              <w:t>260个，单个铅蓄电池约为22kg，</w:t>
            </w:r>
            <w:r>
              <w:rPr>
                <w:rFonts w:hint="eastAsia" w:ascii="Times New Roman" w:hAnsi="Times New Roman" w:eastAsia="宋体" w:cs="Times New Roman"/>
                <w:color w:val="auto"/>
                <w:highlight w:val="none"/>
                <w:lang w:eastAsia="zh-CN"/>
              </w:rPr>
              <w:t>废铅蓄电池贮存区最多贮存</w:t>
            </w:r>
            <w:r>
              <w:rPr>
                <w:rFonts w:hint="eastAsia" w:ascii="Times New Roman" w:hAnsi="Times New Roman" w:eastAsia="宋体" w:cs="Times New Roman"/>
                <w:color w:val="auto"/>
                <w:highlight w:val="none"/>
                <w:lang w:val="en-US" w:eastAsia="zh-CN"/>
              </w:rPr>
              <w:t>45个，电池尺寸长380mm×宽140mm×高180mm，则贮存需要面积约为2.4m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lang w:val="en-US" w:eastAsia="zh-CN"/>
              </w:rPr>
              <w:t>，本项目设计</w:t>
            </w:r>
            <w:r>
              <w:rPr>
                <w:rFonts w:hint="eastAsia" w:ascii="Times New Roman" w:hAnsi="Times New Roman" w:eastAsia="宋体" w:cs="Times New Roman"/>
                <w:color w:val="auto"/>
                <w:highlight w:val="none"/>
                <w:lang w:eastAsia="zh-CN"/>
              </w:rPr>
              <w:t>废铅蓄电池贮存区面积约为</w:t>
            </w:r>
            <w:r>
              <w:rPr>
                <w:rFonts w:hint="eastAsia" w:cs="Times New Roman"/>
                <w:color w:val="auto"/>
                <w:highlight w:val="none"/>
                <w:lang w:val="en-US" w:eastAsia="zh-CN"/>
              </w:rPr>
              <w:t>8.7</w:t>
            </w:r>
            <w:r>
              <w:rPr>
                <w:rFonts w:hint="eastAsia" w:ascii="Times New Roman" w:hAnsi="Times New Roman" w:eastAsia="宋体" w:cs="Times New Roman"/>
                <w:color w:val="auto"/>
                <w:highlight w:val="none"/>
                <w:lang w:val="en-US" w:eastAsia="zh-CN"/>
              </w:rPr>
              <w:t>m</w:t>
            </w:r>
            <w:r>
              <w:rPr>
                <w:rFonts w:hint="eastAsia" w:ascii="Times New Roman" w:hAnsi="Times New Roman" w:eastAsia="宋体" w:cs="Times New Roman"/>
                <w:color w:val="auto"/>
                <w:highlight w:val="none"/>
                <w:vertAlign w:val="superscript"/>
                <w:lang w:val="en-US" w:eastAsia="zh-CN"/>
              </w:rPr>
              <w:t>2</w:t>
            </w:r>
            <w:r>
              <w:rPr>
                <w:rFonts w:hint="eastAsia"/>
                <w:color w:val="auto"/>
                <w:highlight w:val="none"/>
                <w:lang w:val="en-US" w:eastAsia="zh-CN"/>
              </w:rPr>
              <w:t>，则满足废铅蓄电池贮存要求。</w:t>
            </w:r>
          </w:p>
          <w:p>
            <w:pPr>
              <w:pStyle w:val="1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破损废铅蓄电池及废电解液贮存区：废铅蓄电池在收集贮存过程中，因碰撞等原因造成废铅蓄电池破损后，废铅蓄电池需采用塑料薄膜包装后，拟将其放入耐酸耐腐蚀箱，加盖密闭。废电解液收集后置于耐酸、耐腐蚀的带盖塑料(PE)箱内，置于破损电池储存区内，定期与破损废铅蓄电池一同委托进行处置</w:t>
            </w:r>
            <w:r>
              <w:rPr>
                <w:rFonts w:hint="eastAsia" w:cs="Times New Roman"/>
                <w:color w:val="auto"/>
                <w:highlight w:val="none"/>
                <w:lang w:eastAsia="zh-CN"/>
              </w:rPr>
              <w:t>，</w:t>
            </w:r>
            <w:r>
              <w:rPr>
                <w:rFonts w:hint="eastAsia" w:ascii="Times New Roman" w:hAnsi="Times New Roman" w:eastAsia="宋体" w:cs="Times New Roman"/>
                <w:color w:val="auto"/>
                <w:highlight w:val="none"/>
                <w:lang w:eastAsia="zh-CN"/>
              </w:rPr>
              <w:t>本项目预留破损废铅蓄电池及废电解液贮存区面积约为</w:t>
            </w:r>
            <w:r>
              <w:rPr>
                <w:rFonts w:hint="eastAsia" w:cs="Times New Roman"/>
                <w:color w:val="auto"/>
                <w:highlight w:val="none"/>
                <w:lang w:val="en-US" w:eastAsia="zh-CN"/>
              </w:rPr>
              <w:t>5.8</w:t>
            </w:r>
            <w:r>
              <w:rPr>
                <w:rFonts w:hint="eastAsia" w:ascii="Times New Roman" w:hAnsi="Times New Roman" w:eastAsia="宋体" w:cs="Times New Roman"/>
                <w:color w:val="auto"/>
                <w:highlight w:val="none"/>
                <w:lang w:val="en-US" w:eastAsia="zh-CN"/>
              </w:rPr>
              <w:t>m</w:t>
            </w:r>
            <w:r>
              <w:rPr>
                <w:rFonts w:hint="eastAsia" w:ascii="Times New Roman" w:hAnsi="Times New Roman" w:eastAsia="宋体" w:cs="Times New Roman"/>
                <w:color w:val="auto"/>
                <w:highlight w:val="none"/>
                <w:vertAlign w:val="superscript"/>
                <w:lang w:val="en-US" w:eastAsia="zh-CN"/>
              </w:rPr>
              <w:t>2</w:t>
            </w:r>
            <w:r>
              <w:rPr>
                <w:rFonts w:hint="eastAsia"/>
                <w:color w:val="auto"/>
                <w:highlight w:val="none"/>
                <w:lang w:val="en-US" w:eastAsia="zh-CN"/>
              </w:rPr>
              <w:t>，满足</w:t>
            </w:r>
            <w:r>
              <w:rPr>
                <w:rFonts w:hint="eastAsia" w:ascii="Times New Roman" w:hAnsi="Times New Roman" w:eastAsia="宋体" w:cs="Times New Roman"/>
                <w:color w:val="auto"/>
                <w:highlight w:val="none"/>
                <w:lang w:eastAsia="zh-CN"/>
              </w:rPr>
              <w:t>破损废铅蓄电池及废电解液贮存要求。</w:t>
            </w:r>
          </w:p>
          <w:p>
            <w:pPr>
              <w:pStyle w:val="12"/>
              <w:ind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废润滑油贮存区：</w:t>
            </w:r>
            <w:r>
              <w:rPr>
                <w:rFonts w:hint="eastAsia"/>
                <w:color w:val="auto"/>
                <w:highlight w:val="none"/>
                <w:lang w:val="en-US" w:eastAsia="zh-CN"/>
              </w:rPr>
              <w:t>本项目废润滑油最大贮存量为0.8t，拟采用铁桶密闭存放，按照每只200L铁桶占地面积约0.26m</w:t>
            </w:r>
            <w:r>
              <w:rPr>
                <w:rFonts w:hint="eastAsia"/>
                <w:color w:val="auto"/>
                <w:highlight w:val="none"/>
                <w:vertAlign w:val="superscript"/>
                <w:lang w:val="en-US" w:eastAsia="zh-CN"/>
              </w:rPr>
              <w:t>2</w:t>
            </w:r>
            <w:r>
              <w:rPr>
                <w:rFonts w:hint="eastAsia"/>
                <w:color w:val="auto"/>
                <w:highlight w:val="none"/>
                <w:lang w:val="en-US" w:eastAsia="zh-CN"/>
              </w:rPr>
              <w:t>，废润滑油密度约为895kg/m</w:t>
            </w:r>
            <w:r>
              <w:rPr>
                <w:rFonts w:hint="eastAsia"/>
                <w:color w:val="auto"/>
                <w:highlight w:val="none"/>
                <w:vertAlign w:val="superscript"/>
                <w:lang w:val="en-US" w:eastAsia="zh-CN"/>
              </w:rPr>
              <w:t>3</w:t>
            </w:r>
            <w:r>
              <w:rPr>
                <w:rFonts w:hint="eastAsia"/>
                <w:color w:val="auto"/>
                <w:highlight w:val="none"/>
                <w:lang w:val="en-US" w:eastAsia="zh-CN"/>
              </w:rPr>
              <w:t>，充装系数为0.85，则贮存期内需要约6只铁桶，按单层贮存考虑，则贮存废润滑油所需贮存面积约1.56m</w:t>
            </w:r>
            <w:r>
              <w:rPr>
                <w:rFonts w:hint="eastAsia"/>
                <w:color w:val="auto"/>
                <w:highlight w:val="none"/>
                <w:vertAlign w:val="superscript"/>
                <w:lang w:val="en-US" w:eastAsia="zh-CN"/>
              </w:rPr>
              <w:t>2</w:t>
            </w:r>
            <w:r>
              <w:rPr>
                <w:rFonts w:hint="eastAsia"/>
                <w:color w:val="auto"/>
                <w:highlight w:val="none"/>
                <w:lang w:val="en-US" w:eastAsia="zh-CN"/>
              </w:rPr>
              <w:t>。</w:t>
            </w:r>
            <w:r>
              <w:rPr>
                <w:rFonts w:hint="eastAsia" w:ascii="Times New Roman" w:hAnsi="Times New Roman" w:eastAsia="宋体" w:cs="Times New Roman"/>
                <w:color w:val="auto"/>
                <w:highlight w:val="none"/>
                <w:lang w:val="en-US" w:eastAsia="zh-CN"/>
              </w:rPr>
              <w:t>本项目设计</w:t>
            </w:r>
            <w:r>
              <w:rPr>
                <w:rFonts w:hint="eastAsia" w:ascii="Times New Roman" w:hAnsi="Times New Roman" w:eastAsia="宋体" w:cs="Times New Roman"/>
                <w:color w:val="auto"/>
                <w:highlight w:val="none"/>
                <w:lang w:eastAsia="zh-CN"/>
              </w:rPr>
              <w:t>废润滑油贮存区面积约为</w:t>
            </w:r>
            <w:r>
              <w:rPr>
                <w:rFonts w:hint="eastAsia" w:cs="Times New Roman"/>
                <w:color w:val="auto"/>
                <w:highlight w:val="none"/>
                <w:lang w:val="en-US" w:eastAsia="zh-CN"/>
              </w:rPr>
              <w:t>31.32</w:t>
            </w:r>
            <w:r>
              <w:rPr>
                <w:rFonts w:hint="eastAsia" w:ascii="Times New Roman" w:hAnsi="Times New Roman" w:eastAsia="宋体" w:cs="Times New Roman"/>
                <w:color w:val="auto"/>
                <w:highlight w:val="none"/>
                <w:lang w:val="en-US" w:eastAsia="zh-CN"/>
              </w:rPr>
              <w:t>m</w:t>
            </w:r>
            <w:r>
              <w:rPr>
                <w:rFonts w:hint="eastAsia" w:ascii="Times New Roman" w:hAnsi="Times New Roman" w:eastAsia="宋体" w:cs="Times New Roman"/>
                <w:color w:val="auto"/>
                <w:highlight w:val="none"/>
                <w:vertAlign w:val="superscript"/>
                <w:lang w:val="en-US" w:eastAsia="zh-CN"/>
              </w:rPr>
              <w:t>2</w:t>
            </w:r>
            <w:r>
              <w:rPr>
                <w:rFonts w:hint="eastAsia"/>
                <w:color w:val="auto"/>
                <w:highlight w:val="none"/>
                <w:lang w:val="en-US" w:eastAsia="zh-CN"/>
              </w:rPr>
              <w:t>，则满足废润滑油贮存要求。</w:t>
            </w:r>
          </w:p>
          <w:p>
            <w:pPr>
              <w:pStyle w:val="12"/>
              <w:ind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废油</w:t>
            </w:r>
            <w:r>
              <w:rPr>
                <w:rFonts w:hint="eastAsia" w:cs="Times New Roman"/>
                <w:color w:val="auto"/>
                <w:highlight w:val="none"/>
                <w:lang w:eastAsia="zh-CN"/>
              </w:rPr>
              <w:t>漆</w:t>
            </w:r>
            <w:r>
              <w:rPr>
                <w:rFonts w:hint="eastAsia" w:ascii="Times New Roman" w:hAnsi="Times New Roman" w:eastAsia="宋体" w:cs="Times New Roman"/>
                <w:color w:val="auto"/>
                <w:highlight w:val="none"/>
                <w:lang w:eastAsia="zh-CN"/>
              </w:rPr>
              <w:t>桶贮存区：</w:t>
            </w:r>
            <w:r>
              <w:rPr>
                <w:rFonts w:hint="eastAsia"/>
                <w:color w:val="auto"/>
                <w:highlight w:val="none"/>
                <w:lang w:val="en-US" w:eastAsia="zh-CN"/>
              </w:rPr>
              <w:t>按照每只油漆桶占地面积约0.03m</w:t>
            </w:r>
            <w:r>
              <w:rPr>
                <w:rFonts w:hint="eastAsia"/>
                <w:color w:val="auto"/>
                <w:highlight w:val="none"/>
                <w:vertAlign w:val="superscript"/>
                <w:lang w:val="en-US" w:eastAsia="zh-CN"/>
              </w:rPr>
              <w:t>2</w:t>
            </w:r>
            <w:r>
              <w:rPr>
                <w:rFonts w:hint="eastAsia"/>
                <w:color w:val="auto"/>
                <w:highlight w:val="none"/>
                <w:lang w:val="en-US" w:eastAsia="zh-CN"/>
              </w:rPr>
              <w:t>，单只油桶重量约为5kg，贮存20个</w:t>
            </w:r>
            <w:r>
              <w:rPr>
                <w:rFonts w:hint="eastAsia" w:ascii="Times New Roman" w:hAnsi="Times New Roman" w:eastAsia="宋体" w:cs="Times New Roman"/>
                <w:color w:val="auto"/>
                <w:highlight w:val="none"/>
                <w:lang w:eastAsia="zh-CN"/>
              </w:rPr>
              <w:t>废油</w:t>
            </w:r>
            <w:r>
              <w:rPr>
                <w:rFonts w:hint="eastAsia" w:cs="Times New Roman"/>
                <w:color w:val="auto"/>
                <w:highlight w:val="none"/>
                <w:lang w:eastAsia="zh-CN"/>
              </w:rPr>
              <w:t>漆</w:t>
            </w:r>
            <w:r>
              <w:rPr>
                <w:rFonts w:hint="eastAsia" w:ascii="Times New Roman" w:hAnsi="Times New Roman" w:eastAsia="宋体" w:cs="Times New Roman"/>
                <w:color w:val="auto"/>
                <w:highlight w:val="none"/>
                <w:lang w:eastAsia="zh-CN"/>
              </w:rPr>
              <w:t>桶</w:t>
            </w:r>
            <w:r>
              <w:rPr>
                <w:rFonts w:hint="eastAsia"/>
                <w:color w:val="auto"/>
                <w:highlight w:val="none"/>
                <w:lang w:val="en-US" w:eastAsia="zh-CN"/>
              </w:rPr>
              <w:t>，堆叠存放，占地面积约为0.3m</w:t>
            </w:r>
            <w:r>
              <w:rPr>
                <w:rFonts w:hint="eastAsia"/>
                <w:color w:val="auto"/>
                <w:highlight w:val="none"/>
                <w:vertAlign w:val="superscript"/>
                <w:lang w:val="en-US" w:eastAsia="zh-CN"/>
              </w:rPr>
              <w:t>2</w:t>
            </w:r>
            <w:r>
              <w:rPr>
                <w:rFonts w:hint="eastAsia"/>
                <w:color w:val="auto"/>
                <w:highlight w:val="none"/>
                <w:lang w:val="en-US" w:eastAsia="zh-CN"/>
              </w:rPr>
              <w:t>，本项目设计</w:t>
            </w:r>
            <w:r>
              <w:rPr>
                <w:rFonts w:hint="eastAsia" w:ascii="Times New Roman" w:hAnsi="Times New Roman" w:eastAsia="宋体" w:cs="Times New Roman"/>
                <w:color w:val="auto"/>
                <w:highlight w:val="none"/>
                <w:lang w:eastAsia="zh-CN"/>
              </w:rPr>
              <w:t>废油漆桶贮存区面积约为</w:t>
            </w:r>
            <w:r>
              <w:rPr>
                <w:rFonts w:hint="eastAsia" w:cs="Times New Roman"/>
                <w:color w:val="auto"/>
                <w:highlight w:val="none"/>
                <w:lang w:val="en-US" w:eastAsia="zh-CN"/>
              </w:rPr>
              <w:t>5.8</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lang w:val="en-US" w:eastAsia="zh-CN"/>
              </w:rPr>
              <w:t>，满足</w:t>
            </w:r>
            <w:r>
              <w:rPr>
                <w:rFonts w:hint="eastAsia" w:ascii="Times New Roman" w:hAnsi="Times New Roman" w:eastAsia="宋体" w:cs="Times New Roman"/>
                <w:color w:val="auto"/>
                <w:highlight w:val="none"/>
                <w:lang w:eastAsia="zh-CN"/>
              </w:rPr>
              <w:t>废油</w:t>
            </w:r>
            <w:r>
              <w:rPr>
                <w:rFonts w:hint="eastAsia" w:cs="Times New Roman"/>
                <w:color w:val="auto"/>
                <w:highlight w:val="none"/>
                <w:lang w:eastAsia="zh-CN"/>
              </w:rPr>
              <w:t>漆</w:t>
            </w:r>
            <w:r>
              <w:rPr>
                <w:rFonts w:hint="eastAsia" w:ascii="Times New Roman" w:hAnsi="Times New Roman" w:eastAsia="宋体" w:cs="Times New Roman"/>
                <w:color w:val="auto"/>
                <w:highlight w:val="none"/>
                <w:lang w:eastAsia="zh-CN"/>
              </w:rPr>
              <w:t>桶贮存要求。</w:t>
            </w:r>
          </w:p>
          <w:p>
            <w:pPr>
              <w:pStyle w:val="12"/>
              <w:ind w:firstLine="480"/>
              <w:rPr>
                <w:rFonts w:hint="default"/>
                <w:color w:val="auto"/>
                <w:highlight w:val="none"/>
                <w:lang w:val="en-US" w:eastAsia="zh-CN"/>
              </w:rPr>
            </w:pPr>
            <w:r>
              <w:rPr>
                <w:rFonts w:hint="eastAsia" w:cs="Times New Roman"/>
                <w:color w:val="auto"/>
                <w:highlight w:val="none"/>
                <w:lang w:eastAsia="zh-CN"/>
              </w:rPr>
              <w:t>废劳保用品</w:t>
            </w:r>
            <w:r>
              <w:rPr>
                <w:rFonts w:hint="eastAsia" w:ascii="Times New Roman" w:hAnsi="Times New Roman" w:eastAsia="宋体" w:cs="Times New Roman"/>
                <w:color w:val="auto"/>
                <w:highlight w:val="none"/>
                <w:lang w:eastAsia="zh-CN"/>
              </w:rPr>
              <w:t>贮存区：</w:t>
            </w:r>
            <w:r>
              <w:rPr>
                <w:rFonts w:hint="eastAsia" w:cs="Times New Roman"/>
                <w:color w:val="auto"/>
                <w:highlight w:val="none"/>
                <w:lang w:eastAsia="zh-CN"/>
              </w:rPr>
              <w:t>废劳保用品采用耐酸耐腐蚀箱承装，按照耐酸耐腐蚀箱占地面积</w:t>
            </w:r>
            <w:r>
              <w:rPr>
                <w:rFonts w:hint="eastAsia"/>
                <w:color w:val="auto"/>
                <w:highlight w:val="none"/>
                <w:lang w:val="en-US" w:eastAsia="zh-CN"/>
              </w:rPr>
              <w:t>约为0.12m</w:t>
            </w:r>
            <w:r>
              <w:rPr>
                <w:rFonts w:hint="eastAsia"/>
                <w:color w:val="auto"/>
                <w:highlight w:val="none"/>
                <w:vertAlign w:val="superscript"/>
                <w:lang w:val="en-US" w:eastAsia="zh-CN"/>
              </w:rPr>
              <w:t>2</w:t>
            </w:r>
            <w:r>
              <w:rPr>
                <w:rFonts w:hint="eastAsia"/>
                <w:color w:val="auto"/>
                <w:highlight w:val="none"/>
                <w:lang w:val="en-US" w:eastAsia="zh-CN"/>
              </w:rPr>
              <w:t>，本项目设计</w:t>
            </w:r>
            <w:r>
              <w:rPr>
                <w:rFonts w:hint="eastAsia" w:ascii="Times New Roman" w:hAnsi="Times New Roman" w:eastAsia="宋体" w:cs="Times New Roman"/>
                <w:color w:val="auto"/>
                <w:highlight w:val="none"/>
                <w:lang w:eastAsia="zh-CN"/>
              </w:rPr>
              <w:t>废油桶贮存区面积约为</w:t>
            </w:r>
            <w:r>
              <w:rPr>
                <w:rFonts w:hint="eastAsia" w:cs="Times New Roman"/>
                <w:color w:val="auto"/>
                <w:highlight w:val="none"/>
                <w:lang w:val="en-US" w:eastAsia="zh-CN"/>
              </w:rPr>
              <w:t>1</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lang w:val="en-US" w:eastAsia="zh-CN"/>
              </w:rPr>
              <w:t>，满足</w:t>
            </w:r>
            <w:r>
              <w:rPr>
                <w:rFonts w:hint="eastAsia" w:ascii="Times New Roman" w:hAnsi="Times New Roman" w:eastAsia="宋体" w:cs="Times New Roman"/>
                <w:color w:val="auto"/>
                <w:highlight w:val="none"/>
                <w:lang w:eastAsia="zh-CN"/>
              </w:rPr>
              <w:t>废劳保用品贮存要求。</w:t>
            </w:r>
          </w:p>
          <w:p>
            <w:pPr>
              <w:pStyle w:val="12"/>
              <w:ind w:firstLine="480"/>
              <w:rPr>
                <w:color w:val="auto"/>
                <w:highlight w:val="none"/>
              </w:rPr>
            </w:pPr>
            <w:r>
              <w:rPr>
                <w:rFonts w:hint="eastAsia"/>
                <w:color w:val="auto"/>
                <w:highlight w:val="none"/>
                <w:lang w:val="en-US" w:eastAsia="zh-CN"/>
              </w:rPr>
              <w:t>5.4</w:t>
            </w:r>
            <w:r>
              <w:rPr>
                <w:rFonts w:hint="eastAsia"/>
                <w:color w:val="auto"/>
                <w:highlight w:val="none"/>
              </w:rPr>
              <w:t>处置</w:t>
            </w:r>
          </w:p>
          <w:p>
            <w:pPr>
              <w:pStyle w:val="12"/>
              <w:ind w:firstLine="480"/>
              <w:rPr>
                <w:rFonts w:hint="eastAsia"/>
                <w:color w:val="auto"/>
                <w:highlight w:val="none"/>
                <w:lang w:eastAsia="zh-CN"/>
              </w:rPr>
            </w:pPr>
            <w:r>
              <w:rPr>
                <w:rFonts w:hint="eastAsia"/>
                <w:color w:val="auto"/>
                <w:highlight w:val="none"/>
              </w:rPr>
              <w:t>本项目</w:t>
            </w:r>
            <w:r>
              <w:rPr>
                <w:rFonts w:hint="eastAsia"/>
                <w:color w:val="auto"/>
                <w:highlight w:val="none"/>
                <w:lang w:eastAsia="zh-CN"/>
              </w:rPr>
              <w:t>危险废物处置委托有相关危废资质单位进行处置</w:t>
            </w:r>
            <w:r>
              <w:rPr>
                <w:rFonts w:hint="eastAsia"/>
                <w:color w:val="auto"/>
                <w:highlight w:val="none"/>
              </w:rPr>
              <w:t>。</w:t>
            </w:r>
            <w:r>
              <w:rPr>
                <w:rFonts w:hint="eastAsia"/>
                <w:color w:val="auto"/>
                <w:highlight w:val="none"/>
                <w:lang w:eastAsia="zh-CN"/>
              </w:rPr>
              <w:t>运输由处置单位进行负责。</w:t>
            </w:r>
          </w:p>
          <w:p>
            <w:pPr>
              <w:pStyle w:val="12"/>
              <w:ind w:firstLine="480"/>
              <w:rPr>
                <w:rFonts w:hint="eastAsia"/>
                <w:color w:val="auto"/>
                <w:highlight w:val="none"/>
              </w:rPr>
            </w:pPr>
            <w:r>
              <w:rPr>
                <w:rFonts w:hint="eastAsia"/>
                <w:color w:val="auto"/>
                <w:highlight w:val="none"/>
              </w:rPr>
              <w:t>项目转移</w:t>
            </w:r>
            <w:r>
              <w:rPr>
                <w:rFonts w:hint="eastAsia"/>
                <w:color w:val="auto"/>
                <w:highlight w:val="none"/>
                <w:lang w:eastAsia="zh-CN"/>
              </w:rPr>
              <w:t>危险废物</w:t>
            </w:r>
            <w:r>
              <w:rPr>
                <w:rFonts w:hint="eastAsia"/>
                <w:color w:val="auto"/>
                <w:highlight w:val="none"/>
              </w:rPr>
              <w:t>时</w:t>
            </w:r>
            <w:r>
              <w:rPr>
                <w:rFonts w:hint="eastAsia"/>
                <w:color w:val="auto"/>
                <w:highlight w:val="none"/>
                <w:lang w:eastAsia="zh-CN"/>
              </w:rPr>
              <w:t>，</w:t>
            </w:r>
            <w:r>
              <w:rPr>
                <w:rFonts w:hint="eastAsia"/>
                <w:color w:val="auto"/>
                <w:highlight w:val="none"/>
              </w:rPr>
              <w:t>应填写危险废物转移联单</w:t>
            </w:r>
            <w:r>
              <w:rPr>
                <w:rFonts w:hint="eastAsia"/>
                <w:color w:val="auto"/>
                <w:highlight w:val="none"/>
                <w:lang w:eastAsia="zh-CN"/>
              </w:rPr>
              <w:t>，</w:t>
            </w:r>
            <w:r>
              <w:rPr>
                <w:rFonts w:hint="eastAsia"/>
                <w:color w:val="auto"/>
                <w:highlight w:val="none"/>
              </w:rPr>
              <w:t>并根据《危险货物道路运输规则（系列）》（JT/T 617-2018）注明对应的危险货物联合国编号</w:t>
            </w:r>
            <w:r>
              <w:rPr>
                <w:rFonts w:hint="eastAsia"/>
                <w:color w:val="auto"/>
                <w:highlight w:val="none"/>
                <w:lang w:eastAsia="zh-CN"/>
              </w:rPr>
              <w:t>。</w:t>
            </w:r>
          </w:p>
          <w:p>
            <w:pPr>
              <w:pStyle w:val="12"/>
              <w:ind w:firstLine="480"/>
              <w:rPr>
                <w:color w:val="auto"/>
                <w:highlight w:val="none"/>
              </w:rPr>
            </w:pPr>
            <w:r>
              <w:rPr>
                <w:rFonts w:hint="eastAsia"/>
                <w:color w:val="auto"/>
                <w:highlight w:val="none"/>
              </w:rPr>
              <w:t>本项目危险废物管理台账可参照《危险废物管理计划和管理台账制定技术导则》（HJ 1259-2022）中附录B内容设置。保存时间原则上应存档5年以上。</w:t>
            </w:r>
          </w:p>
          <w:p>
            <w:pPr>
              <w:pStyle w:val="27"/>
              <w:ind w:firstLine="482"/>
              <w:rPr>
                <w:rFonts w:hint="eastAsia" w:eastAsia="宋体"/>
                <w:color w:val="auto"/>
                <w:highlight w:val="none"/>
                <w:lang w:eastAsia="zh-CN"/>
              </w:rPr>
            </w:pPr>
            <w:r>
              <w:rPr>
                <w:color w:val="auto"/>
                <w:highlight w:val="none"/>
              </w:rPr>
              <w:t>6</w:t>
            </w:r>
            <w:r>
              <w:rPr>
                <w:rFonts w:hint="eastAsia"/>
                <w:color w:val="auto"/>
                <w:highlight w:val="none"/>
                <w:lang w:eastAsia="zh-CN"/>
              </w:rPr>
              <w:t>理化性质</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 xml:space="preserve">  </w:t>
            </w:r>
            <w:r>
              <w:rPr>
                <w:rFonts w:hint="eastAsia"/>
                <w:color w:val="auto"/>
                <w:highlight w:val="none"/>
                <w:lang w:eastAsia="zh-CN"/>
              </w:rPr>
              <w:t>润滑油理化性质</w:t>
            </w:r>
          </w:p>
          <w:tbl>
            <w:tblPr>
              <w:tblStyle w:val="16"/>
              <w:tblW w:w="81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6"/>
              <w:gridCol w:w="1059"/>
              <w:gridCol w:w="2547"/>
              <w:gridCol w:w="1718"/>
              <w:gridCol w:w="19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886" w:type="dxa"/>
                  <w:tcBorders>
                    <w:tl2br w:val="nil"/>
                    <w:tr2bl w:val="nil"/>
                  </w:tcBorders>
                  <w:noWrap w:val="0"/>
                  <w:vAlign w:val="center"/>
                </w:tcPr>
                <w:p>
                  <w:pPr>
                    <w:pStyle w:val="21"/>
                    <w:bidi w:val="0"/>
                    <w:rPr>
                      <w:rFonts w:hint="eastAsia"/>
                      <w:color w:val="auto"/>
                      <w:highlight w:val="none"/>
                      <w:lang w:val="en-US" w:eastAsia="zh-CN"/>
                    </w:rPr>
                  </w:pPr>
                  <w:r>
                    <w:rPr>
                      <w:rFonts w:hint="eastAsia"/>
                      <w:color w:val="auto"/>
                      <w:highlight w:val="none"/>
                      <w:lang w:val="en-US" w:eastAsia="zh-CN"/>
                    </w:rPr>
                    <w:t>标识</w:t>
                  </w:r>
                </w:p>
              </w:tc>
              <w:tc>
                <w:tcPr>
                  <w:tcW w:w="7256" w:type="dxa"/>
                  <w:gridSpan w:val="4"/>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中文名：润滑油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886" w:type="dxa"/>
                  <w:vMerge w:val="restart"/>
                  <w:tcBorders>
                    <w:tl2br w:val="nil"/>
                    <w:tr2bl w:val="nil"/>
                  </w:tcBorders>
                  <w:noWrap w:val="0"/>
                  <w:vAlign w:val="center"/>
                </w:tcPr>
                <w:p>
                  <w:pPr>
                    <w:pStyle w:val="21"/>
                    <w:bidi w:val="0"/>
                    <w:rPr>
                      <w:rFonts w:hint="default"/>
                      <w:color w:val="auto"/>
                      <w:highlight w:val="none"/>
                    </w:rPr>
                  </w:pPr>
                  <w:r>
                    <w:rPr>
                      <w:rFonts w:hint="eastAsia"/>
                      <w:color w:val="auto"/>
                      <w:highlight w:val="none"/>
                      <w:lang w:val="en-US" w:eastAsia="zh-CN"/>
                    </w:rPr>
                    <w:t>燃烧爆炸危险</w:t>
                  </w:r>
                </w:p>
              </w:tc>
              <w:tc>
                <w:tcPr>
                  <w:tcW w:w="1059"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危险特性</w:t>
                  </w:r>
                </w:p>
              </w:tc>
              <w:tc>
                <w:tcPr>
                  <w:tcW w:w="2547"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遇明火高热可燃</w:t>
                  </w:r>
                </w:p>
              </w:tc>
              <w:tc>
                <w:tcPr>
                  <w:tcW w:w="1718"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燃烧分解物</w:t>
                  </w:r>
                </w:p>
              </w:tc>
              <w:tc>
                <w:tcPr>
                  <w:tcW w:w="1932"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CO，CO</w:t>
                  </w:r>
                  <w:r>
                    <w:rPr>
                      <w:rFonts w:hint="eastAsia"/>
                      <w:color w:val="auto"/>
                      <w:highlight w:val="none"/>
                      <w:vertAlign w:val="sub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886" w:type="dxa"/>
                  <w:vMerge w:val="continue"/>
                  <w:tcBorders>
                    <w:tl2br w:val="nil"/>
                    <w:tr2bl w:val="nil"/>
                  </w:tcBorders>
                  <w:noWrap w:val="0"/>
                  <w:vAlign w:val="center"/>
                </w:tcPr>
                <w:p>
                  <w:pPr>
                    <w:pStyle w:val="21"/>
                    <w:bidi w:val="0"/>
                    <w:rPr>
                      <w:rFonts w:hint="default"/>
                      <w:color w:val="auto"/>
                      <w:highlight w:val="none"/>
                    </w:rPr>
                  </w:pPr>
                </w:p>
              </w:tc>
              <w:tc>
                <w:tcPr>
                  <w:tcW w:w="1059"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稳定性</w:t>
                  </w:r>
                </w:p>
              </w:tc>
              <w:tc>
                <w:tcPr>
                  <w:tcW w:w="2547"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稳定</w:t>
                  </w:r>
                </w:p>
              </w:tc>
              <w:tc>
                <w:tcPr>
                  <w:tcW w:w="1718"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聚合危害</w:t>
                  </w:r>
                </w:p>
              </w:tc>
              <w:tc>
                <w:tcPr>
                  <w:tcW w:w="1932"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不聚合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886"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灭火方法</w:t>
                  </w:r>
                </w:p>
              </w:tc>
              <w:tc>
                <w:tcPr>
                  <w:tcW w:w="7256" w:type="dxa"/>
                  <w:gridSpan w:val="4"/>
                  <w:tcBorders>
                    <w:tl2br w:val="nil"/>
                    <w:tr2bl w:val="nil"/>
                  </w:tcBorders>
                  <w:noWrap w:val="0"/>
                  <w:vAlign w:val="center"/>
                </w:tcPr>
                <w:p>
                  <w:pPr>
                    <w:pStyle w:val="21"/>
                    <w:bidi w:val="0"/>
                    <w:jc w:val="both"/>
                    <w:rPr>
                      <w:rFonts w:hint="default"/>
                      <w:color w:val="auto"/>
                      <w:highlight w:val="none"/>
                      <w:lang w:val="en-US" w:eastAsia="zh-CN"/>
                    </w:rPr>
                  </w:pPr>
                  <w:r>
                    <w:rPr>
                      <w:rFonts w:hint="eastAsia"/>
                      <w:color w:val="auto"/>
                      <w:highlight w:val="none"/>
                      <w:lang w:val="en-US" w:eastAsia="zh-CN"/>
                    </w:rPr>
                    <w:t>消防人员必须佩戴防毒面具、穿全身消防服，在上风向灭火。尽可能将容器从火场移至空旷处。喷水保持火场容器冷却，直至灭火结束。处在火场中的容器若已变色或从安全泄压装置中产生声音，必须立即撤离。灭火剂：雾状水、泡沫、干粉、二氧化碳、砂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886"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健康危害</w:t>
                  </w:r>
                </w:p>
              </w:tc>
              <w:tc>
                <w:tcPr>
                  <w:tcW w:w="7256" w:type="dxa"/>
                  <w:gridSpan w:val="4"/>
                  <w:tcBorders>
                    <w:tl2br w:val="nil"/>
                    <w:tr2bl w:val="nil"/>
                  </w:tcBorders>
                  <w:noWrap w:val="0"/>
                  <w:vAlign w:val="center"/>
                </w:tcPr>
                <w:p>
                  <w:pPr>
                    <w:pStyle w:val="21"/>
                    <w:bidi w:val="0"/>
                    <w:jc w:val="both"/>
                    <w:rPr>
                      <w:rFonts w:hint="eastAsia"/>
                      <w:color w:val="auto"/>
                      <w:highlight w:val="none"/>
                      <w:lang w:val="en-US" w:eastAsia="zh-CN"/>
                    </w:rPr>
                  </w:pPr>
                  <w:r>
                    <w:rPr>
                      <w:rFonts w:hint="eastAsia"/>
                      <w:color w:val="auto"/>
                      <w:highlight w:val="none"/>
                      <w:lang w:val="en-US" w:eastAsia="zh-CN"/>
                    </w:rPr>
                    <w:t>侵入途径：吸入、食入</w:t>
                  </w:r>
                </w:p>
                <w:p>
                  <w:pPr>
                    <w:pStyle w:val="21"/>
                    <w:bidi w:val="0"/>
                    <w:jc w:val="both"/>
                    <w:rPr>
                      <w:rFonts w:hint="default"/>
                      <w:color w:val="auto"/>
                      <w:highlight w:val="none"/>
                      <w:lang w:val="en-US" w:eastAsia="zh-CN"/>
                    </w:rPr>
                  </w:pPr>
                  <w:r>
                    <w:rPr>
                      <w:rFonts w:hint="eastAsia"/>
                      <w:color w:val="auto"/>
                      <w:highlight w:val="none"/>
                      <w:lang w:val="en-US" w:eastAsia="zh-CN"/>
                    </w:rPr>
                    <w:t>急性吸入，可出现乏力、头晕、头痛、恶心，严重者可引起油脂性肺炎。慢接触者，暴露部位可发生油性痤疮和接触性皮炎。可引发神经衰弱综合症，呼吸道和眼刺激症状及慢性油脂性肺炎。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886"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急救措施</w:t>
                  </w:r>
                </w:p>
              </w:tc>
              <w:tc>
                <w:tcPr>
                  <w:tcW w:w="7256" w:type="dxa"/>
                  <w:gridSpan w:val="4"/>
                  <w:tcBorders>
                    <w:tl2br w:val="nil"/>
                    <w:tr2bl w:val="nil"/>
                  </w:tcBorders>
                  <w:noWrap w:val="0"/>
                  <w:vAlign w:val="center"/>
                </w:tcPr>
                <w:p>
                  <w:pPr>
                    <w:pStyle w:val="21"/>
                    <w:bidi w:val="0"/>
                    <w:jc w:val="both"/>
                    <w:rPr>
                      <w:rFonts w:hint="eastAsia"/>
                      <w:color w:val="auto"/>
                      <w:highlight w:val="none"/>
                      <w:lang w:val="en-US" w:eastAsia="zh-CN"/>
                    </w:rPr>
                  </w:pPr>
                  <w:r>
                    <w:rPr>
                      <w:rFonts w:hint="eastAsia"/>
                      <w:color w:val="auto"/>
                      <w:highlight w:val="none"/>
                      <w:lang w:val="en-US" w:eastAsia="zh-CN"/>
                    </w:rPr>
                    <w:t>皮肤接触：脱去污染的衣着，用大量流动清水清洗。就医。</w:t>
                  </w:r>
                </w:p>
                <w:p>
                  <w:pPr>
                    <w:pStyle w:val="21"/>
                    <w:bidi w:val="0"/>
                    <w:jc w:val="both"/>
                    <w:rPr>
                      <w:rFonts w:hint="eastAsia"/>
                      <w:color w:val="auto"/>
                      <w:highlight w:val="none"/>
                      <w:lang w:val="en-US" w:eastAsia="zh-CN"/>
                    </w:rPr>
                  </w:pPr>
                  <w:r>
                    <w:rPr>
                      <w:rFonts w:hint="eastAsia"/>
                      <w:color w:val="auto"/>
                      <w:highlight w:val="none"/>
                      <w:lang w:val="en-US" w:eastAsia="zh-CN"/>
                    </w:rPr>
                    <w:t>眼接触：提起眼睑，用流动清水或生理盐水冲洗。就医。</w:t>
                  </w:r>
                </w:p>
                <w:p>
                  <w:pPr>
                    <w:pStyle w:val="21"/>
                    <w:bidi w:val="0"/>
                    <w:jc w:val="both"/>
                    <w:rPr>
                      <w:rFonts w:hint="eastAsia"/>
                      <w:color w:val="auto"/>
                      <w:highlight w:val="none"/>
                      <w:lang w:val="en-US" w:eastAsia="zh-CN"/>
                    </w:rPr>
                  </w:pPr>
                  <w:r>
                    <w:rPr>
                      <w:rFonts w:hint="eastAsia"/>
                      <w:color w:val="auto"/>
                      <w:highlight w:val="none"/>
                      <w:lang w:val="en-US" w:eastAsia="zh-CN"/>
                    </w:rPr>
                    <w:t>吸入：迅速脱离现场至空气新鲜处，保持呼吸通畅。如呼吸困难，给输氧。如呼吸停止，立即进行人工呼吸。就医。</w:t>
                  </w:r>
                </w:p>
                <w:p>
                  <w:pPr>
                    <w:pStyle w:val="21"/>
                    <w:bidi w:val="0"/>
                    <w:jc w:val="both"/>
                    <w:rPr>
                      <w:rFonts w:hint="default"/>
                      <w:color w:val="auto"/>
                      <w:highlight w:val="none"/>
                      <w:lang w:val="en-US" w:eastAsia="zh-CN"/>
                    </w:rPr>
                  </w:pPr>
                  <w:r>
                    <w:rPr>
                      <w:rFonts w:hint="eastAsia"/>
                      <w:color w:val="auto"/>
                      <w:highlight w:val="none"/>
                      <w:lang w:val="en-US" w:eastAsia="zh-CN"/>
                    </w:rPr>
                    <w:t>食用：饮适量温水，催吐。就医。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886"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防护处理</w:t>
                  </w:r>
                </w:p>
              </w:tc>
              <w:tc>
                <w:tcPr>
                  <w:tcW w:w="7256" w:type="dxa"/>
                  <w:gridSpan w:val="4"/>
                  <w:tcBorders>
                    <w:tl2br w:val="nil"/>
                    <w:tr2bl w:val="nil"/>
                  </w:tcBorders>
                  <w:noWrap w:val="0"/>
                  <w:vAlign w:val="center"/>
                </w:tcPr>
                <w:p>
                  <w:pPr>
                    <w:pStyle w:val="21"/>
                    <w:bidi w:val="0"/>
                    <w:jc w:val="both"/>
                    <w:rPr>
                      <w:rFonts w:hint="eastAsia"/>
                      <w:color w:val="auto"/>
                      <w:highlight w:val="none"/>
                      <w:lang w:val="en-US" w:eastAsia="zh-CN"/>
                    </w:rPr>
                  </w:pPr>
                  <w:r>
                    <w:rPr>
                      <w:rFonts w:hint="eastAsia"/>
                      <w:color w:val="auto"/>
                      <w:highlight w:val="none"/>
                      <w:lang w:val="en-US" w:eastAsia="zh-CN"/>
                    </w:rPr>
                    <w:t>呼吸系统防护：空气中浓度超标时，必须佩戴自吸过滤式防毒面具（半面罩）；紧急事态抢救或撤离时，应佩戴空气呼吸器。</w:t>
                  </w:r>
                </w:p>
                <w:p>
                  <w:pPr>
                    <w:pStyle w:val="21"/>
                    <w:bidi w:val="0"/>
                    <w:jc w:val="both"/>
                    <w:rPr>
                      <w:rFonts w:hint="eastAsia"/>
                      <w:color w:val="auto"/>
                      <w:highlight w:val="none"/>
                      <w:lang w:val="en-US" w:eastAsia="zh-CN"/>
                    </w:rPr>
                  </w:pPr>
                  <w:r>
                    <w:rPr>
                      <w:rFonts w:hint="eastAsia"/>
                      <w:color w:val="auto"/>
                      <w:highlight w:val="none"/>
                      <w:lang w:val="en-US" w:eastAsia="zh-CN"/>
                    </w:rPr>
                    <w:t>眼睛防护：戴化学安全防护眼镜。</w:t>
                  </w:r>
                </w:p>
                <w:p>
                  <w:pPr>
                    <w:pStyle w:val="21"/>
                    <w:bidi w:val="0"/>
                    <w:jc w:val="both"/>
                    <w:rPr>
                      <w:rFonts w:hint="eastAsia"/>
                      <w:color w:val="auto"/>
                      <w:highlight w:val="none"/>
                      <w:lang w:val="en-US" w:eastAsia="zh-CN"/>
                    </w:rPr>
                  </w:pPr>
                  <w:r>
                    <w:rPr>
                      <w:rFonts w:hint="eastAsia"/>
                      <w:color w:val="auto"/>
                      <w:highlight w:val="none"/>
                      <w:lang w:val="en-US" w:eastAsia="zh-CN"/>
                    </w:rPr>
                    <w:t>身体防护：穿防毒渗透工作服。</w:t>
                  </w:r>
                </w:p>
                <w:p>
                  <w:pPr>
                    <w:pStyle w:val="21"/>
                    <w:bidi w:val="0"/>
                    <w:jc w:val="both"/>
                    <w:rPr>
                      <w:rFonts w:hint="eastAsia"/>
                      <w:color w:val="auto"/>
                      <w:highlight w:val="none"/>
                      <w:lang w:val="en-US" w:eastAsia="zh-CN"/>
                    </w:rPr>
                  </w:pPr>
                  <w:r>
                    <w:rPr>
                      <w:rFonts w:hint="eastAsia"/>
                      <w:color w:val="auto"/>
                      <w:highlight w:val="none"/>
                      <w:lang w:val="en-US" w:eastAsia="zh-CN"/>
                    </w:rPr>
                    <w:t>手防护：戴橡胶耐油手套。</w:t>
                  </w:r>
                </w:p>
                <w:p>
                  <w:pPr>
                    <w:pStyle w:val="21"/>
                    <w:bidi w:val="0"/>
                    <w:jc w:val="both"/>
                    <w:rPr>
                      <w:rFonts w:hint="default"/>
                      <w:color w:val="auto"/>
                      <w:highlight w:val="none"/>
                      <w:lang w:val="en-US" w:eastAsia="zh-CN"/>
                    </w:rPr>
                  </w:pPr>
                  <w:r>
                    <w:rPr>
                      <w:rFonts w:hint="eastAsia"/>
                      <w:color w:val="auto"/>
                      <w:highlight w:val="none"/>
                      <w:lang w:val="en-US" w:eastAsia="zh-CN"/>
                    </w:rPr>
                    <w:t>其他：工作现场严禁吸烟，避免长期反复接触。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886"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泄漏处理</w:t>
                  </w:r>
                </w:p>
              </w:tc>
              <w:tc>
                <w:tcPr>
                  <w:tcW w:w="7256" w:type="dxa"/>
                  <w:gridSpan w:val="4"/>
                  <w:tcBorders>
                    <w:tl2br w:val="nil"/>
                    <w:tr2bl w:val="nil"/>
                  </w:tcBorders>
                  <w:noWrap w:val="0"/>
                  <w:vAlign w:val="center"/>
                </w:tcPr>
                <w:p>
                  <w:pPr>
                    <w:pStyle w:val="21"/>
                    <w:bidi w:val="0"/>
                    <w:jc w:val="both"/>
                    <w:rPr>
                      <w:rFonts w:hint="default"/>
                      <w:color w:val="auto"/>
                      <w:highlight w:val="none"/>
                      <w:lang w:val="en-US" w:eastAsia="zh-CN"/>
                    </w:rPr>
                  </w:pPr>
                  <w:r>
                    <w:rPr>
                      <w:rFonts w:hint="eastAsia"/>
                      <w:color w:val="auto"/>
                      <w:highlight w:val="none"/>
                      <w:lang w:val="en-US" w:eastAsia="zh-CN"/>
                    </w:rPr>
                    <w:t>迅速撤离泄漏污染区人员至安全区，并进行隔离，严格限制出入。切断火源。建议应急处理人员戴自给正式呼吸器，穿防毒服。尽可能切断泄漏源。防止流入下水道、排洪沟等限制性空间。小量泄漏：用砂土或其他不燃材料吸附或吸收，减少挥发。大量泄漏：构筑围堤或挖坑收容。用泵转移至槽车或专用收集器内，回收或运至废物处理场所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886"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储存要求</w:t>
                  </w:r>
                </w:p>
              </w:tc>
              <w:tc>
                <w:tcPr>
                  <w:tcW w:w="7256" w:type="dxa"/>
                  <w:gridSpan w:val="4"/>
                  <w:tcBorders>
                    <w:tl2br w:val="nil"/>
                    <w:tr2bl w:val="nil"/>
                  </w:tcBorders>
                  <w:noWrap w:val="0"/>
                  <w:vAlign w:val="center"/>
                </w:tcPr>
                <w:p>
                  <w:pPr>
                    <w:pStyle w:val="21"/>
                    <w:bidi w:val="0"/>
                    <w:jc w:val="both"/>
                    <w:rPr>
                      <w:rFonts w:hint="default"/>
                      <w:color w:val="auto"/>
                      <w:highlight w:val="none"/>
                      <w:lang w:val="en-US" w:eastAsia="zh-CN"/>
                    </w:rPr>
                  </w:pPr>
                  <w:r>
                    <w:rPr>
                      <w:rFonts w:hint="eastAsia"/>
                      <w:color w:val="auto"/>
                      <w:highlight w:val="none"/>
                      <w:lang w:val="en-US" w:eastAsia="zh-CN"/>
                    </w:rPr>
                    <w:t>储存于阴凉、通风的库房。远离火种、热源。应与氧化剂分开存放，切忌混储。配备相应品种和数量的消防器材。储区应备有泄漏应急处理设备和合适的收容材料。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886" w:type="dxa"/>
                  <w:tcBorders>
                    <w:tl2br w:val="nil"/>
                    <w:tr2bl w:val="nil"/>
                  </w:tcBorders>
                  <w:noWrap w:val="0"/>
                  <w:vAlign w:val="center"/>
                </w:tcPr>
                <w:p>
                  <w:pPr>
                    <w:pStyle w:val="21"/>
                    <w:bidi w:val="0"/>
                    <w:rPr>
                      <w:rFonts w:hint="default"/>
                      <w:color w:val="auto"/>
                      <w:highlight w:val="none"/>
                      <w:lang w:val="en-US" w:eastAsia="zh-CN"/>
                    </w:rPr>
                  </w:pPr>
                  <w:r>
                    <w:rPr>
                      <w:rFonts w:hint="eastAsia"/>
                      <w:color w:val="auto"/>
                      <w:highlight w:val="none"/>
                      <w:lang w:val="en-US" w:eastAsia="zh-CN"/>
                    </w:rPr>
                    <w:t>运输要求</w:t>
                  </w:r>
                </w:p>
              </w:tc>
              <w:tc>
                <w:tcPr>
                  <w:tcW w:w="7256" w:type="dxa"/>
                  <w:gridSpan w:val="4"/>
                  <w:tcBorders>
                    <w:tl2br w:val="nil"/>
                    <w:tr2bl w:val="nil"/>
                  </w:tcBorders>
                  <w:noWrap w:val="0"/>
                  <w:vAlign w:val="center"/>
                </w:tcPr>
                <w:p>
                  <w:pPr>
                    <w:pStyle w:val="21"/>
                    <w:bidi w:val="0"/>
                    <w:jc w:val="both"/>
                    <w:rPr>
                      <w:rFonts w:hint="eastAsia"/>
                      <w:color w:val="auto"/>
                      <w:highlight w:val="none"/>
                      <w:lang w:val="en-US" w:eastAsia="zh-CN"/>
                    </w:rPr>
                  </w:pPr>
                  <w:r>
                    <w:rPr>
                      <w:rFonts w:hint="eastAsia"/>
                      <w:color w:val="auto"/>
                      <w:highlight w:val="none"/>
                      <w:lang w:val="en-US" w:eastAsia="zh-CN"/>
                    </w:rPr>
                    <w:t>用油罐、油罐车、油船、铁桶、塑料桶等盛装，盛装时切不可装满，要留出必要的安全空间。</w:t>
                  </w:r>
                </w:p>
                <w:p>
                  <w:pPr>
                    <w:pStyle w:val="21"/>
                    <w:bidi w:val="0"/>
                    <w:jc w:val="left"/>
                    <w:rPr>
                      <w:rFonts w:hint="default"/>
                      <w:color w:val="auto"/>
                      <w:highlight w:val="none"/>
                      <w:lang w:val="en-US" w:eastAsia="zh-CN"/>
                    </w:rPr>
                  </w:pPr>
                  <w:r>
                    <w:rPr>
                      <w:rFonts w:hint="eastAsia"/>
                      <w:color w:val="auto"/>
                      <w:highlight w:val="none"/>
                      <w:lang w:val="en-US" w:eastAsia="zh-CN"/>
                    </w:rPr>
                    <w:t>运输前先检查包装容器是否完整、密封，运输过程中要确保容器不泄漏、不倒塌、不坠落、不损坏。禁止与氧化剂、食用化学品等混装混运。运输车船必须彻底清洗、消毒，否则不得装运其他物品。船运时，配装位置应远离卧室、厨房，并与机舱、电源、火源等部位撤离。公路运输时要按照规定路线行驶。</w:t>
                  </w:r>
                </w:p>
              </w:tc>
            </w:tr>
          </w:tbl>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铅蓄电池组成部分</w:t>
            </w:r>
          </w:p>
          <w:tbl>
            <w:tblPr>
              <w:tblStyle w:val="16"/>
              <w:tblW w:w="81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5"/>
              <w:gridCol w:w="60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065" w:type="dxa"/>
                  <w:tcBorders>
                    <w:tl2br w:val="nil"/>
                    <w:tr2bl w:val="nil"/>
                  </w:tcBorders>
                  <w:vAlign w:val="center"/>
                </w:tcPr>
                <w:p>
                  <w:pPr>
                    <w:pStyle w:val="25"/>
                    <w:bidi w:val="0"/>
                    <w:rPr>
                      <w:color w:val="auto"/>
                      <w:highlight w:val="none"/>
                    </w:rPr>
                  </w:pPr>
                  <w:r>
                    <w:rPr>
                      <w:rFonts w:hint="eastAsia"/>
                      <w:color w:val="auto"/>
                      <w:highlight w:val="none"/>
                    </w:rPr>
                    <w:t>标识</w:t>
                  </w:r>
                </w:p>
              </w:tc>
              <w:tc>
                <w:tcPr>
                  <w:tcW w:w="6077" w:type="dxa"/>
                  <w:tcBorders>
                    <w:tl2br w:val="nil"/>
                    <w:tr2bl w:val="nil"/>
                  </w:tcBorders>
                  <w:vAlign w:val="center"/>
                </w:tcPr>
                <w:p>
                  <w:pPr>
                    <w:pStyle w:val="25"/>
                    <w:bidi w:val="0"/>
                    <w:rPr>
                      <w:color w:val="auto"/>
                      <w:highlight w:val="none"/>
                    </w:rPr>
                  </w:pPr>
                  <w:r>
                    <w:rPr>
                      <w:rFonts w:hint="eastAsia"/>
                      <w:color w:val="auto"/>
                      <w:highlight w:val="none"/>
                    </w:rPr>
                    <w:t>简述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065" w:type="dxa"/>
                  <w:tcBorders>
                    <w:tl2br w:val="nil"/>
                    <w:tr2bl w:val="nil"/>
                  </w:tcBorders>
                  <w:vAlign w:val="center"/>
                </w:tcPr>
                <w:p>
                  <w:pPr>
                    <w:pStyle w:val="22"/>
                    <w:rPr>
                      <w:color w:val="auto"/>
                      <w:highlight w:val="none"/>
                    </w:rPr>
                  </w:pPr>
                  <w:r>
                    <w:rPr>
                      <w:rFonts w:hint="eastAsia"/>
                      <w:color w:val="auto"/>
                      <w:highlight w:val="none"/>
                    </w:rPr>
                    <w:t>正极板</w:t>
                  </w:r>
                  <w:r>
                    <w:rPr>
                      <w:rFonts w:hint="eastAsia"/>
                      <w:color w:val="auto"/>
                      <w:highlight w:val="none"/>
                      <w:lang w:eastAsia="zh-CN"/>
                    </w:rPr>
                    <w:t>、</w:t>
                  </w:r>
                  <w:r>
                    <w:rPr>
                      <w:rFonts w:hint="eastAsia"/>
                      <w:color w:val="auto"/>
                      <w:highlight w:val="none"/>
                    </w:rPr>
                    <w:t>负极板</w:t>
                  </w:r>
                </w:p>
              </w:tc>
              <w:tc>
                <w:tcPr>
                  <w:tcW w:w="6077" w:type="dxa"/>
                  <w:tcBorders>
                    <w:tl2br w:val="nil"/>
                    <w:tr2bl w:val="nil"/>
                  </w:tcBorders>
                  <w:vAlign w:val="center"/>
                </w:tcPr>
                <w:p>
                  <w:pPr>
                    <w:pStyle w:val="22"/>
                    <w:rPr>
                      <w:color w:val="auto"/>
                      <w:highlight w:val="none"/>
                    </w:rPr>
                  </w:pPr>
                  <w:r>
                    <w:rPr>
                      <w:rFonts w:hint="eastAsia"/>
                      <w:color w:val="auto"/>
                      <w:highlight w:val="none"/>
                    </w:rPr>
                    <w:t>由板栅和活性物质构成</w:t>
                  </w:r>
                  <w:r>
                    <w:rPr>
                      <w:rFonts w:hint="eastAsia"/>
                      <w:color w:val="auto"/>
                      <w:highlight w:val="none"/>
                      <w:lang w:eastAsia="zh-CN"/>
                    </w:rPr>
                    <w:t>，</w:t>
                  </w:r>
                  <w:r>
                    <w:rPr>
                      <w:rFonts w:hint="eastAsia"/>
                      <w:color w:val="auto"/>
                      <w:highlight w:val="none"/>
                    </w:rPr>
                    <w:t>板栅材料一般为铅锑合金</w:t>
                  </w:r>
                  <w:r>
                    <w:rPr>
                      <w:rFonts w:hint="eastAsia"/>
                      <w:color w:val="auto"/>
                      <w:highlight w:val="none"/>
                      <w:lang w:eastAsia="zh-CN"/>
                    </w:rPr>
                    <w:t>，</w:t>
                  </w:r>
                  <w:r>
                    <w:rPr>
                      <w:rFonts w:hint="eastAsia"/>
                      <w:color w:val="auto"/>
                      <w:highlight w:val="none"/>
                    </w:rPr>
                    <w:t>免维护电池采用铅钙合金</w:t>
                  </w:r>
                  <w:r>
                    <w:rPr>
                      <w:rFonts w:hint="eastAsia"/>
                      <w:color w:val="auto"/>
                      <w:highlight w:val="none"/>
                      <w:lang w:eastAsia="zh-CN"/>
                    </w:rPr>
                    <w:t>，</w:t>
                  </w:r>
                  <w:r>
                    <w:rPr>
                      <w:rFonts w:hint="eastAsia"/>
                      <w:color w:val="auto"/>
                      <w:highlight w:val="none"/>
                    </w:rPr>
                    <w:t>正极活性物质主要成分为氧化铅</w:t>
                  </w:r>
                  <w:r>
                    <w:rPr>
                      <w:rFonts w:hint="eastAsia"/>
                      <w:color w:val="auto"/>
                      <w:highlight w:val="none"/>
                      <w:lang w:eastAsia="zh-CN"/>
                    </w:rPr>
                    <w:t>，</w:t>
                  </w:r>
                  <w:r>
                    <w:rPr>
                      <w:rFonts w:hint="eastAsia"/>
                      <w:color w:val="auto"/>
                      <w:highlight w:val="none"/>
                    </w:rPr>
                    <w:t>负极活性物质主要成分为绒状铅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065" w:type="dxa"/>
                  <w:tcBorders>
                    <w:tl2br w:val="nil"/>
                    <w:tr2bl w:val="nil"/>
                  </w:tcBorders>
                  <w:vAlign w:val="center"/>
                </w:tcPr>
                <w:p>
                  <w:pPr>
                    <w:pStyle w:val="22"/>
                    <w:rPr>
                      <w:color w:val="auto"/>
                      <w:highlight w:val="none"/>
                    </w:rPr>
                  </w:pPr>
                  <w:r>
                    <w:rPr>
                      <w:rFonts w:hint="eastAsia"/>
                      <w:color w:val="auto"/>
                      <w:highlight w:val="none"/>
                    </w:rPr>
                    <w:t>隔板</w:t>
                  </w:r>
                </w:p>
              </w:tc>
              <w:tc>
                <w:tcPr>
                  <w:tcW w:w="6077" w:type="dxa"/>
                  <w:tcBorders>
                    <w:tl2br w:val="nil"/>
                    <w:tr2bl w:val="nil"/>
                  </w:tcBorders>
                  <w:vAlign w:val="center"/>
                </w:tcPr>
                <w:p>
                  <w:pPr>
                    <w:pStyle w:val="22"/>
                    <w:rPr>
                      <w:color w:val="auto"/>
                      <w:highlight w:val="none"/>
                    </w:rPr>
                  </w:pPr>
                  <w:r>
                    <w:rPr>
                      <w:rFonts w:hint="eastAsia"/>
                      <w:color w:val="auto"/>
                      <w:highlight w:val="none"/>
                    </w:rPr>
                    <w:t>由微孔橡胶、颜料、玻璃纤维等材料制成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065" w:type="dxa"/>
                  <w:tcBorders>
                    <w:tl2br w:val="nil"/>
                    <w:tr2bl w:val="nil"/>
                  </w:tcBorders>
                  <w:vAlign w:val="center"/>
                </w:tcPr>
                <w:p>
                  <w:pPr>
                    <w:pStyle w:val="22"/>
                    <w:rPr>
                      <w:color w:val="auto"/>
                      <w:highlight w:val="none"/>
                    </w:rPr>
                  </w:pPr>
                  <w:r>
                    <w:rPr>
                      <w:rFonts w:hint="eastAsia"/>
                      <w:color w:val="auto"/>
                      <w:highlight w:val="none"/>
                    </w:rPr>
                    <w:t>电解液</w:t>
                  </w:r>
                </w:p>
              </w:tc>
              <w:tc>
                <w:tcPr>
                  <w:tcW w:w="6077"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rPr>
                    <w:t>由浓硫酸和纯水配制而成</w:t>
                  </w:r>
                  <w:r>
                    <w:rPr>
                      <w:rFonts w:hint="eastAsia"/>
                      <w:color w:val="auto"/>
                      <w:highlight w:val="none"/>
                      <w:lang w:eastAsia="zh-CN"/>
                    </w:rPr>
                    <w:t>，</w:t>
                  </w:r>
                  <w:r>
                    <w:rPr>
                      <w:rFonts w:hint="eastAsia"/>
                      <w:color w:val="auto"/>
                      <w:highlight w:val="none"/>
                    </w:rPr>
                    <w:t>一般硫酸浓度40%左右</w:t>
                  </w:r>
                  <w:r>
                    <w:rPr>
                      <w:rFonts w:hint="eastAsia"/>
                      <w:color w:val="auto"/>
                      <w:highlight w:val="none"/>
                      <w:lang w:eastAsia="zh-CN"/>
                    </w:rPr>
                    <w:t>，</w:t>
                  </w:r>
                  <w:r>
                    <w:rPr>
                      <w:rFonts w:hint="eastAsia"/>
                      <w:color w:val="auto"/>
                      <w:highlight w:val="none"/>
                    </w:rPr>
                    <w:t>电解液密度1.280±0.005g/cm</w:t>
                  </w:r>
                  <w:r>
                    <w:rPr>
                      <w:rFonts w:hint="eastAsia"/>
                      <w:color w:val="auto"/>
                      <w:highlight w:val="none"/>
                      <w:vertAlign w:val="superscript"/>
                    </w:rPr>
                    <w:t>3</w:t>
                  </w:r>
                  <w:r>
                    <w:rPr>
                      <w:rFonts w:hint="eastAsia"/>
                      <w:color w:val="auto"/>
                      <w:highlight w:val="none"/>
                      <w:vertAlign w:val="baseline"/>
                      <w:lang w:eastAsia="zh-CN"/>
                    </w:rPr>
                    <w:t>，根据铅酸蓄电池放电工作原理可知，由于废旧铅酸蓄电池中的铅基本转化成为不可逆硫酸盐化的硫酸铅，即使含有少量的二氧化铅也被严重腐蚀包裹在硫酸铅晶体中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065" w:type="dxa"/>
                  <w:tcBorders>
                    <w:tl2br w:val="nil"/>
                    <w:tr2bl w:val="nil"/>
                  </w:tcBorders>
                  <w:vAlign w:val="center"/>
                </w:tcPr>
                <w:p>
                  <w:pPr>
                    <w:pStyle w:val="22"/>
                    <w:rPr>
                      <w:color w:val="auto"/>
                      <w:highlight w:val="none"/>
                    </w:rPr>
                  </w:pPr>
                  <w:r>
                    <w:rPr>
                      <w:rFonts w:hint="eastAsia"/>
                      <w:color w:val="auto"/>
                      <w:highlight w:val="none"/>
                    </w:rPr>
                    <w:t>电池壳、盖</w:t>
                  </w:r>
                </w:p>
              </w:tc>
              <w:tc>
                <w:tcPr>
                  <w:tcW w:w="6077" w:type="dxa"/>
                  <w:tcBorders>
                    <w:tl2br w:val="nil"/>
                    <w:tr2bl w:val="nil"/>
                  </w:tcBorders>
                  <w:vAlign w:val="center"/>
                </w:tcPr>
                <w:p>
                  <w:pPr>
                    <w:pStyle w:val="22"/>
                    <w:rPr>
                      <w:color w:val="auto"/>
                      <w:highlight w:val="none"/>
                    </w:rPr>
                  </w:pPr>
                  <w:r>
                    <w:rPr>
                      <w:rFonts w:hint="eastAsia"/>
                      <w:color w:val="auto"/>
                      <w:highlight w:val="none"/>
                    </w:rPr>
                    <w:t>装正、负极板和电解液的容器</w:t>
                  </w:r>
                  <w:r>
                    <w:rPr>
                      <w:rFonts w:hint="eastAsia"/>
                      <w:color w:val="auto"/>
                      <w:highlight w:val="none"/>
                      <w:lang w:eastAsia="zh-CN"/>
                    </w:rPr>
                    <w:t>，</w:t>
                  </w:r>
                  <w:r>
                    <w:rPr>
                      <w:rFonts w:hint="eastAsia"/>
                      <w:color w:val="auto"/>
                      <w:highlight w:val="none"/>
                    </w:rPr>
                    <w:t>一般由塑料和橡胶材料制成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065" w:type="dxa"/>
                  <w:tcBorders>
                    <w:tl2br w:val="nil"/>
                    <w:tr2bl w:val="nil"/>
                  </w:tcBorders>
                  <w:vAlign w:val="center"/>
                </w:tcPr>
                <w:p>
                  <w:pPr>
                    <w:pStyle w:val="22"/>
                    <w:rPr>
                      <w:color w:val="auto"/>
                      <w:highlight w:val="none"/>
                    </w:rPr>
                  </w:pPr>
                  <w:r>
                    <w:rPr>
                      <w:rFonts w:hint="eastAsia"/>
                      <w:color w:val="auto"/>
                      <w:highlight w:val="none"/>
                    </w:rPr>
                    <w:t>排气栓</w:t>
                  </w:r>
                </w:p>
              </w:tc>
              <w:tc>
                <w:tcPr>
                  <w:tcW w:w="6077" w:type="dxa"/>
                  <w:tcBorders>
                    <w:tl2br w:val="nil"/>
                    <w:tr2bl w:val="nil"/>
                  </w:tcBorders>
                  <w:vAlign w:val="center"/>
                </w:tcPr>
                <w:p>
                  <w:pPr>
                    <w:pStyle w:val="22"/>
                    <w:rPr>
                      <w:color w:val="auto"/>
                      <w:highlight w:val="none"/>
                    </w:rPr>
                  </w:pPr>
                  <w:r>
                    <w:rPr>
                      <w:rFonts w:hint="eastAsia"/>
                      <w:color w:val="auto"/>
                      <w:highlight w:val="none"/>
                    </w:rPr>
                    <w:t>由塑料材料制成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065" w:type="dxa"/>
                  <w:tcBorders>
                    <w:tl2br w:val="nil"/>
                    <w:tr2bl w:val="nil"/>
                  </w:tcBorders>
                  <w:vAlign w:val="center"/>
                </w:tcPr>
                <w:p>
                  <w:pPr>
                    <w:pStyle w:val="22"/>
                    <w:rPr>
                      <w:color w:val="auto"/>
                      <w:highlight w:val="none"/>
                    </w:rPr>
                  </w:pPr>
                  <w:r>
                    <w:rPr>
                      <w:rFonts w:hint="eastAsia"/>
                      <w:color w:val="auto"/>
                      <w:highlight w:val="none"/>
                    </w:rPr>
                    <w:t>连条、极柱、接线端子</w:t>
                  </w:r>
                  <w:r>
                    <w:rPr>
                      <w:rFonts w:hint="eastAsia"/>
                      <w:color w:val="auto"/>
                      <w:highlight w:val="none"/>
                      <w:lang w:eastAsia="zh-CN"/>
                    </w:rPr>
                    <w:t>、胶冒</w:t>
                  </w:r>
                  <w:r>
                    <w:rPr>
                      <w:rFonts w:hint="eastAsia"/>
                      <w:color w:val="auto"/>
                      <w:highlight w:val="none"/>
                    </w:rPr>
                    <w:t>等零部件</w:t>
                  </w:r>
                </w:p>
              </w:tc>
              <w:tc>
                <w:tcPr>
                  <w:tcW w:w="6077" w:type="dxa"/>
                  <w:tcBorders>
                    <w:tl2br w:val="nil"/>
                    <w:tr2bl w:val="nil"/>
                  </w:tcBorders>
                  <w:vAlign w:val="center"/>
                </w:tcPr>
                <w:p>
                  <w:pPr>
                    <w:pStyle w:val="22"/>
                    <w:rPr>
                      <w:color w:val="auto"/>
                      <w:highlight w:val="none"/>
                    </w:rPr>
                  </w:pPr>
                  <w:r>
                    <w:rPr>
                      <w:rFonts w:hint="eastAsia"/>
                      <w:color w:val="auto"/>
                      <w:highlight w:val="none"/>
                    </w:rPr>
                    <w:t>/</w:t>
                  </w:r>
                </w:p>
              </w:tc>
            </w:tr>
          </w:tbl>
          <w:p>
            <w:pPr>
              <w:pStyle w:val="12"/>
              <w:ind w:firstLine="0" w:firstLineChars="0"/>
              <w:jc w:val="center"/>
              <w:rPr>
                <w:color w:val="auto"/>
                <w:highlight w:val="none"/>
              </w:rPr>
            </w:pPr>
            <w:r>
              <w:rPr>
                <w:color w:val="auto"/>
                <w:highlight w:val="none"/>
              </w:rPr>
              <w:drawing>
                <wp:inline distT="0" distB="0" distL="114300" distR="114300">
                  <wp:extent cx="5032375" cy="2407920"/>
                  <wp:effectExtent l="0" t="0" r="15875" b="1143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2"/>
                          <a:stretch>
                            <a:fillRect/>
                          </a:stretch>
                        </pic:blipFill>
                        <pic:spPr>
                          <a:xfrm>
                            <a:off x="0" y="0"/>
                            <a:ext cx="5032375" cy="2407920"/>
                          </a:xfrm>
                          <a:prstGeom prst="rect">
                            <a:avLst/>
                          </a:prstGeom>
                          <a:noFill/>
                          <a:ln>
                            <a:noFill/>
                          </a:ln>
                        </pic:spPr>
                      </pic:pic>
                    </a:graphicData>
                  </a:graphic>
                </wp:inline>
              </w:drawing>
            </w:r>
          </w:p>
          <w:p>
            <w:pPr>
              <w:pStyle w:val="23"/>
              <w:numPr>
                <w:ilvl w:val="1"/>
                <w:numId w:val="0"/>
              </w:numPr>
              <w:tabs>
                <w:tab w:val="clear" w:pos="420"/>
              </w:tabs>
              <w:ind w:left="840" w:leftChars="0" w:hanging="420" w:firstLineChars="0"/>
              <w:rPr>
                <w:rFonts w:hint="eastAsia"/>
                <w:color w:val="auto"/>
                <w:highlight w:val="none"/>
              </w:rPr>
            </w:pPr>
            <w:r>
              <w:rPr>
                <w:rFonts w:hint="eastAsia"/>
                <w:color w:val="auto"/>
                <w:highlight w:val="none"/>
                <w:lang w:eastAsia="zh-CN"/>
              </w:rPr>
              <w:t>图</w:t>
            </w:r>
            <w:r>
              <w:rPr>
                <w:rFonts w:hint="eastAsia"/>
                <w:color w:val="auto"/>
                <w:highlight w:val="none"/>
              </w:rPr>
              <w:t>1   铅蓄电池结构示意图</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 xml:space="preserve">  </w:t>
            </w:r>
            <w:r>
              <w:rPr>
                <w:rFonts w:hint="eastAsia"/>
                <w:color w:val="auto"/>
                <w:highlight w:val="none"/>
              </w:rPr>
              <w:t>铅蓄电池有毒有害物质主要理化性质及毒理性</w:t>
            </w:r>
          </w:p>
          <w:tbl>
            <w:tblPr>
              <w:tblStyle w:val="15"/>
              <w:tblW w:w="8142" w:type="dxa"/>
              <w:jc w:val="center"/>
              <w:tblInd w:w="0" w:type="dxa"/>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
            <w:tblGrid>
              <w:gridCol w:w="697"/>
              <w:gridCol w:w="912"/>
              <w:gridCol w:w="2532"/>
              <w:gridCol w:w="2286"/>
              <w:gridCol w:w="1715"/>
            </w:tblGrid>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trHeight w:val="23" w:hRule="atLeast"/>
                <w:jc w:val="center"/>
              </w:trPr>
              <w:tc>
                <w:tcPr>
                  <w:tcW w:w="697" w:type="dxa"/>
                  <w:tcBorders>
                    <w:top w:val="single" w:color="auto" w:sz="12" w:space="0"/>
                  </w:tcBorders>
                  <w:vAlign w:val="center"/>
                </w:tcPr>
                <w:p>
                  <w:pPr>
                    <w:topLinePunct/>
                    <w:jc w:val="center"/>
                    <w:rPr>
                      <w:b/>
                      <w:bCs/>
                      <w:color w:val="auto"/>
                      <w:sz w:val="21"/>
                      <w:highlight w:val="none"/>
                    </w:rPr>
                  </w:pPr>
                  <w:r>
                    <w:rPr>
                      <w:b/>
                      <w:bCs/>
                      <w:color w:val="auto"/>
                      <w:sz w:val="21"/>
                      <w:highlight w:val="none"/>
                    </w:rPr>
                    <w:t>名称</w:t>
                  </w:r>
                </w:p>
              </w:tc>
              <w:tc>
                <w:tcPr>
                  <w:tcW w:w="912" w:type="dxa"/>
                  <w:tcBorders>
                    <w:top w:val="single" w:color="auto" w:sz="12" w:space="0"/>
                  </w:tcBorders>
                  <w:vAlign w:val="center"/>
                </w:tcPr>
                <w:p>
                  <w:pPr>
                    <w:topLinePunct/>
                    <w:jc w:val="center"/>
                    <w:rPr>
                      <w:b/>
                      <w:bCs/>
                      <w:color w:val="auto"/>
                      <w:sz w:val="21"/>
                      <w:highlight w:val="none"/>
                    </w:rPr>
                  </w:pPr>
                  <w:r>
                    <w:rPr>
                      <w:b/>
                      <w:bCs/>
                      <w:color w:val="auto"/>
                      <w:sz w:val="21"/>
                      <w:highlight w:val="none"/>
                    </w:rPr>
                    <w:t>化学式</w:t>
                  </w:r>
                </w:p>
              </w:tc>
              <w:tc>
                <w:tcPr>
                  <w:tcW w:w="2532" w:type="dxa"/>
                  <w:tcBorders>
                    <w:top w:val="single" w:color="auto" w:sz="12" w:space="0"/>
                  </w:tcBorders>
                  <w:vAlign w:val="center"/>
                </w:tcPr>
                <w:p>
                  <w:pPr>
                    <w:topLinePunct/>
                    <w:jc w:val="center"/>
                    <w:rPr>
                      <w:b/>
                      <w:bCs/>
                      <w:color w:val="auto"/>
                      <w:sz w:val="21"/>
                      <w:highlight w:val="none"/>
                    </w:rPr>
                  </w:pPr>
                  <w:r>
                    <w:rPr>
                      <w:b/>
                      <w:bCs/>
                      <w:color w:val="auto"/>
                      <w:sz w:val="21"/>
                      <w:highlight w:val="none"/>
                    </w:rPr>
                    <w:t>理化性质</w:t>
                  </w:r>
                </w:p>
              </w:tc>
              <w:tc>
                <w:tcPr>
                  <w:tcW w:w="2286" w:type="dxa"/>
                  <w:tcBorders>
                    <w:top w:val="single" w:color="auto" w:sz="12" w:space="0"/>
                  </w:tcBorders>
                  <w:vAlign w:val="center"/>
                </w:tcPr>
                <w:p>
                  <w:pPr>
                    <w:topLinePunct/>
                    <w:jc w:val="center"/>
                    <w:rPr>
                      <w:b/>
                      <w:bCs/>
                      <w:color w:val="auto"/>
                      <w:sz w:val="21"/>
                      <w:highlight w:val="none"/>
                    </w:rPr>
                  </w:pPr>
                  <w:r>
                    <w:rPr>
                      <w:b/>
                      <w:bCs/>
                      <w:color w:val="auto"/>
                      <w:sz w:val="21"/>
                      <w:highlight w:val="none"/>
                    </w:rPr>
                    <w:t>毒理性质</w:t>
                  </w:r>
                </w:p>
              </w:tc>
              <w:tc>
                <w:tcPr>
                  <w:tcW w:w="1715" w:type="dxa"/>
                  <w:tcBorders>
                    <w:top w:val="single" w:color="auto" w:sz="12" w:space="0"/>
                  </w:tcBorders>
                  <w:vAlign w:val="center"/>
                </w:tcPr>
                <w:p>
                  <w:pPr>
                    <w:topLinePunct/>
                    <w:jc w:val="center"/>
                    <w:rPr>
                      <w:b/>
                      <w:bCs/>
                      <w:color w:val="auto"/>
                      <w:sz w:val="21"/>
                      <w:highlight w:val="none"/>
                    </w:rPr>
                  </w:pPr>
                  <w:r>
                    <w:rPr>
                      <w:b/>
                      <w:bCs/>
                      <w:color w:val="auto"/>
                      <w:sz w:val="21"/>
                      <w:highlight w:val="none"/>
                    </w:rPr>
                    <w:t>中毒症状</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trHeight w:val="23" w:hRule="atLeast"/>
                <w:jc w:val="center"/>
              </w:trPr>
              <w:tc>
                <w:tcPr>
                  <w:tcW w:w="697" w:type="dxa"/>
                  <w:vAlign w:val="center"/>
                </w:tcPr>
                <w:p>
                  <w:pPr>
                    <w:topLinePunct/>
                    <w:jc w:val="center"/>
                    <w:rPr>
                      <w:rFonts w:hint="eastAsia" w:eastAsia="宋体"/>
                      <w:color w:val="auto"/>
                      <w:sz w:val="21"/>
                      <w:highlight w:val="none"/>
                      <w:lang w:val="en-US" w:eastAsia="zh-CN"/>
                    </w:rPr>
                  </w:pPr>
                  <w:r>
                    <w:rPr>
                      <w:rFonts w:hint="eastAsia"/>
                      <w:color w:val="auto"/>
                      <w:sz w:val="21"/>
                      <w:highlight w:val="none"/>
                      <w:lang w:val="en-US" w:eastAsia="zh-CN"/>
                    </w:rPr>
                    <w:t>铅</w:t>
                  </w:r>
                </w:p>
              </w:tc>
              <w:tc>
                <w:tcPr>
                  <w:tcW w:w="912" w:type="dxa"/>
                  <w:vAlign w:val="center"/>
                </w:tcPr>
                <w:p>
                  <w:pPr>
                    <w:topLinePunct/>
                    <w:jc w:val="center"/>
                    <w:rPr>
                      <w:color w:val="auto"/>
                      <w:sz w:val="21"/>
                      <w:highlight w:val="none"/>
                    </w:rPr>
                  </w:pPr>
                  <w:r>
                    <w:rPr>
                      <w:rFonts w:hint="eastAsia"/>
                      <w:color w:val="auto"/>
                      <w:sz w:val="21"/>
                      <w:highlight w:val="none"/>
                      <w:lang w:val="en-US" w:eastAsia="zh-CN"/>
                    </w:rPr>
                    <w:t>Pb</w:t>
                  </w:r>
                </w:p>
              </w:tc>
              <w:tc>
                <w:tcPr>
                  <w:tcW w:w="2532" w:type="dxa"/>
                  <w:vAlign w:val="center"/>
                </w:tcPr>
                <w:p>
                  <w:pPr>
                    <w:topLinePunct/>
                    <w:jc w:val="center"/>
                    <w:rPr>
                      <w:color w:val="auto"/>
                      <w:sz w:val="21"/>
                      <w:highlight w:val="none"/>
                    </w:rPr>
                  </w:pPr>
                  <w:r>
                    <w:rPr>
                      <w:rFonts w:hint="eastAsia"/>
                      <w:color w:val="auto"/>
                      <w:sz w:val="21"/>
                      <w:highlight w:val="none"/>
                    </w:rPr>
                    <w:t>灰白色质软的粉末</w:t>
                  </w:r>
                  <w:r>
                    <w:rPr>
                      <w:rFonts w:hint="eastAsia"/>
                      <w:color w:val="auto"/>
                      <w:sz w:val="21"/>
                      <w:highlight w:val="none"/>
                      <w:lang w:eastAsia="zh-CN"/>
                    </w:rPr>
                    <w:t>，</w:t>
                  </w:r>
                  <w:r>
                    <w:rPr>
                      <w:rFonts w:hint="eastAsia"/>
                      <w:color w:val="auto"/>
                      <w:sz w:val="21"/>
                      <w:highlight w:val="none"/>
                    </w:rPr>
                    <w:t>切削面</w:t>
                  </w:r>
                  <w:r>
                    <w:rPr>
                      <w:rFonts w:hint="eastAsia"/>
                      <w:color w:val="auto"/>
                      <w:sz w:val="21"/>
                      <w:highlight w:val="none"/>
                      <w:lang w:val="en-US" w:eastAsia="zh-CN"/>
                    </w:rPr>
                    <w:t>有</w:t>
                  </w:r>
                  <w:r>
                    <w:rPr>
                      <w:rFonts w:hint="eastAsia"/>
                      <w:color w:val="auto"/>
                      <w:sz w:val="21"/>
                      <w:highlight w:val="none"/>
                    </w:rPr>
                    <w:t>光泽</w:t>
                  </w:r>
                  <w:r>
                    <w:rPr>
                      <w:rFonts w:hint="eastAsia"/>
                      <w:color w:val="auto"/>
                      <w:sz w:val="21"/>
                      <w:highlight w:val="none"/>
                      <w:lang w:eastAsia="zh-CN"/>
                    </w:rPr>
                    <w:t>，</w:t>
                  </w:r>
                  <w:r>
                    <w:rPr>
                      <w:rFonts w:hint="eastAsia"/>
                      <w:color w:val="auto"/>
                      <w:sz w:val="21"/>
                      <w:highlight w:val="none"/>
                    </w:rPr>
                    <w:t>延性弱展性强</w:t>
                  </w:r>
                  <w:r>
                    <w:rPr>
                      <w:rFonts w:hint="eastAsia"/>
                      <w:color w:val="auto"/>
                      <w:sz w:val="21"/>
                      <w:highlight w:val="none"/>
                      <w:lang w:eastAsia="zh-CN"/>
                    </w:rPr>
                    <w:t>；</w:t>
                  </w:r>
                  <w:r>
                    <w:rPr>
                      <w:rFonts w:hint="eastAsia"/>
                      <w:color w:val="auto"/>
                      <w:sz w:val="21"/>
                      <w:highlight w:val="none"/>
                    </w:rPr>
                    <w:t>熔点</w:t>
                  </w:r>
                  <w:r>
                    <w:rPr>
                      <w:rFonts w:hint="eastAsia"/>
                      <w:color w:val="auto"/>
                      <w:sz w:val="21"/>
                      <w:highlight w:val="none"/>
                      <w:lang w:eastAsia="zh-CN"/>
                    </w:rPr>
                    <w:t>；</w:t>
                  </w:r>
                  <w:r>
                    <w:rPr>
                      <w:rFonts w:hint="eastAsia"/>
                      <w:color w:val="auto"/>
                      <w:sz w:val="21"/>
                      <w:highlight w:val="none"/>
                    </w:rPr>
                    <w:t>327℃</w:t>
                  </w:r>
                  <w:r>
                    <w:rPr>
                      <w:rFonts w:hint="eastAsia"/>
                      <w:color w:val="auto"/>
                      <w:sz w:val="21"/>
                      <w:highlight w:val="none"/>
                      <w:lang w:eastAsia="zh-CN"/>
                    </w:rPr>
                    <w:t>；</w:t>
                  </w:r>
                  <w:r>
                    <w:rPr>
                      <w:rFonts w:hint="eastAsia"/>
                      <w:color w:val="auto"/>
                      <w:sz w:val="21"/>
                      <w:highlight w:val="none"/>
                    </w:rPr>
                    <w:t>沸点</w:t>
                  </w:r>
                  <w:r>
                    <w:rPr>
                      <w:rFonts w:hint="eastAsia"/>
                      <w:color w:val="auto"/>
                      <w:sz w:val="21"/>
                      <w:highlight w:val="none"/>
                      <w:lang w:eastAsia="zh-CN"/>
                    </w:rPr>
                    <w:t>；</w:t>
                  </w:r>
                  <w:r>
                    <w:rPr>
                      <w:rFonts w:hint="eastAsia"/>
                      <w:color w:val="auto"/>
                      <w:sz w:val="21"/>
                      <w:highlight w:val="none"/>
                    </w:rPr>
                    <w:t>1620℃</w:t>
                  </w:r>
                  <w:r>
                    <w:rPr>
                      <w:rFonts w:hint="eastAsia"/>
                      <w:color w:val="auto"/>
                      <w:sz w:val="21"/>
                      <w:highlight w:val="none"/>
                      <w:lang w:eastAsia="zh-CN"/>
                    </w:rPr>
                    <w:t>；</w:t>
                  </w:r>
                  <w:r>
                    <w:rPr>
                      <w:rFonts w:hint="eastAsia"/>
                      <w:color w:val="auto"/>
                      <w:sz w:val="21"/>
                      <w:highlight w:val="none"/>
                    </w:rPr>
                    <w:t>相对密度11.34。</w:t>
                  </w:r>
                </w:p>
              </w:tc>
              <w:tc>
                <w:tcPr>
                  <w:tcW w:w="2286" w:type="dxa"/>
                  <w:vAlign w:val="center"/>
                </w:tcPr>
                <w:p>
                  <w:pPr>
                    <w:topLinePunct/>
                    <w:jc w:val="center"/>
                    <w:rPr>
                      <w:color w:val="auto"/>
                      <w:sz w:val="21"/>
                      <w:highlight w:val="none"/>
                    </w:rPr>
                  </w:pPr>
                  <w:r>
                    <w:rPr>
                      <w:rFonts w:hint="eastAsia"/>
                      <w:color w:val="auto"/>
                      <w:sz w:val="21"/>
                      <w:highlight w:val="none"/>
                    </w:rPr>
                    <w:t>LD</w:t>
                  </w:r>
                  <w:r>
                    <w:rPr>
                      <w:rFonts w:hint="eastAsia"/>
                      <w:color w:val="auto"/>
                      <w:sz w:val="21"/>
                      <w:highlight w:val="none"/>
                      <w:vertAlign w:val="subscript"/>
                    </w:rPr>
                    <w:t>50</w:t>
                  </w:r>
                  <w:r>
                    <w:rPr>
                      <w:rFonts w:hint="eastAsia"/>
                      <w:color w:val="auto"/>
                      <w:sz w:val="21"/>
                      <w:highlight w:val="none"/>
                      <w:lang w:eastAsia="zh-CN"/>
                    </w:rPr>
                    <w:t>；</w:t>
                  </w:r>
                  <w:r>
                    <w:rPr>
                      <w:rFonts w:hint="eastAsia"/>
                      <w:color w:val="auto"/>
                      <w:sz w:val="21"/>
                      <w:highlight w:val="none"/>
                    </w:rPr>
                    <w:t>70mg/kg(大鼠经静脉)中等毒性损害造血、神经、消化系统及肾脏。短时接触大剂量可发生急性铅中毒</w:t>
                  </w:r>
                  <w:r>
                    <w:rPr>
                      <w:rFonts w:hint="eastAsia"/>
                      <w:color w:val="auto"/>
                      <w:sz w:val="21"/>
                      <w:highlight w:val="none"/>
                      <w:lang w:eastAsia="zh-CN"/>
                    </w:rPr>
                    <w:t>，</w:t>
                  </w:r>
                  <w:r>
                    <w:rPr>
                      <w:rFonts w:hint="eastAsia"/>
                      <w:color w:val="auto"/>
                      <w:sz w:val="21"/>
                      <w:highlight w:val="none"/>
                    </w:rPr>
                    <w:t>表现类似重症慢性铅中毒</w:t>
                  </w:r>
                </w:p>
              </w:tc>
              <w:tc>
                <w:tcPr>
                  <w:tcW w:w="1715" w:type="dxa"/>
                  <w:vMerge w:val="restart"/>
                  <w:vAlign w:val="center"/>
                </w:tcPr>
                <w:p>
                  <w:pPr>
                    <w:topLinePunct/>
                    <w:jc w:val="center"/>
                    <w:rPr>
                      <w:rFonts w:hint="eastAsia"/>
                      <w:color w:val="auto"/>
                      <w:sz w:val="21"/>
                      <w:highlight w:val="none"/>
                    </w:rPr>
                  </w:pPr>
                  <w:r>
                    <w:rPr>
                      <w:rFonts w:hint="default" w:ascii="Times New Roman" w:hAnsi="Times New Roman" w:eastAsia="宋体" w:cs="Times New Roman"/>
                      <w:color w:val="auto"/>
                      <w:kern w:val="2"/>
                      <w:sz w:val="21"/>
                      <w:szCs w:val="24"/>
                      <w:highlight w:val="none"/>
                      <w:lang w:val="en-US" w:eastAsia="zh-CN" w:bidi="ar-SA"/>
                    </w:rPr>
                    <w:t>铅及其化合物主要以粉尘、烟或蒸气形式经呼吸道进入人体</w:t>
                  </w:r>
                  <w:r>
                    <w:rPr>
                      <w:rFonts w:hint="eastAsia"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其次是经消化道。进入血液循环的铅与红细胞结合</w:t>
                  </w:r>
                  <w:r>
                    <w:rPr>
                      <w:rFonts w:hint="eastAsia"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血浆中的铅部分呈血浆蛋白结合铅；另一部分呈活性大的可溶性铅</w:t>
                  </w:r>
                  <w:r>
                    <w:rPr>
                      <w:rFonts w:hint="eastAsia" w:eastAsia="宋体"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轻度中毒：常有轻度神经衰弱综合征</w:t>
                  </w:r>
                  <w:r>
                    <w:rPr>
                      <w:rFonts w:hint="eastAsia"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可伴有腹胀、便秘等症状</w:t>
                  </w:r>
                  <w:r>
                    <w:rPr>
                      <w:rFonts w:hint="eastAsia" w:cs="Times New Roman"/>
                      <w:color w:val="auto"/>
                      <w:kern w:val="2"/>
                      <w:sz w:val="21"/>
                      <w:szCs w:val="24"/>
                      <w:highlight w:val="none"/>
                      <w:lang w:val="en-US" w:eastAsia="zh-CN" w:bidi="ar-SA"/>
                    </w:rPr>
                    <w:t>，</w:t>
                  </w:r>
                  <w:r>
                    <w:rPr>
                      <w:rFonts w:hint="default" w:ascii="Times New Roman" w:hAnsi="Times New Roman" w:eastAsia="宋体" w:cs="Times New Roman"/>
                      <w:color w:val="auto"/>
                      <w:kern w:val="2"/>
                      <w:sz w:val="21"/>
                      <w:szCs w:val="24"/>
                      <w:highlight w:val="none"/>
                      <w:lang w:val="en-US" w:eastAsia="zh-CN" w:bidi="ar-SA"/>
                    </w:rPr>
                    <w:t>尿铅或血铅量增高。中度中毒：腹绞痛；贫血；中毒性周围神经病。重度中毒：铅麻痹；铅脑病</w:t>
                  </w: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trHeight w:val="23" w:hRule="atLeast"/>
                <w:jc w:val="center"/>
              </w:trPr>
              <w:tc>
                <w:tcPr>
                  <w:tcW w:w="697" w:type="dxa"/>
                  <w:vAlign w:val="center"/>
                </w:tcPr>
                <w:p>
                  <w:pPr>
                    <w:topLinePunct/>
                    <w:jc w:val="center"/>
                    <w:rPr>
                      <w:rFonts w:hint="default" w:eastAsia="宋体"/>
                      <w:color w:val="auto"/>
                      <w:sz w:val="21"/>
                      <w:highlight w:val="none"/>
                      <w:lang w:val="en-US" w:eastAsia="zh-CN"/>
                    </w:rPr>
                  </w:pPr>
                  <w:r>
                    <w:rPr>
                      <w:rFonts w:hint="eastAsia"/>
                      <w:color w:val="auto"/>
                      <w:sz w:val="21"/>
                      <w:highlight w:val="none"/>
                      <w:lang w:val="en-US" w:eastAsia="zh-CN"/>
                    </w:rPr>
                    <w:t>二氧化铅</w:t>
                  </w:r>
                </w:p>
              </w:tc>
              <w:tc>
                <w:tcPr>
                  <w:tcW w:w="912" w:type="dxa"/>
                  <w:vAlign w:val="center"/>
                </w:tcPr>
                <w:p>
                  <w:pPr>
                    <w:topLinePunct/>
                    <w:jc w:val="center"/>
                    <w:rPr>
                      <w:rFonts w:hint="default"/>
                      <w:color w:val="auto"/>
                      <w:sz w:val="21"/>
                      <w:highlight w:val="none"/>
                      <w:lang w:val="en-US"/>
                    </w:rPr>
                  </w:pPr>
                  <w:r>
                    <w:rPr>
                      <w:rFonts w:hint="eastAsia"/>
                      <w:color w:val="auto"/>
                      <w:sz w:val="21"/>
                      <w:highlight w:val="none"/>
                      <w:lang w:val="en-US" w:eastAsia="zh-CN"/>
                    </w:rPr>
                    <w:t>PbO</w:t>
                  </w:r>
                  <w:r>
                    <w:rPr>
                      <w:rFonts w:hint="eastAsia"/>
                      <w:color w:val="auto"/>
                      <w:sz w:val="21"/>
                      <w:highlight w:val="none"/>
                      <w:vertAlign w:val="subscript"/>
                      <w:lang w:val="en-US" w:eastAsia="zh-CN"/>
                    </w:rPr>
                    <w:t>2</w:t>
                  </w:r>
                </w:p>
              </w:tc>
              <w:tc>
                <w:tcPr>
                  <w:tcW w:w="2532" w:type="dxa"/>
                  <w:vAlign w:val="center"/>
                </w:tcPr>
                <w:p>
                  <w:pPr>
                    <w:topLinePunct/>
                    <w:jc w:val="center"/>
                    <w:rPr>
                      <w:rFonts w:hint="eastAsia"/>
                      <w:color w:val="auto"/>
                      <w:sz w:val="21"/>
                      <w:highlight w:val="none"/>
                    </w:rPr>
                  </w:pPr>
                  <w:r>
                    <w:rPr>
                      <w:rFonts w:hint="eastAsia"/>
                      <w:color w:val="auto"/>
                      <w:sz w:val="21"/>
                      <w:highlight w:val="none"/>
                    </w:rPr>
                    <w:t>外观</w:t>
                  </w:r>
                  <w:r>
                    <w:rPr>
                      <w:rFonts w:hint="eastAsia"/>
                      <w:color w:val="auto"/>
                      <w:sz w:val="21"/>
                      <w:highlight w:val="none"/>
                      <w:lang w:eastAsia="zh-CN"/>
                    </w:rPr>
                    <w:t>：</w:t>
                  </w:r>
                  <w:r>
                    <w:rPr>
                      <w:rFonts w:hint="eastAsia"/>
                      <w:color w:val="auto"/>
                      <w:sz w:val="21"/>
                      <w:highlight w:val="none"/>
                    </w:rPr>
                    <w:t>棕褐色结晶或粉末</w:t>
                  </w:r>
                  <w:r>
                    <w:rPr>
                      <w:rFonts w:hint="eastAsia"/>
                      <w:color w:val="auto"/>
                      <w:sz w:val="21"/>
                      <w:highlight w:val="none"/>
                      <w:lang w:eastAsia="zh-CN"/>
                    </w:rPr>
                    <w:t>：</w:t>
                  </w:r>
                  <w:r>
                    <w:rPr>
                      <w:rFonts w:hint="eastAsia"/>
                      <w:color w:val="auto"/>
                      <w:sz w:val="21"/>
                      <w:highlight w:val="none"/>
                    </w:rPr>
                    <w:t>熔点</w:t>
                  </w:r>
                  <w:r>
                    <w:rPr>
                      <w:rFonts w:hint="eastAsia"/>
                      <w:color w:val="auto"/>
                      <w:sz w:val="21"/>
                      <w:highlight w:val="none"/>
                      <w:lang w:eastAsia="zh-CN"/>
                    </w:rPr>
                    <w:t>：</w:t>
                  </w:r>
                  <w:r>
                    <w:rPr>
                      <w:rFonts w:hint="eastAsia"/>
                      <w:color w:val="auto"/>
                      <w:sz w:val="21"/>
                      <w:highlight w:val="none"/>
                    </w:rPr>
                    <w:t>290℃</w:t>
                  </w:r>
                  <w:r>
                    <w:rPr>
                      <w:rFonts w:hint="eastAsia"/>
                      <w:color w:val="auto"/>
                      <w:sz w:val="21"/>
                      <w:highlight w:val="none"/>
                      <w:lang w:eastAsia="zh-CN"/>
                    </w:rPr>
                    <w:t>；</w:t>
                  </w:r>
                  <w:r>
                    <w:rPr>
                      <w:rFonts w:hint="eastAsia"/>
                      <w:color w:val="auto"/>
                      <w:sz w:val="21"/>
                      <w:highlight w:val="none"/>
                    </w:rPr>
                    <w:t>相对密度9.38。</w:t>
                  </w:r>
                </w:p>
              </w:tc>
              <w:tc>
                <w:tcPr>
                  <w:tcW w:w="2286" w:type="dxa"/>
                  <w:vAlign w:val="center"/>
                </w:tcPr>
                <w:p>
                  <w:pPr>
                    <w:topLinePunct/>
                    <w:jc w:val="center"/>
                    <w:rPr>
                      <w:color w:val="auto"/>
                      <w:sz w:val="21"/>
                      <w:highlight w:val="none"/>
                    </w:rPr>
                  </w:pPr>
                  <w:r>
                    <w:rPr>
                      <w:rFonts w:hint="eastAsia"/>
                      <w:color w:val="auto"/>
                      <w:sz w:val="21"/>
                      <w:highlight w:val="none"/>
                    </w:rPr>
                    <w:t>LD</w:t>
                  </w:r>
                  <w:r>
                    <w:rPr>
                      <w:rFonts w:hint="eastAsia"/>
                      <w:color w:val="auto"/>
                      <w:sz w:val="21"/>
                      <w:highlight w:val="none"/>
                      <w:vertAlign w:val="subscript"/>
                    </w:rPr>
                    <w:t>50</w:t>
                  </w:r>
                  <w:r>
                    <w:rPr>
                      <w:rFonts w:hint="eastAsia"/>
                      <w:color w:val="auto"/>
                      <w:sz w:val="21"/>
                      <w:highlight w:val="none"/>
                      <w:lang w:eastAsia="zh-CN"/>
                    </w:rPr>
                    <w:t>：</w:t>
                  </w:r>
                  <w:r>
                    <w:rPr>
                      <w:rFonts w:hint="eastAsia"/>
                      <w:color w:val="auto"/>
                      <w:sz w:val="21"/>
                      <w:highlight w:val="none"/>
                    </w:rPr>
                    <w:t>200mg/kg(豚鼠腹膜内注射)中等毒性</w:t>
                  </w:r>
                  <w:r>
                    <w:rPr>
                      <w:rFonts w:hint="eastAsia"/>
                      <w:color w:val="auto"/>
                      <w:sz w:val="21"/>
                      <w:highlight w:val="none"/>
                      <w:lang w:eastAsia="zh-CN"/>
                    </w:rPr>
                    <w:t>；影响</w:t>
                  </w:r>
                  <w:r>
                    <w:rPr>
                      <w:rFonts w:hint="eastAsia"/>
                      <w:color w:val="auto"/>
                      <w:sz w:val="21"/>
                      <w:highlight w:val="none"/>
                    </w:rPr>
                    <w:t>造血神经、消化系统及肾脏。职业中毒主要为慢性。短时接触大剂量可发生急性或亚急性铅中毒</w:t>
                  </w:r>
                  <w:r>
                    <w:rPr>
                      <w:rFonts w:hint="eastAsia"/>
                      <w:color w:val="auto"/>
                      <w:sz w:val="21"/>
                      <w:highlight w:val="none"/>
                      <w:lang w:eastAsia="zh-CN"/>
                    </w:rPr>
                    <w:t>，</w:t>
                  </w:r>
                  <w:r>
                    <w:rPr>
                      <w:rFonts w:hint="eastAsia"/>
                      <w:color w:val="auto"/>
                      <w:sz w:val="21"/>
                      <w:highlight w:val="none"/>
                    </w:rPr>
                    <w:t>表现类似重症慢性铅中毒</w:t>
                  </w:r>
                </w:p>
              </w:tc>
              <w:tc>
                <w:tcPr>
                  <w:tcW w:w="1715" w:type="dxa"/>
                  <w:vMerge w:val="continue"/>
                  <w:vAlign w:val="center"/>
                </w:tcPr>
                <w:p>
                  <w:pPr>
                    <w:topLinePunct/>
                    <w:jc w:val="center"/>
                    <w:rPr>
                      <w:rFonts w:hint="eastAsia"/>
                      <w:color w:val="auto"/>
                      <w:sz w:val="21"/>
                      <w:highlight w:val="none"/>
                    </w:rPr>
                  </w:pP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trHeight w:val="23" w:hRule="atLeast"/>
                <w:jc w:val="center"/>
              </w:trPr>
              <w:tc>
                <w:tcPr>
                  <w:tcW w:w="697" w:type="dxa"/>
                  <w:vAlign w:val="center"/>
                </w:tcPr>
                <w:p>
                  <w:pPr>
                    <w:topLinePunct/>
                    <w:jc w:val="center"/>
                    <w:rPr>
                      <w:rFonts w:hint="eastAsia" w:eastAsia="宋体"/>
                      <w:color w:val="auto"/>
                      <w:sz w:val="21"/>
                      <w:highlight w:val="none"/>
                      <w:lang w:val="en-US" w:eastAsia="zh-CN"/>
                    </w:rPr>
                  </w:pPr>
                  <w:r>
                    <w:rPr>
                      <w:rFonts w:hint="eastAsia"/>
                      <w:color w:val="auto"/>
                      <w:sz w:val="21"/>
                      <w:highlight w:val="none"/>
                      <w:lang w:val="en-US" w:eastAsia="zh-CN"/>
                    </w:rPr>
                    <w:t>硫酸铅</w:t>
                  </w:r>
                </w:p>
              </w:tc>
              <w:tc>
                <w:tcPr>
                  <w:tcW w:w="912" w:type="dxa"/>
                  <w:vAlign w:val="center"/>
                </w:tcPr>
                <w:p>
                  <w:pPr>
                    <w:topLinePunct/>
                    <w:jc w:val="center"/>
                    <w:rPr>
                      <w:rFonts w:hint="default" w:eastAsia="宋体"/>
                      <w:color w:val="auto"/>
                      <w:sz w:val="21"/>
                      <w:highlight w:val="none"/>
                      <w:vertAlign w:val="superscript"/>
                      <w:lang w:val="en-US" w:eastAsia="zh-CN"/>
                    </w:rPr>
                  </w:pPr>
                  <w:r>
                    <w:rPr>
                      <w:rFonts w:hint="eastAsia"/>
                      <w:color w:val="auto"/>
                      <w:sz w:val="21"/>
                      <w:highlight w:val="none"/>
                      <w:lang w:val="en-US" w:eastAsia="zh-CN"/>
                    </w:rPr>
                    <w:t>PbSO</w:t>
                  </w:r>
                  <w:r>
                    <w:rPr>
                      <w:rFonts w:hint="eastAsia"/>
                      <w:color w:val="auto"/>
                      <w:sz w:val="21"/>
                      <w:highlight w:val="none"/>
                      <w:vertAlign w:val="subscript"/>
                      <w:lang w:val="en-US" w:eastAsia="zh-CN"/>
                    </w:rPr>
                    <w:t>4</w:t>
                  </w:r>
                </w:p>
              </w:tc>
              <w:tc>
                <w:tcPr>
                  <w:tcW w:w="2532" w:type="dxa"/>
                  <w:vAlign w:val="center"/>
                </w:tcPr>
                <w:p>
                  <w:pPr>
                    <w:topLinePunct/>
                    <w:jc w:val="center"/>
                    <w:rPr>
                      <w:color w:val="auto"/>
                      <w:sz w:val="21"/>
                      <w:highlight w:val="none"/>
                    </w:rPr>
                  </w:pPr>
                  <w:r>
                    <w:rPr>
                      <w:rFonts w:hint="eastAsia"/>
                      <w:color w:val="auto"/>
                      <w:sz w:val="21"/>
                      <w:highlight w:val="none"/>
                    </w:rPr>
                    <w:t>白色单斜或正交晶体</w:t>
                  </w:r>
                  <w:r>
                    <w:rPr>
                      <w:rFonts w:hint="eastAsia"/>
                      <w:color w:val="auto"/>
                      <w:sz w:val="21"/>
                      <w:highlight w:val="none"/>
                      <w:lang w:eastAsia="zh-CN"/>
                    </w:rPr>
                    <w:t>；</w:t>
                  </w:r>
                  <w:r>
                    <w:rPr>
                      <w:rFonts w:hint="eastAsia"/>
                      <w:color w:val="auto"/>
                      <w:sz w:val="21"/>
                      <w:highlight w:val="none"/>
                    </w:rPr>
                    <w:t>熔点1170℃</w:t>
                  </w:r>
                  <w:r>
                    <w:rPr>
                      <w:rFonts w:hint="eastAsia"/>
                      <w:color w:val="auto"/>
                      <w:sz w:val="21"/>
                      <w:highlight w:val="none"/>
                      <w:lang w:eastAsia="zh-CN"/>
                    </w:rPr>
                    <w:t>，</w:t>
                  </w:r>
                  <w:r>
                    <w:rPr>
                      <w:rFonts w:hint="eastAsia"/>
                      <w:color w:val="auto"/>
                      <w:sz w:val="21"/>
                      <w:highlight w:val="none"/>
                    </w:rPr>
                    <w:t>密度6.2g/cm</w:t>
                  </w:r>
                  <w:r>
                    <w:rPr>
                      <w:rFonts w:hint="eastAsia"/>
                      <w:color w:val="auto"/>
                      <w:sz w:val="21"/>
                      <w:highlight w:val="none"/>
                      <w:vertAlign w:val="superscript"/>
                    </w:rPr>
                    <w:t>3</w:t>
                  </w:r>
                  <w:r>
                    <w:rPr>
                      <w:rFonts w:hint="eastAsia"/>
                      <w:color w:val="auto"/>
                      <w:sz w:val="21"/>
                      <w:highlight w:val="none"/>
                      <w:lang w:eastAsia="zh-CN"/>
                    </w:rPr>
                    <w:t>；</w:t>
                  </w:r>
                  <w:r>
                    <w:rPr>
                      <w:rFonts w:hint="eastAsia"/>
                      <w:color w:val="auto"/>
                      <w:sz w:val="21"/>
                      <w:highlight w:val="none"/>
                    </w:rPr>
                    <w:t>微溶于水</w:t>
                  </w:r>
                  <w:r>
                    <w:rPr>
                      <w:rFonts w:hint="eastAsia"/>
                      <w:color w:val="auto"/>
                      <w:sz w:val="21"/>
                      <w:highlight w:val="none"/>
                      <w:lang w:eastAsia="zh-CN"/>
                    </w:rPr>
                    <w:t>，</w:t>
                  </w:r>
                  <w:r>
                    <w:rPr>
                      <w:rFonts w:hint="eastAsia"/>
                      <w:color w:val="auto"/>
                      <w:sz w:val="21"/>
                      <w:highlight w:val="none"/>
                    </w:rPr>
                    <w:t>溶解度为0.0041g/100g水(20℃)。几乎不溶于稀的强酸溶液</w:t>
                  </w:r>
                  <w:r>
                    <w:rPr>
                      <w:rFonts w:hint="eastAsia"/>
                      <w:color w:val="auto"/>
                      <w:sz w:val="21"/>
                      <w:highlight w:val="none"/>
                      <w:lang w:eastAsia="zh-CN"/>
                    </w:rPr>
                    <w:t>，</w:t>
                  </w:r>
                  <w:r>
                    <w:rPr>
                      <w:rFonts w:hint="eastAsia"/>
                      <w:color w:val="auto"/>
                      <w:sz w:val="21"/>
                      <w:highlight w:val="none"/>
                    </w:rPr>
                    <w:t>能溶于较浓的硫酸溶液、乙酸铵溶液和强碱溶液。</w:t>
                  </w:r>
                </w:p>
              </w:tc>
              <w:tc>
                <w:tcPr>
                  <w:tcW w:w="2286" w:type="dxa"/>
                  <w:vAlign w:val="center"/>
                </w:tcPr>
                <w:p>
                  <w:pPr>
                    <w:topLinePunct/>
                    <w:jc w:val="center"/>
                    <w:rPr>
                      <w:color w:val="auto"/>
                      <w:sz w:val="21"/>
                      <w:highlight w:val="none"/>
                    </w:rPr>
                  </w:pPr>
                  <w:r>
                    <w:rPr>
                      <w:rFonts w:hint="eastAsia"/>
                      <w:color w:val="auto"/>
                      <w:sz w:val="21"/>
                      <w:highlight w:val="none"/>
                    </w:rPr>
                    <w:t>损害造血、神经、消化系统及肾脏。职业中毒主要为慢性。短时接触大剂量可发生急性或亚急性铅中毒</w:t>
                  </w:r>
                  <w:r>
                    <w:rPr>
                      <w:rFonts w:hint="eastAsia"/>
                      <w:color w:val="auto"/>
                      <w:sz w:val="21"/>
                      <w:highlight w:val="none"/>
                      <w:lang w:eastAsia="zh-CN"/>
                    </w:rPr>
                    <w:t>，</w:t>
                  </w:r>
                  <w:r>
                    <w:rPr>
                      <w:rFonts w:hint="eastAsia"/>
                      <w:color w:val="auto"/>
                      <w:sz w:val="21"/>
                      <w:highlight w:val="none"/>
                    </w:rPr>
                    <w:t>表现类似重症慢性铅中毒</w:t>
                  </w:r>
                </w:p>
              </w:tc>
              <w:tc>
                <w:tcPr>
                  <w:tcW w:w="1715" w:type="dxa"/>
                  <w:vMerge w:val="continue"/>
                  <w:vAlign w:val="center"/>
                </w:tcPr>
                <w:p>
                  <w:pPr>
                    <w:topLinePunct/>
                    <w:jc w:val="center"/>
                    <w:rPr>
                      <w:rFonts w:hint="eastAsia"/>
                      <w:color w:val="auto"/>
                      <w:sz w:val="21"/>
                      <w:highlight w:val="none"/>
                    </w:rPr>
                  </w:pPr>
                </w:p>
              </w:tc>
            </w:tr>
            <w:tr>
              <w:tblPrEx>
                <w:tblBorders>
                  <w:top w:val="double" w:color="auto" w:sz="4" w:space="0"/>
                  <w:left w:val="none" w:color="auto" w:sz="0" w:space="0"/>
                  <w:bottom w:val="double" w:color="auto" w:sz="4" w:space="0"/>
                  <w:right w:val="none" w:color="auto" w:sz="0" w:space="0"/>
                  <w:insideH w:val="single" w:color="000000" w:sz="2" w:space="0"/>
                  <w:insideV w:val="single" w:color="000000" w:sz="2" w:space="0"/>
                </w:tblBorders>
                <w:tblLayout w:type="fixed"/>
                <w:tblCellMar>
                  <w:top w:w="0" w:type="dxa"/>
                  <w:left w:w="108" w:type="dxa"/>
                  <w:bottom w:w="0" w:type="dxa"/>
                  <w:right w:w="108" w:type="dxa"/>
                </w:tblCellMar>
              </w:tblPrEx>
              <w:trPr>
                <w:trHeight w:val="23" w:hRule="atLeast"/>
                <w:jc w:val="center"/>
              </w:trPr>
              <w:tc>
                <w:tcPr>
                  <w:tcW w:w="697" w:type="dxa"/>
                  <w:tcBorders>
                    <w:bottom w:val="single" w:color="auto" w:sz="12" w:space="0"/>
                  </w:tcBorders>
                  <w:vAlign w:val="center"/>
                </w:tcPr>
                <w:p>
                  <w:pPr>
                    <w:topLinePunct/>
                    <w:jc w:val="center"/>
                    <w:rPr>
                      <w:color w:val="auto"/>
                      <w:sz w:val="21"/>
                      <w:highlight w:val="none"/>
                    </w:rPr>
                  </w:pPr>
                  <w:r>
                    <w:rPr>
                      <w:color w:val="auto"/>
                      <w:sz w:val="21"/>
                      <w:highlight w:val="none"/>
                    </w:rPr>
                    <w:t>电解液（硫酸）</w:t>
                  </w:r>
                </w:p>
              </w:tc>
              <w:tc>
                <w:tcPr>
                  <w:tcW w:w="912" w:type="dxa"/>
                  <w:tcBorders>
                    <w:bottom w:val="single" w:color="auto" w:sz="12" w:space="0"/>
                  </w:tcBorders>
                  <w:vAlign w:val="center"/>
                </w:tcPr>
                <w:p>
                  <w:pPr>
                    <w:topLinePunct/>
                    <w:jc w:val="center"/>
                    <w:rPr>
                      <w:color w:val="auto"/>
                      <w:sz w:val="21"/>
                      <w:highlight w:val="none"/>
                    </w:rPr>
                  </w:pPr>
                  <w:r>
                    <w:rPr>
                      <w:color w:val="auto"/>
                      <w:sz w:val="21"/>
                      <w:highlight w:val="none"/>
                    </w:rPr>
                    <w:t>H</w:t>
                  </w:r>
                  <w:r>
                    <w:rPr>
                      <w:color w:val="auto"/>
                      <w:sz w:val="21"/>
                      <w:highlight w:val="none"/>
                      <w:vertAlign w:val="subscript"/>
                    </w:rPr>
                    <w:t>2</w:t>
                  </w:r>
                  <w:r>
                    <w:rPr>
                      <w:color w:val="auto"/>
                      <w:sz w:val="21"/>
                      <w:highlight w:val="none"/>
                    </w:rPr>
                    <w:t>SO</w:t>
                  </w:r>
                  <w:r>
                    <w:rPr>
                      <w:color w:val="auto"/>
                      <w:sz w:val="21"/>
                      <w:highlight w:val="none"/>
                      <w:vertAlign w:val="subscript"/>
                    </w:rPr>
                    <w:t>4</w:t>
                  </w:r>
                </w:p>
              </w:tc>
              <w:tc>
                <w:tcPr>
                  <w:tcW w:w="2532" w:type="dxa"/>
                  <w:tcBorders>
                    <w:bottom w:val="single" w:color="auto" w:sz="12" w:space="0"/>
                  </w:tcBorders>
                  <w:vAlign w:val="center"/>
                </w:tcPr>
                <w:p>
                  <w:pPr>
                    <w:topLinePunct/>
                    <w:jc w:val="center"/>
                    <w:rPr>
                      <w:color w:val="auto"/>
                      <w:sz w:val="21"/>
                      <w:highlight w:val="none"/>
                    </w:rPr>
                  </w:pPr>
                  <w:r>
                    <w:rPr>
                      <w:color w:val="auto"/>
                      <w:sz w:val="21"/>
                      <w:highlight w:val="none"/>
                    </w:rPr>
                    <w:t>分子量98.08</w:t>
                  </w:r>
                  <w:r>
                    <w:rPr>
                      <w:rFonts w:hint="eastAsia"/>
                      <w:color w:val="auto"/>
                      <w:sz w:val="21"/>
                      <w:highlight w:val="none"/>
                      <w:lang w:eastAsia="zh-CN"/>
                    </w:rPr>
                    <w:t>，</w:t>
                  </w:r>
                  <w:r>
                    <w:rPr>
                      <w:color w:val="auto"/>
                      <w:sz w:val="21"/>
                      <w:highlight w:val="none"/>
                    </w:rPr>
                    <w:t>无色透明油状液体。能以任何比例溶于水</w:t>
                  </w:r>
                  <w:r>
                    <w:rPr>
                      <w:rFonts w:hint="eastAsia"/>
                      <w:color w:val="auto"/>
                      <w:sz w:val="21"/>
                      <w:highlight w:val="none"/>
                      <w:lang w:eastAsia="zh-CN"/>
                    </w:rPr>
                    <w:t>，</w:t>
                  </w:r>
                  <w:r>
                    <w:rPr>
                      <w:color w:val="auto"/>
                      <w:sz w:val="21"/>
                      <w:highlight w:val="none"/>
                    </w:rPr>
                    <w:t>37.4％的硫酸</w:t>
                  </w:r>
                  <w:r>
                    <w:rPr>
                      <w:rFonts w:hint="eastAsia"/>
                      <w:color w:val="auto"/>
                      <w:sz w:val="21"/>
                      <w:highlight w:val="none"/>
                      <w:lang w:eastAsia="zh-CN"/>
                    </w:rPr>
                    <w:t>，</w:t>
                  </w:r>
                  <w:r>
                    <w:rPr>
                      <w:color w:val="auto"/>
                      <w:sz w:val="21"/>
                      <w:highlight w:val="none"/>
                    </w:rPr>
                    <w:t>比重1.52</w:t>
                  </w:r>
                  <w:r>
                    <w:rPr>
                      <w:rFonts w:hint="eastAsia"/>
                      <w:color w:val="auto"/>
                      <w:sz w:val="21"/>
                      <w:highlight w:val="none"/>
                      <w:lang w:eastAsia="zh-CN"/>
                    </w:rPr>
                    <w:t>，</w:t>
                  </w:r>
                  <w:r>
                    <w:rPr>
                      <w:color w:val="auto"/>
                      <w:sz w:val="21"/>
                      <w:highlight w:val="none"/>
                    </w:rPr>
                    <w:t>熔点10.49℃</w:t>
                  </w:r>
                  <w:r>
                    <w:rPr>
                      <w:rFonts w:hint="eastAsia"/>
                      <w:color w:val="auto"/>
                      <w:sz w:val="21"/>
                      <w:highlight w:val="none"/>
                      <w:lang w:eastAsia="zh-CN"/>
                    </w:rPr>
                    <w:t>，</w:t>
                  </w:r>
                  <w:r>
                    <w:rPr>
                      <w:color w:val="auto"/>
                      <w:sz w:val="21"/>
                      <w:highlight w:val="none"/>
                    </w:rPr>
                    <w:t>沸点258℃</w:t>
                  </w:r>
                  <w:r>
                    <w:rPr>
                      <w:rFonts w:hint="eastAsia"/>
                      <w:color w:val="auto"/>
                      <w:sz w:val="21"/>
                      <w:highlight w:val="none"/>
                      <w:lang w:eastAsia="zh-CN"/>
                    </w:rPr>
                    <w:t>，</w:t>
                  </w:r>
                  <w:r>
                    <w:rPr>
                      <w:color w:val="auto"/>
                      <w:sz w:val="21"/>
                      <w:highlight w:val="none"/>
                    </w:rPr>
                    <w:t>340℃时分解</w:t>
                  </w:r>
                  <w:r>
                    <w:rPr>
                      <w:rFonts w:hint="eastAsia"/>
                      <w:color w:val="auto"/>
                      <w:sz w:val="21"/>
                      <w:highlight w:val="none"/>
                      <w:lang w:eastAsia="zh-CN"/>
                    </w:rPr>
                    <w:t>，</w:t>
                  </w:r>
                  <w:r>
                    <w:rPr>
                      <w:color w:val="auto"/>
                      <w:sz w:val="21"/>
                      <w:highlight w:val="none"/>
                    </w:rPr>
                    <w:t>硫酸浓度较低</w:t>
                  </w:r>
                  <w:r>
                    <w:rPr>
                      <w:rFonts w:hint="eastAsia"/>
                      <w:color w:val="auto"/>
                      <w:sz w:val="21"/>
                      <w:highlight w:val="none"/>
                      <w:lang w:eastAsia="zh-CN"/>
                    </w:rPr>
                    <w:t>，</w:t>
                  </w:r>
                  <w:r>
                    <w:rPr>
                      <w:color w:val="auto"/>
                      <w:sz w:val="21"/>
                      <w:highlight w:val="none"/>
                    </w:rPr>
                    <w:t>不会挥发产生硫酸雾</w:t>
                  </w:r>
                  <w:r>
                    <w:rPr>
                      <w:rFonts w:hint="eastAsia"/>
                      <w:color w:val="auto"/>
                      <w:sz w:val="21"/>
                      <w:highlight w:val="none"/>
                      <w:lang w:eastAsia="zh-CN"/>
                    </w:rPr>
                    <w:t>，</w:t>
                  </w:r>
                  <w:r>
                    <w:rPr>
                      <w:color w:val="auto"/>
                      <w:sz w:val="21"/>
                      <w:highlight w:val="none"/>
                    </w:rPr>
                    <w:t>但水汽蒸发会带走部分硫酸</w:t>
                  </w:r>
                  <w:r>
                    <w:rPr>
                      <w:rFonts w:hint="eastAsia"/>
                      <w:color w:val="auto"/>
                      <w:sz w:val="21"/>
                      <w:highlight w:val="none"/>
                      <w:lang w:eastAsia="zh-CN"/>
                    </w:rPr>
                    <w:t>，</w:t>
                  </w:r>
                  <w:r>
                    <w:rPr>
                      <w:color w:val="auto"/>
                      <w:sz w:val="21"/>
                      <w:highlight w:val="none"/>
                    </w:rPr>
                    <w:t>产生酸雾</w:t>
                  </w:r>
                </w:p>
              </w:tc>
              <w:tc>
                <w:tcPr>
                  <w:tcW w:w="2286" w:type="dxa"/>
                  <w:tcBorders>
                    <w:bottom w:val="single" w:color="auto" w:sz="12" w:space="0"/>
                  </w:tcBorders>
                  <w:vAlign w:val="center"/>
                </w:tcPr>
                <w:p>
                  <w:pPr>
                    <w:topLinePunct/>
                    <w:jc w:val="center"/>
                    <w:rPr>
                      <w:color w:val="auto"/>
                      <w:sz w:val="21"/>
                      <w:highlight w:val="none"/>
                    </w:rPr>
                  </w:pPr>
                  <w:r>
                    <w:rPr>
                      <w:color w:val="auto"/>
                      <w:sz w:val="21"/>
                      <w:highlight w:val="none"/>
                    </w:rPr>
                    <w:t>属微毒类</w:t>
                  </w:r>
                  <w:r>
                    <w:rPr>
                      <w:rFonts w:hint="eastAsia"/>
                      <w:color w:val="auto"/>
                      <w:sz w:val="21"/>
                      <w:highlight w:val="none"/>
                      <w:lang w:eastAsia="zh-CN"/>
                    </w:rPr>
                    <w:t>，</w:t>
                  </w:r>
                  <w:r>
                    <w:rPr>
                      <w:color w:val="auto"/>
                      <w:sz w:val="21"/>
                      <w:highlight w:val="none"/>
                    </w:rPr>
                    <w:t>急性毒性：LD</w:t>
                  </w:r>
                  <w:r>
                    <w:rPr>
                      <w:color w:val="auto"/>
                      <w:sz w:val="21"/>
                      <w:highlight w:val="none"/>
                      <w:vertAlign w:val="subscript"/>
                    </w:rPr>
                    <w:t>50</w:t>
                  </w:r>
                  <w:r>
                    <w:rPr>
                      <w:color w:val="auto"/>
                      <w:sz w:val="21"/>
                      <w:highlight w:val="none"/>
                    </w:rPr>
                    <w:t>2140mg/kg</w:t>
                  </w:r>
                </w:p>
              </w:tc>
              <w:tc>
                <w:tcPr>
                  <w:tcW w:w="1715" w:type="dxa"/>
                  <w:tcBorders>
                    <w:bottom w:val="single" w:color="auto" w:sz="12" w:space="0"/>
                  </w:tcBorders>
                  <w:vAlign w:val="center"/>
                </w:tcPr>
                <w:p>
                  <w:pPr>
                    <w:topLinePunct/>
                    <w:jc w:val="center"/>
                    <w:rPr>
                      <w:color w:val="auto"/>
                      <w:sz w:val="21"/>
                      <w:highlight w:val="none"/>
                    </w:rPr>
                  </w:pPr>
                  <w:r>
                    <w:rPr>
                      <w:color w:val="auto"/>
                      <w:sz w:val="21"/>
                      <w:highlight w:val="none"/>
                    </w:rPr>
                    <w:t>与易燃物（如苯）和有机物（如糖、纤维素等）接触会发生剧烈反应</w:t>
                  </w:r>
                  <w:r>
                    <w:rPr>
                      <w:rFonts w:hint="eastAsia"/>
                      <w:color w:val="auto"/>
                      <w:sz w:val="21"/>
                      <w:highlight w:val="none"/>
                      <w:lang w:eastAsia="zh-CN"/>
                    </w:rPr>
                    <w:t>，</w:t>
                  </w:r>
                  <w:r>
                    <w:rPr>
                      <w:color w:val="auto"/>
                      <w:sz w:val="21"/>
                      <w:highlight w:val="none"/>
                    </w:rPr>
                    <w:t>甚至引起燃烧。雨水大量放热</w:t>
                  </w:r>
                  <w:r>
                    <w:rPr>
                      <w:rFonts w:hint="eastAsia"/>
                      <w:color w:val="auto"/>
                      <w:sz w:val="21"/>
                      <w:highlight w:val="none"/>
                      <w:lang w:eastAsia="zh-CN"/>
                    </w:rPr>
                    <w:t>，</w:t>
                  </w:r>
                  <w:r>
                    <w:rPr>
                      <w:color w:val="auto"/>
                      <w:sz w:val="21"/>
                      <w:highlight w:val="none"/>
                    </w:rPr>
                    <w:t>可发生沸溅。具有强腐蚀性</w:t>
                  </w:r>
                </w:p>
              </w:tc>
            </w:tr>
          </w:tbl>
          <w:p>
            <w:pPr>
              <w:pStyle w:val="23"/>
              <w:numPr>
                <w:ilvl w:val="0"/>
                <w:numId w:val="2"/>
              </w:numPr>
              <w:bidi w:val="0"/>
              <w:ind w:left="0" w:leftChars="0" w:firstLine="0" w:firstLineChars="0"/>
              <w:rPr>
                <w:rFonts w:hint="default"/>
                <w:color w:val="auto"/>
                <w:highlight w:val="none"/>
                <w:lang w:val="en-US" w:eastAsia="zh-CN"/>
              </w:rPr>
            </w:pPr>
            <w:r>
              <w:rPr>
                <w:rFonts w:hint="eastAsia"/>
                <w:color w:val="auto"/>
                <w:highlight w:val="none"/>
                <w:lang w:val="en-US" w:eastAsia="zh-CN"/>
              </w:rPr>
              <w:t xml:space="preserve">   </w:t>
            </w:r>
            <w:r>
              <w:rPr>
                <w:rFonts w:hint="default"/>
                <w:color w:val="auto"/>
                <w:highlight w:val="none"/>
                <w:lang w:val="en-US" w:eastAsia="zh-CN"/>
              </w:rPr>
              <w:t>硫酸理化性质一览表</w:t>
            </w:r>
          </w:p>
          <w:tbl>
            <w:tblPr>
              <w:tblStyle w:val="15"/>
              <w:tblW w:w="811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1"/>
              <w:gridCol w:w="3864"/>
              <w:gridCol w:w="1904"/>
              <w:gridCol w:w="18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79" w:hRule="atLeast"/>
                <w:jc w:val="center"/>
              </w:trPr>
              <w:tc>
                <w:tcPr>
                  <w:tcW w:w="481" w:type="dxa"/>
                  <w:vMerge w:val="restart"/>
                  <w:tcBorders>
                    <w:tl2br w:val="nil"/>
                    <w:tr2bl w:val="nil"/>
                  </w:tcBorders>
                  <w:noWrap w:val="0"/>
                  <w:vAlign w:val="center"/>
                </w:tcPr>
                <w:p>
                  <w:pPr>
                    <w:pStyle w:val="22"/>
                    <w:bidi w:val="0"/>
                    <w:rPr>
                      <w:rFonts w:hint="default"/>
                      <w:b/>
                      <w:bCs/>
                      <w:color w:val="auto"/>
                      <w:highlight w:val="none"/>
                    </w:rPr>
                  </w:pPr>
                  <w:r>
                    <w:rPr>
                      <w:rFonts w:hint="default"/>
                      <w:b/>
                      <w:bCs/>
                      <w:color w:val="auto"/>
                      <w:highlight w:val="none"/>
                    </w:rPr>
                    <w:t>标</w:t>
                  </w:r>
                </w:p>
                <w:p>
                  <w:pPr>
                    <w:pStyle w:val="22"/>
                    <w:bidi w:val="0"/>
                    <w:rPr>
                      <w:rFonts w:hint="default"/>
                      <w:b/>
                      <w:bCs/>
                      <w:color w:val="auto"/>
                      <w:highlight w:val="none"/>
                    </w:rPr>
                  </w:pPr>
                  <w:r>
                    <w:rPr>
                      <w:rFonts w:hint="default"/>
                      <w:b/>
                      <w:bCs/>
                      <w:color w:val="auto"/>
                      <w:highlight w:val="none"/>
                    </w:rPr>
                    <w:t>识</w:t>
                  </w: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中文名：硫酸</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英文名</w:t>
                  </w:r>
                  <w:r>
                    <w:rPr>
                      <w:rFonts w:hint="default"/>
                      <w:color w:val="auto"/>
                      <w:highlight w:val="none"/>
                      <w:lang w:val="en-GB"/>
                    </w:rPr>
                    <w:t>：</w:t>
                  </w:r>
                  <w:r>
                    <w:rPr>
                      <w:rFonts w:hint="default"/>
                      <w:color w:val="auto"/>
                      <w:highlight w:val="none"/>
                    </w:rPr>
                    <w:t>sulfuric  acid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64" w:hRule="atLeast"/>
                <w:jc w:val="center"/>
              </w:trPr>
              <w:tc>
                <w:tcPr>
                  <w:tcW w:w="481" w:type="dxa"/>
                  <w:vMerge w:val="continue"/>
                  <w:tcBorders>
                    <w:tl2br w:val="nil"/>
                    <w:tr2bl w:val="nil"/>
                  </w:tcBorders>
                  <w:noWrap w:val="0"/>
                  <w:vAlign w:val="center"/>
                </w:tcPr>
                <w:p>
                  <w:pPr>
                    <w:pStyle w:val="22"/>
                    <w:bidi w:val="0"/>
                    <w:rPr>
                      <w:rFonts w:hint="default"/>
                      <w:b/>
                      <w:bCs/>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分子式</w:t>
                  </w:r>
                  <w:r>
                    <w:rPr>
                      <w:rFonts w:hint="default"/>
                      <w:color w:val="auto"/>
                      <w:highlight w:val="none"/>
                      <w:lang w:val="en-GB"/>
                    </w:rPr>
                    <w:t>：</w:t>
                  </w:r>
                  <w:r>
                    <w:rPr>
                      <w:rFonts w:hint="default"/>
                      <w:color w:val="auto"/>
                      <w:highlight w:val="none"/>
                    </w:rPr>
                    <w:t>H</w:t>
                  </w:r>
                  <w:r>
                    <w:rPr>
                      <w:rFonts w:hint="default"/>
                      <w:strike/>
                      <w:dstrike w:val="0"/>
                      <w:color w:val="auto"/>
                      <w:highlight w:val="none"/>
                      <w:vertAlign w:val="subscript"/>
                    </w:rPr>
                    <w:t>2</w:t>
                  </w:r>
                  <w:r>
                    <w:rPr>
                      <w:rFonts w:hint="default"/>
                      <w:color w:val="auto"/>
                      <w:highlight w:val="none"/>
                    </w:rPr>
                    <w:t>SO</w:t>
                  </w:r>
                  <w:r>
                    <w:rPr>
                      <w:rFonts w:hint="default"/>
                      <w:strike/>
                      <w:dstrike w:val="0"/>
                      <w:color w:val="auto"/>
                      <w:highlight w:val="none"/>
                      <w:vertAlign w:val="subscript"/>
                    </w:rPr>
                    <w:t>4</w:t>
                  </w:r>
                </w:p>
              </w:tc>
              <w:tc>
                <w:tcPr>
                  <w:tcW w:w="190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分子量：98.08</w:t>
                  </w:r>
                </w:p>
              </w:tc>
              <w:tc>
                <w:tcPr>
                  <w:tcW w:w="1863"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UN编号：1830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64" w:hRule="atLeast"/>
                <w:jc w:val="center"/>
              </w:trPr>
              <w:tc>
                <w:tcPr>
                  <w:tcW w:w="481" w:type="dxa"/>
                  <w:vMerge w:val="continue"/>
                  <w:tcBorders>
                    <w:tl2br w:val="nil"/>
                    <w:tr2bl w:val="nil"/>
                  </w:tcBorders>
                  <w:noWrap w:val="0"/>
                  <w:vAlign w:val="center"/>
                </w:tcPr>
                <w:p>
                  <w:pPr>
                    <w:pStyle w:val="22"/>
                    <w:bidi w:val="0"/>
                    <w:rPr>
                      <w:rFonts w:hint="default"/>
                      <w:b/>
                      <w:bCs/>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危险类别：第8.1类； 酸性腐蚀品</w:t>
                  </w:r>
                </w:p>
              </w:tc>
              <w:tc>
                <w:tcPr>
                  <w:tcW w:w="190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危规号：81007</w:t>
                  </w:r>
                </w:p>
              </w:tc>
              <w:tc>
                <w:tcPr>
                  <w:tcW w:w="1863"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CAS号：7664-93-9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64" w:hRule="atLeast"/>
                <w:jc w:val="center"/>
              </w:trPr>
              <w:tc>
                <w:tcPr>
                  <w:tcW w:w="481" w:type="dxa"/>
                  <w:vMerge w:val="continue"/>
                  <w:tcBorders>
                    <w:tl2br w:val="nil"/>
                    <w:tr2bl w:val="nil"/>
                  </w:tcBorders>
                  <w:noWrap w:val="0"/>
                  <w:vAlign w:val="center"/>
                </w:tcPr>
                <w:p>
                  <w:pPr>
                    <w:pStyle w:val="22"/>
                    <w:bidi w:val="0"/>
                    <w:rPr>
                      <w:rFonts w:hint="default"/>
                      <w:b/>
                      <w:bCs/>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包装标志：腐蚀品</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包装类别：Ⅰ类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30" w:hRule="atLeast"/>
                <w:jc w:val="center"/>
              </w:trPr>
              <w:tc>
                <w:tcPr>
                  <w:tcW w:w="481" w:type="dxa"/>
                  <w:vMerge w:val="restart"/>
                  <w:tcBorders>
                    <w:tl2br w:val="nil"/>
                    <w:tr2bl w:val="nil"/>
                  </w:tcBorders>
                  <w:noWrap w:val="0"/>
                  <w:vAlign w:val="center"/>
                </w:tcPr>
                <w:p>
                  <w:pPr>
                    <w:pStyle w:val="22"/>
                    <w:bidi w:val="0"/>
                    <w:rPr>
                      <w:rFonts w:hint="default"/>
                      <w:b/>
                      <w:bCs/>
                      <w:color w:val="auto"/>
                      <w:highlight w:val="none"/>
                    </w:rPr>
                  </w:pPr>
                  <w:r>
                    <w:rPr>
                      <w:rFonts w:hint="default"/>
                      <w:b/>
                      <w:bCs/>
                      <w:color w:val="auto"/>
                      <w:highlight w:val="none"/>
                    </w:rPr>
                    <w:t>理</w:t>
                  </w:r>
                </w:p>
                <w:p>
                  <w:pPr>
                    <w:pStyle w:val="22"/>
                    <w:bidi w:val="0"/>
                    <w:rPr>
                      <w:rFonts w:hint="default"/>
                      <w:b/>
                      <w:bCs/>
                      <w:color w:val="auto"/>
                      <w:highlight w:val="none"/>
                    </w:rPr>
                  </w:pPr>
                  <w:r>
                    <w:rPr>
                      <w:rFonts w:hint="default"/>
                      <w:b/>
                      <w:bCs/>
                      <w:color w:val="auto"/>
                      <w:highlight w:val="none"/>
                    </w:rPr>
                    <w:t>化</w:t>
                  </w:r>
                </w:p>
                <w:p>
                  <w:pPr>
                    <w:pStyle w:val="22"/>
                    <w:bidi w:val="0"/>
                    <w:rPr>
                      <w:rFonts w:hint="default"/>
                      <w:b/>
                      <w:bCs/>
                      <w:color w:val="auto"/>
                      <w:highlight w:val="none"/>
                    </w:rPr>
                  </w:pPr>
                  <w:r>
                    <w:rPr>
                      <w:rFonts w:hint="default"/>
                      <w:b/>
                      <w:bCs/>
                      <w:color w:val="auto"/>
                      <w:highlight w:val="none"/>
                    </w:rPr>
                    <w:t>性</w:t>
                  </w:r>
                </w:p>
                <w:p>
                  <w:pPr>
                    <w:pStyle w:val="22"/>
                    <w:bidi w:val="0"/>
                    <w:rPr>
                      <w:rFonts w:hint="default"/>
                      <w:b/>
                      <w:bCs/>
                      <w:color w:val="auto"/>
                      <w:highlight w:val="none"/>
                    </w:rPr>
                  </w:pPr>
                  <w:r>
                    <w:rPr>
                      <w:rFonts w:hint="default"/>
                      <w:b/>
                      <w:bCs/>
                      <w:color w:val="auto"/>
                      <w:highlight w:val="none"/>
                    </w:rPr>
                    <w:t>质</w:t>
                  </w: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外观与性状：纯品为无色透明油状液体</w:t>
                  </w:r>
                  <w:r>
                    <w:rPr>
                      <w:rFonts w:hint="eastAsia"/>
                      <w:color w:val="auto"/>
                      <w:highlight w:val="none"/>
                      <w:lang w:eastAsia="zh-CN"/>
                    </w:rPr>
                    <w:t>，</w:t>
                  </w:r>
                  <w:r>
                    <w:rPr>
                      <w:rFonts w:hint="default"/>
                      <w:color w:val="auto"/>
                      <w:highlight w:val="none"/>
                    </w:rPr>
                    <w:t>无臭。</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溶解性：与水混溶。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10" w:hRule="atLeast"/>
                <w:jc w:val="center"/>
              </w:trPr>
              <w:tc>
                <w:tcPr>
                  <w:tcW w:w="481" w:type="dxa"/>
                  <w:vMerge w:val="continue"/>
                  <w:tcBorders>
                    <w:tl2br w:val="nil"/>
                    <w:tr2bl w:val="nil"/>
                  </w:tcBorders>
                  <w:noWrap w:val="0"/>
                  <w:vAlign w:val="center"/>
                </w:tcPr>
                <w:p>
                  <w:pPr>
                    <w:pStyle w:val="22"/>
                    <w:bidi w:val="0"/>
                    <w:rPr>
                      <w:rFonts w:hint="default"/>
                      <w:b/>
                      <w:bCs/>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熔点（℃）  10.5</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沸点（℃）  330.0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10" w:hRule="atLeast"/>
                <w:jc w:val="center"/>
              </w:trPr>
              <w:tc>
                <w:tcPr>
                  <w:tcW w:w="481" w:type="dxa"/>
                  <w:vMerge w:val="continue"/>
                  <w:tcBorders>
                    <w:tl2br w:val="nil"/>
                    <w:tr2bl w:val="nil"/>
                  </w:tcBorders>
                  <w:noWrap w:val="0"/>
                  <w:vAlign w:val="center"/>
                </w:tcPr>
                <w:p>
                  <w:pPr>
                    <w:pStyle w:val="22"/>
                    <w:bidi w:val="0"/>
                    <w:rPr>
                      <w:rFonts w:hint="default"/>
                      <w:b/>
                      <w:bCs/>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相对密度（水＝1）  1.83</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相对密度（空气＝1） 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10" w:hRule="atLeast"/>
                <w:jc w:val="center"/>
              </w:trPr>
              <w:tc>
                <w:tcPr>
                  <w:tcW w:w="481" w:type="dxa"/>
                  <w:vMerge w:val="continue"/>
                  <w:tcBorders>
                    <w:tl2br w:val="nil"/>
                    <w:tr2bl w:val="nil"/>
                  </w:tcBorders>
                  <w:noWrap w:val="0"/>
                  <w:vAlign w:val="center"/>
                </w:tcPr>
                <w:p>
                  <w:pPr>
                    <w:pStyle w:val="22"/>
                    <w:bidi w:val="0"/>
                    <w:rPr>
                      <w:rFonts w:hint="default"/>
                      <w:b/>
                      <w:bCs/>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lang w:eastAsia="zh-CN"/>
                    </w:rPr>
                  </w:pPr>
                  <w:r>
                    <w:rPr>
                      <w:rFonts w:hint="eastAsia"/>
                      <w:color w:val="auto"/>
                      <w:highlight w:val="none"/>
                      <w:lang w:eastAsia="zh-CN"/>
                    </w:rPr>
                    <w:t>饱和蒸汽</w:t>
                  </w:r>
                  <w:r>
                    <w:rPr>
                      <w:rFonts w:hint="default"/>
                      <w:color w:val="auto"/>
                      <w:highlight w:val="none"/>
                    </w:rPr>
                    <w:t>压（kPa）  0.13</w:t>
                  </w:r>
                  <w:r>
                    <w:rPr>
                      <w:rFonts w:hint="default"/>
                      <w:color w:val="auto"/>
                      <w:highlight w:val="none"/>
                      <w:lang w:eastAsia="zh-CN"/>
                    </w:rPr>
                    <w:t>（</w:t>
                  </w:r>
                  <w:r>
                    <w:rPr>
                      <w:rFonts w:hint="default"/>
                      <w:color w:val="auto"/>
                      <w:highlight w:val="none"/>
                    </w:rPr>
                    <w:t>145.8℃</w:t>
                  </w:r>
                  <w:r>
                    <w:rPr>
                      <w:rFonts w:hint="default"/>
                      <w:color w:val="auto"/>
                      <w:highlight w:val="none"/>
                      <w:lang w:eastAsia="zh-CN"/>
                    </w:rPr>
                    <w:t>）</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燃烧热（kJ/mol）   无资料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10" w:hRule="atLeast"/>
                <w:jc w:val="center"/>
              </w:trPr>
              <w:tc>
                <w:tcPr>
                  <w:tcW w:w="481" w:type="dxa"/>
                  <w:vMerge w:val="continue"/>
                  <w:tcBorders>
                    <w:tl2br w:val="nil"/>
                    <w:tr2bl w:val="nil"/>
                  </w:tcBorders>
                  <w:noWrap w:val="0"/>
                  <w:vAlign w:val="center"/>
                </w:tcPr>
                <w:p>
                  <w:pPr>
                    <w:pStyle w:val="22"/>
                    <w:bidi w:val="0"/>
                    <w:rPr>
                      <w:rFonts w:hint="default"/>
                      <w:b/>
                      <w:bCs/>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临界温度（℃） —</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临界压力（MPa）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13" w:hRule="atLeast"/>
                <w:jc w:val="center"/>
              </w:trPr>
              <w:tc>
                <w:tcPr>
                  <w:tcW w:w="481" w:type="dxa"/>
                  <w:vMerge w:val="restart"/>
                  <w:tcBorders>
                    <w:tl2br w:val="nil"/>
                    <w:tr2bl w:val="nil"/>
                  </w:tcBorders>
                  <w:noWrap w:val="0"/>
                  <w:vAlign w:val="center"/>
                </w:tcPr>
                <w:p>
                  <w:pPr>
                    <w:pStyle w:val="22"/>
                    <w:bidi w:val="0"/>
                    <w:rPr>
                      <w:rFonts w:hint="default"/>
                      <w:b/>
                      <w:bCs/>
                      <w:color w:val="auto"/>
                      <w:highlight w:val="none"/>
                    </w:rPr>
                  </w:pPr>
                  <w:r>
                    <w:rPr>
                      <w:rFonts w:hint="default"/>
                      <w:b/>
                      <w:bCs/>
                      <w:color w:val="auto"/>
                      <w:highlight w:val="none"/>
                    </w:rPr>
                    <w:t>燃</w:t>
                  </w:r>
                </w:p>
                <w:p>
                  <w:pPr>
                    <w:pStyle w:val="22"/>
                    <w:bidi w:val="0"/>
                    <w:rPr>
                      <w:rFonts w:hint="default"/>
                      <w:b/>
                      <w:bCs/>
                      <w:color w:val="auto"/>
                      <w:highlight w:val="none"/>
                    </w:rPr>
                  </w:pPr>
                  <w:r>
                    <w:rPr>
                      <w:rFonts w:hint="default"/>
                      <w:b/>
                      <w:bCs/>
                      <w:color w:val="auto"/>
                      <w:highlight w:val="none"/>
                    </w:rPr>
                    <w:t>烧</w:t>
                  </w:r>
                </w:p>
                <w:p>
                  <w:pPr>
                    <w:pStyle w:val="22"/>
                    <w:bidi w:val="0"/>
                    <w:rPr>
                      <w:rFonts w:hint="default"/>
                      <w:b/>
                      <w:bCs/>
                      <w:color w:val="auto"/>
                      <w:highlight w:val="none"/>
                    </w:rPr>
                  </w:pPr>
                  <w:r>
                    <w:rPr>
                      <w:rFonts w:hint="default"/>
                      <w:b/>
                      <w:bCs/>
                      <w:color w:val="auto"/>
                      <w:highlight w:val="none"/>
                    </w:rPr>
                    <w:t>爆</w:t>
                  </w:r>
                </w:p>
                <w:p>
                  <w:pPr>
                    <w:pStyle w:val="22"/>
                    <w:bidi w:val="0"/>
                    <w:rPr>
                      <w:rFonts w:hint="default"/>
                      <w:b/>
                      <w:bCs/>
                      <w:color w:val="auto"/>
                      <w:highlight w:val="none"/>
                    </w:rPr>
                  </w:pPr>
                  <w:r>
                    <w:rPr>
                      <w:rFonts w:hint="default"/>
                      <w:b/>
                      <w:bCs/>
                      <w:color w:val="auto"/>
                      <w:highlight w:val="none"/>
                    </w:rPr>
                    <w:t>炸</w:t>
                  </w:r>
                </w:p>
                <w:p>
                  <w:pPr>
                    <w:pStyle w:val="22"/>
                    <w:bidi w:val="0"/>
                    <w:rPr>
                      <w:rFonts w:hint="default"/>
                      <w:b/>
                      <w:bCs/>
                      <w:color w:val="auto"/>
                      <w:highlight w:val="none"/>
                    </w:rPr>
                  </w:pPr>
                  <w:r>
                    <w:rPr>
                      <w:rFonts w:hint="default"/>
                      <w:b/>
                      <w:bCs/>
                      <w:color w:val="auto"/>
                      <w:highlight w:val="none"/>
                    </w:rPr>
                    <w:t>危</w:t>
                  </w:r>
                </w:p>
                <w:p>
                  <w:pPr>
                    <w:pStyle w:val="22"/>
                    <w:bidi w:val="0"/>
                    <w:rPr>
                      <w:rFonts w:hint="default"/>
                      <w:b/>
                      <w:bCs/>
                      <w:color w:val="auto"/>
                      <w:highlight w:val="none"/>
                    </w:rPr>
                  </w:pPr>
                  <w:r>
                    <w:rPr>
                      <w:rFonts w:hint="default"/>
                      <w:b/>
                      <w:bCs/>
                      <w:color w:val="auto"/>
                      <w:highlight w:val="none"/>
                    </w:rPr>
                    <w:t>险</w:t>
                  </w:r>
                </w:p>
                <w:p>
                  <w:pPr>
                    <w:pStyle w:val="22"/>
                    <w:bidi w:val="0"/>
                    <w:rPr>
                      <w:rFonts w:hint="default"/>
                      <w:b/>
                      <w:bCs/>
                      <w:color w:val="auto"/>
                      <w:highlight w:val="none"/>
                    </w:rPr>
                  </w:pPr>
                  <w:r>
                    <w:rPr>
                      <w:rFonts w:hint="default"/>
                      <w:b/>
                      <w:bCs/>
                      <w:color w:val="auto"/>
                      <w:highlight w:val="none"/>
                    </w:rPr>
                    <w:t>性</w:t>
                  </w: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燃烧性： 不燃</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闪点（℃）  无意义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91" w:hRule="atLeast"/>
                <w:jc w:val="center"/>
              </w:trPr>
              <w:tc>
                <w:tcPr>
                  <w:tcW w:w="481" w:type="dxa"/>
                  <w:vMerge w:val="continue"/>
                  <w:tcBorders>
                    <w:tl2br w:val="nil"/>
                    <w:tr2bl w:val="nil"/>
                  </w:tcBorders>
                  <w:noWrap w:val="0"/>
                  <w:vAlign w:val="center"/>
                </w:tcPr>
                <w:p>
                  <w:pPr>
                    <w:pStyle w:val="22"/>
                    <w:bidi w:val="0"/>
                    <w:rPr>
                      <w:rFonts w:hint="default"/>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爆炸下限（%）</w:t>
                  </w:r>
                  <w:r>
                    <w:rPr>
                      <w:rFonts w:hint="eastAsia"/>
                      <w:color w:val="auto"/>
                      <w:highlight w:val="none"/>
                      <w:lang w:eastAsia="zh-CN"/>
                    </w:rPr>
                    <w:t>：</w:t>
                  </w:r>
                  <w:r>
                    <w:rPr>
                      <w:rFonts w:hint="default"/>
                      <w:color w:val="auto"/>
                      <w:highlight w:val="none"/>
                    </w:rPr>
                    <w:t>无意义</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爆炸上限（%）</w:t>
                  </w:r>
                  <w:r>
                    <w:rPr>
                      <w:rFonts w:hint="eastAsia"/>
                      <w:color w:val="auto"/>
                      <w:highlight w:val="none"/>
                      <w:lang w:eastAsia="zh-CN"/>
                    </w:rPr>
                    <w:t>：无意义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36" w:hRule="atLeast"/>
                <w:jc w:val="center"/>
              </w:trPr>
              <w:tc>
                <w:tcPr>
                  <w:tcW w:w="481" w:type="dxa"/>
                  <w:vMerge w:val="continue"/>
                  <w:tcBorders>
                    <w:tl2br w:val="nil"/>
                    <w:tr2bl w:val="nil"/>
                  </w:tcBorders>
                  <w:noWrap w:val="0"/>
                  <w:vAlign w:val="center"/>
                </w:tcPr>
                <w:p>
                  <w:pPr>
                    <w:pStyle w:val="22"/>
                    <w:bidi w:val="0"/>
                    <w:rPr>
                      <w:rFonts w:hint="default"/>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引燃温度（℃）无意义</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最小点火能：（mJ）  无意义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81" w:hRule="atLeast"/>
                <w:jc w:val="center"/>
              </w:trPr>
              <w:tc>
                <w:tcPr>
                  <w:tcW w:w="481" w:type="dxa"/>
                  <w:vMerge w:val="continue"/>
                  <w:tcBorders>
                    <w:tl2br w:val="nil"/>
                    <w:tr2bl w:val="nil"/>
                  </w:tcBorders>
                  <w:noWrap w:val="0"/>
                  <w:vAlign w:val="center"/>
                </w:tcPr>
                <w:p>
                  <w:pPr>
                    <w:pStyle w:val="22"/>
                    <w:bidi w:val="0"/>
                    <w:rPr>
                      <w:rFonts w:hint="default"/>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最大爆炸压力（MPa）  无意义</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稳定性： 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93" w:hRule="atLeast"/>
                <w:jc w:val="center"/>
              </w:trPr>
              <w:tc>
                <w:tcPr>
                  <w:tcW w:w="481" w:type="dxa"/>
                  <w:vMerge w:val="continue"/>
                  <w:tcBorders>
                    <w:tl2br w:val="nil"/>
                    <w:tr2bl w:val="nil"/>
                  </w:tcBorders>
                  <w:noWrap w:val="0"/>
                  <w:vAlign w:val="center"/>
                </w:tcPr>
                <w:p>
                  <w:pPr>
                    <w:pStyle w:val="22"/>
                    <w:bidi w:val="0"/>
                    <w:rPr>
                      <w:rFonts w:hint="default"/>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聚合危害： 不聚合</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燃烧分解产物 CO</w:t>
                  </w:r>
                  <w:r>
                    <w:rPr>
                      <w:rFonts w:hint="eastAsia"/>
                      <w:color w:val="auto"/>
                      <w:highlight w:val="none"/>
                      <w:lang w:eastAsia="zh-CN"/>
                    </w:rPr>
                    <w:t>，</w:t>
                  </w:r>
                  <w:r>
                    <w:rPr>
                      <w:rFonts w:hint="default"/>
                      <w:color w:val="auto"/>
                      <w:highlight w:val="none"/>
                    </w:rPr>
                    <w:t>CO</w:t>
                  </w:r>
                  <w:r>
                    <w:rPr>
                      <w:rFonts w:hint="default"/>
                      <w:color w:val="auto"/>
                      <w:highlight w:val="none"/>
                      <w:vertAlign w:val="sub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30" w:hRule="atLeast"/>
                <w:jc w:val="center"/>
              </w:trPr>
              <w:tc>
                <w:tcPr>
                  <w:tcW w:w="481" w:type="dxa"/>
                  <w:vMerge w:val="continue"/>
                  <w:tcBorders>
                    <w:tl2br w:val="nil"/>
                    <w:tr2bl w:val="nil"/>
                  </w:tcBorders>
                  <w:noWrap w:val="0"/>
                  <w:vAlign w:val="center"/>
                </w:tcPr>
                <w:p>
                  <w:pPr>
                    <w:pStyle w:val="22"/>
                    <w:bidi w:val="0"/>
                    <w:rPr>
                      <w:rFonts w:hint="default"/>
                      <w:color w:val="auto"/>
                      <w:highlight w:val="none"/>
                    </w:rPr>
                  </w:pPr>
                </w:p>
              </w:tc>
              <w:tc>
                <w:tcPr>
                  <w:tcW w:w="3864"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禁忌物：碱类、碱金属、水、强还原剂、易燃或可燃物。</w:t>
                  </w:r>
                </w:p>
              </w:tc>
              <w:tc>
                <w:tcPr>
                  <w:tcW w:w="3767"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避免接触的条件：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641" w:hRule="atLeast"/>
                <w:jc w:val="center"/>
              </w:trPr>
              <w:tc>
                <w:tcPr>
                  <w:tcW w:w="481" w:type="dxa"/>
                  <w:vMerge w:val="continue"/>
                  <w:tcBorders>
                    <w:tl2br w:val="nil"/>
                    <w:tr2bl w:val="nil"/>
                  </w:tcBorders>
                  <w:noWrap w:val="0"/>
                  <w:vAlign w:val="center"/>
                </w:tcPr>
                <w:p>
                  <w:pPr>
                    <w:pStyle w:val="22"/>
                    <w:bidi w:val="0"/>
                    <w:rPr>
                      <w:rFonts w:hint="default"/>
                      <w:color w:val="auto"/>
                      <w:highlight w:val="none"/>
                    </w:rPr>
                  </w:pPr>
                </w:p>
              </w:tc>
              <w:tc>
                <w:tcPr>
                  <w:tcW w:w="7631" w:type="dxa"/>
                  <w:gridSpan w:val="3"/>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危险特性：遇水大量放热</w:t>
                  </w:r>
                  <w:r>
                    <w:rPr>
                      <w:rFonts w:hint="eastAsia"/>
                      <w:color w:val="auto"/>
                      <w:highlight w:val="none"/>
                      <w:lang w:eastAsia="zh-CN"/>
                    </w:rPr>
                    <w:t>，</w:t>
                  </w:r>
                  <w:r>
                    <w:rPr>
                      <w:rFonts w:hint="default"/>
                      <w:color w:val="auto"/>
                      <w:highlight w:val="none"/>
                    </w:rPr>
                    <w:t>可发生溅沸。与易燃物（如苯）和可燃物（如糖、纤维素等）接触会发生剧烈反应</w:t>
                  </w:r>
                  <w:r>
                    <w:rPr>
                      <w:rFonts w:hint="eastAsia"/>
                      <w:color w:val="auto"/>
                      <w:highlight w:val="none"/>
                      <w:lang w:eastAsia="zh-CN"/>
                    </w:rPr>
                    <w:t>，</w:t>
                  </w:r>
                  <w:r>
                    <w:rPr>
                      <w:rFonts w:hint="default"/>
                      <w:color w:val="auto"/>
                      <w:highlight w:val="none"/>
                    </w:rPr>
                    <w:t>甚至引起燃烧。遇电石、高氯酸盐、</w:t>
                  </w:r>
                  <w:r>
                    <w:rPr>
                      <w:rFonts w:hint="eastAsia"/>
                      <w:color w:val="auto"/>
                      <w:highlight w:val="none"/>
                      <w:lang w:eastAsia="zh-CN"/>
                    </w:rPr>
                    <w:t>磷酸</w:t>
                  </w:r>
                  <w:r>
                    <w:rPr>
                      <w:rFonts w:hint="default"/>
                      <w:color w:val="auto"/>
                      <w:highlight w:val="none"/>
                    </w:rPr>
                    <w:t>盐、硝酸盐、苦味酸盐、金属粉末等剧烈反应</w:t>
                  </w:r>
                  <w:r>
                    <w:rPr>
                      <w:rFonts w:hint="eastAsia"/>
                      <w:color w:val="auto"/>
                      <w:highlight w:val="none"/>
                      <w:lang w:eastAsia="zh-CN"/>
                    </w:rPr>
                    <w:t>，</w:t>
                  </w:r>
                  <w:r>
                    <w:rPr>
                      <w:rFonts w:hint="default"/>
                      <w:color w:val="auto"/>
                      <w:highlight w:val="none"/>
                    </w:rPr>
                    <w:t>发生爆炸或燃烧。有强烈的腐蚀性和吸水性。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52" w:hRule="atLeast"/>
                <w:jc w:val="center"/>
              </w:trPr>
              <w:tc>
                <w:tcPr>
                  <w:tcW w:w="481" w:type="dxa"/>
                  <w:vMerge w:val="continue"/>
                  <w:tcBorders>
                    <w:tl2br w:val="nil"/>
                    <w:tr2bl w:val="nil"/>
                  </w:tcBorders>
                  <w:noWrap w:val="0"/>
                  <w:vAlign w:val="center"/>
                </w:tcPr>
                <w:p>
                  <w:pPr>
                    <w:pStyle w:val="22"/>
                    <w:bidi w:val="0"/>
                    <w:rPr>
                      <w:rFonts w:hint="default"/>
                      <w:color w:val="auto"/>
                      <w:highlight w:val="none"/>
                    </w:rPr>
                  </w:pPr>
                </w:p>
              </w:tc>
              <w:tc>
                <w:tcPr>
                  <w:tcW w:w="7631" w:type="dxa"/>
                  <w:gridSpan w:val="3"/>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灭火方法：消防人员必须穿全身耐酸碱消防服。灭火剂：干粉、二氧化碳、砂土。避免水流冲击物品</w:t>
                  </w:r>
                  <w:r>
                    <w:rPr>
                      <w:rFonts w:hint="eastAsia"/>
                      <w:color w:val="auto"/>
                      <w:highlight w:val="none"/>
                      <w:lang w:eastAsia="zh-CN"/>
                    </w:rPr>
                    <w:t>，</w:t>
                  </w:r>
                  <w:r>
                    <w:rPr>
                      <w:rFonts w:hint="default"/>
                      <w:color w:val="auto"/>
                      <w:highlight w:val="none"/>
                    </w:rPr>
                    <w:t>以免遇水会放出大量热量发生喷溅而灼伤皮肤。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30" w:hRule="atLeast"/>
                <w:jc w:val="center"/>
              </w:trPr>
              <w:tc>
                <w:tcPr>
                  <w:tcW w:w="481" w:type="dxa"/>
                  <w:tcBorders>
                    <w:tl2br w:val="nil"/>
                    <w:tr2bl w:val="nil"/>
                  </w:tcBorders>
                  <w:noWrap w:val="0"/>
                  <w:vAlign w:val="center"/>
                </w:tcPr>
                <w:p>
                  <w:pPr>
                    <w:pStyle w:val="22"/>
                    <w:bidi w:val="0"/>
                    <w:rPr>
                      <w:rFonts w:hint="default"/>
                      <w:b/>
                      <w:bCs/>
                      <w:color w:val="auto"/>
                      <w:highlight w:val="none"/>
                    </w:rPr>
                  </w:pPr>
                  <w:r>
                    <w:rPr>
                      <w:rFonts w:hint="default"/>
                      <w:b/>
                      <w:bCs/>
                      <w:color w:val="auto"/>
                      <w:highlight w:val="none"/>
                    </w:rPr>
                    <w:t>毒</w:t>
                  </w:r>
                </w:p>
                <w:p>
                  <w:pPr>
                    <w:pStyle w:val="22"/>
                    <w:bidi w:val="0"/>
                    <w:rPr>
                      <w:rFonts w:hint="default"/>
                      <w:b/>
                      <w:bCs/>
                      <w:color w:val="auto"/>
                      <w:highlight w:val="none"/>
                    </w:rPr>
                  </w:pPr>
                  <w:r>
                    <w:rPr>
                      <w:rFonts w:hint="default"/>
                      <w:b/>
                      <w:bCs/>
                      <w:color w:val="auto"/>
                      <w:highlight w:val="none"/>
                    </w:rPr>
                    <w:t>性</w:t>
                  </w:r>
                </w:p>
              </w:tc>
              <w:tc>
                <w:tcPr>
                  <w:tcW w:w="7631" w:type="dxa"/>
                  <w:gridSpan w:val="3"/>
                  <w:tcBorders>
                    <w:tl2br w:val="nil"/>
                    <w:tr2bl w:val="nil"/>
                  </w:tcBorders>
                  <w:noWrap w:val="0"/>
                  <w:vAlign w:val="center"/>
                </w:tcPr>
                <w:p>
                  <w:pPr>
                    <w:pStyle w:val="22"/>
                    <w:bidi w:val="0"/>
                    <w:jc w:val="left"/>
                    <w:rPr>
                      <w:rFonts w:hint="default"/>
                      <w:color w:val="auto"/>
                      <w:highlight w:val="none"/>
                      <w:lang w:eastAsia="zh-CN"/>
                    </w:rPr>
                  </w:pPr>
                  <w:r>
                    <w:rPr>
                      <w:rFonts w:hint="default"/>
                      <w:color w:val="auto"/>
                      <w:highlight w:val="none"/>
                    </w:rPr>
                    <w:t>LD</w:t>
                  </w:r>
                  <w:r>
                    <w:rPr>
                      <w:rFonts w:hint="default"/>
                      <w:color w:val="auto"/>
                      <w:highlight w:val="none"/>
                      <w:vertAlign w:val="subscript"/>
                    </w:rPr>
                    <w:t>50</w:t>
                  </w:r>
                  <w:r>
                    <w:rPr>
                      <w:rFonts w:hint="default"/>
                      <w:color w:val="auto"/>
                      <w:highlight w:val="none"/>
                    </w:rPr>
                    <w:t>：2140mg/kg</w:t>
                  </w:r>
                  <w:r>
                    <w:rPr>
                      <w:rFonts w:hint="default"/>
                      <w:color w:val="auto"/>
                      <w:highlight w:val="none"/>
                      <w:lang w:eastAsia="zh-CN"/>
                    </w:rPr>
                    <w:t>（</w:t>
                  </w:r>
                  <w:r>
                    <w:rPr>
                      <w:rFonts w:hint="default"/>
                      <w:color w:val="auto"/>
                      <w:highlight w:val="none"/>
                    </w:rPr>
                    <w:t>大鼠经口</w:t>
                  </w:r>
                  <w:r>
                    <w:rPr>
                      <w:rFonts w:hint="default"/>
                      <w:color w:val="auto"/>
                      <w:highlight w:val="none"/>
                      <w:lang w:eastAsia="zh-CN"/>
                    </w:rPr>
                    <w:t>）</w:t>
                  </w:r>
                  <w:r>
                    <w:rPr>
                      <w:rFonts w:hint="default"/>
                      <w:color w:val="auto"/>
                      <w:highlight w:val="none"/>
                    </w:rPr>
                    <w:t>； LD</w:t>
                  </w:r>
                  <w:r>
                    <w:rPr>
                      <w:rFonts w:hint="default"/>
                      <w:color w:val="auto"/>
                      <w:highlight w:val="none"/>
                      <w:vertAlign w:val="subscript"/>
                    </w:rPr>
                    <w:t>50</w:t>
                  </w:r>
                  <w:r>
                    <w:rPr>
                      <w:rFonts w:hint="default"/>
                      <w:color w:val="auto"/>
                      <w:highlight w:val="none"/>
                    </w:rPr>
                    <w:t>：510mg/m</w:t>
                  </w:r>
                  <w:r>
                    <w:rPr>
                      <w:rFonts w:hint="default"/>
                      <w:color w:val="auto"/>
                      <w:highlight w:val="none"/>
                      <w:vertAlign w:val="superscript"/>
                    </w:rPr>
                    <w:t>3</w:t>
                  </w:r>
                  <w:r>
                    <w:rPr>
                      <w:rFonts w:hint="eastAsia"/>
                      <w:color w:val="auto"/>
                      <w:highlight w:val="none"/>
                      <w:lang w:eastAsia="zh-CN"/>
                    </w:rPr>
                    <w:t>，</w:t>
                  </w:r>
                  <w:r>
                    <w:rPr>
                      <w:rFonts w:hint="default"/>
                      <w:color w:val="auto"/>
                      <w:highlight w:val="none"/>
                    </w:rPr>
                    <w:t>2小时</w:t>
                  </w:r>
                  <w:r>
                    <w:rPr>
                      <w:rFonts w:hint="default"/>
                      <w:color w:val="auto"/>
                      <w:highlight w:val="none"/>
                      <w:lang w:eastAsia="zh-CN"/>
                    </w:rPr>
                    <w:t>（</w:t>
                  </w:r>
                  <w:r>
                    <w:rPr>
                      <w:rFonts w:hint="default"/>
                      <w:color w:val="auto"/>
                      <w:highlight w:val="none"/>
                    </w:rPr>
                    <w:t>大鼠吸入</w:t>
                  </w:r>
                  <w:r>
                    <w:rPr>
                      <w:rFonts w:hint="default"/>
                      <w:color w:val="auto"/>
                      <w:highlight w:val="none"/>
                      <w:lang w:eastAsia="zh-CN"/>
                    </w:rPr>
                    <w:t>）</w:t>
                  </w:r>
                </w:p>
                <w:p>
                  <w:pPr>
                    <w:pStyle w:val="22"/>
                    <w:bidi w:val="0"/>
                    <w:jc w:val="left"/>
                    <w:rPr>
                      <w:rFonts w:hint="default"/>
                      <w:color w:val="auto"/>
                      <w:highlight w:val="none"/>
                      <w:lang w:eastAsia="zh-CN"/>
                    </w:rPr>
                  </w:pPr>
                  <w:r>
                    <w:rPr>
                      <w:rFonts w:hint="default"/>
                      <w:color w:val="auto"/>
                      <w:highlight w:val="none"/>
                    </w:rPr>
                    <w:t>LD</w:t>
                  </w:r>
                  <w:r>
                    <w:rPr>
                      <w:rFonts w:hint="default"/>
                      <w:color w:val="auto"/>
                      <w:highlight w:val="none"/>
                      <w:vertAlign w:val="subscript"/>
                    </w:rPr>
                    <w:t>50</w:t>
                  </w:r>
                  <w:r>
                    <w:rPr>
                      <w:rFonts w:hint="default"/>
                      <w:color w:val="auto"/>
                      <w:highlight w:val="none"/>
                    </w:rPr>
                    <w:t>：320mg/m</w:t>
                  </w:r>
                  <w:r>
                    <w:rPr>
                      <w:rFonts w:hint="default"/>
                      <w:color w:val="auto"/>
                      <w:highlight w:val="none"/>
                      <w:vertAlign w:val="superscript"/>
                    </w:rPr>
                    <w:t>3</w:t>
                  </w:r>
                  <w:r>
                    <w:rPr>
                      <w:rFonts w:hint="eastAsia"/>
                      <w:color w:val="auto"/>
                      <w:highlight w:val="none"/>
                      <w:lang w:eastAsia="zh-CN"/>
                    </w:rPr>
                    <w:t>，</w:t>
                  </w:r>
                  <w:r>
                    <w:rPr>
                      <w:rFonts w:hint="default"/>
                      <w:color w:val="auto"/>
                      <w:highlight w:val="none"/>
                    </w:rPr>
                    <w:t>2小时</w:t>
                  </w:r>
                  <w:r>
                    <w:rPr>
                      <w:rFonts w:hint="default"/>
                      <w:color w:val="auto"/>
                      <w:highlight w:val="none"/>
                      <w:lang w:eastAsia="zh-CN"/>
                    </w:rPr>
                    <w:t>（</w:t>
                  </w:r>
                  <w:r>
                    <w:rPr>
                      <w:rFonts w:hint="default"/>
                      <w:color w:val="auto"/>
                      <w:highlight w:val="none"/>
                    </w:rPr>
                    <w:t>小鼠吸入</w:t>
                  </w:r>
                  <w:r>
                    <w:rPr>
                      <w:rFonts w:hint="default"/>
                      <w:color w:val="auto"/>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71" w:hRule="atLeast"/>
                <w:jc w:val="center"/>
              </w:trPr>
              <w:tc>
                <w:tcPr>
                  <w:tcW w:w="481" w:type="dxa"/>
                  <w:vMerge w:val="restart"/>
                  <w:tcBorders>
                    <w:tl2br w:val="nil"/>
                    <w:tr2bl w:val="nil"/>
                  </w:tcBorders>
                  <w:noWrap w:val="0"/>
                  <w:vAlign w:val="center"/>
                </w:tcPr>
                <w:p>
                  <w:pPr>
                    <w:pStyle w:val="22"/>
                    <w:bidi w:val="0"/>
                    <w:rPr>
                      <w:rFonts w:hint="default"/>
                      <w:b/>
                      <w:bCs/>
                      <w:color w:val="auto"/>
                      <w:highlight w:val="none"/>
                    </w:rPr>
                  </w:pPr>
                  <w:r>
                    <w:rPr>
                      <w:rFonts w:hint="default"/>
                      <w:b/>
                      <w:bCs/>
                      <w:color w:val="auto"/>
                      <w:highlight w:val="none"/>
                    </w:rPr>
                    <w:t>健康危害</w:t>
                  </w:r>
                </w:p>
              </w:tc>
              <w:tc>
                <w:tcPr>
                  <w:tcW w:w="7631" w:type="dxa"/>
                  <w:gridSpan w:val="3"/>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侵入</w:t>
                  </w:r>
                  <w:r>
                    <w:rPr>
                      <w:rFonts w:hint="default"/>
                      <w:color w:val="auto"/>
                      <w:highlight w:val="none"/>
                      <w:lang w:eastAsia="zh-CN"/>
                    </w:rPr>
                    <w:t>途径</w:t>
                  </w:r>
                  <w:r>
                    <w:rPr>
                      <w:rFonts w:hint="default"/>
                      <w:color w:val="auto"/>
                      <w:highlight w:val="none"/>
                    </w:rPr>
                    <w:t>：吸入、食入。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274" w:hRule="atLeast"/>
                <w:jc w:val="center"/>
              </w:trPr>
              <w:tc>
                <w:tcPr>
                  <w:tcW w:w="481" w:type="dxa"/>
                  <w:vMerge w:val="continue"/>
                  <w:tcBorders>
                    <w:tl2br w:val="nil"/>
                    <w:tr2bl w:val="nil"/>
                  </w:tcBorders>
                  <w:noWrap w:val="0"/>
                  <w:vAlign w:val="center"/>
                </w:tcPr>
                <w:p>
                  <w:pPr>
                    <w:pStyle w:val="22"/>
                    <w:bidi w:val="0"/>
                    <w:rPr>
                      <w:rFonts w:hint="default"/>
                      <w:b/>
                      <w:bCs/>
                      <w:color w:val="auto"/>
                      <w:highlight w:val="none"/>
                    </w:rPr>
                  </w:pPr>
                </w:p>
              </w:tc>
              <w:tc>
                <w:tcPr>
                  <w:tcW w:w="7631" w:type="dxa"/>
                  <w:gridSpan w:val="3"/>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对皮肤、</w:t>
                  </w:r>
                  <w:r>
                    <w:rPr>
                      <w:rFonts w:hint="default"/>
                      <w:color w:val="auto"/>
                      <w:highlight w:val="none"/>
                      <w:lang w:eastAsia="zh-CN"/>
                    </w:rPr>
                    <w:t>黏膜</w:t>
                  </w:r>
                  <w:r>
                    <w:rPr>
                      <w:rFonts w:hint="default"/>
                      <w:color w:val="auto"/>
                      <w:highlight w:val="none"/>
                    </w:rPr>
                    <w:t>等组织有强烈的刺激和腐蚀作用。蒸气或雾可引起结膜炎、结膜水肿、角膜混浊</w:t>
                  </w:r>
                  <w:r>
                    <w:rPr>
                      <w:rFonts w:hint="eastAsia"/>
                      <w:color w:val="auto"/>
                      <w:highlight w:val="none"/>
                      <w:lang w:eastAsia="zh-CN"/>
                    </w:rPr>
                    <w:t>，</w:t>
                  </w:r>
                  <w:r>
                    <w:rPr>
                      <w:rFonts w:hint="default"/>
                      <w:color w:val="auto"/>
                      <w:highlight w:val="none"/>
                    </w:rPr>
                    <w:t>以致失明；引起呼吸道刺激</w:t>
                  </w:r>
                  <w:r>
                    <w:rPr>
                      <w:rFonts w:hint="eastAsia"/>
                      <w:color w:val="auto"/>
                      <w:highlight w:val="none"/>
                      <w:lang w:eastAsia="zh-CN"/>
                    </w:rPr>
                    <w:t>，</w:t>
                  </w:r>
                  <w:r>
                    <w:rPr>
                      <w:rFonts w:hint="default"/>
                      <w:color w:val="auto"/>
                      <w:highlight w:val="none"/>
                    </w:rPr>
                    <w:t>重者发生呼吸困难和肺水肿；高浓度引起喉痉挛或声门水肿而窒息死亡。口服后引起消化道烧伤以致溃疡形成；严重者可能有胃穿孔、腹膜炎、肾损害、休克等。皮肤灼伤轻者出现红斑</w:t>
                  </w:r>
                  <w:r>
                    <w:rPr>
                      <w:rFonts w:hint="eastAsia"/>
                      <w:color w:val="auto"/>
                      <w:highlight w:val="none"/>
                      <w:lang w:eastAsia="zh-CN"/>
                    </w:rPr>
                    <w:t>，</w:t>
                  </w:r>
                  <w:r>
                    <w:rPr>
                      <w:rFonts w:hint="default"/>
                      <w:color w:val="auto"/>
                      <w:highlight w:val="none"/>
                    </w:rPr>
                    <w:t>重者形成溃疡</w:t>
                  </w:r>
                  <w:r>
                    <w:rPr>
                      <w:rFonts w:hint="eastAsia"/>
                      <w:color w:val="auto"/>
                      <w:highlight w:val="none"/>
                      <w:lang w:eastAsia="zh-CN"/>
                    </w:rPr>
                    <w:t>，</w:t>
                  </w:r>
                  <w:r>
                    <w:rPr>
                      <w:rFonts w:hint="default"/>
                      <w:color w:val="auto"/>
                      <w:highlight w:val="none"/>
                    </w:rPr>
                    <w:t>愈后</w:t>
                  </w:r>
                  <w:r>
                    <w:rPr>
                      <w:rFonts w:hint="default"/>
                      <w:color w:val="auto"/>
                      <w:highlight w:val="none"/>
                      <w:lang w:eastAsia="zh-CN"/>
                    </w:rPr>
                    <w:t>瘢痕</w:t>
                  </w:r>
                  <w:r>
                    <w:rPr>
                      <w:rFonts w:hint="default"/>
                      <w:color w:val="auto"/>
                      <w:highlight w:val="none"/>
                    </w:rPr>
                    <w:t>收缩影响功能。溅入眼内可造成灼伤</w:t>
                  </w:r>
                  <w:r>
                    <w:rPr>
                      <w:rFonts w:hint="eastAsia"/>
                      <w:color w:val="auto"/>
                      <w:highlight w:val="none"/>
                      <w:lang w:eastAsia="zh-CN"/>
                    </w:rPr>
                    <w:t>，</w:t>
                  </w:r>
                  <w:r>
                    <w:rPr>
                      <w:rFonts w:hint="default"/>
                      <w:color w:val="auto"/>
                      <w:highlight w:val="none"/>
                    </w:rPr>
                    <w:t>甚至角膜穿孔、全眼炎以至失明。·慢性影响：牙齿酸蚀症、慢性支气管炎、肺气肿和肺硬化。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063" w:hRule="atLeast"/>
                <w:jc w:val="center"/>
              </w:trPr>
              <w:tc>
                <w:tcPr>
                  <w:tcW w:w="481" w:type="dxa"/>
                  <w:tcBorders>
                    <w:tl2br w:val="nil"/>
                    <w:tr2bl w:val="nil"/>
                  </w:tcBorders>
                  <w:noWrap w:val="0"/>
                  <w:vAlign w:val="center"/>
                </w:tcPr>
                <w:p>
                  <w:pPr>
                    <w:pStyle w:val="22"/>
                    <w:bidi w:val="0"/>
                    <w:rPr>
                      <w:rFonts w:hint="default"/>
                      <w:b/>
                      <w:bCs/>
                      <w:color w:val="auto"/>
                      <w:highlight w:val="none"/>
                    </w:rPr>
                  </w:pPr>
                  <w:r>
                    <w:rPr>
                      <w:rFonts w:hint="default"/>
                      <w:b/>
                      <w:bCs/>
                      <w:color w:val="auto"/>
                      <w:highlight w:val="none"/>
                    </w:rPr>
                    <w:t>急</w:t>
                  </w:r>
                </w:p>
                <w:p>
                  <w:pPr>
                    <w:pStyle w:val="22"/>
                    <w:bidi w:val="0"/>
                    <w:rPr>
                      <w:rFonts w:hint="default"/>
                      <w:b/>
                      <w:bCs/>
                      <w:color w:val="auto"/>
                      <w:highlight w:val="none"/>
                    </w:rPr>
                  </w:pPr>
                  <w:r>
                    <w:rPr>
                      <w:rFonts w:hint="default"/>
                      <w:b/>
                      <w:bCs/>
                      <w:color w:val="auto"/>
                      <w:highlight w:val="none"/>
                    </w:rPr>
                    <w:t>救</w:t>
                  </w:r>
                </w:p>
              </w:tc>
              <w:tc>
                <w:tcPr>
                  <w:tcW w:w="7631" w:type="dxa"/>
                  <w:gridSpan w:val="3"/>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皮肤接触：立即脱去被污染的衣着</w:t>
                  </w:r>
                  <w:r>
                    <w:rPr>
                      <w:rFonts w:hint="eastAsia"/>
                      <w:color w:val="auto"/>
                      <w:highlight w:val="none"/>
                      <w:lang w:eastAsia="zh-CN"/>
                    </w:rPr>
                    <w:t>，</w:t>
                  </w:r>
                  <w:r>
                    <w:rPr>
                      <w:rFonts w:hint="default"/>
                      <w:color w:val="auto"/>
                      <w:highlight w:val="none"/>
                    </w:rPr>
                    <w:t>用大量流动清水冲洗</w:t>
                  </w:r>
                  <w:r>
                    <w:rPr>
                      <w:rFonts w:hint="eastAsia"/>
                      <w:color w:val="auto"/>
                      <w:highlight w:val="none"/>
                      <w:lang w:eastAsia="zh-CN"/>
                    </w:rPr>
                    <w:t>，</w:t>
                  </w:r>
                  <w:r>
                    <w:rPr>
                      <w:rFonts w:hint="default"/>
                      <w:color w:val="auto"/>
                      <w:highlight w:val="none"/>
                    </w:rPr>
                    <w:t>至少15分钟。就医。眼睛接触：立即提起眼睑</w:t>
                  </w:r>
                  <w:r>
                    <w:rPr>
                      <w:rFonts w:hint="eastAsia"/>
                      <w:color w:val="auto"/>
                      <w:highlight w:val="none"/>
                      <w:lang w:eastAsia="zh-CN"/>
                    </w:rPr>
                    <w:t>，</w:t>
                  </w:r>
                  <w:r>
                    <w:rPr>
                      <w:rFonts w:hint="default"/>
                      <w:color w:val="auto"/>
                      <w:highlight w:val="none"/>
                    </w:rPr>
                    <w:t>用大量流动清水或生理盐水彻底冲洗至少15分钟。就医。吸入：迅速脱离现场至空气新鲜处。保持呼吸道通畅。如呼吸困难</w:t>
                  </w:r>
                  <w:r>
                    <w:rPr>
                      <w:rFonts w:hint="eastAsia"/>
                      <w:color w:val="auto"/>
                      <w:highlight w:val="none"/>
                      <w:lang w:eastAsia="zh-CN"/>
                    </w:rPr>
                    <w:t>，</w:t>
                  </w:r>
                  <w:r>
                    <w:rPr>
                      <w:rFonts w:hint="default"/>
                      <w:color w:val="auto"/>
                      <w:highlight w:val="none"/>
                    </w:rPr>
                    <w:t>给输氧。如呼吸停止</w:t>
                  </w:r>
                  <w:r>
                    <w:rPr>
                      <w:rFonts w:hint="eastAsia"/>
                      <w:color w:val="auto"/>
                      <w:highlight w:val="none"/>
                      <w:lang w:eastAsia="zh-CN"/>
                    </w:rPr>
                    <w:t>，</w:t>
                  </w:r>
                  <w:r>
                    <w:rPr>
                      <w:rFonts w:hint="default"/>
                      <w:color w:val="auto"/>
                      <w:highlight w:val="none"/>
                    </w:rPr>
                    <w:t>立即进行人工呼吸</w:t>
                  </w:r>
                  <w:r>
                    <w:rPr>
                      <w:rFonts w:hint="eastAsia"/>
                      <w:color w:val="auto"/>
                      <w:highlight w:val="none"/>
                      <w:lang w:eastAsia="zh-CN"/>
                    </w:rPr>
                    <w:t>，</w:t>
                  </w:r>
                  <w:r>
                    <w:rPr>
                      <w:rFonts w:hint="default"/>
                      <w:color w:val="auto"/>
                      <w:highlight w:val="none"/>
                    </w:rPr>
                    <w:t>就医。食入：误食者用水漱口</w:t>
                  </w:r>
                  <w:r>
                    <w:rPr>
                      <w:rFonts w:hint="eastAsia"/>
                      <w:color w:val="auto"/>
                      <w:highlight w:val="none"/>
                      <w:lang w:eastAsia="zh-CN"/>
                    </w:rPr>
                    <w:t>，</w:t>
                  </w:r>
                  <w:r>
                    <w:rPr>
                      <w:rFonts w:hint="default"/>
                      <w:color w:val="auto"/>
                      <w:highlight w:val="none"/>
                    </w:rPr>
                    <w:t>给饮牛奶或蛋清。就医。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274" w:hRule="atLeast"/>
                <w:jc w:val="center"/>
              </w:trPr>
              <w:tc>
                <w:tcPr>
                  <w:tcW w:w="481" w:type="dxa"/>
                  <w:tcBorders>
                    <w:tl2br w:val="nil"/>
                    <w:tr2bl w:val="nil"/>
                  </w:tcBorders>
                  <w:noWrap w:val="0"/>
                  <w:vAlign w:val="center"/>
                </w:tcPr>
                <w:p>
                  <w:pPr>
                    <w:pStyle w:val="22"/>
                    <w:bidi w:val="0"/>
                    <w:rPr>
                      <w:rFonts w:hint="default"/>
                      <w:b/>
                      <w:bCs/>
                      <w:color w:val="auto"/>
                      <w:highlight w:val="none"/>
                    </w:rPr>
                  </w:pPr>
                  <w:r>
                    <w:rPr>
                      <w:rFonts w:hint="default"/>
                      <w:b/>
                      <w:bCs/>
                      <w:color w:val="auto"/>
                      <w:highlight w:val="none"/>
                    </w:rPr>
                    <w:t>防</w:t>
                  </w:r>
                </w:p>
                <w:p>
                  <w:pPr>
                    <w:pStyle w:val="22"/>
                    <w:bidi w:val="0"/>
                    <w:rPr>
                      <w:rFonts w:hint="default"/>
                      <w:b/>
                      <w:bCs/>
                      <w:color w:val="auto"/>
                      <w:highlight w:val="none"/>
                    </w:rPr>
                  </w:pPr>
                  <w:r>
                    <w:rPr>
                      <w:rFonts w:hint="default"/>
                      <w:b/>
                      <w:bCs/>
                      <w:color w:val="auto"/>
                      <w:highlight w:val="none"/>
                    </w:rPr>
                    <w:t>护</w:t>
                  </w:r>
                </w:p>
              </w:tc>
              <w:tc>
                <w:tcPr>
                  <w:tcW w:w="7631" w:type="dxa"/>
                  <w:gridSpan w:val="3"/>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工程控制：密闭操作</w:t>
                  </w:r>
                  <w:r>
                    <w:rPr>
                      <w:rFonts w:hint="eastAsia"/>
                      <w:color w:val="auto"/>
                      <w:highlight w:val="none"/>
                      <w:lang w:eastAsia="zh-CN"/>
                    </w:rPr>
                    <w:t>，</w:t>
                  </w:r>
                  <w:r>
                    <w:rPr>
                      <w:rFonts w:hint="default"/>
                      <w:color w:val="auto"/>
                      <w:highlight w:val="none"/>
                    </w:rPr>
                    <w:t>注意通风。尽可能机械化、自动化。提供安全淋浴和洗眼设备·呼吸系统防护：可能接触其烟雾时</w:t>
                  </w:r>
                  <w:r>
                    <w:rPr>
                      <w:rFonts w:hint="eastAsia"/>
                      <w:color w:val="auto"/>
                      <w:highlight w:val="none"/>
                      <w:lang w:eastAsia="zh-CN"/>
                    </w:rPr>
                    <w:t>，</w:t>
                  </w:r>
                  <w:r>
                    <w:rPr>
                      <w:rFonts w:hint="default"/>
                      <w:color w:val="auto"/>
                      <w:highlight w:val="none"/>
                    </w:rPr>
                    <w:t>佩戴自吸过滤式防毒面具（全面罩）或空气呼吸器。紧急事态抢救或</w:t>
                  </w:r>
                  <w:r>
                    <w:rPr>
                      <w:rFonts w:hint="default"/>
                      <w:color w:val="auto"/>
                      <w:highlight w:val="none"/>
                      <w:lang w:eastAsia="zh-CN"/>
                    </w:rPr>
                    <w:t>撤离</w:t>
                  </w:r>
                  <w:r>
                    <w:rPr>
                      <w:rFonts w:hint="default"/>
                      <w:color w:val="auto"/>
                      <w:highlight w:val="none"/>
                    </w:rPr>
                    <w:t>时佩戴氧气呼吸器。·眼睛防护：呼吸系统防护中已</w:t>
                  </w:r>
                  <w:r>
                    <w:rPr>
                      <w:rFonts w:hint="eastAsia"/>
                      <w:color w:val="auto"/>
                      <w:highlight w:val="none"/>
                      <w:lang w:eastAsia="zh-CN"/>
                    </w:rPr>
                    <w:t>做</w:t>
                  </w:r>
                  <w:r>
                    <w:rPr>
                      <w:rFonts w:hint="default"/>
                      <w:color w:val="auto"/>
                      <w:highlight w:val="none"/>
                    </w:rPr>
                    <w:t>防护。·身体防护：穿橡胶耐酸碱服。·手防护：戴橡胶耐酸碱手套。·其他：工作场所禁止吸烟</w:t>
                  </w:r>
                  <w:r>
                    <w:rPr>
                      <w:rFonts w:hint="eastAsia"/>
                      <w:color w:val="auto"/>
                      <w:highlight w:val="none"/>
                      <w:lang w:eastAsia="zh-CN"/>
                    </w:rPr>
                    <w:t>，</w:t>
                  </w:r>
                  <w:r>
                    <w:rPr>
                      <w:rFonts w:hint="default"/>
                      <w:color w:val="auto"/>
                      <w:highlight w:val="none"/>
                    </w:rPr>
                    <w:t>进食、饮水和饭前要洗手。工作毕</w:t>
                  </w:r>
                  <w:r>
                    <w:rPr>
                      <w:rFonts w:hint="eastAsia"/>
                      <w:color w:val="auto"/>
                      <w:highlight w:val="none"/>
                      <w:lang w:eastAsia="zh-CN"/>
                    </w:rPr>
                    <w:t>，</w:t>
                  </w:r>
                  <w:r>
                    <w:rPr>
                      <w:rFonts w:hint="default"/>
                      <w:color w:val="auto"/>
                      <w:highlight w:val="none"/>
                    </w:rPr>
                    <w:t>淋浴更衣。单独存放被毒物污染的衣服</w:t>
                  </w:r>
                  <w:r>
                    <w:rPr>
                      <w:rFonts w:hint="eastAsia"/>
                      <w:color w:val="auto"/>
                      <w:highlight w:val="none"/>
                      <w:lang w:eastAsia="zh-CN"/>
                    </w:rPr>
                    <w:t>，</w:t>
                  </w:r>
                  <w:r>
                    <w:rPr>
                      <w:rFonts w:hint="default"/>
                      <w:color w:val="auto"/>
                      <w:highlight w:val="none"/>
                    </w:rPr>
                    <w:t>洗后备用。保持良好的卫生习惯。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063" w:hRule="atLeast"/>
                <w:jc w:val="center"/>
              </w:trPr>
              <w:tc>
                <w:tcPr>
                  <w:tcW w:w="481" w:type="dxa"/>
                  <w:tcBorders>
                    <w:tl2br w:val="nil"/>
                    <w:tr2bl w:val="nil"/>
                  </w:tcBorders>
                  <w:noWrap w:val="0"/>
                  <w:vAlign w:val="center"/>
                </w:tcPr>
                <w:p>
                  <w:pPr>
                    <w:pStyle w:val="22"/>
                    <w:bidi w:val="0"/>
                    <w:rPr>
                      <w:rFonts w:hint="default"/>
                      <w:b/>
                      <w:bCs/>
                      <w:color w:val="auto"/>
                      <w:highlight w:val="none"/>
                    </w:rPr>
                  </w:pPr>
                  <w:r>
                    <w:rPr>
                      <w:rFonts w:hint="default"/>
                      <w:b/>
                      <w:bCs/>
                      <w:color w:val="auto"/>
                      <w:highlight w:val="none"/>
                    </w:rPr>
                    <w:t>泄</w:t>
                  </w:r>
                </w:p>
                <w:p>
                  <w:pPr>
                    <w:pStyle w:val="22"/>
                    <w:bidi w:val="0"/>
                    <w:rPr>
                      <w:rFonts w:hint="default"/>
                      <w:b/>
                      <w:bCs/>
                      <w:color w:val="auto"/>
                      <w:highlight w:val="none"/>
                    </w:rPr>
                  </w:pPr>
                  <w:r>
                    <w:rPr>
                      <w:rFonts w:hint="default"/>
                      <w:b/>
                      <w:bCs/>
                      <w:color w:val="auto"/>
                      <w:highlight w:val="none"/>
                    </w:rPr>
                    <w:t>漏</w:t>
                  </w:r>
                </w:p>
                <w:p>
                  <w:pPr>
                    <w:pStyle w:val="22"/>
                    <w:bidi w:val="0"/>
                    <w:rPr>
                      <w:rFonts w:hint="default"/>
                      <w:b/>
                      <w:bCs/>
                      <w:color w:val="auto"/>
                      <w:highlight w:val="none"/>
                    </w:rPr>
                  </w:pPr>
                  <w:r>
                    <w:rPr>
                      <w:rFonts w:hint="default"/>
                      <w:b/>
                      <w:bCs/>
                      <w:color w:val="auto"/>
                      <w:highlight w:val="none"/>
                    </w:rPr>
                    <w:t>处</w:t>
                  </w:r>
                </w:p>
                <w:p>
                  <w:pPr>
                    <w:pStyle w:val="22"/>
                    <w:bidi w:val="0"/>
                    <w:rPr>
                      <w:rFonts w:hint="default"/>
                      <w:b/>
                      <w:bCs/>
                      <w:color w:val="auto"/>
                      <w:highlight w:val="none"/>
                    </w:rPr>
                  </w:pPr>
                  <w:r>
                    <w:rPr>
                      <w:rFonts w:hint="default"/>
                      <w:b/>
                      <w:bCs/>
                      <w:color w:val="auto"/>
                      <w:highlight w:val="none"/>
                    </w:rPr>
                    <w:t>理</w:t>
                  </w:r>
                </w:p>
              </w:tc>
              <w:tc>
                <w:tcPr>
                  <w:tcW w:w="7631" w:type="dxa"/>
                  <w:gridSpan w:val="3"/>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迅速撤离泄漏污染区人员至安全区</w:t>
                  </w:r>
                  <w:r>
                    <w:rPr>
                      <w:rFonts w:hint="eastAsia"/>
                      <w:color w:val="auto"/>
                      <w:highlight w:val="none"/>
                      <w:lang w:eastAsia="zh-CN"/>
                    </w:rPr>
                    <w:t>，</w:t>
                  </w:r>
                  <w:r>
                    <w:rPr>
                      <w:rFonts w:hint="default"/>
                      <w:color w:val="auto"/>
                      <w:highlight w:val="none"/>
                    </w:rPr>
                    <w:t>并进行隔离</w:t>
                  </w:r>
                  <w:r>
                    <w:rPr>
                      <w:rFonts w:hint="eastAsia"/>
                      <w:color w:val="auto"/>
                      <w:highlight w:val="none"/>
                      <w:lang w:eastAsia="zh-CN"/>
                    </w:rPr>
                    <w:t>，</w:t>
                  </w:r>
                  <w:r>
                    <w:rPr>
                      <w:rFonts w:hint="default"/>
                      <w:color w:val="auto"/>
                      <w:highlight w:val="none"/>
                    </w:rPr>
                    <w:t>严格限制出入。建议应急处理人员戴自给正压式呼吸器</w:t>
                  </w:r>
                  <w:r>
                    <w:rPr>
                      <w:rFonts w:hint="eastAsia"/>
                      <w:color w:val="auto"/>
                      <w:highlight w:val="none"/>
                      <w:lang w:eastAsia="zh-CN"/>
                    </w:rPr>
                    <w:t>，</w:t>
                  </w:r>
                  <w:r>
                    <w:rPr>
                      <w:rFonts w:hint="default"/>
                      <w:color w:val="auto"/>
                      <w:highlight w:val="none"/>
                    </w:rPr>
                    <w:t>穿防酸碱工作服。不要直接接触泄漏物。尽可能切断泄漏源。防止进入下水道、排洪沟等限制性空间。小量泄漏：用砂土、干燥石灰或苏打灰混合。也可以用大量水冲洗</w:t>
                  </w:r>
                  <w:r>
                    <w:rPr>
                      <w:rFonts w:hint="eastAsia"/>
                      <w:color w:val="auto"/>
                      <w:highlight w:val="none"/>
                      <w:lang w:eastAsia="zh-CN"/>
                    </w:rPr>
                    <w:t>，</w:t>
                  </w:r>
                  <w:r>
                    <w:rPr>
                      <w:rFonts w:hint="default"/>
                      <w:color w:val="auto"/>
                      <w:highlight w:val="none"/>
                    </w:rPr>
                    <w:t>洗水稀释后放入废水系统。大量泄漏：构筑围堤或挖坑收容；用泵转移至槽车或专用收集器内</w:t>
                  </w:r>
                  <w:r>
                    <w:rPr>
                      <w:rFonts w:hint="eastAsia"/>
                      <w:color w:val="auto"/>
                      <w:highlight w:val="none"/>
                      <w:lang w:eastAsia="zh-CN"/>
                    </w:rPr>
                    <w:t>，</w:t>
                  </w:r>
                  <w:r>
                    <w:rPr>
                      <w:rFonts w:hint="default"/>
                      <w:color w:val="auto"/>
                      <w:highlight w:val="none"/>
                    </w:rPr>
                    <w:t>回收或运至废物处理场所处置。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664" w:hRule="atLeast"/>
                <w:jc w:val="center"/>
              </w:trPr>
              <w:tc>
                <w:tcPr>
                  <w:tcW w:w="481" w:type="dxa"/>
                  <w:tcBorders>
                    <w:tl2br w:val="nil"/>
                    <w:tr2bl w:val="nil"/>
                  </w:tcBorders>
                  <w:noWrap w:val="0"/>
                  <w:vAlign w:val="center"/>
                </w:tcPr>
                <w:p>
                  <w:pPr>
                    <w:pStyle w:val="22"/>
                    <w:bidi w:val="0"/>
                    <w:rPr>
                      <w:rFonts w:hint="default"/>
                      <w:b/>
                      <w:bCs/>
                      <w:color w:val="auto"/>
                      <w:highlight w:val="none"/>
                    </w:rPr>
                  </w:pPr>
                  <w:r>
                    <w:rPr>
                      <w:rFonts w:hint="default"/>
                      <w:b/>
                      <w:bCs/>
                      <w:color w:val="auto"/>
                      <w:highlight w:val="none"/>
                    </w:rPr>
                    <w:t>储</w:t>
                  </w:r>
                </w:p>
                <w:p>
                  <w:pPr>
                    <w:pStyle w:val="22"/>
                    <w:bidi w:val="0"/>
                    <w:rPr>
                      <w:rFonts w:hint="default"/>
                      <w:b/>
                      <w:bCs/>
                      <w:color w:val="auto"/>
                      <w:highlight w:val="none"/>
                    </w:rPr>
                  </w:pPr>
                  <w:r>
                    <w:rPr>
                      <w:rFonts w:hint="default"/>
                      <w:b/>
                      <w:bCs/>
                      <w:color w:val="auto"/>
                      <w:highlight w:val="none"/>
                    </w:rPr>
                    <w:t>运</w:t>
                  </w:r>
                </w:p>
              </w:tc>
              <w:tc>
                <w:tcPr>
                  <w:tcW w:w="7631" w:type="dxa"/>
                  <w:gridSpan w:val="3"/>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储存于阴凉、干燥、通风良好的仓间。应与易燃或可燃物、碱类、金属粉末等分开存放。不可混储混运。搬运时要轻装轻卸</w:t>
                  </w:r>
                  <w:r>
                    <w:rPr>
                      <w:rFonts w:hint="eastAsia"/>
                      <w:color w:val="auto"/>
                      <w:highlight w:val="none"/>
                      <w:lang w:eastAsia="zh-CN"/>
                    </w:rPr>
                    <w:t>，</w:t>
                  </w:r>
                  <w:r>
                    <w:rPr>
                      <w:rFonts w:hint="default"/>
                      <w:color w:val="auto"/>
                      <w:highlight w:val="none"/>
                    </w:rPr>
                    <w:t>防止包装及容器损坏。分装和搬运作业要注意个人防护。</w:t>
                  </w:r>
                </w:p>
              </w:tc>
            </w:tr>
          </w:tbl>
          <w:p>
            <w:pPr>
              <w:pStyle w:val="23"/>
              <w:numPr>
                <w:ilvl w:val="0"/>
                <w:numId w:val="2"/>
              </w:numPr>
              <w:rPr>
                <w:color w:val="auto"/>
                <w:highlight w:val="none"/>
              </w:rPr>
            </w:pPr>
            <w:r>
              <w:rPr>
                <w:color w:val="auto"/>
                <w:highlight w:val="none"/>
              </w:rPr>
              <w:t xml:space="preserve"> </w:t>
            </w:r>
            <w:r>
              <w:rPr>
                <w:rFonts w:hint="eastAsia"/>
                <w:color w:val="auto"/>
                <w:highlight w:val="none"/>
              </w:rPr>
              <w:t xml:space="preserve">  油漆桶盛装油漆</w:t>
            </w:r>
            <w:r>
              <w:rPr>
                <w:color w:val="auto"/>
                <w:highlight w:val="none"/>
              </w:rPr>
              <w:t>成分表</w:t>
            </w:r>
          </w:p>
          <w:tbl>
            <w:tblPr>
              <w:tblStyle w:val="16"/>
              <w:tblW w:w="81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47"/>
              <w:gridCol w:w="2430"/>
              <w:gridCol w:w="30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647"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成分</w:t>
                  </w:r>
                </w:p>
              </w:tc>
              <w:tc>
                <w:tcPr>
                  <w:tcW w:w="2430"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含量</w:t>
                  </w:r>
                </w:p>
              </w:tc>
              <w:tc>
                <w:tcPr>
                  <w:tcW w:w="3065" w:type="dxa"/>
                  <w:tcBorders>
                    <w:tl2br w:val="nil"/>
                    <w:tr2bl w:val="nil"/>
                  </w:tcBorders>
                  <w:vAlign w:val="center"/>
                </w:tcPr>
                <w:p>
                  <w:pPr>
                    <w:pStyle w:val="25"/>
                    <w:rPr>
                      <w:rFonts w:hint="default"/>
                      <w:color w:val="auto"/>
                      <w:highlight w:val="none"/>
                      <w:lang w:val="en-US" w:eastAsia="zh-CN"/>
                    </w:rPr>
                  </w:pPr>
                  <w:r>
                    <w:rPr>
                      <w:rFonts w:hint="eastAsia"/>
                      <w:color w:val="auto"/>
                      <w:highlight w:val="none"/>
                      <w:lang w:val="en-US" w:eastAsia="zh-CN"/>
                    </w:rPr>
                    <w:t>CAS号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jc w:val="center"/>
              </w:trPr>
              <w:tc>
                <w:tcPr>
                  <w:tcW w:w="2647" w:type="dxa"/>
                  <w:tcBorders>
                    <w:tl2br w:val="nil"/>
                    <w:tr2bl w:val="nil"/>
                  </w:tcBorders>
                  <w:vAlign w:val="center"/>
                </w:tcPr>
                <w:p>
                  <w:pPr>
                    <w:pStyle w:val="22"/>
                    <w:bidi w:val="0"/>
                    <w:jc w:val="center"/>
                    <w:rPr>
                      <w:rFonts w:hint="default"/>
                      <w:color w:val="auto"/>
                      <w:highlight w:val="none"/>
                    </w:rPr>
                  </w:pPr>
                  <w:r>
                    <w:rPr>
                      <w:rFonts w:hint="eastAsia"/>
                      <w:color w:val="auto"/>
                      <w:highlight w:val="none"/>
                    </w:rPr>
                    <w:t>水</w:t>
                  </w:r>
                </w:p>
              </w:tc>
              <w:tc>
                <w:tcPr>
                  <w:tcW w:w="2430" w:type="dxa"/>
                  <w:tcBorders>
                    <w:tl2br w:val="nil"/>
                    <w:tr2bl w:val="nil"/>
                  </w:tcBorders>
                  <w:vAlign w:val="center"/>
                </w:tcPr>
                <w:p>
                  <w:pPr>
                    <w:pStyle w:val="22"/>
                    <w:bidi w:val="0"/>
                    <w:jc w:val="center"/>
                    <w:rPr>
                      <w:rFonts w:hint="default"/>
                      <w:color w:val="auto"/>
                      <w:highlight w:val="none"/>
                    </w:rPr>
                  </w:pPr>
                  <w:r>
                    <w:rPr>
                      <w:rFonts w:hint="eastAsia"/>
                      <w:color w:val="auto"/>
                      <w:highlight w:val="none"/>
                    </w:rPr>
                    <w:t>32%</w:t>
                  </w:r>
                </w:p>
              </w:tc>
              <w:tc>
                <w:tcPr>
                  <w:tcW w:w="3065" w:type="dxa"/>
                  <w:tcBorders>
                    <w:tl2br w:val="nil"/>
                    <w:tr2bl w:val="nil"/>
                  </w:tcBorders>
                  <w:vAlign w:val="center"/>
                </w:tcPr>
                <w:p>
                  <w:pPr>
                    <w:pStyle w:val="22"/>
                    <w:bidi w:val="0"/>
                    <w:jc w:val="center"/>
                    <w:rPr>
                      <w:rFonts w:hint="eastAsia" w:eastAsiaTheme="minorEastAsia"/>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jc w:val="center"/>
              </w:trPr>
              <w:tc>
                <w:tcPr>
                  <w:tcW w:w="2647" w:type="dxa"/>
                  <w:tcBorders>
                    <w:tl2br w:val="nil"/>
                    <w:tr2bl w:val="nil"/>
                  </w:tcBorders>
                  <w:vAlign w:val="center"/>
                </w:tcPr>
                <w:p>
                  <w:pPr>
                    <w:pStyle w:val="22"/>
                    <w:bidi w:val="0"/>
                    <w:jc w:val="center"/>
                    <w:rPr>
                      <w:rFonts w:hint="default"/>
                      <w:color w:val="auto"/>
                      <w:highlight w:val="none"/>
                    </w:rPr>
                  </w:pPr>
                  <w:r>
                    <w:rPr>
                      <w:rFonts w:hint="eastAsia"/>
                      <w:color w:val="auto"/>
                      <w:highlight w:val="none"/>
                    </w:rPr>
                    <w:t>水性聚氨酯丙烯酸分散体</w:t>
                  </w:r>
                </w:p>
              </w:tc>
              <w:tc>
                <w:tcPr>
                  <w:tcW w:w="2430" w:type="dxa"/>
                  <w:tcBorders>
                    <w:tl2br w:val="nil"/>
                    <w:tr2bl w:val="nil"/>
                  </w:tcBorders>
                  <w:vAlign w:val="center"/>
                </w:tcPr>
                <w:p>
                  <w:pPr>
                    <w:pStyle w:val="22"/>
                    <w:bidi w:val="0"/>
                    <w:jc w:val="center"/>
                    <w:rPr>
                      <w:rFonts w:hint="default"/>
                      <w:color w:val="auto"/>
                      <w:highlight w:val="none"/>
                    </w:rPr>
                  </w:pPr>
                  <w:r>
                    <w:rPr>
                      <w:rFonts w:hint="eastAsia"/>
                      <w:color w:val="auto"/>
                      <w:highlight w:val="none"/>
                    </w:rPr>
                    <w:t>61.38%</w:t>
                  </w:r>
                </w:p>
              </w:tc>
              <w:tc>
                <w:tcPr>
                  <w:tcW w:w="3065" w:type="dxa"/>
                  <w:tcBorders>
                    <w:tl2br w:val="nil"/>
                    <w:tr2bl w:val="nil"/>
                  </w:tcBorders>
                  <w:vAlign w:val="center"/>
                </w:tcPr>
                <w:p>
                  <w:pPr>
                    <w:pStyle w:val="22"/>
                    <w:bidi w:val="0"/>
                    <w:jc w:val="center"/>
                    <w:rPr>
                      <w:rFonts w:hint="eastAsia" w:eastAsiaTheme="minorEastAsia"/>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jc w:val="center"/>
              </w:trPr>
              <w:tc>
                <w:tcPr>
                  <w:tcW w:w="2647" w:type="dxa"/>
                  <w:tcBorders>
                    <w:tl2br w:val="nil"/>
                    <w:tr2bl w:val="nil"/>
                  </w:tcBorders>
                  <w:vAlign w:val="center"/>
                </w:tcPr>
                <w:p>
                  <w:pPr>
                    <w:pStyle w:val="22"/>
                    <w:bidi w:val="0"/>
                    <w:jc w:val="center"/>
                    <w:rPr>
                      <w:rFonts w:hint="default"/>
                      <w:color w:val="auto"/>
                      <w:highlight w:val="none"/>
                    </w:rPr>
                  </w:pPr>
                  <w:r>
                    <w:rPr>
                      <w:rFonts w:hint="eastAsia"/>
                      <w:color w:val="auto"/>
                      <w:highlight w:val="none"/>
                    </w:rPr>
                    <w:t>二丙二醇甲醚</w:t>
                  </w:r>
                </w:p>
              </w:tc>
              <w:tc>
                <w:tcPr>
                  <w:tcW w:w="2430" w:type="dxa"/>
                  <w:tcBorders>
                    <w:tl2br w:val="nil"/>
                    <w:tr2bl w:val="nil"/>
                  </w:tcBorders>
                  <w:vAlign w:val="center"/>
                </w:tcPr>
                <w:p>
                  <w:pPr>
                    <w:pStyle w:val="22"/>
                    <w:bidi w:val="0"/>
                    <w:jc w:val="center"/>
                    <w:rPr>
                      <w:rFonts w:hint="default"/>
                      <w:color w:val="auto"/>
                      <w:highlight w:val="none"/>
                    </w:rPr>
                  </w:pPr>
                  <w:r>
                    <w:rPr>
                      <w:rFonts w:hint="eastAsia"/>
                      <w:color w:val="auto"/>
                      <w:highlight w:val="none"/>
                    </w:rPr>
                    <w:t>6.62%</w:t>
                  </w:r>
                </w:p>
              </w:tc>
              <w:tc>
                <w:tcPr>
                  <w:tcW w:w="3065" w:type="dxa"/>
                  <w:tcBorders>
                    <w:tl2br w:val="nil"/>
                    <w:tr2bl w:val="nil"/>
                  </w:tcBorders>
                  <w:vAlign w:val="center"/>
                </w:tcPr>
                <w:p>
                  <w:pPr>
                    <w:pStyle w:val="22"/>
                    <w:bidi w:val="0"/>
                    <w:jc w:val="center"/>
                    <w:rPr>
                      <w:rFonts w:hint="eastAsia"/>
                      <w:color w:val="auto"/>
                      <w:highlight w:val="none"/>
                    </w:rPr>
                  </w:pPr>
                  <w:r>
                    <w:rPr>
                      <w:rFonts w:hint="eastAsia"/>
                      <w:color w:val="auto"/>
                      <w:highlight w:val="none"/>
                    </w:rPr>
                    <w:t>34590-94-8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jc w:val="center"/>
              </w:trPr>
              <w:tc>
                <w:tcPr>
                  <w:tcW w:w="2647" w:type="dxa"/>
                  <w:tcBorders>
                    <w:tl2br w:val="nil"/>
                    <w:tr2bl w:val="nil"/>
                  </w:tcBorders>
                  <w:vAlign w:val="center"/>
                </w:tcPr>
                <w:p>
                  <w:pPr>
                    <w:pStyle w:val="22"/>
                    <w:bidi w:val="0"/>
                    <w:jc w:val="center"/>
                    <w:rPr>
                      <w:rFonts w:hint="default"/>
                      <w:color w:val="auto"/>
                      <w:highlight w:val="none"/>
                    </w:rPr>
                  </w:pPr>
                  <w:r>
                    <w:rPr>
                      <w:rFonts w:hint="eastAsia"/>
                      <w:color w:val="auto"/>
                      <w:highlight w:val="none"/>
                    </w:rPr>
                    <w:t>可溶性铅</w:t>
                  </w:r>
                </w:p>
              </w:tc>
              <w:tc>
                <w:tcPr>
                  <w:tcW w:w="2430" w:type="dxa"/>
                  <w:tcBorders>
                    <w:tl2br w:val="nil"/>
                    <w:tr2bl w:val="nil"/>
                  </w:tcBorders>
                  <w:vAlign w:val="center"/>
                </w:tcPr>
                <w:p>
                  <w:pPr>
                    <w:pStyle w:val="22"/>
                    <w:bidi w:val="0"/>
                    <w:jc w:val="center"/>
                    <w:rPr>
                      <w:rFonts w:hint="default"/>
                      <w:color w:val="auto"/>
                      <w:highlight w:val="none"/>
                    </w:rPr>
                  </w:pPr>
                  <w:r>
                    <w:rPr>
                      <w:rFonts w:hint="eastAsia"/>
                      <w:color w:val="auto"/>
                      <w:highlight w:val="none"/>
                    </w:rPr>
                    <w:t>0%</w:t>
                  </w:r>
                </w:p>
              </w:tc>
              <w:tc>
                <w:tcPr>
                  <w:tcW w:w="3065" w:type="dxa"/>
                  <w:tcBorders>
                    <w:tl2br w:val="nil"/>
                    <w:tr2bl w:val="nil"/>
                  </w:tcBorders>
                  <w:vAlign w:val="center"/>
                </w:tcPr>
                <w:p>
                  <w:pPr>
                    <w:pStyle w:val="22"/>
                    <w:bidi w:val="0"/>
                    <w:jc w:val="center"/>
                    <w:rPr>
                      <w:rFonts w:hint="eastAsia" w:eastAsiaTheme="minorEastAsia"/>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jc w:val="center"/>
              </w:trPr>
              <w:tc>
                <w:tcPr>
                  <w:tcW w:w="2647" w:type="dxa"/>
                  <w:tcBorders>
                    <w:tl2br w:val="nil"/>
                    <w:tr2bl w:val="nil"/>
                  </w:tcBorders>
                  <w:vAlign w:val="center"/>
                </w:tcPr>
                <w:p>
                  <w:pPr>
                    <w:pStyle w:val="22"/>
                    <w:bidi w:val="0"/>
                    <w:jc w:val="center"/>
                    <w:rPr>
                      <w:rFonts w:hint="default"/>
                      <w:color w:val="auto"/>
                      <w:highlight w:val="none"/>
                    </w:rPr>
                  </w:pPr>
                  <w:r>
                    <w:rPr>
                      <w:rFonts w:hint="eastAsia"/>
                      <w:color w:val="auto"/>
                      <w:highlight w:val="none"/>
                    </w:rPr>
                    <w:t>可溶性镉</w:t>
                  </w:r>
                </w:p>
              </w:tc>
              <w:tc>
                <w:tcPr>
                  <w:tcW w:w="2430" w:type="dxa"/>
                  <w:tcBorders>
                    <w:tl2br w:val="nil"/>
                    <w:tr2bl w:val="nil"/>
                  </w:tcBorders>
                  <w:vAlign w:val="center"/>
                </w:tcPr>
                <w:p>
                  <w:pPr>
                    <w:pStyle w:val="22"/>
                    <w:bidi w:val="0"/>
                    <w:jc w:val="center"/>
                    <w:rPr>
                      <w:rFonts w:hint="default"/>
                      <w:color w:val="auto"/>
                      <w:highlight w:val="none"/>
                    </w:rPr>
                  </w:pPr>
                  <w:r>
                    <w:rPr>
                      <w:rFonts w:hint="eastAsia"/>
                      <w:color w:val="auto"/>
                      <w:highlight w:val="none"/>
                    </w:rPr>
                    <w:t>0%</w:t>
                  </w:r>
                </w:p>
              </w:tc>
              <w:tc>
                <w:tcPr>
                  <w:tcW w:w="3065" w:type="dxa"/>
                  <w:tcBorders>
                    <w:tl2br w:val="nil"/>
                    <w:tr2bl w:val="nil"/>
                  </w:tcBorders>
                  <w:vAlign w:val="center"/>
                </w:tcPr>
                <w:p>
                  <w:pPr>
                    <w:pStyle w:val="22"/>
                    <w:bidi w:val="0"/>
                    <w:jc w:val="center"/>
                    <w:rPr>
                      <w:rFonts w:hint="eastAsia" w:eastAsiaTheme="minorEastAsia"/>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0" w:hRule="atLeast"/>
                <w:jc w:val="center"/>
              </w:trPr>
              <w:tc>
                <w:tcPr>
                  <w:tcW w:w="2647" w:type="dxa"/>
                  <w:tcBorders>
                    <w:tl2br w:val="nil"/>
                    <w:tr2bl w:val="nil"/>
                  </w:tcBorders>
                  <w:vAlign w:val="center"/>
                </w:tcPr>
                <w:p>
                  <w:pPr>
                    <w:pStyle w:val="22"/>
                    <w:bidi w:val="0"/>
                    <w:jc w:val="center"/>
                    <w:rPr>
                      <w:rFonts w:hint="eastAsia"/>
                      <w:color w:val="auto"/>
                      <w:highlight w:val="none"/>
                      <w:lang w:eastAsia="zh-CN"/>
                    </w:rPr>
                  </w:pPr>
                  <w:r>
                    <w:rPr>
                      <w:rFonts w:hint="eastAsia"/>
                      <w:color w:val="auto"/>
                      <w:highlight w:val="none"/>
                    </w:rPr>
                    <w:t>可溶性</w:t>
                  </w:r>
                  <w:r>
                    <w:rPr>
                      <w:rFonts w:hint="eastAsia"/>
                      <w:color w:val="auto"/>
                      <w:highlight w:val="none"/>
                      <w:lang w:eastAsia="zh-CN"/>
                    </w:rPr>
                    <w:t>汞</w:t>
                  </w:r>
                </w:p>
              </w:tc>
              <w:tc>
                <w:tcPr>
                  <w:tcW w:w="2430" w:type="dxa"/>
                  <w:tcBorders>
                    <w:tl2br w:val="nil"/>
                    <w:tr2bl w:val="nil"/>
                  </w:tcBorders>
                  <w:vAlign w:val="center"/>
                </w:tcPr>
                <w:p>
                  <w:pPr>
                    <w:pStyle w:val="22"/>
                    <w:bidi w:val="0"/>
                    <w:jc w:val="center"/>
                    <w:rPr>
                      <w:rFonts w:hint="default"/>
                      <w:color w:val="auto"/>
                      <w:highlight w:val="none"/>
                    </w:rPr>
                  </w:pPr>
                  <w:r>
                    <w:rPr>
                      <w:rFonts w:hint="eastAsia"/>
                      <w:color w:val="auto"/>
                      <w:highlight w:val="none"/>
                    </w:rPr>
                    <w:t>0%</w:t>
                  </w:r>
                </w:p>
              </w:tc>
              <w:tc>
                <w:tcPr>
                  <w:tcW w:w="3065" w:type="dxa"/>
                  <w:tcBorders>
                    <w:tl2br w:val="nil"/>
                    <w:tr2bl w:val="nil"/>
                  </w:tcBorders>
                  <w:vAlign w:val="center"/>
                </w:tcPr>
                <w:p>
                  <w:pPr>
                    <w:pStyle w:val="22"/>
                    <w:bidi w:val="0"/>
                    <w:jc w:val="center"/>
                    <w:rPr>
                      <w:rFonts w:hint="eastAsia" w:eastAsiaTheme="minorEastAsia"/>
                      <w:color w:val="auto"/>
                      <w:highlight w:val="none"/>
                      <w:lang w:val="en-US" w:eastAsia="zh-CN"/>
                    </w:rPr>
                  </w:pPr>
                  <w:r>
                    <w:rPr>
                      <w:rFonts w:hint="eastAsia"/>
                      <w:color w:val="auto"/>
                      <w:highlight w:val="none"/>
                      <w:lang w:val="en-US" w:eastAsia="zh-CN"/>
                    </w:rPr>
                    <w:t>-</w:t>
                  </w:r>
                </w:p>
              </w:tc>
            </w:tr>
          </w:tbl>
          <w:p>
            <w:pPr>
              <w:pStyle w:val="23"/>
              <w:numPr>
                <w:ilvl w:val="0"/>
                <w:numId w:val="2"/>
              </w:numPr>
              <w:bidi w:val="0"/>
              <w:ind w:left="0" w:leftChars="0" w:firstLine="0" w:firstLineChars="0"/>
              <w:rPr>
                <w:rFonts w:hint="default"/>
                <w:color w:val="auto"/>
                <w:highlight w:val="none"/>
                <w:lang w:val="en-US" w:eastAsia="zh-CN"/>
              </w:rPr>
            </w:pPr>
            <w:r>
              <w:rPr>
                <w:rFonts w:hint="eastAsia"/>
                <w:color w:val="auto"/>
                <w:highlight w:val="none"/>
                <w:lang w:val="en-US" w:eastAsia="zh-CN"/>
              </w:rPr>
              <w:t xml:space="preserve">   </w:t>
            </w:r>
            <w:r>
              <w:rPr>
                <w:rFonts w:hint="default"/>
                <w:color w:val="auto"/>
                <w:highlight w:val="none"/>
                <w:lang w:val="en-US" w:eastAsia="zh-CN"/>
              </w:rPr>
              <w:t>水性聚氨酯丙烯酸分散体理化性质一览表</w:t>
            </w:r>
          </w:p>
          <w:tbl>
            <w:tblPr>
              <w:tblStyle w:val="15"/>
              <w:tblW w:w="811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7"/>
              <w:gridCol w:w="3696"/>
              <w:gridCol w:w="36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79" w:hRule="atLeast"/>
                <w:jc w:val="center"/>
              </w:trPr>
              <w:tc>
                <w:tcPr>
                  <w:tcW w:w="717" w:type="dxa"/>
                  <w:vMerge w:val="restart"/>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产品标识与成分</w:t>
                  </w: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eastAsia"/>
                      <w:color w:val="auto"/>
                      <w:highlight w:val="none"/>
                      <w:lang w:eastAsia="zh-CN"/>
                    </w:rPr>
                    <w:t>产品名称</w:t>
                  </w:r>
                  <w:r>
                    <w:rPr>
                      <w:rFonts w:hint="default"/>
                      <w:color w:val="auto"/>
                      <w:highlight w:val="none"/>
                    </w:rPr>
                    <w:t>：水性聚氨酯丙烯酸分散体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64" w:hRule="atLeast"/>
                <w:jc w:val="center"/>
              </w:trPr>
              <w:tc>
                <w:tcPr>
                  <w:tcW w:w="717" w:type="dxa"/>
                  <w:vMerge w:val="continue"/>
                  <w:tcBorders>
                    <w:tl2br w:val="nil"/>
                    <w:tr2bl w:val="nil"/>
                  </w:tcBorders>
                  <w:noWrap w:val="0"/>
                  <w:vAlign w:val="center"/>
                </w:tcPr>
                <w:p>
                  <w:pPr>
                    <w:pStyle w:val="22"/>
                    <w:bidi w:val="0"/>
                    <w:rPr>
                      <w:rFonts w:hint="default"/>
                      <w:b/>
                      <w:bCs/>
                      <w:color w:val="auto"/>
                      <w:highlight w:val="none"/>
                    </w:rPr>
                  </w:pP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eastAsia"/>
                      <w:color w:val="auto"/>
                      <w:highlight w:val="none"/>
                      <w:lang w:eastAsia="zh-CN"/>
                    </w:rPr>
                    <w:t>主要成分：水性脂肪族聚氨酯丙烯酸酯分散体（固含量约65%）‌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64" w:hRule="atLeast"/>
                <w:jc w:val="center"/>
              </w:trPr>
              <w:tc>
                <w:tcPr>
                  <w:tcW w:w="717" w:type="dxa"/>
                  <w:vMerge w:val="continue"/>
                  <w:tcBorders>
                    <w:tl2br w:val="nil"/>
                    <w:tr2bl w:val="nil"/>
                  </w:tcBorders>
                  <w:noWrap w:val="0"/>
                  <w:vAlign w:val="center"/>
                </w:tcPr>
                <w:p>
                  <w:pPr>
                    <w:pStyle w:val="22"/>
                    <w:bidi w:val="0"/>
                    <w:rPr>
                      <w:rFonts w:hint="default"/>
                      <w:b/>
                      <w:bCs/>
                      <w:color w:val="auto"/>
                      <w:highlight w:val="none"/>
                    </w:rPr>
                  </w:pP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eastAsia"/>
                      <w:color w:val="auto"/>
                      <w:highlight w:val="none"/>
                      <w:lang w:eastAsia="zh-CN"/>
                    </w:rPr>
                    <w:t>辅助成分：水（分散介质）、少量稳定剂/添加剂（如聚乙二醇链段）‌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64" w:hRule="atLeast"/>
                <w:jc w:val="center"/>
              </w:trPr>
              <w:tc>
                <w:tcPr>
                  <w:tcW w:w="717" w:type="dxa"/>
                  <w:vMerge w:val="restart"/>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理化特性</w:t>
                  </w:r>
                </w:p>
              </w:tc>
              <w:tc>
                <w:tcPr>
                  <w:tcW w:w="3696" w:type="dxa"/>
                  <w:tcBorders>
                    <w:tl2br w:val="nil"/>
                    <w:tr2bl w:val="nil"/>
                  </w:tcBorders>
                  <w:noWrap w:val="0"/>
                  <w:vAlign w:val="center"/>
                </w:tcPr>
                <w:p>
                  <w:pPr>
                    <w:pStyle w:val="22"/>
                    <w:bidi w:val="0"/>
                    <w:jc w:val="left"/>
                    <w:rPr>
                      <w:rFonts w:hint="eastAsia"/>
                      <w:color w:val="auto"/>
                      <w:highlight w:val="none"/>
                      <w:lang w:eastAsia="zh-CN"/>
                    </w:rPr>
                  </w:pPr>
                  <w:r>
                    <w:rPr>
                      <w:rFonts w:hint="eastAsia"/>
                      <w:color w:val="auto"/>
                      <w:highlight w:val="none"/>
                      <w:lang w:eastAsia="zh-CN"/>
                    </w:rPr>
                    <w:t>外观：乳白色或透明液体‌</w:t>
                  </w:r>
                </w:p>
              </w:tc>
              <w:tc>
                <w:tcPr>
                  <w:tcW w:w="3698" w:type="dxa"/>
                  <w:tcBorders>
                    <w:tl2br w:val="nil"/>
                    <w:tr2bl w:val="nil"/>
                  </w:tcBorders>
                  <w:noWrap w:val="0"/>
                  <w:vAlign w:val="center"/>
                </w:tcPr>
                <w:p>
                  <w:pPr>
                    <w:pStyle w:val="22"/>
                    <w:bidi w:val="0"/>
                    <w:jc w:val="left"/>
                    <w:rPr>
                      <w:rFonts w:hint="eastAsia"/>
                      <w:color w:val="auto"/>
                      <w:highlight w:val="none"/>
                      <w:lang w:eastAsia="zh-CN"/>
                    </w:rPr>
                  </w:pPr>
                  <w:r>
                    <w:rPr>
                      <w:rFonts w:hint="eastAsia"/>
                      <w:color w:val="auto"/>
                      <w:highlight w:val="none"/>
                      <w:lang w:eastAsia="zh-CN"/>
                    </w:rPr>
                    <w:t>密度：约1.1-1.2 g/cm</w:t>
                  </w:r>
                  <w:r>
                    <w:rPr>
                      <w:rFonts w:hint="eastAsia"/>
                      <w:color w:val="auto"/>
                      <w:highlight w:val="none"/>
                      <w:vertAlign w:val="superscript"/>
                      <w:lang w:val="en-US" w:eastAsia="zh-CN"/>
                    </w:rPr>
                    <w:t>3</w:t>
                  </w:r>
                  <w:r>
                    <w:rPr>
                      <w:rFonts w:hint="eastAsia"/>
                      <w:color w:val="auto"/>
                      <w:highlight w:val="none"/>
                      <w:lang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64" w:hRule="atLeast"/>
                <w:jc w:val="center"/>
              </w:trPr>
              <w:tc>
                <w:tcPr>
                  <w:tcW w:w="717" w:type="dxa"/>
                  <w:vMerge w:val="continue"/>
                  <w:tcBorders>
                    <w:tl2br w:val="nil"/>
                    <w:tr2bl w:val="nil"/>
                  </w:tcBorders>
                  <w:noWrap w:val="0"/>
                  <w:vAlign w:val="center"/>
                </w:tcPr>
                <w:p>
                  <w:pPr>
                    <w:pStyle w:val="22"/>
                    <w:bidi w:val="0"/>
                    <w:rPr>
                      <w:rFonts w:hint="default"/>
                      <w:b/>
                      <w:bCs/>
                      <w:color w:val="auto"/>
                      <w:highlight w:val="none"/>
                    </w:rPr>
                  </w:pPr>
                </w:p>
              </w:tc>
              <w:tc>
                <w:tcPr>
                  <w:tcW w:w="3696" w:type="dxa"/>
                  <w:tcBorders>
                    <w:tl2br w:val="nil"/>
                    <w:tr2bl w:val="nil"/>
                  </w:tcBorders>
                  <w:noWrap w:val="0"/>
                  <w:vAlign w:val="center"/>
                </w:tcPr>
                <w:p>
                  <w:pPr>
                    <w:pStyle w:val="22"/>
                    <w:bidi w:val="0"/>
                    <w:jc w:val="left"/>
                    <w:rPr>
                      <w:rFonts w:hint="default"/>
                      <w:color w:val="auto"/>
                      <w:highlight w:val="none"/>
                      <w:lang w:val="en-US" w:eastAsia="zh-CN"/>
                    </w:rPr>
                  </w:pPr>
                  <w:r>
                    <w:rPr>
                      <w:rFonts w:hint="eastAsia"/>
                      <w:color w:val="auto"/>
                      <w:highlight w:val="none"/>
                      <w:lang w:val="en-US" w:eastAsia="zh-CN"/>
                    </w:rPr>
                    <w:t>pH值：7.0-9.0（水稀释后）</w:t>
                  </w:r>
                </w:p>
              </w:tc>
              <w:tc>
                <w:tcPr>
                  <w:tcW w:w="3698" w:type="dxa"/>
                  <w:tcBorders>
                    <w:tl2br w:val="nil"/>
                    <w:tr2bl w:val="nil"/>
                  </w:tcBorders>
                  <w:noWrap w:val="0"/>
                  <w:vAlign w:val="center"/>
                </w:tcPr>
                <w:p>
                  <w:pPr>
                    <w:pStyle w:val="22"/>
                    <w:bidi w:val="0"/>
                    <w:jc w:val="left"/>
                    <w:rPr>
                      <w:rFonts w:hint="default"/>
                      <w:color w:val="auto"/>
                      <w:highlight w:val="none"/>
                      <w:lang w:val="en-US" w:eastAsia="zh-CN"/>
                    </w:rPr>
                  </w:pPr>
                  <w:r>
                    <w:rPr>
                      <w:rFonts w:hint="eastAsia"/>
                      <w:color w:val="auto"/>
                      <w:highlight w:val="none"/>
                      <w:lang w:eastAsia="zh-CN"/>
                    </w:rPr>
                    <w:t>挥发性：</w:t>
                  </w:r>
                  <w:r>
                    <w:rPr>
                      <w:rFonts w:hint="eastAsia"/>
                      <w:color w:val="auto"/>
                      <w:highlight w:val="none"/>
                      <w:lang w:val="en-US" w:eastAsia="zh-CN"/>
                    </w:rPr>
                    <w:t>VOC含量＜50g/L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30" w:hRule="atLeast"/>
                <w:jc w:val="center"/>
              </w:trPr>
              <w:tc>
                <w:tcPr>
                  <w:tcW w:w="717" w:type="dxa"/>
                  <w:vMerge w:val="restart"/>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危险性概述</w:t>
                  </w:r>
                </w:p>
              </w:tc>
              <w:tc>
                <w:tcPr>
                  <w:tcW w:w="7394" w:type="dxa"/>
                  <w:gridSpan w:val="2"/>
                  <w:tcBorders>
                    <w:tl2br w:val="nil"/>
                    <w:tr2bl w:val="nil"/>
                  </w:tcBorders>
                  <w:noWrap w:val="0"/>
                  <w:vAlign w:val="center"/>
                </w:tcPr>
                <w:p>
                  <w:pPr>
                    <w:pStyle w:val="22"/>
                    <w:bidi w:val="0"/>
                    <w:jc w:val="left"/>
                    <w:rPr>
                      <w:rFonts w:hint="default"/>
                      <w:color w:val="auto"/>
                      <w:highlight w:val="none"/>
                      <w:lang w:val="en-US" w:eastAsia="zh-CN"/>
                    </w:rPr>
                  </w:pPr>
                  <w:r>
                    <w:rPr>
                      <w:rFonts w:hint="eastAsia"/>
                      <w:color w:val="auto"/>
                      <w:highlight w:val="none"/>
                      <w:lang w:val="en-US" w:eastAsia="zh-CN"/>
                    </w:rPr>
                    <w:t>健康危害：</w:t>
                  </w:r>
                  <w:r>
                    <w:rPr>
                      <w:rFonts w:hint="default"/>
                      <w:color w:val="auto"/>
                      <w:highlight w:val="none"/>
                      <w:lang w:val="en-US" w:eastAsia="zh-CN"/>
                    </w:rPr>
                    <w:t>皮肤接触‌：未固化液体可能引起轻微刺激，建议接触后立即用肥皂水清洗‌</w:t>
                  </w:r>
                  <w:r>
                    <w:rPr>
                      <w:rFonts w:hint="eastAsia"/>
                      <w:color w:val="auto"/>
                      <w:highlight w:val="none"/>
                      <w:lang w:val="en-US" w:eastAsia="zh-CN"/>
                    </w:rPr>
                    <w:t>；</w:t>
                  </w:r>
                  <w:r>
                    <w:rPr>
                      <w:rFonts w:hint="default"/>
                      <w:color w:val="auto"/>
                      <w:highlight w:val="none"/>
                      <w:lang w:val="en-US" w:eastAsia="zh-CN"/>
                    </w:rPr>
                    <w:t>‌吸入风险‌：加工时雾化颗粒可能刺激呼吸道，需在通风环境中操作‌</w:t>
                  </w:r>
                  <w:r>
                    <w:rPr>
                      <w:rFonts w:hint="eastAsia"/>
                      <w:color w:val="auto"/>
                      <w:highlight w:val="none"/>
                      <w:lang w:val="en-US" w:eastAsia="zh-CN"/>
                    </w:rPr>
                    <w:t>；</w:t>
                  </w:r>
                  <w:r>
                    <w:rPr>
                      <w:rFonts w:hint="default"/>
                      <w:color w:val="auto"/>
                      <w:highlight w:val="none"/>
                      <w:lang w:val="en-US" w:eastAsia="zh-CN"/>
                    </w:rPr>
                    <w:t>‌眼睛接触‌：液体溅入需用清水冲洗15分钟并就医‌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10" w:hRule="atLeast"/>
                <w:jc w:val="center"/>
              </w:trPr>
              <w:tc>
                <w:tcPr>
                  <w:tcW w:w="717" w:type="dxa"/>
                  <w:vMerge w:val="continue"/>
                  <w:tcBorders>
                    <w:tl2br w:val="nil"/>
                    <w:tr2bl w:val="nil"/>
                  </w:tcBorders>
                  <w:noWrap w:val="0"/>
                  <w:vAlign w:val="center"/>
                </w:tcPr>
                <w:p>
                  <w:pPr>
                    <w:pStyle w:val="22"/>
                    <w:bidi w:val="0"/>
                    <w:rPr>
                      <w:rFonts w:hint="default"/>
                      <w:b/>
                      <w:bCs/>
                      <w:color w:val="auto"/>
                      <w:highlight w:val="none"/>
                    </w:rPr>
                  </w:pPr>
                </w:p>
              </w:tc>
              <w:tc>
                <w:tcPr>
                  <w:tcW w:w="7394" w:type="dxa"/>
                  <w:gridSpan w:val="2"/>
                  <w:tcBorders>
                    <w:tl2br w:val="nil"/>
                    <w:tr2bl w:val="nil"/>
                  </w:tcBorders>
                  <w:noWrap w:val="0"/>
                  <w:vAlign w:val="center"/>
                </w:tcPr>
                <w:p>
                  <w:pPr>
                    <w:pStyle w:val="22"/>
                    <w:bidi w:val="0"/>
                    <w:jc w:val="left"/>
                    <w:rPr>
                      <w:rFonts w:hint="default"/>
                      <w:color w:val="auto"/>
                      <w:highlight w:val="none"/>
                      <w:lang w:val="en-US" w:eastAsia="zh-CN"/>
                    </w:rPr>
                  </w:pPr>
                  <w:r>
                    <w:rPr>
                      <w:rFonts w:hint="eastAsia"/>
                      <w:color w:val="auto"/>
                      <w:highlight w:val="none"/>
                      <w:lang w:val="en-US" w:eastAsia="zh-CN"/>
                    </w:rPr>
                    <w:t>环境危害：</w:t>
                  </w:r>
                  <w:r>
                    <w:rPr>
                      <w:rFonts w:hint="default"/>
                      <w:color w:val="auto"/>
                      <w:highlight w:val="none"/>
                      <w:lang w:val="en-US" w:eastAsia="zh-CN"/>
                    </w:rPr>
                    <w:t>未固化液体排放可能污染水体，需按环保法规处理‌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10" w:hRule="atLeast"/>
                <w:jc w:val="center"/>
              </w:trPr>
              <w:tc>
                <w:tcPr>
                  <w:tcW w:w="717" w:type="dxa"/>
                  <w:vMerge w:val="continue"/>
                  <w:tcBorders>
                    <w:tl2br w:val="nil"/>
                    <w:tr2bl w:val="nil"/>
                  </w:tcBorders>
                  <w:noWrap w:val="0"/>
                  <w:vAlign w:val="center"/>
                </w:tcPr>
                <w:p>
                  <w:pPr>
                    <w:pStyle w:val="22"/>
                    <w:bidi w:val="0"/>
                    <w:rPr>
                      <w:rFonts w:hint="default"/>
                      <w:b/>
                      <w:bCs/>
                      <w:color w:val="auto"/>
                      <w:highlight w:val="none"/>
                    </w:rPr>
                  </w:pP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eastAsia"/>
                      <w:color w:val="auto"/>
                      <w:highlight w:val="none"/>
                      <w:lang w:val="en-US" w:eastAsia="zh-CN"/>
                    </w:rPr>
                    <w:t>‌燃爆风险：</w:t>
                  </w:r>
                  <w:r>
                    <w:rPr>
                      <w:rFonts w:hint="default"/>
                      <w:color w:val="auto"/>
                      <w:highlight w:val="none"/>
                    </w:rPr>
                    <w:t>不燃性‌：以水为介质，无闪点，不属于易燃易爆品</w:t>
                  </w:r>
                  <w:r>
                    <w:rPr>
                      <w:rFonts w:hint="eastAsia"/>
                      <w:color w:val="auto"/>
                      <w:highlight w:val="none"/>
                      <w:lang w:eastAsia="zh-CN"/>
                    </w:rPr>
                    <w:t>；</w:t>
                  </w:r>
                  <w:r>
                    <w:rPr>
                      <w:rFonts w:hint="default"/>
                      <w:color w:val="auto"/>
                      <w:highlight w:val="none"/>
                    </w:rPr>
                    <w:t>‌高温风险‌：仅加工时高温（&gt;100℃）可能分解产生刺激性气体‌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00" w:hRule="atLeast"/>
                <w:jc w:val="center"/>
              </w:trPr>
              <w:tc>
                <w:tcPr>
                  <w:tcW w:w="717" w:type="dxa"/>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急救措施</w:t>
                  </w: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‌皮肤接触‌：脱去污染衣物，清水冲洗后涂抹润肤剂‌</w:t>
                  </w:r>
                </w:p>
                <w:p>
                  <w:pPr>
                    <w:pStyle w:val="22"/>
                    <w:bidi w:val="0"/>
                    <w:jc w:val="left"/>
                    <w:rPr>
                      <w:rFonts w:hint="default"/>
                      <w:color w:val="auto"/>
                      <w:highlight w:val="none"/>
                    </w:rPr>
                  </w:pPr>
                  <w:r>
                    <w:rPr>
                      <w:rFonts w:hint="default"/>
                      <w:color w:val="auto"/>
                      <w:highlight w:val="none"/>
                    </w:rPr>
                    <w:t>‌眼睛接触‌：立即用生理盐水或清水冲洗并就医‌</w:t>
                  </w:r>
                </w:p>
                <w:p>
                  <w:pPr>
                    <w:pStyle w:val="22"/>
                    <w:bidi w:val="0"/>
                    <w:jc w:val="left"/>
                    <w:rPr>
                      <w:rFonts w:hint="default"/>
                      <w:color w:val="auto"/>
                      <w:highlight w:val="none"/>
                    </w:rPr>
                  </w:pPr>
                  <w:r>
                    <w:rPr>
                      <w:rFonts w:hint="default"/>
                      <w:color w:val="auto"/>
                      <w:highlight w:val="none"/>
                    </w:rPr>
                    <w:t>‌吸入‌：转移至空气新鲜处，若呼吸困难需吸氧‌</w:t>
                  </w:r>
                </w:p>
                <w:p>
                  <w:pPr>
                    <w:pStyle w:val="22"/>
                    <w:bidi w:val="0"/>
                    <w:jc w:val="left"/>
                    <w:rPr>
                      <w:rFonts w:hint="default"/>
                      <w:color w:val="auto"/>
                      <w:highlight w:val="none"/>
                    </w:rPr>
                  </w:pPr>
                  <w:r>
                    <w:rPr>
                      <w:rFonts w:hint="default"/>
                      <w:color w:val="auto"/>
                      <w:highlight w:val="none"/>
                    </w:rPr>
                    <w:t>‌食入‌：误服后勿催吐，立即就医并提供MSDS‌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00" w:hRule="atLeast"/>
                <w:jc w:val="center"/>
              </w:trPr>
              <w:tc>
                <w:tcPr>
                  <w:tcW w:w="717" w:type="dxa"/>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消防措施</w:t>
                  </w: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适用灭火剂‌：水雾、干粉、二氧化碳</w:t>
                  </w:r>
                  <w:r>
                    <w:rPr>
                      <w:rFonts w:hint="eastAsia"/>
                      <w:color w:val="auto"/>
                      <w:highlight w:val="none"/>
                      <w:lang w:eastAsia="zh-CN"/>
                    </w:rPr>
                    <w:t>；</w:t>
                  </w:r>
                  <w:r>
                    <w:rPr>
                      <w:rFonts w:hint="default"/>
                      <w:color w:val="auto"/>
                      <w:highlight w:val="none"/>
                    </w:rPr>
                    <w:t>‌特殊风险‌：高温下可能释放一氧化碳、氮氧化物等有毒气体，需佩戴自给式呼吸器‌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00" w:hRule="atLeast"/>
                <w:jc w:val="center"/>
              </w:trPr>
              <w:tc>
                <w:tcPr>
                  <w:tcW w:w="717" w:type="dxa"/>
                  <w:tcBorders>
                    <w:tl2br w:val="nil"/>
                    <w:tr2bl w:val="nil"/>
                  </w:tcBorders>
                  <w:noWrap w:val="0"/>
                  <w:vAlign w:val="center"/>
                </w:tcPr>
                <w:p>
                  <w:pPr>
                    <w:pStyle w:val="22"/>
                    <w:bidi w:val="0"/>
                    <w:rPr>
                      <w:rFonts w:hint="default"/>
                      <w:b/>
                      <w:bCs/>
                      <w:color w:val="auto"/>
                      <w:highlight w:val="none"/>
                    </w:rPr>
                  </w:pPr>
                  <w:r>
                    <w:rPr>
                      <w:rFonts w:hint="default"/>
                      <w:b/>
                      <w:bCs/>
                      <w:color w:val="auto"/>
                      <w:highlight w:val="none"/>
                    </w:rPr>
                    <w:t>操作与储存</w:t>
                  </w:r>
                </w:p>
              </w:tc>
              <w:tc>
                <w:tcPr>
                  <w:tcW w:w="7394" w:type="dxa"/>
                  <w:gridSpan w:val="2"/>
                  <w:tcBorders>
                    <w:tl2br w:val="nil"/>
                    <w:tr2bl w:val="nil"/>
                  </w:tcBorders>
                  <w:noWrap w:val="0"/>
                  <w:vAlign w:val="center"/>
                </w:tcPr>
                <w:p>
                  <w:pPr>
                    <w:pStyle w:val="22"/>
                    <w:bidi w:val="0"/>
                    <w:jc w:val="left"/>
                    <w:rPr>
                      <w:rFonts w:hint="eastAsia" w:eastAsiaTheme="minorEastAsia"/>
                      <w:color w:val="auto"/>
                      <w:highlight w:val="none"/>
                      <w:lang w:eastAsia="zh-CN"/>
                    </w:rPr>
                  </w:pPr>
                  <w:r>
                    <w:rPr>
                      <w:rFonts w:hint="default"/>
                      <w:color w:val="auto"/>
                      <w:highlight w:val="none"/>
                    </w:rPr>
                    <w:t>‌操作要求‌：避免直接接触，佩戴防护手套/护目镜‌</w:t>
                  </w:r>
                  <w:r>
                    <w:rPr>
                      <w:rFonts w:hint="eastAsia"/>
                      <w:color w:val="auto"/>
                      <w:highlight w:val="none"/>
                      <w:lang w:eastAsia="zh-CN"/>
                    </w:rPr>
                    <w:t>；</w:t>
                  </w:r>
                  <w:r>
                    <w:rPr>
                      <w:rFonts w:hint="default"/>
                      <w:color w:val="auto"/>
                      <w:highlight w:val="none"/>
                    </w:rPr>
                    <w:t>加工温度控制在50℃以下，防止成分分解‌</w:t>
                  </w:r>
                  <w:r>
                    <w:rPr>
                      <w:rFonts w:hint="eastAsia"/>
                      <w:color w:val="auto"/>
                      <w:highlight w:val="none"/>
                      <w:lang w:eastAsia="zh-CN"/>
                    </w:rPr>
                    <w:t>；</w:t>
                  </w:r>
                </w:p>
                <w:p>
                  <w:pPr>
                    <w:pStyle w:val="22"/>
                    <w:bidi w:val="0"/>
                    <w:jc w:val="left"/>
                    <w:rPr>
                      <w:rFonts w:hint="default"/>
                      <w:color w:val="auto"/>
                      <w:highlight w:val="none"/>
                    </w:rPr>
                  </w:pPr>
                  <w:r>
                    <w:rPr>
                      <w:rFonts w:hint="default"/>
                      <w:color w:val="auto"/>
                      <w:highlight w:val="none"/>
                    </w:rPr>
                    <w:t>‌储存条件‌：5-30℃密闭保存，防止冻结或暴晒‌</w:t>
                  </w:r>
                  <w:r>
                    <w:rPr>
                      <w:rFonts w:hint="eastAsia"/>
                      <w:color w:val="auto"/>
                      <w:highlight w:val="none"/>
                      <w:lang w:eastAsia="zh-CN"/>
                    </w:rPr>
                    <w:t>；</w:t>
                  </w:r>
                  <w:r>
                    <w:rPr>
                      <w:rFonts w:hint="default"/>
                      <w:color w:val="auto"/>
                      <w:highlight w:val="none"/>
                    </w:rPr>
                    <w:t>与氧化剂、强酸强碱隔离存放‌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00" w:hRule="atLeast"/>
                <w:jc w:val="center"/>
              </w:trPr>
              <w:tc>
                <w:tcPr>
                  <w:tcW w:w="717" w:type="dxa"/>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生态与废弃处置</w:t>
                  </w: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生物降解性‌：主要成分可被微生物降解，避免直接排入水体</w:t>
                  </w:r>
                  <w:r>
                    <w:rPr>
                      <w:rFonts w:hint="eastAsia"/>
                      <w:color w:val="auto"/>
                      <w:highlight w:val="none"/>
                      <w:lang w:eastAsia="zh-CN"/>
                    </w:rPr>
                    <w:t>；</w:t>
                  </w:r>
                  <w:r>
                    <w:rPr>
                      <w:rFonts w:hint="default"/>
                      <w:color w:val="auto"/>
                      <w:highlight w:val="none"/>
                    </w:rPr>
                    <w:t>‌废弃处理‌：未固化液体按工业废水处理，固化后按一般固废处置‌</w:t>
                  </w:r>
                </w:p>
              </w:tc>
            </w:tr>
          </w:tbl>
          <w:p>
            <w:pPr>
              <w:pStyle w:val="23"/>
              <w:numPr>
                <w:ilvl w:val="0"/>
                <w:numId w:val="2"/>
              </w:numPr>
              <w:bidi w:val="0"/>
              <w:ind w:left="0" w:leftChars="0" w:firstLine="0" w:firstLineChars="0"/>
              <w:rPr>
                <w:rFonts w:hint="default"/>
                <w:color w:val="auto"/>
                <w:highlight w:val="none"/>
                <w:lang w:val="en-US" w:eastAsia="zh-CN"/>
              </w:rPr>
            </w:pPr>
            <w:r>
              <w:rPr>
                <w:rFonts w:hint="eastAsia"/>
                <w:color w:val="auto"/>
                <w:highlight w:val="none"/>
                <w:lang w:val="en-US" w:eastAsia="zh-CN"/>
              </w:rPr>
              <w:t xml:space="preserve">   </w:t>
            </w:r>
            <w:r>
              <w:rPr>
                <w:rFonts w:hint="default"/>
                <w:color w:val="auto"/>
                <w:highlight w:val="none"/>
                <w:lang w:val="en-US" w:eastAsia="zh-CN"/>
              </w:rPr>
              <w:t>二丙二醇甲醚理化性质一览表</w:t>
            </w:r>
          </w:p>
          <w:tbl>
            <w:tblPr>
              <w:tblStyle w:val="15"/>
              <w:tblW w:w="811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7"/>
              <w:gridCol w:w="3696"/>
              <w:gridCol w:w="36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79" w:hRule="atLeast"/>
                <w:jc w:val="center"/>
              </w:trPr>
              <w:tc>
                <w:tcPr>
                  <w:tcW w:w="717" w:type="dxa"/>
                  <w:vMerge w:val="restart"/>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化学品标识与成分</w:t>
                  </w:r>
                </w:p>
              </w:tc>
              <w:tc>
                <w:tcPr>
                  <w:tcW w:w="3696" w:type="dxa"/>
                  <w:tcBorders>
                    <w:tl2br w:val="nil"/>
                    <w:tr2bl w:val="nil"/>
                  </w:tcBorders>
                  <w:noWrap w:val="0"/>
                  <w:vAlign w:val="center"/>
                </w:tcPr>
                <w:p>
                  <w:pPr>
                    <w:pStyle w:val="22"/>
                    <w:bidi w:val="0"/>
                    <w:jc w:val="left"/>
                    <w:rPr>
                      <w:rFonts w:hint="default"/>
                      <w:color w:val="auto"/>
                      <w:highlight w:val="none"/>
                    </w:rPr>
                  </w:pPr>
                  <w:r>
                    <w:rPr>
                      <w:rFonts w:hint="eastAsia"/>
                      <w:color w:val="auto"/>
                      <w:highlight w:val="none"/>
                      <w:lang w:eastAsia="zh-CN"/>
                    </w:rPr>
                    <w:t>产品名称</w:t>
                  </w:r>
                  <w:r>
                    <w:rPr>
                      <w:rFonts w:hint="default"/>
                      <w:color w:val="auto"/>
                      <w:highlight w:val="none"/>
                    </w:rPr>
                    <w:t>：二丙二醇甲醚</w:t>
                  </w:r>
                </w:p>
              </w:tc>
              <w:tc>
                <w:tcPr>
                  <w:tcW w:w="3698" w:type="dxa"/>
                  <w:tcBorders>
                    <w:tl2br w:val="nil"/>
                    <w:tr2bl w:val="nil"/>
                  </w:tcBorders>
                  <w:noWrap w:val="0"/>
                  <w:vAlign w:val="center"/>
                </w:tcPr>
                <w:p>
                  <w:pPr>
                    <w:pStyle w:val="22"/>
                    <w:bidi w:val="0"/>
                    <w:jc w:val="left"/>
                    <w:rPr>
                      <w:rFonts w:hint="eastAsia"/>
                      <w:color w:val="auto"/>
                      <w:highlight w:val="none"/>
                      <w:lang w:eastAsia="zh-CN"/>
                    </w:rPr>
                  </w:pPr>
                  <w:r>
                    <w:rPr>
                      <w:rFonts w:hint="eastAsia"/>
                      <w:color w:val="auto"/>
                      <w:highlight w:val="none"/>
                      <w:lang w:eastAsia="zh-CN"/>
                    </w:rPr>
                    <w:t>英文名称‌：Dipropylene glycol monomethyl ether</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64" w:hRule="atLeast"/>
                <w:jc w:val="center"/>
              </w:trPr>
              <w:tc>
                <w:tcPr>
                  <w:tcW w:w="717" w:type="dxa"/>
                  <w:vMerge w:val="continue"/>
                  <w:tcBorders>
                    <w:tl2br w:val="nil"/>
                    <w:tr2bl w:val="nil"/>
                  </w:tcBorders>
                  <w:noWrap w:val="0"/>
                  <w:vAlign w:val="center"/>
                </w:tcPr>
                <w:p>
                  <w:pPr>
                    <w:pStyle w:val="22"/>
                    <w:bidi w:val="0"/>
                    <w:rPr>
                      <w:rFonts w:hint="default"/>
                      <w:b/>
                      <w:bCs/>
                      <w:color w:val="auto"/>
                      <w:highlight w:val="none"/>
                    </w:rPr>
                  </w:pPr>
                </w:p>
              </w:tc>
              <w:tc>
                <w:tcPr>
                  <w:tcW w:w="3696" w:type="dxa"/>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CAS号‌：34590-94-8</w:t>
                  </w:r>
                </w:p>
              </w:tc>
              <w:tc>
                <w:tcPr>
                  <w:tcW w:w="3698" w:type="dxa"/>
                  <w:tcBorders>
                    <w:tl2br w:val="nil"/>
                    <w:tr2bl w:val="nil"/>
                  </w:tcBorders>
                  <w:noWrap w:val="0"/>
                  <w:vAlign w:val="center"/>
                </w:tcPr>
                <w:p>
                  <w:pPr>
                    <w:pStyle w:val="22"/>
                    <w:bidi w:val="0"/>
                    <w:jc w:val="left"/>
                    <w:rPr>
                      <w:rFonts w:hint="default"/>
                      <w:color w:val="auto"/>
                      <w:highlight w:val="none"/>
                      <w:lang w:val="en-US" w:eastAsia="zh-CN"/>
                    </w:rPr>
                  </w:pPr>
                  <w:r>
                    <w:rPr>
                      <w:rFonts w:hint="eastAsia"/>
                      <w:color w:val="auto"/>
                      <w:highlight w:val="none"/>
                      <w:lang w:eastAsia="zh-CN"/>
                    </w:rPr>
                    <w:t>分子式‌：C</w:t>
                  </w:r>
                  <w:r>
                    <w:rPr>
                      <w:rFonts w:hint="eastAsia"/>
                      <w:color w:val="auto"/>
                      <w:highlight w:val="none"/>
                      <w:vertAlign w:val="subscript"/>
                      <w:lang w:val="en-US" w:eastAsia="zh-CN"/>
                    </w:rPr>
                    <w:t>7</w:t>
                  </w:r>
                  <w:r>
                    <w:rPr>
                      <w:rFonts w:hint="eastAsia"/>
                      <w:color w:val="auto"/>
                      <w:highlight w:val="none"/>
                      <w:lang w:eastAsia="zh-CN"/>
                    </w:rPr>
                    <w:t>H</w:t>
                  </w:r>
                  <w:r>
                    <w:rPr>
                      <w:rFonts w:hint="eastAsia"/>
                      <w:color w:val="auto"/>
                      <w:highlight w:val="none"/>
                      <w:vertAlign w:val="subscript"/>
                      <w:lang w:val="en-US" w:eastAsia="zh-CN"/>
                    </w:rPr>
                    <w:t>16</w:t>
                  </w:r>
                  <w:r>
                    <w:rPr>
                      <w:rFonts w:hint="eastAsia"/>
                      <w:color w:val="auto"/>
                      <w:highlight w:val="none"/>
                      <w:lang w:eastAsia="zh-CN"/>
                    </w:rPr>
                    <w:t>O</w:t>
                  </w:r>
                  <w:r>
                    <w:rPr>
                      <w:rFonts w:hint="eastAsia"/>
                      <w:color w:val="auto"/>
                      <w:highlight w:val="none"/>
                      <w:vertAlign w:val="sub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64" w:hRule="atLeast"/>
                <w:jc w:val="center"/>
              </w:trPr>
              <w:tc>
                <w:tcPr>
                  <w:tcW w:w="717" w:type="dxa"/>
                  <w:vMerge w:val="continue"/>
                  <w:tcBorders>
                    <w:tl2br w:val="nil"/>
                    <w:tr2bl w:val="nil"/>
                  </w:tcBorders>
                  <w:noWrap w:val="0"/>
                  <w:vAlign w:val="center"/>
                </w:tcPr>
                <w:p>
                  <w:pPr>
                    <w:pStyle w:val="22"/>
                    <w:bidi w:val="0"/>
                    <w:rPr>
                      <w:rFonts w:hint="default"/>
                      <w:b/>
                      <w:bCs/>
                      <w:color w:val="auto"/>
                      <w:highlight w:val="none"/>
                    </w:rPr>
                  </w:pPr>
                </w:p>
              </w:tc>
              <w:tc>
                <w:tcPr>
                  <w:tcW w:w="7394" w:type="dxa"/>
                  <w:gridSpan w:val="2"/>
                  <w:tcBorders>
                    <w:tl2br w:val="nil"/>
                    <w:tr2bl w:val="nil"/>
                  </w:tcBorders>
                  <w:noWrap w:val="0"/>
                  <w:vAlign w:val="center"/>
                </w:tcPr>
                <w:p>
                  <w:pPr>
                    <w:pStyle w:val="22"/>
                    <w:bidi w:val="0"/>
                    <w:jc w:val="left"/>
                    <w:rPr>
                      <w:rFonts w:hint="eastAsia"/>
                      <w:color w:val="auto"/>
                      <w:highlight w:val="none"/>
                      <w:lang w:eastAsia="zh-CN"/>
                    </w:rPr>
                  </w:pPr>
                  <w:r>
                    <w:rPr>
                      <w:rFonts w:hint="eastAsia"/>
                      <w:color w:val="auto"/>
                      <w:highlight w:val="none"/>
                      <w:lang w:eastAsia="zh-CN"/>
                    </w:rPr>
                    <w:t>‌分子量‌：148.2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64" w:hRule="atLeast"/>
                <w:jc w:val="center"/>
              </w:trPr>
              <w:tc>
                <w:tcPr>
                  <w:tcW w:w="717" w:type="dxa"/>
                  <w:vMerge w:val="restart"/>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理化特性</w:t>
                  </w:r>
                </w:p>
              </w:tc>
              <w:tc>
                <w:tcPr>
                  <w:tcW w:w="3696" w:type="dxa"/>
                  <w:tcBorders>
                    <w:tl2br w:val="nil"/>
                    <w:tr2bl w:val="nil"/>
                  </w:tcBorders>
                  <w:noWrap w:val="0"/>
                  <w:vAlign w:val="center"/>
                </w:tcPr>
                <w:p>
                  <w:pPr>
                    <w:pStyle w:val="22"/>
                    <w:bidi w:val="0"/>
                    <w:jc w:val="left"/>
                    <w:rPr>
                      <w:rFonts w:hint="eastAsia"/>
                      <w:color w:val="auto"/>
                      <w:highlight w:val="none"/>
                      <w:lang w:eastAsia="zh-CN"/>
                    </w:rPr>
                  </w:pPr>
                  <w:r>
                    <w:rPr>
                      <w:rFonts w:hint="eastAsia"/>
                      <w:color w:val="auto"/>
                      <w:highlight w:val="none"/>
                      <w:lang w:eastAsia="zh-CN"/>
                    </w:rPr>
                    <w:t>外观：无色透明粘稠液体，具轻微醚类气味‌‌</w:t>
                  </w:r>
                </w:p>
              </w:tc>
              <w:tc>
                <w:tcPr>
                  <w:tcW w:w="3698" w:type="dxa"/>
                  <w:tcBorders>
                    <w:tl2br w:val="nil"/>
                    <w:tr2bl w:val="nil"/>
                  </w:tcBorders>
                  <w:noWrap w:val="0"/>
                  <w:vAlign w:val="center"/>
                </w:tcPr>
                <w:p>
                  <w:pPr>
                    <w:pStyle w:val="22"/>
                    <w:bidi w:val="0"/>
                    <w:jc w:val="left"/>
                    <w:rPr>
                      <w:rFonts w:hint="eastAsia"/>
                      <w:color w:val="auto"/>
                      <w:highlight w:val="none"/>
                      <w:lang w:eastAsia="zh-CN"/>
                    </w:rPr>
                  </w:pPr>
                  <w:r>
                    <w:rPr>
                      <w:rFonts w:hint="eastAsia"/>
                      <w:color w:val="auto"/>
                      <w:highlight w:val="none"/>
                      <w:lang w:eastAsia="zh-CN"/>
                    </w:rPr>
                    <w:t>密度：0.951 g/cm</w:t>
                  </w:r>
                  <w:r>
                    <w:rPr>
                      <w:rFonts w:hint="eastAsia"/>
                      <w:color w:val="auto"/>
                      <w:highlight w:val="none"/>
                      <w:vertAlign w:val="superscript"/>
                      <w:lang w:val="en-US" w:eastAsia="zh-CN"/>
                    </w:rPr>
                    <w:t>3</w:t>
                  </w:r>
                  <w:r>
                    <w:rPr>
                      <w:rFonts w:hint="eastAsia"/>
                      <w:color w:val="auto"/>
                      <w:highlight w:val="none"/>
                      <w:lang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64" w:hRule="atLeast"/>
                <w:jc w:val="center"/>
              </w:trPr>
              <w:tc>
                <w:tcPr>
                  <w:tcW w:w="717" w:type="dxa"/>
                  <w:vMerge w:val="continue"/>
                  <w:tcBorders>
                    <w:tl2br w:val="nil"/>
                    <w:tr2bl w:val="nil"/>
                  </w:tcBorders>
                  <w:noWrap w:val="0"/>
                  <w:vAlign w:val="center"/>
                </w:tcPr>
                <w:p>
                  <w:pPr>
                    <w:pStyle w:val="22"/>
                    <w:bidi w:val="0"/>
                    <w:rPr>
                      <w:rFonts w:hint="default"/>
                      <w:b/>
                      <w:bCs/>
                      <w:color w:val="auto"/>
                      <w:highlight w:val="none"/>
                    </w:rPr>
                  </w:pPr>
                </w:p>
              </w:tc>
              <w:tc>
                <w:tcPr>
                  <w:tcW w:w="3696" w:type="dxa"/>
                  <w:tcBorders>
                    <w:tl2br w:val="nil"/>
                    <w:tr2bl w:val="nil"/>
                  </w:tcBorders>
                  <w:noWrap w:val="0"/>
                  <w:vAlign w:val="center"/>
                </w:tcPr>
                <w:p>
                  <w:pPr>
                    <w:pStyle w:val="22"/>
                    <w:bidi w:val="0"/>
                    <w:jc w:val="left"/>
                    <w:rPr>
                      <w:rFonts w:hint="default"/>
                      <w:color w:val="auto"/>
                      <w:highlight w:val="none"/>
                      <w:lang w:val="en-US" w:eastAsia="zh-CN"/>
                    </w:rPr>
                  </w:pPr>
                  <w:r>
                    <w:rPr>
                      <w:rFonts w:hint="eastAsia"/>
                      <w:color w:val="auto"/>
                      <w:highlight w:val="none"/>
                      <w:lang w:val="en-US" w:eastAsia="zh-CN"/>
                    </w:rPr>
                    <w:t>‌沸点‌：190℃‌</w:t>
                  </w:r>
                </w:p>
              </w:tc>
              <w:tc>
                <w:tcPr>
                  <w:tcW w:w="3698" w:type="dxa"/>
                  <w:tcBorders>
                    <w:tl2br w:val="nil"/>
                    <w:tr2bl w:val="nil"/>
                  </w:tcBorders>
                  <w:noWrap w:val="0"/>
                  <w:vAlign w:val="center"/>
                </w:tcPr>
                <w:p>
                  <w:pPr>
                    <w:pStyle w:val="22"/>
                    <w:bidi w:val="0"/>
                    <w:jc w:val="left"/>
                    <w:rPr>
                      <w:rFonts w:hint="default"/>
                      <w:color w:val="auto"/>
                      <w:highlight w:val="none"/>
                      <w:lang w:val="en-US" w:eastAsia="zh-CN"/>
                    </w:rPr>
                  </w:pPr>
                  <w:r>
                    <w:rPr>
                      <w:rFonts w:hint="eastAsia"/>
                      <w:color w:val="auto"/>
                      <w:highlight w:val="none"/>
                      <w:lang w:eastAsia="zh-CN"/>
                    </w:rPr>
                    <w:t>闪点‌：74℃（闭杯）‌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30" w:hRule="atLeast"/>
                <w:jc w:val="center"/>
              </w:trPr>
              <w:tc>
                <w:tcPr>
                  <w:tcW w:w="717" w:type="dxa"/>
                  <w:vMerge w:val="restart"/>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危险性概述</w:t>
                  </w:r>
                </w:p>
              </w:tc>
              <w:tc>
                <w:tcPr>
                  <w:tcW w:w="7394" w:type="dxa"/>
                  <w:gridSpan w:val="2"/>
                  <w:tcBorders>
                    <w:tl2br w:val="nil"/>
                    <w:tr2bl w:val="nil"/>
                  </w:tcBorders>
                  <w:noWrap w:val="0"/>
                  <w:vAlign w:val="center"/>
                </w:tcPr>
                <w:p>
                  <w:pPr>
                    <w:pStyle w:val="22"/>
                    <w:bidi w:val="0"/>
                    <w:jc w:val="left"/>
                    <w:rPr>
                      <w:rFonts w:hint="default"/>
                      <w:color w:val="auto"/>
                      <w:highlight w:val="none"/>
                      <w:lang w:val="en-US" w:eastAsia="zh-CN"/>
                    </w:rPr>
                  </w:pPr>
                  <w:r>
                    <w:rPr>
                      <w:rFonts w:hint="eastAsia"/>
                      <w:color w:val="auto"/>
                      <w:highlight w:val="none"/>
                      <w:lang w:val="en-US" w:eastAsia="zh-CN"/>
                    </w:rPr>
                    <w:t>健康危害：</w:t>
                  </w:r>
                  <w:r>
                    <w:rPr>
                      <w:rFonts w:hint="default"/>
                      <w:color w:val="auto"/>
                      <w:highlight w:val="none"/>
                      <w:lang w:val="en-US" w:eastAsia="zh-CN"/>
                    </w:rPr>
                    <w:t>动物实验显示具有轻度麻醉性和刺激性，但未报告显著职业危害。皮肤接触可能引发干燥或刺激，眼睛接触可致红肿、疼痛‌‌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10" w:hRule="atLeast"/>
                <w:jc w:val="center"/>
              </w:trPr>
              <w:tc>
                <w:tcPr>
                  <w:tcW w:w="717" w:type="dxa"/>
                  <w:vMerge w:val="continue"/>
                  <w:tcBorders>
                    <w:tl2br w:val="nil"/>
                    <w:tr2bl w:val="nil"/>
                  </w:tcBorders>
                  <w:noWrap w:val="0"/>
                  <w:vAlign w:val="center"/>
                </w:tcPr>
                <w:p>
                  <w:pPr>
                    <w:pStyle w:val="22"/>
                    <w:bidi w:val="0"/>
                    <w:rPr>
                      <w:rFonts w:hint="default"/>
                      <w:b/>
                      <w:bCs/>
                      <w:color w:val="auto"/>
                      <w:highlight w:val="none"/>
                    </w:rPr>
                  </w:pPr>
                </w:p>
              </w:tc>
              <w:tc>
                <w:tcPr>
                  <w:tcW w:w="7394" w:type="dxa"/>
                  <w:gridSpan w:val="2"/>
                  <w:tcBorders>
                    <w:tl2br w:val="nil"/>
                    <w:tr2bl w:val="nil"/>
                  </w:tcBorders>
                  <w:noWrap w:val="0"/>
                  <w:vAlign w:val="center"/>
                </w:tcPr>
                <w:p>
                  <w:pPr>
                    <w:pStyle w:val="22"/>
                    <w:bidi w:val="0"/>
                    <w:jc w:val="left"/>
                    <w:rPr>
                      <w:rFonts w:hint="default"/>
                      <w:color w:val="auto"/>
                      <w:highlight w:val="none"/>
                      <w:lang w:val="en-US" w:eastAsia="zh-CN"/>
                    </w:rPr>
                  </w:pPr>
                  <w:r>
                    <w:rPr>
                      <w:rFonts w:hint="eastAsia"/>
                      <w:color w:val="auto"/>
                      <w:highlight w:val="none"/>
                      <w:lang w:val="en-US" w:eastAsia="zh-CN"/>
                    </w:rPr>
                    <w:t>环境危害：</w:t>
                  </w:r>
                  <w:r>
                    <w:rPr>
                      <w:rFonts w:hint="default"/>
                      <w:color w:val="auto"/>
                      <w:highlight w:val="none"/>
                      <w:lang w:val="en-US" w:eastAsia="zh-CN"/>
                    </w:rPr>
                    <w:t>未固化液体排放可能污染水体，需按环保法规处理‌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10" w:hRule="atLeast"/>
                <w:jc w:val="center"/>
              </w:trPr>
              <w:tc>
                <w:tcPr>
                  <w:tcW w:w="717" w:type="dxa"/>
                  <w:vMerge w:val="continue"/>
                  <w:tcBorders>
                    <w:tl2br w:val="nil"/>
                    <w:tr2bl w:val="nil"/>
                  </w:tcBorders>
                  <w:noWrap w:val="0"/>
                  <w:vAlign w:val="center"/>
                </w:tcPr>
                <w:p>
                  <w:pPr>
                    <w:pStyle w:val="22"/>
                    <w:bidi w:val="0"/>
                    <w:rPr>
                      <w:rFonts w:hint="default"/>
                      <w:b/>
                      <w:bCs/>
                      <w:color w:val="auto"/>
                      <w:highlight w:val="none"/>
                    </w:rPr>
                  </w:pP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eastAsia"/>
                      <w:color w:val="auto"/>
                      <w:highlight w:val="none"/>
                      <w:lang w:val="en-US" w:eastAsia="zh-CN"/>
                    </w:rPr>
                    <w:t>‌燃爆风险：可燃性‌：闪点约166°F（74℃），遇明火或高热可燃‌。‌分解产物‌：燃烧时释放一氧化碳、二氧化碳等有害气体‌</w:t>
                  </w:r>
                  <w:r>
                    <w:rPr>
                      <w:rFonts w:hint="default"/>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00" w:hRule="atLeast"/>
                <w:jc w:val="center"/>
              </w:trPr>
              <w:tc>
                <w:tcPr>
                  <w:tcW w:w="717" w:type="dxa"/>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急救措施</w:t>
                  </w: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‌皮肤接触‌：脱去污染衣物，用流动清水冲洗‌‌</w:t>
                  </w:r>
                </w:p>
                <w:p>
                  <w:pPr>
                    <w:pStyle w:val="22"/>
                    <w:bidi w:val="0"/>
                    <w:jc w:val="left"/>
                    <w:rPr>
                      <w:rFonts w:hint="default"/>
                      <w:color w:val="auto"/>
                      <w:highlight w:val="none"/>
                    </w:rPr>
                  </w:pPr>
                  <w:r>
                    <w:rPr>
                      <w:rFonts w:hint="default"/>
                      <w:color w:val="auto"/>
                      <w:highlight w:val="none"/>
                    </w:rPr>
                    <w:t>‌眼睛接触‌：立即用生理盐水或清水冲洗并就医‌</w:t>
                  </w:r>
                </w:p>
                <w:p>
                  <w:pPr>
                    <w:pStyle w:val="22"/>
                    <w:bidi w:val="0"/>
                    <w:jc w:val="left"/>
                    <w:rPr>
                      <w:rFonts w:hint="default"/>
                      <w:color w:val="auto"/>
                      <w:highlight w:val="none"/>
                    </w:rPr>
                  </w:pPr>
                  <w:r>
                    <w:rPr>
                      <w:rFonts w:hint="default"/>
                      <w:color w:val="auto"/>
                      <w:highlight w:val="none"/>
                    </w:rPr>
                    <w:t>‌吸入‌：转移至空气新鲜处，若呼吸困难需吸氧‌</w:t>
                  </w:r>
                </w:p>
                <w:p>
                  <w:pPr>
                    <w:pStyle w:val="22"/>
                    <w:bidi w:val="0"/>
                    <w:jc w:val="left"/>
                    <w:rPr>
                      <w:rFonts w:hint="default"/>
                      <w:color w:val="auto"/>
                      <w:highlight w:val="none"/>
                    </w:rPr>
                  </w:pPr>
                  <w:r>
                    <w:rPr>
                      <w:rFonts w:hint="default"/>
                      <w:color w:val="auto"/>
                      <w:highlight w:val="none"/>
                    </w:rPr>
                    <w:t>‌食入‌：误服后勿催吐，立即就医‌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00" w:hRule="atLeast"/>
                <w:jc w:val="center"/>
              </w:trPr>
              <w:tc>
                <w:tcPr>
                  <w:tcW w:w="717" w:type="dxa"/>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消防措施</w:t>
                  </w: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适用灭火剂‌：雾状水、泡沫、干粉、二氧化碳或砂土‌</w:t>
                  </w:r>
                  <w:r>
                    <w:rPr>
                      <w:rFonts w:hint="eastAsia"/>
                      <w:color w:val="auto"/>
                      <w:highlight w:val="none"/>
                      <w:lang w:eastAsia="zh-CN"/>
                    </w:rPr>
                    <w:t>；</w:t>
                  </w:r>
                  <w:r>
                    <w:rPr>
                      <w:rFonts w:hint="default"/>
                      <w:color w:val="auto"/>
                      <w:highlight w:val="none"/>
                    </w:rPr>
                    <w:t>特殊防护‌：消防人员需佩戴自给式呼吸器，防止吸入有毒气体‌‌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00" w:hRule="atLeast"/>
                <w:jc w:val="center"/>
              </w:trPr>
              <w:tc>
                <w:tcPr>
                  <w:tcW w:w="717" w:type="dxa"/>
                  <w:tcBorders>
                    <w:tl2br w:val="nil"/>
                    <w:tr2bl w:val="nil"/>
                  </w:tcBorders>
                  <w:noWrap w:val="0"/>
                  <w:vAlign w:val="center"/>
                </w:tcPr>
                <w:p>
                  <w:pPr>
                    <w:pStyle w:val="22"/>
                    <w:bidi w:val="0"/>
                    <w:rPr>
                      <w:rFonts w:hint="default"/>
                      <w:b/>
                      <w:bCs/>
                      <w:color w:val="auto"/>
                      <w:highlight w:val="none"/>
                    </w:rPr>
                  </w:pPr>
                  <w:r>
                    <w:rPr>
                      <w:rFonts w:hint="default"/>
                      <w:b/>
                      <w:bCs/>
                      <w:color w:val="auto"/>
                      <w:highlight w:val="none"/>
                    </w:rPr>
                    <w:t>操作与储存</w:t>
                  </w: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default"/>
                      <w:color w:val="auto"/>
                      <w:highlight w:val="none"/>
                    </w:rPr>
                    <w:t>‌操作要求‌：密闭操作，保持通风，佩戴防毒面具、防护眼镜及手套‌‌</w:t>
                  </w:r>
                  <w:r>
                    <w:rPr>
                      <w:rFonts w:hint="eastAsia"/>
                      <w:color w:val="auto"/>
                      <w:highlight w:val="none"/>
                      <w:lang w:eastAsia="zh-CN"/>
                    </w:rPr>
                    <w:t>；</w:t>
                  </w:r>
                  <w:r>
                    <w:rPr>
                      <w:rFonts w:hint="eastAsia" w:eastAsiaTheme="minorEastAsia"/>
                      <w:color w:val="auto"/>
                      <w:highlight w:val="none"/>
                      <w:lang w:eastAsia="zh-CN"/>
                    </w:rPr>
                    <w:t>远离火源、热源，避免与氧化剂、强酸接触</w:t>
                  </w:r>
                  <w:r>
                    <w:rPr>
                      <w:rFonts w:hint="eastAsia"/>
                      <w:color w:val="auto"/>
                      <w:highlight w:val="none"/>
                      <w:lang w:eastAsia="zh-CN"/>
                    </w:rPr>
                    <w:t>；储存条件：阴凉通风处密封保存，温度控制在-80°C至常温‌</w:t>
                  </w:r>
                  <w:r>
                    <w:rPr>
                      <w:rFonts w:hint="eastAsia" w:eastAsiaTheme="minorEastAsia"/>
                      <w:color w:val="auto"/>
                      <w:highlight w:val="none"/>
                      <w:lang w:eastAsia="zh-CN"/>
                    </w:rPr>
                    <w:t>‌</w:t>
                  </w:r>
                  <w:r>
                    <w:rPr>
                      <w:rFonts w:hint="default"/>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00" w:hRule="atLeast"/>
                <w:jc w:val="center"/>
              </w:trPr>
              <w:tc>
                <w:tcPr>
                  <w:tcW w:w="717" w:type="dxa"/>
                  <w:tcBorders>
                    <w:tl2br w:val="nil"/>
                    <w:tr2bl w:val="nil"/>
                  </w:tcBorders>
                  <w:noWrap w:val="0"/>
                  <w:vAlign w:val="center"/>
                </w:tcPr>
                <w:p>
                  <w:pPr>
                    <w:pStyle w:val="22"/>
                    <w:bidi w:val="0"/>
                    <w:rPr>
                      <w:rFonts w:hint="eastAsia" w:eastAsiaTheme="minorEastAsia"/>
                      <w:b/>
                      <w:bCs/>
                      <w:color w:val="auto"/>
                      <w:highlight w:val="none"/>
                      <w:lang w:eastAsia="zh-CN"/>
                    </w:rPr>
                  </w:pPr>
                  <w:r>
                    <w:rPr>
                      <w:rFonts w:hint="eastAsia"/>
                      <w:b/>
                      <w:bCs/>
                      <w:color w:val="auto"/>
                      <w:highlight w:val="none"/>
                      <w:lang w:eastAsia="zh-CN"/>
                    </w:rPr>
                    <w:t>生态与废弃处置</w:t>
                  </w:r>
                </w:p>
              </w:tc>
              <w:tc>
                <w:tcPr>
                  <w:tcW w:w="7394" w:type="dxa"/>
                  <w:gridSpan w:val="2"/>
                  <w:tcBorders>
                    <w:tl2br w:val="nil"/>
                    <w:tr2bl w:val="nil"/>
                  </w:tcBorders>
                  <w:noWrap w:val="0"/>
                  <w:vAlign w:val="center"/>
                </w:tcPr>
                <w:p>
                  <w:pPr>
                    <w:pStyle w:val="22"/>
                    <w:bidi w:val="0"/>
                    <w:jc w:val="left"/>
                    <w:rPr>
                      <w:rFonts w:hint="default"/>
                      <w:color w:val="auto"/>
                      <w:highlight w:val="none"/>
                    </w:rPr>
                  </w:pPr>
                  <w:r>
                    <w:rPr>
                      <w:rFonts w:hint="eastAsia"/>
                      <w:color w:val="auto"/>
                      <w:highlight w:val="none"/>
                      <w:lang w:eastAsia="zh-CN"/>
                    </w:rPr>
                    <w:t>泄漏处理</w:t>
                  </w:r>
                  <w:r>
                    <w:rPr>
                      <w:rFonts w:hint="default"/>
                      <w:color w:val="auto"/>
                      <w:highlight w:val="none"/>
                    </w:rPr>
                    <w:t>‌：小量泄漏用砂土吸附，大量泄漏构筑围堤收集，按工业废水处理‌</w:t>
                  </w:r>
                  <w:r>
                    <w:rPr>
                      <w:rFonts w:hint="eastAsia"/>
                      <w:color w:val="auto"/>
                      <w:highlight w:val="none"/>
                      <w:lang w:eastAsia="zh-CN"/>
                    </w:rPr>
                    <w:t>；</w:t>
                  </w:r>
                  <w:r>
                    <w:rPr>
                      <w:rFonts w:hint="default"/>
                      <w:color w:val="auto"/>
                      <w:highlight w:val="none"/>
                    </w:rPr>
                    <w:t>生物降解性‌：可被微生物降解，避免直接排入环境‌‌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00" w:hRule="atLeast"/>
                <w:jc w:val="center"/>
              </w:trPr>
              <w:tc>
                <w:tcPr>
                  <w:tcW w:w="717" w:type="dxa"/>
                  <w:tcBorders>
                    <w:tl2br w:val="nil"/>
                    <w:tr2bl w:val="nil"/>
                  </w:tcBorders>
                  <w:noWrap w:val="0"/>
                  <w:vAlign w:val="center"/>
                </w:tcPr>
                <w:p>
                  <w:pPr>
                    <w:pStyle w:val="22"/>
                    <w:bidi w:val="0"/>
                    <w:rPr>
                      <w:rFonts w:hint="eastAsia"/>
                      <w:b/>
                      <w:bCs/>
                      <w:color w:val="auto"/>
                      <w:highlight w:val="none"/>
                      <w:lang w:eastAsia="zh-CN"/>
                    </w:rPr>
                  </w:pPr>
                  <w:r>
                    <w:rPr>
                      <w:rFonts w:hint="eastAsia"/>
                      <w:b/>
                      <w:bCs/>
                      <w:color w:val="auto"/>
                      <w:highlight w:val="none"/>
                      <w:lang w:eastAsia="zh-CN"/>
                    </w:rPr>
                    <w:t>应用与运输</w:t>
                  </w:r>
                </w:p>
              </w:tc>
              <w:tc>
                <w:tcPr>
                  <w:tcW w:w="7394" w:type="dxa"/>
                  <w:gridSpan w:val="2"/>
                  <w:tcBorders>
                    <w:tl2br w:val="nil"/>
                    <w:tr2bl w:val="nil"/>
                  </w:tcBorders>
                  <w:noWrap w:val="0"/>
                  <w:vAlign w:val="center"/>
                </w:tcPr>
                <w:p>
                  <w:pPr>
                    <w:pStyle w:val="22"/>
                    <w:bidi w:val="0"/>
                    <w:jc w:val="left"/>
                    <w:rPr>
                      <w:rFonts w:hint="eastAsia"/>
                      <w:color w:val="auto"/>
                      <w:highlight w:val="none"/>
                      <w:lang w:eastAsia="zh-CN"/>
                    </w:rPr>
                  </w:pPr>
                  <w:r>
                    <w:rPr>
                      <w:rFonts w:hint="eastAsia"/>
                      <w:color w:val="auto"/>
                      <w:highlight w:val="none"/>
                      <w:lang w:eastAsia="zh-CN"/>
                    </w:rPr>
                    <w:t>主要用途‌：硝化纤维素、聚醋酸乙烯酯的溶剂，刹车油组分；</w:t>
                  </w:r>
                </w:p>
                <w:p>
                  <w:pPr>
                    <w:pStyle w:val="22"/>
                    <w:bidi w:val="0"/>
                    <w:jc w:val="left"/>
                    <w:rPr>
                      <w:rFonts w:hint="eastAsia"/>
                      <w:color w:val="auto"/>
                      <w:highlight w:val="none"/>
                      <w:lang w:eastAsia="zh-CN"/>
                    </w:rPr>
                  </w:pPr>
                  <w:r>
                    <w:rPr>
                      <w:rFonts w:hint="eastAsia"/>
                      <w:color w:val="auto"/>
                      <w:highlight w:val="none"/>
                      <w:lang w:eastAsia="zh-CN"/>
                    </w:rPr>
                    <w:t>‌运输分类‌：非危险品，但需避免高温和明火‌</w:t>
                  </w:r>
                </w:p>
              </w:tc>
            </w:tr>
          </w:tbl>
          <w:p>
            <w:pPr>
              <w:pStyle w:val="27"/>
              <w:ind w:firstLine="482"/>
              <w:rPr>
                <w:rFonts w:hint="default"/>
                <w:color w:val="auto"/>
                <w:highlight w:val="none"/>
              </w:rPr>
            </w:pPr>
            <w:r>
              <w:rPr>
                <w:color w:val="auto"/>
                <w:highlight w:val="none"/>
              </w:rPr>
              <w:t>7公用工程</w:t>
            </w:r>
          </w:p>
          <w:p>
            <w:pPr>
              <w:pStyle w:val="27"/>
              <w:ind w:firstLine="482"/>
              <w:rPr>
                <w:rFonts w:hint="default"/>
                <w:color w:val="auto"/>
                <w:highlight w:val="none"/>
              </w:rPr>
            </w:pPr>
            <w:r>
              <w:rPr>
                <w:color w:val="auto"/>
                <w:highlight w:val="none"/>
              </w:rPr>
              <w:t>7.1给水</w:t>
            </w:r>
          </w:p>
          <w:p>
            <w:pPr>
              <w:pStyle w:val="12"/>
              <w:ind w:firstLine="480"/>
              <w:rPr>
                <w:color w:val="auto"/>
                <w:highlight w:val="none"/>
              </w:rPr>
            </w:pPr>
            <w:r>
              <w:rPr>
                <w:rFonts w:hint="eastAsia"/>
                <w:color w:val="auto"/>
                <w:highlight w:val="none"/>
              </w:rPr>
              <w:t>（1）生活用水</w:t>
            </w:r>
          </w:p>
          <w:p>
            <w:pPr>
              <w:spacing w:line="360" w:lineRule="auto"/>
              <w:ind w:firstLine="480" w:firstLineChars="200"/>
              <w:rPr>
                <w:rFonts w:hint="eastAsia"/>
                <w:color w:val="auto"/>
                <w:szCs w:val="24"/>
                <w:highlight w:val="none"/>
                <w:lang w:eastAsia="zh-CN"/>
              </w:rPr>
            </w:pPr>
            <w:r>
              <w:rPr>
                <w:rFonts w:hint="eastAsia"/>
                <w:color w:val="auto"/>
                <w:szCs w:val="24"/>
                <w:highlight w:val="none"/>
                <w:lang w:eastAsia="zh-CN"/>
              </w:rPr>
              <w:t>项目员工均为二道沟公司内部调配，不新增员工，无新增生活用水。</w:t>
            </w:r>
          </w:p>
          <w:p>
            <w:pPr>
              <w:pStyle w:val="27"/>
              <w:ind w:firstLine="482"/>
              <w:rPr>
                <w:rFonts w:hint="default"/>
                <w:color w:val="auto"/>
                <w:highlight w:val="none"/>
              </w:rPr>
            </w:pPr>
            <w:r>
              <w:rPr>
                <w:color w:val="auto"/>
                <w:highlight w:val="none"/>
              </w:rPr>
              <w:t>7.2排水</w:t>
            </w:r>
          </w:p>
          <w:p>
            <w:pPr>
              <w:pStyle w:val="12"/>
              <w:ind w:firstLine="480"/>
              <w:rPr>
                <w:color w:val="auto"/>
                <w:highlight w:val="none"/>
              </w:rPr>
            </w:pPr>
            <w:r>
              <w:rPr>
                <w:rFonts w:hint="eastAsia"/>
                <w:color w:val="auto"/>
                <w:highlight w:val="none"/>
              </w:rPr>
              <w:t>（1）生活污水</w:t>
            </w:r>
          </w:p>
          <w:p>
            <w:pPr>
              <w:pStyle w:val="12"/>
              <w:ind w:firstLine="480"/>
              <w:rPr>
                <w:color w:val="auto"/>
                <w:szCs w:val="24"/>
                <w:highlight w:val="none"/>
              </w:rPr>
            </w:pPr>
            <w:r>
              <w:rPr>
                <w:rFonts w:hint="eastAsia"/>
                <w:color w:val="auto"/>
                <w:szCs w:val="24"/>
                <w:highlight w:val="none"/>
                <w:lang w:eastAsia="zh-CN"/>
              </w:rPr>
              <w:t>项目员工均为二道沟公司内部调配，不新增员工，无新增生活污水排放，生活污水依托现有设施处理，不外排。</w:t>
            </w:r>
          </w:p>
          <w:p>
            <w:pPr>
              <w:pStyle w:val="27"/>
              <w:ind w:firstLine="482"/>
              <w:rPr>
                <w:rFonts w:hint="default"/>
                <w:color w:val="auto"/>
                <w:highlight w:val="none"/>
              </w:rPr>
            </w:pPr>
            <w:r>
              <w:rPr>
                <w:color w:val="auto"/>
                <w:highlight w:val="none"/>
              </w:rPr>
              <w:t>7.3供电</w:t>
            </w:r>
          </w:p>
          <w:p>
            <w:pPr>
              <w:pStyle w:val="12"/>
              <w:rPr>
                <w:color w:val="auto"/>
                <w:highlight w:val="none"/>
              </w:rPr>
            </w:pPr>
            <w:r>
              <w:rPr>
                <w:rFonts w:hint="eastAsia"/>
                <w:color w:val="auto"/>
                <w:highlight w:val="none"/>
                <w:lang w:eastAsia="zh-CN"/>
              </w:rPr>
              <w:t>项目由二道沟公司</w:t>
            </w:r>
            <w:r>
              <w:rPr>
                <w:rFonts w:hint="eastAsia"/>
                <w:color w:val="auto"/>
                <w:highlight w:val="none"/>
              </w:rPr>
              <w:t>供电。</w:t>
            </w:r>
          </w:p>
          <w:p>
            <w:pPr>
              <w:pStyle w:val="27"/>
              <w:ind w:firstLine="482"/>
              <w:rPr>
                <w:rFonts w:hint="default"/>
                <w:color w:val="auto"/>
                <w:highlight w:val="none"/>
              </w:rPr>
            </w:pPr>
            <w:r>
              <w:rPr>
                <w:color w:val="auto"/>
                <w:highlight w:val="none"/>
              </w:rPr>
              <w:t>7.4取暖</w:t>
            </w:r>
          </w:p>
          <w:p>
            <w:pPr>
              <w:pStyle w:val="12"/>
              <w:ind w:firstLine="480"/>
              <w:rPr>
                <w:color w:val="auto"/>
                <w:highlight w:val="none"/>
              </w:rPr>
            </w:pPr>
            <w:r>
              <w:rPr>
                <w:rFonts w:hint="eastAsia"/>
                <w:color w:val="auto"/>
                <w:highlight w:val="none"/>
              </w:rPr>
              <w:t>项目</w:t>
            </w:r>
            <w:r>
              <w:rPr>
                <w:rFonts w:hint="eastAsia"/>
                <w:color w:val="auto"/>
                <w:highlight w:val="none"/>
                <w:lang w:eastAsia="zh-CN"/>
              </w:rPr>
              <w:t>危险废物贮存点内</w:t>
            </w:r>
            <w:r>
              <w:rPr>
                <w:rFonts w:hint="eastAsia"/>
                <w:color w:val="auto"/>
                <w:highlight w:val="none"/>
              </w:rPr>
              <w:t>不取暖。</w:t>
            </w:r>
          </w:p>
          <w:p>
            <w:pPr>
              <w:pStyle w:val="27"/>
              <w:ind w:firstLine="482"/>
              <w:rPr>
                <w:rFonts w:hint="default"/>
                <w:color w:val="auto"/>
                <w:highlight w:val="none"/>
              </w:rPr>
            </w:pPr>
            <w:r>
              <w:rPr>
                <w:color w:val="auto"/>
                <w:highlight w:val="none"/>
              </w:rPr>
              <w:t>8工作人员及制度</w:t>
            </w:r>
          </w:p>
          <w:p>
            <w:pPr>
              <w:pStyle w:val="12"/>
              <w:ind w:firstLine="480"/>
              <w:rPr>
                <w:rFonts w:hint="eastAsia" w:eastAsia="宋体"/>
                <w:color w:val="auto"/>
                <w:highlight w:val="none"/>
                <w:lang w:eastAsia="zh-CN"/>
              </w:rPr>
            </w:pPr>
            <w:r>
              <w:rPr>
                <w:rFonts w:hint="eastAsia"/>
                <w:color w:val="auto"/>
                <w:highlight w:val="none"/>
              </w:rPr>
              <w:t>本项目不新增员工，由公司调配</w:t>
            </w:r>
            <w:r>
              <w:rPr>
                <w:rFonts w:hint="eastAsia"/>
                <w:color w:val="auto"/>
                <w:highlight w:val="none"/>
                <w:lang w:eastAsia="zh-CN"/>
              </w:rPr>
              <w:t>，</w:t>
            </w:r>
            <w:r>
              <w:rPr>
                <w:rFonts w:hint="eastAsia"/>
                <w:color w:val="auto"/>
                <w:highlight w:val="none"/>
              </w:rPr>
              <w:t>劳动定员</w:t>
            </w:r>
            <w:r>
              <w:rPr>
                <w:rFonts w:hint="eastAsia"/>
                <w:color w:val="auto"/>
                <w:highlight w:val="none"/>
                <w:lang w:val="en-US" w:eastAsia="zh-CN"/>
              </w:rPr>
              <w:t>2</w:t>
            </w:r>
            <w:r>
              <w:rPr>
                <w:rFonts w:hint="eastAsia"/>
                <w:color w:val="auto"/>
                <w:highlight w:val="none"/>
              </w:rPr>
              <w:t>人，年工作365天，三班制，每班8小时工作制</w:t>
            </w:r>
            <w:r>
              <w:rPr>
                <w:rFonts w:hint="eastAsia"/>
                <w:color w:val="auto"/>
                <w:highlight w:val="none"/>
                <w:lang w:eastAsia="zh-CN"/>
              </w:rPr>
              <w:t>。</w:t>
            </w:r>
          </w:p>
          <w:p>
            <w:pPr>
              <w:pStyle w:val="27"/>
              <w:ind w:firstLine="482"/>
              <w:rPr>
                <w:rFonts w:hint="default"/>
                <w:color w:val="auto"/>
                <w:highlight w:val="none"/>
              </w:rPr>
            </w:pPr>
            <w:r>
              <w:rPr>
                <w:color w:val="auto"/>
                <w:highlight w:val="none"/>
              </w:rPr>
              <w:t>9厂区平面布置图</w:t>
            </w:r>
          </w:p>
          <w:p>
            <w:pPr>
              <w:pStyle w:val="12"/>
              <w:ind w:firstLine="480"/>
              <w:rPr>
                <w:rFonts w:ascii="宋体" w:hAnsi="宋体" w:cs="宋体"/>
                <w:bCs/>
                <w:color w:val="auto"/>
                <w:szCs w:val="21"/>
                <w:highlight w:val="none"/>
              </w:rPr>
            </w:pPr>
            <w:r>
              <w:rPr>
                <w:rFonts w:hint="eastAsia"/>
                <w:color w:val="auto"/>
                <w:highlight w:val="none"/>
                <w:lang w:eastAsia="zh-CN"/>
              </w:rPr>
              <w:t>本项目危险废物贮存点自西向东依次为破损废铅蓄电池及废电解液贮存区、集液池、废铅蓄电池贮存区、废油桶贮存区、废润滑油贮存区。</w:t>
            </w:r>
            <w:r>
              <w:rPr>
                <w:rFonts w:hint="eastAsia"/>
                <w:color w:val="auto"/>
                <w:kern w:val="2"/>
                <w:highlight w:val="none"/>
              </w:rPr>
              <w:t>平面布置图见附图</w:t>
            </w:r>
            <w:r>
              <w:rPr>
                <w:rFonts w:hint="eastAsia"/>
                <w:color w:val="auto"/>
                <w:kern w:val="2"/>
                <w:highlight w:val="none"/>
                <w:lang w:val="en-US" w:eastAsia="zh-CN"/>
              </w:rPr>
              <w:t>4</w:t>
            </w:r>
            <w:r>
              <w:rPr>
                <w:rFonts w:hint="eastAsia"/>
                <w:color w:val="auto"/>
                <w:kern w:val="2"/>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699" w:type="dxa"/>
            <w:vAlign w:val="center"/>
          </w:tcPr>
          <w:p>
            <w:pPr>
              <w:adjustRightInd w:val="0"/>
              <w:snapToGrid w:val="0"/>
              <w:jc w:val="center"/>
              <w:rPr>
                <w:rFonts w:cs="宋体"/>
                <w:color w:val="auto"/>
                <w:sz w:val="21"/>
                <w:szCs w:val="21"/>
                <w:highlight w:val="none"/>
              </w:rPr>
            </w:pPr>
            <w:r>
              <w:rPr>
                <w:rFonts w:hint="eastAsia" w:ascii="Times New Roman" w:hAnsi="Times New Roman" w:eastAsia="宋体" w:cs="Times New Roman"/>
                <w:color w:val="auto"/>
                <w:kern w:val="2"/>
                <w:sz w:val="24"/>
                <w:szCs w:val="22"/>
                <w:highlight w:val="none"/>
                <w:lang w:val="en-US" w:eastAsia="zh-CN" w:bidi="ar-SA"/>
              </w:rPr>
              <w:t>工艺流程和产排污环节</w:t>
            </w:r>
          </w:p>
        </w:tc>
        <w:tc>
          <w:tcPr>
            <w:tcW w:w="8361" w:type="dxa"/>
          </w:tcPr>
          <w:p>
            <w:pPr>
              <w:pStyle w:val="27"/>
              <w:ind w:firstLine="482"/>
              <w:rPr>
                <w:rFonts w:hint="default"/>
                <w:color w:val="auto"/>
                <w:highlight w:val="none"/>
              </w:rPr>
            </w:pPr>
            <w:r>
              <w:rPr>
                <w:color w:val="auto"/>
                <w:highlight w:val="none"/>
              </w:rPr>
              <w:t>1施工期</w:t>
            </w:r>
          </w:p>
          <w:p>
            <w:pPr>
              <w:pStyle w:val="12"/>
              <w:ind w:firstLine="480"/>
              <w:rPr>
                <w:color w:val="auto"/>
                <w:highlight w:val="none"/>
              </w:rPr>
            </w:pPr>
            <w:r>
              <w:rPr>
                <w:rFonts w:hint="eastAsia"/>
                <w:color w:val="auto"/>
                <w:highlight w:val="none"/>
                <w:lang w:eastAsia="zh-CN"/>
              </w:rPr>
              <w:t>本项目利用原有库房进行改造，现场地面需要拆除、需挖掘导流渠、并进行</w:t>
            </w:r>
            <w:r>
              <w:rPr>
                <w:rFonts w:hint="eastAsia"/>
                <w:color w:val="auto"/>
                <w:highlight w:val="none"/>
              </w:rPr>
              <w:t>地面硬化</w:t>
            </w:r>
            <w:r>
              <w:rPr>
                <w:rFonts w:hint="eastAsia"/>
                <w:color w:val="auto"/>
                <w:highlight w:val="none"/>
                <w:lang w:eastAsia="zh-CN"/>
              </w:rPr>
              <w:t>、</w:t>
            </w:r>
            <w:r>
              <w:rPr>
                <w:rFonts w:hint="eastAsia"/>
                <w:color w:val="auto"/>
                <w:highlight w:val="none"/>
              </w:rPr>
              <w:t>防腐防渗</w:t>
            </w:r>
            <w:r>
              <w:rPr>
                <w:rFonts w:hint="eastAsia"/>
                <w:color w:val="auto"/>
                <w:highlight w:val="none"/>
                <w:lang w:eastAsia="zh-CN"/>
              </w:rPr>
              <w:t>及</w:t>
            </w:r>
            <w:r>
              <w:rPr>
                <w:rFonts w:hint="eastAsia"/>
                <w:color w:val="auto"/>
                <w:highlight w:val="none"/>
              </w:rPr>
              <w:t>分区</w:t>
            </w:r>
            <w:r>
              <w:rPr>
                <w:rFonts w:hint="eastAsia"/>
                <w:color w:val="auto"/>
                <w:highlight w:val="none"/>
                <w:lang w:eastAsia="zh-CN"/>
              </w:rPr>
              <w:t>隔断</w:t>
            </w:r>
            <w:r>
              <w:rPr>
                <w:rFonts w:hint="eastAsia"/>
                <w:color w:val="auto"/>
                <w:highlight w:val="none"/>
              </w:rPr>
              <w:t>的设置等。项目施工期时间较短且主要</w:t>
            </w:r>
            <w:r>
              <w:rPr>
                <w:rFonts w:hint="eastAsia"/>
                <w:color w:val="auto"/>
                <w:highlight w:val="none"/>
                <w:lang w:eastAsia="zh-CN"/>
              </w:rPr>
              <w:t>施工过程</w:t>
            </w:r>
            <w:r>
              <w:rPr>
                <w:rFonts w:hint="eastAsia"/>
                <w:color w:val="auto"/>
                <w:highlight w:val="none"/>
              </w:rPr>
              <w:t>的环境影响均局限于已建厂房。施工期主要污染物为生活垃圾、生活污水、施工废气、施工固废、施工噪声。</w:t>
            </w:r>
          </w:p>
          <w:p>
            <w:pPr>
              <w:pStyle w:val="27"/>
              <w:ind w:left="0" w:leftChars="0" w:firstLine="0" w:firstLineChars="0"/>
              <w:jc w:val="center"/>
              <w:rPr>
                <w:rFonts w:hint="eastAsia" w:eastAsia="宋体"/>
                <w:color w:val="auto"/>
                <w:highlight w:val="none"/>
                <w:lang w:eastAsia="zh-CN"/>
              </w:rPr>
            </w:pPr>
            <w:r>
              <w:rPr>
                <w:color w:val="auto"/>
                <w:highlight w:val="none"/>
              </w:rPr>
              <w:drawing>
                <wp:inline distT="0" distB="0" distL="114300" distR="114300">
                  <wp:extent cx="4390390" cy="2528570"/>
                  <wp:effectExtent l="0" t="0" r="10160" b="5080"/>
                  <wp:docPr id="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pic:cNvPicPr>
                            <a:picLocks noChangeAspect="1"/>
                          </pic:cNvPicPr>
                        </pic:nvPicPr>
                        <pic:blipFill>
                          <a:blip r:embed="rId13"/>
                          <a:stretch>
                            <a:fillRect/>
                          </a:stretch>
                        </pic:blipFill>
                        <pic:spPr>
                          <a:xfrm>
                            <a:off x="0" y="0"/>
                            <a:ext cx="4390390" cy="2528570"/>
                          </a:xfrm>
                          <a:prstGeom prst="rect">
                            <a:avLst/>
                          </a:prstGeom>
                          <a:noFill/>
                          <a:ln>
                            <a:noFill/>
                          </a:ln>
                        </pic:spPr>
                      </pic:pic>
                    </a:graphicData>
                  </a:graphic>
                </wp:inline>
              </w:drawing>
            </w:r>
          </w:p>
          <w:p>
            <w:pPr>
              <w:pStyle w:val="23"/>
              <w:numPr>
                <w:ilvl w:val="1"/>
                <w:numId w:val="0"/>
              </w:numPr>
              <w:tabs>
                <w:tab w:val="clear" w:pos="420"/>
              </w:tabs>
              <w:ind w:left="840" w:leftChars="0" w:hanging="420" w:firstLineChars="0"/>
              <w:rPr>
                <w:rFonts w:hint="default" w:eastAsia="宋体"/>
                <w:color w:val="auto"/>
                <w:highlight w:val="none"/>
                <w:lang w:val="en-US" w:eastAsia="zh-CN"/>
              </w:rPr>
            </w:pPr>
            <w:r>
              <w:rPr>
                <w:rFonts w:hint="eastAsia"/>
                <w:color w:val="auto"/>
                <w:highlight w:val="none"/>
                <w:lang w:eastAsia="zh-CN"/>
              </w:rPr>
              <w:t>图</w:t>
            </w:r>
            <w:r>
              <w:rPr>
                <w:rFonts w:hint="eastAsia"/>
                <w:color w:val="auto"/>
                <w:highlight w:val="none"/>
                <w:lang w:val="en-US" w:eastAsia="zh-CN"/>
              </w:rPr>
              <w:t>2   项目施工期工艺流程</w:t>
            </w:r>
          </w:p>
          <w:p>
            <w:pPr>
              <w:pStyle w:val="27"/>
              <w:ind w:firstLine="482"/>
              <w:rPr>
                <w:rFonts w:hint="default"/>
                <w:color w:val="auto"/>
                <w:highlight w:val="none"/>
              </w:rPr>
            </w:pPr>
            <w:r>
              <w:rPr>
                <w:color w:val="auto"/>
                <w:highlight w:val="none"/>
              </w:rPr>
              <w:t>2运营期</w:t>
            </w:r>
          </w:p>
          <w:p>
            <w:pPr>
              <w:pStyle w:val="12"/>
              <w:ind w:firstLine="480"/>
              <w:rPr>
                <w:rFonts w:hint="eastAsia" w:eastAsia="宋体"/>
                <w:color w:val="auto"/>
                <w:highlight w:val="none"/>
                <w:lang w:eastAsia="zh-CN"/>
              </w:rPr>
            </w:pPr>
            <w:r>
              <w:rPr>
                <w:rFonts w:hint="eastAsia"/>
                <w:color w:val="auto"/>
                <w:highlight w:val="none"/>
              </w:rPr>
              <w:t>2.1</w:t>
            </w:r>
            <w:r>
              <w:rPr>
                <w:rFonts w:hint="eastAsia"/>
                <w:color w:val="auto"/>
                <w:highlight w:val="none"/>
                <w:lang w:eastAsia="zh-CN"/>
              </w:rPr>
              <w:t>危险废物收集贮存工艺</w:t>
            </w:r>
          </w:p>
          <w:p>
            <w:pPr>
              <w:pStyle w:val="12"/>
              <w:ind w:firstLine="0" w:firstLineChars="0"/>
              <w:jc w:val="center"/>
              <w:rPr>
                <w:color w:val="auto"/>
                <w:highlight w:val="none"/>
              </w:rPr>
            </w:pPr>
            <w:r>
              <w:rPr>
                <w:color w:val="auto"/>
                <w:highlight w:val="none"/>
              </w:rPr>
              <w:object>
                <v:shape id="_x0000_i1025" o:spt="75" type="#_x0000_t75" style="height:262.6pt;width:317.9pt;" o:ole="t" filled="f" o:preferrelative="t" stroked="f" coordsize="21600,21600">
                  <v:path/>
                  <v:fill on="f" focussize="0,0"/>
                  <v:stroke on="f"/>
                  <v:imagedata r:id="rId15" o:title=""/>
                  <o:lock v:ext="edit" aspectratio="f"/>
                  <w10:wrap type="none"/>
                  <w10:anchorlock/>
                </v:shape>
                <o:OLEObject Type="Embed" ProgID="Visio.Drawing.11" ShapeID="_x0000_i1025" DrawAspect="Content" ObjectID="_1468075725" r:id="rId14">
                  <o:LockedField>false</o:LockedField>
                </o:OLEObject>
              </w:object>
            </w:r>
          </w:p>
          <w:p>
            <w:pPr>
              <w:pStyle w:val="23"/>
              <w:numPr>
                <w:ilvl w:val="1"/>
                <w:numId w:val="0"/>
              </w:numPr>
              <w:tabs>
                <w:tab w:val="clear" w:pos="420"/>
              </w:tabs>
              <w:ind w:left="840" w:leftChars="0" w:hanging="420" w:firstLineChars="0"/>
              <w:rPr>
                <w:color w:val="auto"/>
                <w:highlight w:val="none"/>
              </w:rPr>
            </w:pPr>
            <w:r>
              <w:rPr>
                <w:rFonts w:hint="eastAsia"/>
                <w:color w:val="auto"/>
                <w:highlight w:val="none"/>
              </w:rPr>
              <w:t xml:space="preserve">图3   </w:t>
            </w:r>
            <w:r>
              <w:rPr>
                <w:rFonts w:hint="eastAsia"/>
                <w:color w:val="auto"/>
                <w:highlight w:val="none"/>
                <w:lang w:eastAsia="zh-CN"/>
              </w:rPr>
              <w:t>危险废物</w:t>
            </w:r>
            <w:r>
              <w:rPr>
                <w:rFonts w:hint="eastAsia"/>
                <w:color w:val="auto"/>
                <w:highlight w:val="none"/>
              </w:rPr>
              <w:t>收集</w:t>
            </w:r>
            <w:r>
              <w:rPr>
                <w:rFonts w:hint="eastAsia"/>
                <w:color w:val="auto"/>
                <w:highlight w:val="none"/>
                <w:lang w:eastAsia="zh-CN"/>
              </w:rPr>
              <w:t>贮存</w:t>
            </w:r>
            <w:r>
              <w:rPr>
                <w:rFonts w:hint="eastAsia"/>
                <w:color w:val="auto"/>
                <w:highlight w:val="none"/>
              </w:rPr>
              <w:t>工艺流程图</w:t>
            </w:r>
          </w:p>
          <w:p>
            <w:pPr>
              <w:pStyle w:val="12"/>
              <w:ind w:firstLine="480"/>
              <w:rPr>
                <w:color w:val="auto"/>
                <w:highlight w:val="none"/>
              </w:rPr>
            </w:pPr>
            <w:r>
              <w:rPr>
                <w:rFonts w:hint="eastAsia"/>
                <w:color w:val="auto"/>
                <w:highlight w:val="none"/>
              </w:rPr>
              <w:t>工艺描述：</w:t>
            </w:r>
          </w:p>
          <w:p>
            <w:pPr>
              <w:pStyle w:val="12"/>
              <w:ind w:firstLine="480"/>
              <w:rPr>
                <w:rFonts w:hint="eastAsia" w:eastAsia="宋体"/>
                <w:color w:val="auto"/>
                <w:highlight w:val="none"/>
                <w:lang w:eastAsia="zh-CN"/>
              </w:rPr>
            </w:pPr>
            <w:r>
              <w:rPr>
                <w:rFonts w:hint="eastAsia"/>
                <w:color w:val="auto"/>
                <w:highlight w:val="none"/>
              </w:rPr>
              <w:t>（1）</w:t>
            </w:r>
            <w:r>
              <w:rPr>
                <w:rFonts w:hint="eastAsia"/>
                <w:color w:val="auto"/>
                <w:highlight w:val="none"/>
                <w:lang w:eastAsia="zh-CN"/>
              </w:rPr>
              <w:t>收集、厂内运输</w:t>
            </w:r>
          </w:p>
          <w:p>
            <w:pPr>
              <w:pStyle w:val="12"/>
              <w:ind w:firstLine="480"/>
              <w:rPr>
                <w:rFonts w:hint="default"/>
                <w:color w:val="auto"/>
                <w:highlight w:val="none"/>
                <w:lang w:val="en-US" w:eastAsia="zh-CN"/>
              </w:rPr>
            </w:pPr>
            <w:r>
              <w:rPr>
                <w:rFonts w:hint="eastAsia"/>
                <w:color w:val="auto"/>
                <w:highlight w:val="none"/>
                <w:lang w:eastAsia="zh-CN"/>
              </w:rPr>
              <w:t>各产废点产生危险废物后，由专门人员负责收集，废润滑油收集置于加盖油桶内进行转运，废油桶置于托盘内进行转运，废铅蓄电池置于专用的耐酸耐腐蚀</w:t>
            </w:r>
            <w:r>
              <w:rPr>
                <w:rFonts w:hint="eastAsia"/>
                <w:color w:val="auto"/>
                <w:highlight w:val="none"/>
              </w:rPr>
              <w:t>PE箱</w:t>
            </w:r>
            <w:r>
              <w:rPr>
                <w:rFonts w:hint="eastAsia"/>
                <w:color w:val="auto"/>
                <w:highlight w:val="none"/>
                <w:lang w:eastAsia="zh-CN"/>
              </w:rPr>
              <w:t>内，并通过厂区内转运车辆转运至本项目危险废物贮存点。</w:t>
            </w:r>
          </w:p>
          <w:p>
            <w:pPr>
              <w:pStyle w:val="12"/>
              <w:ind w:firstLine="480"/>
              <w:rPr>
                <w:rFonts w:hint="eastAsia"/>
                <w:color w:val="auto"/>
                <w:highlight w:val="none"/>
                <w:lang w:eastAsia="zh-CN"/>
              </w:rPr>
            </w:pPr>
            <w:r>
              <w:rPr>
                <w:rFonts w:hint="eastAsia"/>
                <w:color w:val="auto"/>
                <w:highlight w:val="none"/>
                <w:lang w:eastAsia="zh-CN"/>
              </w:rPr>
              <w:t>此工序产生的污染物为噪声。</w:t>
            </w:r>
          </w:p>
          <w:p>
            <w:pPr>
              <w:pStyle w:val="12"/>
              <w:ind w:firstLine="48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）称重、</w:t>
            </w:r>
            <w:r>
              <w:rPr>
                <w:rFonts w:hint="eastAsia"/>
                <w:color w:val="auto"/>
                <w:highlight w:val="none"/>
              </w:rPr>
              <w:t>入库</w:t>
            </w:r>
          </w:p>
          <w:p>
            <w:pPr>
              <w:pStyle w:val="12"/>
              <w:ind w:firstLine="480"/>
              <w:rPr>
                <w:color w:val="auto"/>
                <w:highlight w:val="none"/>
              </w:rPr>
            </w:pPr>
            <w:r>
              <w:rPr>
                <w:rFonts w:hint="eastAsia"/>
                <w:color w:val="auto"/>
                <w:highlight w:val="none"/>
              </w:rPr>
              <w:t>项目收集的</w:t>
            </w:r>
            <w:r>
              <w:rPr>
                <w:rFonts w:hint="eastAsia"/>
                <w:color w:val="auto"/>
                <w:highlight w:val="none"/>
                <w:lang w:eastAsia="zh-CN"/>
              </w:rPr>
              <w:t>危险废物</w:t>
            </w:r>
            <w:r>
              <w:rPr>
                <w:rFonts w:hint="eastAsia"/>
                <w:color w:val="auto"/>
                <w:highlight w:val="none"/>
              </w:rPr>
              <w:t>在装卸区用叉车卸车</w:t>
            </w:r>
            <w:r>
              <w:rPr>
                <w:rFonts w:hint="eastAsia"/>
                <w:color w:val="auto"/>
                <w:highlight w:val="none"/>
                <w:lang w:eastAsia="zh-CN"/>
              </w:rPr>
              <w:t>，</w:t>
            </w:r>
            <w:r>
              <w:rPr>
                <w:rFonts w:hint="eastAsia"/>
                <w:color w:val="auto"/>
                <w:highlight w:val="none"/>
              </w:rPr>
              <w:t>将</w:t>
            </w:r>
            <w:r>
              <w:rPr>
                <w:rFonts w:hint="eastAsia"/>
                <w:color w:val="auto"/>
                <w:highlight w:val="none"/>
                <w:lang w:eastAsia="zh-CN"/>
              </w:rPr>
              <w:t>危险废物</w:t>
            </w:r>
            <w:r>
              <w:rPr>
                <w:rFonts w:hint="eastAsia"/>
                <w:color w:val="auto"/>
                <w:highlight w:val="none"/>
              </w:rPr>
              <w:t>用地磅计量称重</w:t>
            </w:r>
            <w:r>
              <w:rPr>
                <w:rFonts w:hint="eastAsia"/>
                <w:color w:val="auto"/>
                <w:highlight w:val="none"/>
                <w:lang w:eastAsia="zh-CN"/>
              </w:rPr>
              <w:t>，</w:t>
            </w:r>
            <w:r>
              <w:rPr>
                <w:rFonts w:hint="eastAsia"/>
                <w:color w:val="auto"/>
                <w:highlight w:val="none"/>
              </w:rPr>
              <w:t>建立台账、入库交接记录。</w:t>
            </w:r>
          </w:p>
          <w:p>
            <w:pPr>
              <w:pStyle w:val="12"/>
              <w:ind w:firstLine="480"/>
              <w:rPr>
                <w:color w:val="auto"/>
                <w:highlight w:val="none"/>
              </w:rPr>
            </w:pPr>
            <w:r>
              <w:rPr>
                <w:rFonts w:hint="eastAsia"/>
                <w:color w:val="auto"/>
                <w:highlight w:val="none"/>
              </w:rPr>
              <w:t>此工序产生污染物为噪声。</w:t>
            </w:r>
          </w:p>
          <w:p>
            <w:pPr>
              <w:pStyle w:val="12"/>
              <w:ind w:firstLine="480"/>
              <w:rPr>
                <w:rFonts w:hint="default" w:eastAsia="宋体"/>
                <w:color w:val="auto"/>
                <w:highlight w:val="none"/>
                <w:lang w:val="en-US" w:eastAsia="zh-CN"/>
              </w:rPr>
            </w:pPr>
            <w:r>
              <w:rPr>
                <w:rFonts w:hint="eastAsia"/>
                <w:color w:val="auto"/>
                <w:highlight w:val="none"/>
              </w:rPr>
              <w:t>（2）</w:t>
            </w:r>
            <w:r>
              <w:rPr>
                <w:rFonts w:hint="eastAsia"/>
                <w:color w:val="auto"/>
                <w:highlight w:val="none"/>
                <w:lang w:eastAsia="zh-CN"/>
              </w:rPr>
              <w:t>分类贮存</w:t>
            </w:r>
          </w:p>
          <w:p>
            <w:pPr>
              <w:pStyle w:val="12"/>
              <w:ind w:firstLine="480"/>
              <w:rPr>
                <w:rFonts w:hint="default" w:eastAsia="宋体"/>
                <w:color w:val="auto"/>
                <w:highlight w:val="none"/>
                <w:lang w:val="en-US" w:eastAsia="zh-CN"/>
              </w:rPr>
            </w:pPr>
            <w:r>
              <w:rPr>
                <w:rFonts w:hint="eastAsia"/>
                <w:color w:val="auto"/>
                <w:highlight w:val="none"/>
                <w:lang w:eastAsia="zh-CN"/>
              </w:rPr>
              <w:t>本项目根据危险废物的种类进行分类贮存。</w:t>
            </w:r>
          </w:p>
          <w:p>
            <w:pPr>
              <w:pStyle w:val="12"/>
              <w:ind w:firstLine="480"/>
              <w:rPr>
                <w:rFonts w:hint="eastAsia"/>
                <w:color w:val="auto"/>
                <w:highlight w:val="none"/>
              </w:rPr>
            </w:pPr>
            <w:r>
              <w:rPr>
                <w:rFonts w:hint="eastAsia"/>
                <w:color w:val="auto"/>
                <w:highlight w:val="none"/>
                <w:lang w:eastAsia="zh-CN"/>
              </w:rPr>
              <w:t>废润滑油通过油桶加盖收集</w:t>
            </w:r>
            <w:r>
              <w:rPr>
                <w:rFonts w:hint="eastAsia"/>
                <w:color w:val="auto"/>
                <w:highlight w:val="none"/>
                <w:lang w:val="en-US" w:eastAsia="zh-CN"/>
              </w:rPr>
              <w:t>。</w:t>
            </w:r>
            <w:r>
              <w:rPr>
                <w:rFonts w:hint="eastAsia"/>
                <w:color w:val="auto"/>
                <w:highlight w:val="none"/>
                <w:lang w:eastAsia="zh-CN"/>
              </w:rPr>
              <w:t>对于废铅蓄电池</w:t>
            </w:r>
            <w:r>
              <w:rPr>
                <w:rFonts w:hint="eastAsia"/>
                <w:color w:val="auto"/>
                <w:highlight w:val="none"/>
              </w:rPr>
              <w:t>将完整的</w:t>
            </w:r>
            <w:r>
              <w:rPr>
                <w:rFonts w:hint="eastAsia"/>
                <w:color w:val="auto"/>
                <w:highlight w:val="none"/>
                <w:lang w:eastAsia="zh-CN"/>
              </w:rPr>
              <w:t>废铅蓄电池</w:t>
            </w:r>
            <w:r>
              <w:rPr>
                <w:rFonts w:hint="eastAsia"/>
                <w:color w:val="auto"/>
                <w:highlight w:val="none"/>
              </w:rPr>
              <w:t>从</w:t>
            </w:r>
            <w:r>
              <w:rPr>
                <w:rFonts w:hint="eastAsia"/>
                <w:color w:val="auto"/>
                <w:highlight w:val="none"/>
                <w:lang w:eastAsia="zh-CN"/>
              </w:rPr>
              <w:t>耐酸耐腐蚀</w:t>
            </w:r>
            <w:r>
              <w:rPr>
                <w:rFonts w:hint="eastAsia"/>
                <w:color w:val="auto"/>
                <w:highlight w:val="none"/>
              </w:rPr>
              <w:t>PE箱取出放入托盘</w:t>
            </w:r>
            <w:r>
              <w:rPr>
                <w:rFonts w:hint="eastAsia"/>
                <w:color w:val="auto"/>
                <w:highlight w:val="none"/>
                <w:lang w:eastAsia="zh-CN"/>
              </w:rPr>
              <w:t>，</w:t>
            </w:r>
            <w:r>
              <w:rPr>
                <w:rFonts w:hint="eastAsia"/>
                <w:color w:val="auto"/>
                <w:highlight w:val="none"/>
              </w:rPr>
              <w:t>用塑料薄膜固定、封包</w:t>
            </w:r>
            <w:r>
              <w:rPr>
                <w:rFonts w:hint="eastAsia"/>
                <w:color w:val="auto"/>
                <w:highlight w:val="none"/>
                <w:lang w:eastAsia="zh-CN"/>
              </w:rPr>
              <w:t>，</w:t>
            </w:r>
            <w:r>
              <w:rPr>
                <w:rFonts w:hint="eastAsia"/>
                <w:color w:val="auto"/>
                <w:highlight w:val="none"/>
              </w:rPr>
              <w:t>码放整齐。</w:t>
            </w:r>
            <w:r>
              <w:rPr>
                <w:rFonts w:hint="eastAsia"/>
                <w:color w:val="auto"/>
                <w:highlight w:val="none"/>
                <w:lang w:eastAsia="zh-CN"/>
              </w:rPr>
              <w:t>破损废铅蓄电池采用覆膜缠绕密封后置于耐酸耐腐蚀箱内，耐酸耐腐蚀箱加盖密闭，并放置于防腐防渗漏托盘上贮存</w:t>
            </w:r>
            <w:r>
              <w:rPr>
                <w:rFonts w:hint="eastAsia"/>
                <w:color w:val="auto"/>
                <w:highlight w:val="none"/>
              </w:rPr>
              <w:t>。</w:t>
            </w:r>
          </w:p>
          <w:p>
            <w:pPr>
              <w:pStyle w:val="12"/>
              <w:ind w:firstLine="480"/>
              <w:rPr>
                <w:rFonts w:hint="eastAsia"/>
                <w:color w:val="auto"/>
                <w:highlight w:val="none"/>
              </w:rPr>
            </w:pPr>
            <w:r>
              <w:rPr>
                <w:rFonts w:hint="eastAsia"/>
                <w:color w:val="auto"/>
                <w:highlight w:val="none"/>
              </w:rPr>
              <w:t>破损电池在装卸分拣等动态过程中</w:t>
            </w:r>
            <w:r>
              <w:rPr>
                <w:rFonts w:hint="eastAsia"/>
                <w:color w:val="auto"/>
                <w:highlight w:val="none"/>
                <w:lang w:eastAsia="zh-CN"/>
              </w:rPr>
              <w:t>，</w:t>
            </w:r>
            <w:r>
              <w:rPr>
                <w:rFonts w:hint="eastAsia"/>
                <w:color w:val="auto"/>
                <w:highlight w:val="none"/>
              </w:rPr>
              <w:t>有电解液渗漏现象</w:t>
            </w:r>
            <w:r>
              <w:rPr>
                <w:rFonts w:hint="eastAsia"/>
                <w:color w:val="auto"/>
                <w:highlight w:val="none"/>
                <w:lang w:eastAsia="zh-CN"/>
              </w:rPr>
              <w:t>，</w:t>
            </w:r>
            <w:r>
              <w:rPr>
                <w:rFonts w:hint="eastAsia"/>
                <w:color w:val="auto"/>
                <w:highlight w:val="none"/>
              </w:rPr>
              <w:t>电池电解液中硫酸含量40%左右</w:t>
            </w:r>
            <w:r>
              <w:rPr>
                <w:rFonts w:hint="eastAsia"/>
                <w:color w:val="auto"/>
                <w:highlight w:val="none"/>
                <w:lang w:eastAsia="zh-CN"/>
              </w:rPr>
              <w:t>，</w:t>
            </w:r>
            <w:r>
              <w:rPr>
                <w:rFonts w:hint="eastAsia"/>
                <w:color w:val="auto"/>
                <w:highlight w:val="none"/>
              </w:rPr>
              <w:t>不属于浓硫酸</w:t>
            </w:r>
            <w:r>
              <w:rPr>
                <w:rFonts w:hint="eastAsia"/>
                <w:color w:val="auto"/>
                <w:highlight w:val="none"/>
                <w:lang w:eastAsia="zh-CN"/>
              </w:rPr>
              <w:t>，</w:t>
            </w:r>
            <w:r>
              <w:rPr>
                <w:rFonts w:hint="eastAsia"/>
                <w:color w:val="auto"/>
                <w:highlight w:val="none"/>
              </w:rPr>
              <w:t>挥发性较弱。工人需穿</w:t>
            </w:r>
            <w:r>
              <w:rPr>
                <w:rFonts w:hint="eastAsia"/>
                <w:color w:val="auto"/>
                <w:highlight w:val="none"/>
                <w:lang w:eastAsia="zh-CN"/>
              </w:rPr>
              <w:t>工作服</w:t>
            </w:r>
            <w:r>
              <w:rPr>
                <w:rFonts w:hint="eastAsia"/>
                <w:color w:val="auto"/>
                <w:highlight w:val="none"/>
              </w:rPr>
              <w:t>、手套等防护用具进行分拣</w:t>
            </w:r>
            <w:r>
              <w:rPr>
                <w:rFonts w:hint="eastAsia"/>
                <w:color w:val="auto"/>
                <w:highlight w:val="none"/>
                <w:lang w:eastAsia="zh-CN"/>
              </w:rPr>
              <w:t>，</w:t>
            </w:r>
            <w:r>
              <w:rPr>
                <w:rFonts w:hint="eastAsia"/>
                <w:color w:val="auto"/>
                <w:highlight w:val="none"/>
              </w:rPr>
              <w:t>分拣过程</w:t>
            </w:r>
            <w:r>
              <w:rPr>
                <w:rFonts w:hint="eastAsia"/>
                <w:color w:val="auto"/>
                <w:highlight w:val="none"/>
                <w:lang w:eastAsia="zh-CN"/>
              </w:rPr>
              <w:t>中破损的废铅蓄电池采用覆膜缠绕密封置于耐酸、耐腐蚀的带盖塑料(PE)箱内，置于废铅蓄电池贮存区内，泄漏的废电解液收集后置于耐酸、耐腐蚀的带盖塑料(PE)箱内，置于破损电池储存区内</w:t>
            </w:r>
            <w:r>
              <w:rPr>
                <w:rFonts w:hint="eastAsia"/>
                <w:color w:val="auto"/>
                <w:highlight w:val="none"/>
              </w:rPr>
              <w:t>。</w:t>
            </w:r>
          </w:p>
          <w:p>
            <w:pPr>
              <w:pStyle w:val="12"/>
              <w:ind w:firstLine="480"/>
              <w:rPr>
                <w:rFonts w:hint="eastAsia" w:ascii="Times New Roman" w:hAnsi="Times New Roman" w:cs="Times New Roman"/>
                <w:color w:val="auto"/>
                <w:highlight w:val="none"/>
                <w:lang w:eastAsia="zh-CN"/>
              </w:rPr>
            </w:pPr>
            <w:r>
              <w:rPr>
                <w:rFonts w:hint="eastAsia"/>
                <w:color w:val="auto"/>
                <w:highlight w:val="none"/>
                <w:lang w:eastAsia="zh-CN"/>
              </w:rPr>
              <w:t>废润滑油加盖密封贮存，存在少量挥发性有机废气逸散，破损的废铅蓄电池采用覆</w:t>
            </w:r>
            <w:r>
              <w:rPr>
                <w:rFonts w:hint="eastAsia" w:ascii="Times New Roman" w:hAnsi="Times New Roman" w:cs="Times New Roman"/>
                <w:color w:val="auto"/>
                <w:highlight w:val="none"/>
                <w:lang w:eastAsia="zh-CN"/>
              </w:rPr>
              <w:t>膜缠绕密封置于耐酸、耐腐蚀的带盖塑料(PE)箱内。</w:t>
            </w:r>
          </w:p>
          <w:p>
            <w:pPr>
              <w:pStyle w:val="12"/>
              <w:ind w:firstLine="480"/>
              <w:rPr>
                <w:rFonts w:hint="eastAsia" w:ascii="Times New Roman" w:hAnsi="Times New Roman" w:cs="Times New Roman"/>
                <w:color w:val="auto"/>
                <w:highlight w:val="none"/>
              </w:rPr>
            </w:pPr>
            <w:r>
              <w:rPr>
                <w:rFonts w:hint="eastAsia" w:ascii="Times New Roman" w:hAnsi="Times New Roman" w:cs="Times New Roman"/>
                <w:color w:val="auto"/>
                <w:highlight w:val="none"/>
              </w:rPr>
              <w:t>此工序产生污染物主要为噪声、</w:t>
            </w:r>
            <w:r>
              <w:rPr>
                <w:rFonts w:hint="eastAsia" w:ascii="Times New Roman" w:hAnsi="Times New Roman" w:cs="Times New Roman"/>
                <w:color w:val="auto"/>
                <w:highlight w:val="none"/>
                <w:lang w:eastAsia="zh-CN"/>
              </w:rPr>
              <w:t>贮存废气、废电解液、</w:t>
            </w:r>
            <w:r>
              <w:rPr>
                <w:rFonts w:hint="eastAsia" w:ascii="Times New Roman" w:hAnsi="Times New Roman" w:cs="Times New Roman"/>
                <w:color w:val="auto"/>
                <w:highlight w:val="none"/>
                <w:lang w:val="en-US" w:eastAsia="zh-CN"/>
              </w:rPr>
              <w:t>废劳保用品</w:t>
            </w:r>
            <w:r>
              <w:rPr>
                <w:rFonts w:hint="eastAsia" w:ascii="Times New Roman" w:hAnsi="Times New Roman" w:cs="Times New Roman"/>
                <w:color w:val="auto"/>
                <w:highlight w:val="none"/>
              </w:rPr>
              <w:t>。</w:t>
            </w:r>
          </w:p>
          <w:p>
            <w:pPr>
              <w:pStyle w:val="12"/>
              <w:ind w:firstLine="480"/>
              <w:rPr>
                <w:rFonts w:hint="eastAsia" w:eastAsia="宋体"/>
                <w:color w:val="auto"/>
                <w:highlight w:val="none"/>
                <w:lang w:eastAsia="zh-CN"/>
              </w:rPr>
            </w:pPr>
            <w:r>
              <w:rPr>
                <w:rFonts w:hint="eastAsia"/>
                <w:color w:val="auto"/>
                <w:highlight w:val="none"/>
              </w:rPr>
              <w:t>（3）</w:t>
            </w:r>
            <w:r>
              <w:rPr>
                <w:rFonts w:hint="eastAsia"/>
                <w:color w:val="auto"/>
                <w:highlight w:val="none"/>
                <w:lang w:eastAsia="zh-CN"/>
              </w:rPr>
              <w:t>委托处置</w:t>
            </w:r>
          </w:p>
          <w:p>
            <w:pPr>
              <w:pStyle w:val="12"/>
              <w:ind w:firstLine="480"/>
              <w:rPr>
                <w:color w:val="auto"/>
                <w:highlight w:val="none"/>
              </w:rPr>
            </w:pPr>
            <w:r>
              <w:rPr>
                <w:rFonts w:hint="eastAsia"/>
                <w:color w:val="auto"/>
                <w:highlight w:val="none"/>
                <w:lang w:eastAsia="zh-CN"/>
              </w:rPr>
              <w:t>企业人员根据收集贮存危险废物产量</w:t>
            </w:r>
            <w:r>
              <w:rPr>
                <w:rFonts w:hint="eastAsia"/>
                <w:color w:val="auto"/>
                <w:highlight w:val="none"/>
              </w:rPr>
              <w:t>分别对封包完整的</w:t>
            </w:r>
            <w:r>
              <w:rPr>
                <w:rFonts w:hint="eastAsia"/>
                <w:color w:val="auto"/>
                <w:highlight w:val="none"/>
                <w:lang w:eastAsia="zh-CN"/>
              </w:rPr>
              <w:t>危险废物进行</w:t>
            </w:r>
            <w:r>
              <w:rPr>
                <w:rFonts w:hint="eastAsia"/>
                <w:color w:val="auto"/>
                <w:highlight w:val="none"/>
              </w:rPr>
              <w:t>再次称重</w:t>
            </w:r>
            <w:r>
              <w:rPr>
                <w:rFonts w:hint="eastAsia"/>
                <w:color w:val="auto"/>
                <w:highlight w:val="none"/>
                <w:lang w:eastAsia="zh-CN"/>
              </w:rPr>
              <w:t>，</w:t>
            </w:r>
            <w:r>
              <w:rPr>
                <w:rFonts w:hint="eastAsia"/>
                <w:color w:val="auto"/>
                <w:highlight w:val="none"/>
              </w:rPr>
              <w:t>制作标签并张贴后。装车后</w:t>
            </w:r>
            <w:r>
              <w:rPr>
                <w:rFonts w:hint="eastAsia"/>
                <w:color w:val="auto"/>
                <w:highlight w:val="none"/>
                <w:lang w:eastAsia="zh-CN"/>
              </w:rPr>
              <w:t>委托有</w:t>
            </w:r>
            <w:r>
              <w:rPr>
                <w:rFonts w:hint="eastAsia"/>
                <w:color w:val="auto"/>
                <w:highlight w:val="none"/>
              </w:rPr>
              <w:t>资质的公司处置。</w:t>
            </w:r>
          </w:p>
          <w:p>
            <w:pPr>
              <w:pStyle w:val="12"/>
              <w:ind w:firstLine="480"/>
              <w:rPr>
                <w:rFonts w:hint="eastAsia"/>
                <w:color w:val="auto"/>
                <w:highlight w:val="none"/>
              </w:rPr>
            </w:pPr>
            <w:r>
              <w:rPr>
                <w:rFonts w:hint="eastAsia"/>
                <w:color w:val="auto"/>
                <w:highlight w:val="none"/>
              </w:rPr>
              <w:t>此工序产生污染物主要为噪声。</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 xml:space="preserve">  主要污染工序一览表</w:t>
            </w:r>
          </w:p>
          <w:tbl>
            <w:tblPr>
              <w:tblStyle w:val="15"/>
              <w:tblW w:w="812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2"/>
              <w:gridCol w:w="852"/>
              <w:gridCol w:w="2358"/>
              <w:gridCol w:w="1991"/>
              <w:gridCol w:w="22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7" w:hRule="atLeast"/>
                <w:tblHeader/>
              </w:trPr>
              <w:tc>
                <w:tcPr>
                  <w:tcW w:w="722" w:type="dxa"/>
                  <w:tcBorders>
                    <w:tl2br w:val="nil"/>
                    <w:tr2bl w:val="nil"/>
                  </w:tcBorders>
                  <w:vAlign w:val="center"/>
                </w:tcPr>
                <w:p>
                  <w:pPr>
                    <w:pStyle w:val="25"/>
                    <w:rPr>
                      <w:rFonts w:hint="default"/>
                      <w:color w:val="auto"/>
                      <w:highlight w:val="none"/>
                    </w:rPr>
                  </w:pPr>
                  <w:r>
                    <w:rPr>
                      <w:rFonts w:hint="default"/>
                      <w:color w:val="auto"/>
                      <w:highlight w:val="none"/>
                    </w:rPr>
                    <w:t>时段</w:t>
                  </w:r>
                </w:p>
              </w:tc>
              <w:tc>
                <w:tcPr>
                  <w:tcW w:w="852" w:type="dxa"/>
                  <w:tcBorders>
                    <w:tl2br w:val="nil"/>
                    <w:tr2bl w:val="nil"/>
                  </w:tcBorders>
                  <w:vAlign w:val="center"/>
                </w:tcPr>
                <w:p>
                  <w:pPr>
                    <w:pStyle w:val="25"/>
                    <w:rPr>
                      <w:rFonts w:hint="default"/>
                      <w:color w:val="auto"/>
                      <w:highlight w:val="none"/>
                    </w:rPr>
                  </w:pPr>
                  <w:r>
                    <w:rPr>
                      <w:rFonts w:hint="default"/>
                      <w:color w:val="auto"/>
                      <w:highlight w:val="none"/>
                    </w:rPr>
                    <w:t>类别</w:t>
                  </w:r>
                </w:p>
              </w:tc>
              <w:tc>
                <w:tcPr>
                  <w:tcW w:w="2358" w:type="dxa"/>
                  <w:tcBorders>
                    <w:tl2br w:val="nil"/>
                    <w:tr2bl w:val="nil"/>
                  </w:tcBorders>
                  <w:vAlign w:val="center"/>
                </w:tcPr>
                <w:p>
                  <w:pPr>
                    <w:pStyle w:val="25"/>
                    <w:rPr>
                      <w:rFonts w:hint="default"/>
                      <w:color w:val="auto"/>
                      <w:highlight w:val="none"/>
                    </w:rPr>
                  </w:pPr>
                  <w:r>
                    <w:rPr>
                      <w:rFonts w:hint="default"/>
                      <w:color w:val="auto"/>
                      <w:highlight w:val="none"/>
                    </w:rPr>
                    <w:t>主要污染工序</w:t>
                  </w:r>
                </w:p>
              </w:tc>
              <w:tc>
                <w:tcPr>
                  <w:tcW w:w="1991" w:type="dxa"/>
                  <w:tcBorders>
                    <w:tl2br w:val="nil"/>
                    <w:tr2bl w:val="nil"/>
                  </w:tcBorders>
                  <w:vAlign w:val="center"/>
                </w:tcPr>
                <w:p>
                  <w:pPr>
                    <w:pStyle w:val="25"/>
                    <w:rPr>
                      <w:rFonts w:hint="default"/>
                      <w:color w:val="auto"/>
                      <w:highlight w:val="none"/>
                    </w:rPr>
                  </w:pPr>
                  <w:r>
                    <w:rPr>
                      <w:rFonts w:hint="default"/>
                      <w:color w:val="auto"/>
                      <w:highlight w:val="none"/>
                    </w:rPr>
                    <w:t>主要污染因子</w:t>
                  </w:r>
                </w:p>
              </w:tc>
              <w:tc>
                <w:tcPr>
                  <w:tcW w:w="2206" w:type="dxa"/>
                  <w:tcBorders>
                    <w:tl2br w:val="nil"/>
                    <w:tr2bl w:val="nil"/>
                  </w:tcBorders>
                  <w:vAlign w:val="center"/>
                </w:tcPr>
                <w:p>
                  <w:pPr>
                    <w:pStyle w:val="25"/>
                    <w:rPr>
                      <w:rFonts w:hint="default"/>
                      <w:color w:val="auto"/>
                      <w:highlight w:val="none"/>
                    </w:rPr>
                  </w:pPr>
                  <w:r>
                    <w:rPr>
                      <w:rFonts w:hint="default"/>
                      <w:color w:val="auto"/>
                      <w:highlight w:val="none"/>
                    </w:rPr>
                    <w:t>评价因子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22" w:type="dxa"/>
                  <w:vMerge w:val="restart"/>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施工期</w:t>
                  </w:r>
                </w:p>
              </w:tc>
              <w:tc>
                <w:tcPr>
                  <w:tcW w:w="852"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废气</w:t>
                  </w:r>
                </w:p>
              </w:tc>
              <w:tc>
                <w:tcPr>
                  <w:tcW w:w="2358" w:type="dxa"/>
                  <w:tcBorders>
                    <w:tl2br w:val="nil"/>
                    <w:tr2bl w:val="nil"/>
                  </w:tcBorders>
                  <w:vAlign w:val="center"/>
                </w:tcPr>
                <w:p>
                  <w:pPr>
                    <w:pStyle w:val="22"/>
                    <w:rPr>
                      <w:rFonts w:hint="eastAsia"/>
                      <w:color w:val="auto"/>
                      <w:highlight w:val="none"/>
                      <w:lang w:eastAsia="zh-CN"/>
                    </w:rPr>
                  </w:pPr>
                  <w:r>
                    <w:rPr>
                      <w:rFonts w:hint="eastAsia"/>
                      <w:color w:val="auto"/>
                      <w:highlight w:val="none"/>
                      <w:lang w:eastAsia="zh-CN"/>
                    </w:rPr>
                    <w:t>建筑施工扬尘</w:t>
                  </w:r>
                </w:p>
              </w:tc>
              <w:tc>
                <w:tcPr>
                  <w:tcW w:w="1991"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颗粒物</w:t>
                  </w:r>
                </w:p>
              </w:tc>
              <w:tc>
                <w:tcPr>
                  <w:tcW w:w="2206"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22" w:type="dxa"/>
                  <w:vMerge w:val="continue"/>
                  <w:tcBorders>
                    <w:tl2br w:val="nil"/>
                    <w:tr2bl w:val="nil"/>
                  </w:tcBorders>
                  <w:vAlign w:val="center"/>
                </w:tcPr>
                <w:p>
                  <w:pPr>
                    <w:pStyle w:val="22"/>
                    <w:rPr>
                      <w:color w:val="auto"/>
                      <w:highlight w:val="none"/>
                    </w:rPr>
                  </w:pPr>
                </w:p>
              </w:tc>
              <w:tc>
                <w:tcPr>
                  <w:tcW w:w="852" w:type="dxa"/>
                  <w:vMerge w:val="restart"/>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废水</w:t>
                  </w:r>
                </w:p>
              </w:tc>
              <w:tc>
                <w:tcPr>
                  <w:tcW w:w="2358" w:type="dxa"/>
                  <w:tcBorders>
                    <w:tl2br w:val="nil"/>
                    <w:tr2bl w:val="nil"/>
                  </w:tcBorders>
                  <w:vAlign w:val="center"/>
                </w:tcPr>
                <w:p>
                  <w:pPr>
                    <w:pStyle w:val="22"/>
                    <w:rPr>
                      <w:rFonts w:hint="eastAsia"/>
                      <w:color w:val="auto"/>
                      <w:highlight w:val="none"/>
                      <w:lang w:eastAsia="zh-CN"/>
                    </w:rPr>
                  </w:pPr>
                  <w:r>
                    <w:rPr>
                      <w:rFonts w:hint="eastAsia"/>
                      <w:color w:val="auto"/>
                      <w:highlight w:val="none"/>
                      <w:lang w:eastAsia="zh-CN"/>
                    </w:rPr>
                    <w:t>施工废水</w:t>
                  </w:r>
                </w:p>
              </w:tc>
              <w:tc>
                <w:tcPr>
                  <w:tcW w:w="1991"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SS</w:t>
                  </w:r>
                </w:p>
              </w:tc>
              <w:tc>
                <w:tcPr>
                  <w:tcW w:w="2206"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22" w:type="dxa"/>
                  <w:vMerge w:val="continue"/>
                  <w:tcBorders>
                    <w:tl2br w:val="nil"/>
                    <w:tr2bl w:val="nil"/>
                  </w:tcBorders>
                  <w:vAlign w:val="center"/>
                </w:tcPr>
                <w:p>
                  <w:pPr>
                    <w:pStyle w:val="22"/>
                    <w:rPr>
                      <w:color w:val="auto"/>
                      <w:highlight w:val="none"/>
                    </w:rPr>
                  </w:pPr>
                </w:p>
              </w:tc>
              <w:tc>
                <w:tcPr>
                  <w:tcW w:w="852" w:type="dxa"/>
                  <w:vMerge w:val="continue"/>
                  <w:tcBorders>
                    <w:tl2br w:val="nil"/>
                    <w:tr2bl w:val="nil"/>
                  </w:tcBorders>
                  <w:vAlign w:val="center"/>
                </w:tcPr>
                <w:p>
                  <w:pPr>
                    <w:pStyle w:val="22"/>
                    <w:rPr>
                      <w:color w:val="auto"/>
                      <w:highlight w:val="none"/>
                    </w:rPr>
                  </w:pPr>
                </w:p>
              </w:tc>
              <w:tc>
                <w:tcPr>
                  <w:tcW w:w="2358" w:type="dxa"/>
                  <w:tcBorders>
                    <w:tl2br w:val="nil"/>
                    <w:tr2bl w:val="nil"/>
                  </w:tcBorders>
                  <w:vAlign w:val="center"/>
                </w:tcPr>
                <w:p>
                  <w:pPr>
                    <w:pStyle w:val="22"/>
                    <w:rPr>
                      <w:rFonts w:hint="eastAsia"/>
                      <w:color w:val="auto"/>
                      <w:highlight w:val="none"/>
                      <w:lang w:eastAsia="zh-CN"/>
                    </w:rPr>
                  </w:pPr>
                  <w:r>
                    <w:rPr>
                      <w:rFonts w:hint="eastAsia"/>
                      <w:color w:val="auto"/>
                      <w:highlight w:val="none"/>
                      <w:lang w:eastAsia="zh-CN"/>
                    </w:rPr>
                    <w:t>施工人员生活污水</w:t>
                  </w:r>
                </w:p>
              </w:tc>
              <w:tc>
                <w:tcPr>
                  <w:tcW w:w="1991" w:type="dxa"/>
                  <w:tcBorders>
                    <w:tl2br w:val="nil"/>
                    <w:tr2bl w:val="nil"/>
                  </w:tcBorders>
                  <w:vAlign w:val="center"/>
                </w:tcPr>
                <w:p>
                  <w:pPr>
                    <w:pStyle w:val="22"/>
                    <w:ind w:firstLine="0" w:firstLineChars="0"/>
                    <w:rPr>
                      <w:rFonts w:hint="eastAsia"/>
                      <w:color w:val="auto"/>
                      <w:highlight w:val="none"/>
                    </w:rPr>
                  </w:pPr>
                  <w:r>
                    <w:rPr>
                      <w:color w:val="auto"/>
                      <w:highlight w:val="none"/>
                    </w:rPr>
                    <w:t>生活污水</w:t>
                  </w:r>
                  <w:r>
                    <w:rPr>
                      <w:rFonts w:hint="eastAsia"/>
                      <w:color w:val="auto"/>
                      <w:highlight w:val="none"/>
                    </w:rPr>
                    <w:t>（</w:t>
                  </w:r>
                  <w:r>
                    <w:rPr>
                      <w:color w:val="auto"/>
                      <w:highlight w:val="none"/>
                    </w:rPr>
                    <w:t>COD、NH</w:t>
                  </w:r>
                  <w:r>
                    <w:rPr>
                      <w:color w:val="auto"/>
                      <w:highlight w:val="none"/>
                      <w:vertAlign w:val="subscript"/>
                    </w:rPr>
                    <w:t>3</w:t>
                  </w:r>
                  <w:r>
                    <w:rPr>
                      <w:color w:val="auto"/>
                      <w:highlight w:val="none"/>
                    </w:rPr>
                    <w:t>-N</w:t>
                  </w:r>
                  <w:r>
                    <w:rPr>
                      <w:rFonts w:hint="eastAsia"/>
                      <w:color w:val="auto"/>
                      <w:highlight w:val="none"/>
                    </w:rPr>
                    <w:t>）</w:t>
                  </w:r>
                </w:p>
              </w:tc>
              <w:tc>
                <w:tcPr>
                  <w:tcW w:w="2206" w:type="dxa"/>
                  <w:tcBorders>
                    <w:tl2br w:val="nil"/>
                    <w:tr2bl w:val="nil"/>
                  </w:tcBorders>
                  <w:vAlign w:val="center"/>
                </w:tcPr>
                <w:p>
                  <w:pPr>
                    <w:pStyle w:val="22"/>
                    <w:ind w:firstLine="0" w:firstLineChars="0"/>
                    <w:rPr>
                      <w:rFonts w:hint="eastAsia"/>
                      <w:color w:val="auto"/>
                      <w:highlight w:val="none"/>
                    </w:rPr>
                  </w:pPr>
                  <w:r>
                    <w:rPr>
                      <w:color w:val="auto"/>
                      <w:highlight w:val="none"/>
                    </w:rPr>
                    <w:t>生活污水</w:t>
                  </w:r>
                  <w:r>
                    <w:rPr>
                      <w:rFonts w:hint="eastAsia"/>
                      <w:color w:val="auto"/>
                      <w:highlight w:val="none"/>
                    </w:rPr>
                    <w:t>（</w:t>
                  </w:r>
                  <w:r>
                    <w:rPr>
                      <w:color w:val="auto"/>
                      <w:highlight w:val="none"/>
                    </w:rPr>
                    <w:t>COD、NH</w:t>
                  </w:r>
                  <w:r>
                    <w:rPr>
                      <w:color w:val="auto"/>
                      <w:highlight w:val="none"/>
                      <w:vertAlign w:val="subscript"/>
                    </w:rPr>
                    <w:t>3</w:t>
                  </w:r>
                  <w:r>
                    <w:rPr>
                      <w:color w:val="auto"/>
                      <w:highlight w:val="none"/>
                    </w:rPr>
                    <w:t>-N</w:t>
                  </w: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22" w:type="dxa"/>
                  <w:vMerge w:val="continue"/>
                  <w:tcBorders>
                    <w:tl2br w:val="nil"/>
                    <w:tr2bl w:val="nil"/>
                  </w:tcBorders>
                  <w:vAlign w:val="center"/>
                </w:tcPr>
                <w:p>
                  <w:pPr>
                    <w:pStyle w:val="22"/>
                    <w:rPr>
                      <w:color w:val="auto"/>
                      <w:highlight w:val="none"/>
                    </w:rPr>
                  </w:pPr>
                </w:p>
              </w:tc>
              <w:tc>
                <w:tcPr>
                  <w:tcW w:w="852"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噪声</w:t>
                  </w:r>
                </w:p>
              </w:tc>
              <w:tc>
                <w:tcPr>
                  <w:tcW w:w="2358" w:type="dxa"/>
                  <w:tcBorders>
                    <w:tl2br w:val="nil"/>
                    <w:tr2bl w:val="nil"/>
                  </w:tcBorders>
                  <w:vAlign w:val="center"/>
                </w:tcPr>
                <w:p>
                  <w:pPr>
                    <w:pStyle w:val="22"/>
                    <w:rPr>
                      <w:rFonts w:hint="eastAsia"/>
                      <w:color w:val="auto"/>
                      <w:highlight w:val="none"/>
                      <w:lang w:eastAsia="zh-CN"/>
                    </w:rPr>
                  </w:pPr>
                  <w:r>
                    <w:rPr>
                      <w:rFonts w:hint="eastAsia"/>
                      <w:color w:val="auto"/>
                      <w:highlight w:val="none"/>
                      <w:lang w:eastAsia="zh-CN"/>
                    </w:rPr>
                    <w:t>施工噪声</w:t>
                  </w:r>
                </w:p>
              </w:tc>
              <w:tc>
                <w:tcPr>
                  <w:tcW w:w="1991" w:type="dxa"/>
                  <w:tcBorders>
                    <w:tl2br w:val="nil"/>
                    <w:tr2bl w:val="nil"/>
                  </w:tcBorders>
                  <w:vAlign w:val="center"/>
                </w:tcPr>
                <w:p>
                  <w:pPr>
                    <w:pStyle w:val="22"/>
                    <w:ind w:firstLine="0" w:firstLineChars="0"/>
                    <w:rPr>
                      <w:rFonts w:hint="eastAsia"/>
                      <w:color w:val="auto"/>
                      <w:highlight w:val="none"/>
                    </w:rPr>
                  </w:pPr>
                  <w:r>
                    <w:rPr>
                      <w:color w:val="auto"/>
                      <w:highlight w:val="none"/>
                    </w:rPr>
                    <w:t>机械噪声</w:t>
                  </w:r>
                  <w:r>
                    <w:rPr>
                      <w:rFonts w:hint="eastAsia"/>
                      <w:color w:val="auto"/>
                      <w:highlight w:val="none"/>
                    </w:rPr>
                    <w:t>、操作噪声</w:t>
                  </w:r>
                </w:p>
              </w:tc>
              <w:tc>
                <w:tcPr>
                  <w:tcW w:w="2206" w:type="dxa"/>
                  <w:tcBorders>
                    <w:tl2br w:val="nil"/>
                    <w:tr2bl w:val="nil"/>
                  </w:tcBorders>
                  <w:vAlign w:val="center"/>
                </w:tcPr>
                <w:p>
                  <w:pPr>
                    <w:pStyle w:val="22"/>
                    <w:ind w:firstLine="0" w:firstLineChars="0"/>
                    <w:rPr>
                      <w:rFonts w:hint="eastAsia"/>
                      <w:color w:val="auto"/>
                      <w:highlight w:val="none"/>
                    </w:rPr>
                  </w:pPr>
                  <w:r>
                    <w:rPr>
                      <w:color w:val="auto"/>
                      <w:highlight w:val="none"/>
                    </w:rPr>
                    <w:t>Leq</w:t>
                  </w:r>
                  <w:r>
                    <w:rPr>
                      <w:rFonts w:hint="eastAsia"/>
                      <w:color w:val="auto"/>
                      <w:highlight w:val="none"/>
                    </w:rPr>
                    <w:t>(</w:t>
                  </w:r>
                  <w:r>
                    <w:rPr>
                      <w:color w:val="auto"/>
                      <w:highlight w:val="none"/>
                    </w:rPr>
                    <w:t>A</w:t>
                  </w: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22" w:type="dxa"/>
                  <w:vMerge w:val="continue"/>
                  <w:tcBorders>
                    <w:tl2br w:val="nil"/>
                    <w:tr2bl w:val="nil"/>
                  </w:tcBorders>
                  <w:vAlign w:val="center"/>
                </w:tcPr>
                <w:p>
                  <w:pPr>
                    <w:pStyle w:val="22"/>
                    <w:rPr>
                      <w:color w:val="auto"/>
                      <w:highlight w:val="none"/>
                    </w:rPr>
                  </w:pPr>
                </w:p>
              </w:tc>
              <w:tc>
                <w:tcPr>
                  <w:tcW w:w="852" w:type="dxa"/>
                  <w:vMerge w:val="restart"/>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固废</w:t>
                  </w:r>
                </w:p>
              </w:tc>
              <w:tc>
                <w:tcPr>
                  <w:tcW w:w="2358" w:type="dxa"/>
                  <w:tcBorders>
                    <w:tl2br w:val="nil"/>
                    <w:tr2bl w:val="nil"/>
                  </w:tcBorders>
                  <w:vAlign w:val="center"/>
                </w:tcPr>
                <w:p>
                  <w:pPr>
                    <w:pStyle w:val="22"/>
                    <w:rPr>
                      <w:rFonts w:hint="eastAsia"/>
                      <w:color w:val="auto"/>
                      <w:highlight w:val="none"/>
                      <w:lang w:eastAsia="zh-CN"/>
                    </w:rPr>
                  </w:pPr>
                  <w:r>
                    <w:rPr>
                      <w:rFonts w:hint="eastAsia"/>
                      <w:color w:val="auto"/>
                      <w:highlight w:val="none"/>
                      <w:lang w:eastAsia="zh-CN"/>
                    </w:rPr>
                    <w:t>施工固废</w:t>
                  </w:r>
                </w:p>
              </w:tc>
              <w:tc>
                <w:tcPr>
                  <w:tcW w:w="1991"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建筑材料</w:t>
                  </w:r>
                </w:p>
              </w:tc>
              <w:tc>
                <w:tcPr>
                  <w:tcW w:w="2206" w:type="dxa"/>
                  <w:tcBorders>
                    <w:tl2br w:val="nil"/>
                    <w:tr2bl w:val="nil"/>
                  </w:tcBorders>
                  <w:vAlign w:val="center"/>
                </w:tcPr>
                <w:p>
                  <w:pPr>
                    <w:pStyle w:val="22"/>
                    <w:rPr>
                      <w:rFonts w:hint="eastAsia"/>
                      <w:color w:val="auto"/>
                      <w:highlight w:val="none"/>
                    </w:rPr>
                  </w:pPr>
                  <w:r>
                    <w:rPr>
                      <w:rFonts w:hint="eastAsia"/>
                      <w:color w:val="auto"/>
                      <w:highlight w:val="none"/>
                      <w:lang w:eastAsia="zh-CN"/>
                    </w:rPr>
                    <w:t>建筑材料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22" w:type="dxa"/>
                  <w:vMerge w:val="continue"/>
                  <w:tcBorders>
                    <w:tl2br w:val="nil"/>
                    <w:tr2bl w:val="nil"/>
                  </w:tcBorders>
                  <w:vAlign w:val="center"/>
                </w:tcPr>
                <w:p>
                  <w:pPr>
                    <w:pStyle w:val="22"/>
                    <w:rPr>
                      <w:color w:val="auto"/>
                      <w:highlight w:val="none"/>
                    </w:rPr>
                  </w:pPr>
                </w:p>
              </w:tc>
              <w:tc>
                <w:tcPr>
                  <w:tcW w:w="852" w:type="dxa"/>
                  <w:vMerge w:val="continue"/>
                  <w:tcBorders>
                    <w:tl2br w:val="nil"/>
                    <w:tr2bl w:val="nil"/>
                  </w:tcBorders>
                  <w:vAlign w:val="center"/>
                </w:tcPr>
                <w:p>
                  <w:pPr>
                    <w:pStyle w:val="22"/>
                    <w:rPr>
                      <w:color w:val="auto"/>
                      <w:highlight w:val="none"/>
                    </w:rPr>
                  </w:pPr>
                </w:p>
              </w:tc>
              <w:tc>
                <w:tcPr>
                  <w:tcW w:w="2358" w:type="dxa"/>
                  <w:tcBorders>
                    <w:tl2br w:val="nil"/>
                    <w:tr2bl w:val="nil"/>
                  </w:tcBorders>
                  <w:vAlign w:val="center"/>
                </w:tcPr>
                <w:p>
                  <w:pPr>
                    <w:pStyle w:val="22"/>
                    <w:rPr>
                      <w:rFonts w:hint="eastAsia"/>
                      <w:color w:val="auto"/>
                      <w:highlight w:val="none"/>
                      <w:lang w:eastAsia="zh-CN"/>
                    </w:rPr>
                  </w:pPr>
                  <w:r>
                    <w:rPr>
                      <w:rFonts w:hint="eastAsia"/>
                      <w:color w:val="auto"/>
                      <w:highlight w:val="none"/>
                      <w:lang w:eastAsia="zh-CN"/>
                    </w:rPr>
                    <w:t>施工人员生活垃圾</w:t>
                  </w:r>
                </w:p>
              </w:tc>
              <w:tc>
                <w:tcPr>
                  <w:tcW w:w="1991"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生活垃圾</w:t>
                  </w:r>
                </w:p>
              </w:tc>
              <w:tc>
                <w:tcPr>
                  <w:tcW w:w="2206" w:type="dxa"/>
                  <w:tcBorders>
                    <w:tl2br w:val="nil"/>
                    <w:tr2bl w:val="nil"/>
                  </w:tcBorders>
                  <w:vAlign w:val="center"/>
                </w:tcPr>
                <w:p>
                  <w:pPr>
                    <w:pStyle w:val="22"/>
                    <w:rPr>
                      <w:rFonts w:hint="eastAsia"/>
                      <w:color w:val="auto"/>
                      <w:highlight w:val="none"/>
                    </w:rPr>
                  </w:pPr>
                  <w:r>
                    <w:rPr>
                      <w:rFonts w:hint="eastAsia"/>
                      <w:color w:val="auto"/>
                      <w:highlight w:val="none"/>
                      <w:lang w:eastAsia="zh-CN"/>
                    </w:rPr>
                    <w:t>生活垃圾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22" w:type="dxa"/>
                  <w:vMerge w:val="restart"/>
                  <w:tcBorders>
                    <w:tl2br w:val="nil"/>
                    <w:tr2bl w:val="nil"/>
                  </w:tcBorders>
                  <w:vAlign w:val="center"/>
                </w:tcPr>
                <w:p>
                  <w:pPr>
                    <w:pStyle w:val="22"/>
                    <w:rPr>
                      <w:color w:val="auto"/>
                      <w:highlight w:val="none"/>
                    </w:rPr>
                  </w:pPr>
                  <w:r>
                    <w:rPr>
                      <w:color w:val="auto"/>
                      <w:highlight w:val="none"/>
                    </w:rPr>
                    <w:t>运</w:t>
                  </w:r>
                </w:p>
                <w:p>
                  <w:pPr>
                    <w:pStyle w:val="22"/>
                    <w:rPr>
                      <w:color w:val="auto"/>
                      <w:highlight w:val="none"/>
                    </w:rPr>
                  </w:pPr>
                  <w:r>
                    <w:rPr>
                      <w:color w:val="auto"/>
                      <w:highlight w:val="none"/>
                    </w:rPr>
                    <w:t>营</w:t>
                  </w:r>
                </w:p>
                <w:p>
                  <w:pPr>
                    <w:pStyle w:val="22"/>
                    <w:rPr>
                      <w:color w:val="auto"/>
                      <w:highlight w:val="none"/>
                    </w:rPr>
                  </w:pPr>
                  <w:r>
                    <w:rPr>
                      <w:color w:val="auto"/>
                      <w:highlight w:val="none"/>
                    </w:rPr>
                    <w:t>期</w:t>
                  </w:r>
                </w:p>
              </w:tc>
              <w:tc>
                <w:tcPr>
                  <w:tcW w:w="852" w:type="dxa"/>
                  <w:tcBorders>
                    <w:tl2br w:val="nil"/>
                    <w:tr2bl w:val="nil"/>
                  </w:tcBorders>
                  <w:vAlign w:val="center"/>
                </w:tcPr>
                <w:p>
                  <w:pPr>
                    <w:pStyle w:val="22"/>
                    <w:rPr>
                      <w:color w:val="auto"/>
                      <w:highlight w:val="none"/>
                    </w:rPr>
                  </w:pPr>
                  <w:r>
                    <w:rPr>
                      <w:color w:val="auto"/>
                      <w:highlight w:val="none"/>
                    </w:rPr>
                    <w:t>废气</w:t>
                  </w:r>
                </w:p>
              </w:tc>
              <w:tc>
                <w:tcPr>
                  <w:tcW w:w="2358" w:type="dxa"/>
                  <w:tcBorders>
                    <w:tl2br w:val="nil"/>
                    <w:tr2bl w:val="nil"/>
                  </w:tcBorders>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贮存</w:t>
                  </w:r>
                  <w:r>
                    <w:rPr>
                      <w:rFonts w:hint="eastAsia"/>
                      <w:color w:val="auto"/>
                      <w:highlight w:val="none"/>
                    </w:rPr>
                    <w:t>废气</w:t>
                  </w:r>
                </w:p>
              </w:tc>
              <w:tc>
                <w:tcPr>
                  <w:tcW w:w="1991" w:type="dxa"/>
                  <w:tcBorders>
                    <w:tl2br w:val="nil"/>
                    <w:tr2bl w:val="nil"/>
                  </w:tcBorders>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硫酸雾</w:t>
                  </w:r>
                  <w:r>
                    <w:rPr>
                      <w:rFonts w:hint="eastAsia"/>
                      <w:color w:val="auto"/>
                      <w:highlight w:val="none"/>
                      <w:lang w:eastAsia="zh-CN"/>
                    </w:rPr>
                    <w:t>、非甲烷总烃</w:t>
                  </w:r>
                </w:p>
              </w:tc>
              <w:tc>
                <w:tcPr>
                  <w:tcW w:w="2206" w:type="dxa"/>
                  <w:tcBorders>
                    <w:tl2br w:val="nil"/>
                    <w:tr2bl w:val="nil"/>
                  </w:tcBorders>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硫酸雾</w:t>
                  </w:r>
                  <w:r>
                    <w:rPr>
                      <w:rFonts w:hint="eastAsia"/>
                      <w:color w:val="auto"/>
                      <w:highlight w:val="none"/>
                      <w:lang w:eastAsia="zh-CN"/>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0" w:hRule="atLeast"/>
              </w:trPr>
              <w:tc>
                <w:tcPr>
                  <w:tcW w:w="722" w:type="dxa"/>
                  <w:vMerge w:val="continue"/>
                  <w:tcBorders>
                    <w:tl2br w:val="nil"/>
                    <w:tr2bl w:val="nil"/>
                  </w:tcBorders>
                  <w:vAlign w:val="center"/>
                </w:tcPr>
                <w:p>
                  <w:pPr>
                    <w:pStyle w:val="22"/>
                    <w:rPr>
                      <w:color w:val="auto"/>
                      <w:highlight w:val="none"/>
                    </w:rPr>
                  </w:pPr>
                </w:p>
              </w:tc>
              <w:tc>
                <w:tcPr>
                  <w:tcW w:w="852" w:type="dxa"/>
                  <w:tcBorders>
                    <w:tl2br w:val="nil"/>
                    <w:tr2bl w:val="nil"/>
                  </w:tcBorders>
                  <w:vAlign w:val="center"/>
                </w:tcPr>
                <w:p>
                  <w:pPr>
                    <w:pStyle w:val="22"/>
                    <w:rPr>
                      <w:color w:val="auto"/>
                      <w:highlight w:val="none"/>
                    </w:rPr>
                  </w:pPr>
                  <w:r>
                    <w:rPr>
                      <w:color w:val="auto"/>
                      <w:highlight w:val="none"/>
                    </w:rPr>
                    <w:t>废水</w:t>
                  </w:r>
                </w:p>
              </w:tc>
              <w:tc>
                <w:tcPr>
                  <w:tcW w:w="2358" w:type="dxa"/>
                  <w:tcBorders>
                    <w:tl2br w:val="nil"/>
                    <w:tr2bl w:val="nil"/>
                  </w:tcBorders>
                  <w:vAlign w:val="center"/>
                </w:tcPr>
                <w:p>
                  <w:pPr>
                    <w:pStyle w:val="22"/>
                    <w:rPr>
                      <w:rFonts w:hint="eastAsia"/>
                      <w:color w:val="auto"/>
                      <w:highlight w:val="none"/>
                      <w:lang w:eastAsia="zh-CN"/>
                    </w:rPr>
                  </w:pPr>
                  <w:r>
                    <w:rPr>
                      <w:rFonts w:hint="eastAsia"/>
                      <w:color w:val="auto"/>
                      <w:highlight w:val="none"/>
                      <w:lang w:eastAsia="zh-CN"/>
                    </w:rPr>
                    <w:t>生活污水</w:t>
                  </w:r>
                </w:p>
              </w:tc>
              <w:tc>
                <w:tcPr>
                  <w:tcW w:w="1991" w:type="dxa"/>
                  <w:tcBorders>
                    <w:tl2br w:val="nil"/>
                    <w:tr2bl w:val="nil"/>
                  </w:tcBorders>
                  <w:vAlign w:val="center"/>
                </w:tcPr>
                <w:p>
                  <w:pPr>
                    <w:pStyle w:val="22"/>
                    <w:rPr>
                      <w:rFonts w:hint="default" w:eastAsiaTheme="minorEastAsia"/>
                      <w:color w:val="auto"/>
                      <w:highlight w:val="none"/>
                      <w:lang w:val="en-US" w:eastAsia="zh-CN"/>
                    </w:rPr>
                  </w:pPr>
                  <w:r>
                    <w:rPr>
                      <w:color w:val="auto"/>
                      <w:highlight w:val="none"/>
                    </w:rPr>
                    <w:t>生活污水</w:t>
                  </w:r>
                  <w:r>
                    <w:rPr>
                      <w:rFonts w:hint="eastAsia"/>
                      <w:color w:val="auto"/>
                      <w:highlight w:val="none"/>
                    </w:rPr>
                    <w:t>（</w:t>
                  </w:r>
                  <w:r>
                    <w:rPr>
                      <w:color w:val="auto"/>
                      <w:highlight w:val="none"/>
                    </w:rPr>
                    <w:t>COD、NH</w:t>
                  </w:r>
                  <w:r>
                    <w:rPr>
                      <w:color w:val="auto"/>
                      <w:highlight w:val="none"/>
                      <w:vertAlign w:val="subscript"/>
                    </w:rPr>
                    <w:t>3</w:t>
                  </w:r>
                  <w:r>
                    <w:rPr>
                      <w:color w:val="auto"/>
                      <w:highlight w:val="none"/>
                    </w:rPr>
                    <w:t>-N</w:t>
                  </w:r>
                  <w:r>
                    <w:rPr>
                      <w:rFonts w:hint="eastAsia"/>
                      <w:color w:val="auto"/>
                      <w:highlight w:val="none"/>
                    </w:rPr>
                    <w:t>）</w:t>
                  </w:r>
                </w:p>
              </w:tc>
              <w:tc>
                <w:tcPr>
                  <w:tcW w:w="2206" w:type="dxa"/>
                  <w:tcBorders>
                    <w:tl2br w:val="nil"/>
                    <w:tr2bl w:val="nil"/>
                  </w:tcBorders>
                  <w:vAlign w:val="center"/>
                </w:tcPr>
                <w:p>
                  <w:pPr>
                    <w:pStyle w:val="22"/>
                    <w:rPr>
                      <w:rFonts w:hint="eastAsia" w:eastAsiaTheme="minorEastAsia"/>
                      <w:color w:val="auto"/>
                      <w:highlight w:val="none"/>
                      <w:lang w:eastAsia="zh-CN"/>
                    </w:rPr>
                  </w:pPr>
                  <w:r>
                    <w:rPr>
                      <w:color w:val="auto"/>
                      <w:highlight w:val="none"/>
                    </w:rPr>
                    <w:t>生活污水</w:t>
                  </w:r>
                  <w:r>
                    <w:rPr>
                      <w:rFonts w:hint="eastAsia"/>
                      <w:color w:val="auto"/>
                      <w:highlight w:val="none"/>
                    </w:rPr>
                    <w:t>（</w:t>
                  </w:r>
                  <w:r>
                    <w:rPr>
                      <w:color w:val="auto"/>
                      <w:highlight w:val="none"/>
                    </w:rPr>
                    <w:t>COD、NH</w:t>
                  </w:r>
                  <w:r>
                    <w:rPr>
                      <w:color w:val="auto"/>
                      <w:highlight w:val="none"/>
                      <w:vertAlign w:val="subscript"/>
                    </w:rPr>
                    <w:t>3</w:t>
                  </w:r>
                  <w:r>
                    <w:rPr>
                      <w:color w:val="auto"/>
                      <w:highlight w:val="none"/>
                    </w:rPr>
                    <w:t>-N</w:t>
                  </w: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9" w:hRule="atLeast"/>
              </w:trPr>
              <w:tc>
                <w:tcPr>
                  <w:tcW w:w="722" w:type="dxa"/>
                  <w:vMerge w:val="continue"/>
                  <w:tcBorders>
                    <w:tl2br w:val="nil"/>
                    <w:tr2bl w:val="nil"/>
                  </w:tcBorders>
                  <w:vAlign w:val="center"/>
                </w:tcPr>
                <w:p>
                  <w:pPr>
                    <w:pStyle w:val="22"/>
                    <w:rPr>
                      <w:color w:val="auto"/>
                      <w:highlight w:val="none"/>
                    </w:rPr>
                  </w:pPr>
                </w:p>
              </w:tc>
              <w:tc>
                <w:tcPr>
                  <w:tcW w:w="852" w:type="dxa"/>
                  <w:vMerge w:val="restart"/>
                  <w:tcBorders>
                    <w:tl2br w:val="nil"/>
                    <w:tr2bl w:val="nil"/>
                  </w:tcBorders>
                  <w:vAlign w:val="center"/>
                </w:tcPr>
                <w:p>
                  <w:pPr>
                    <w:pStyle w:val="22"/>
                    <w:rPr>
                      <w:color w:val="auto"/>
                      <w:highlight w:val="none"/>
                    </w:rPr>
                  </w:pPr>
                  <w:r>
                    <w:rPr>
                      <w:color w:val="auto"/>
                      <w:highlight w:val="none"/>
                    </w:rPr>
                    <w:t>噪声</w:t>
                  </w:r>
                </w:p>
              </w:tc>
              <w:tc>
                <w:tcPr>
                  <w:tcW w:w="2358"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生产操作</w:t>
                  </w:r>
                </w:p>
              </w:tc>
              <w:tc>
                <w:tcPr>
                  <w:tcW w:w="1991" w:type="dxa"/>
                  <w:tcBorders>
                    <w:tl2br w:val="nil"/>
                    <w:tr2bl w:val="nil"/>
                  </w:tcBorders>
                  <w:vAlign w:val="center"/>
                </w:tcPr>
                <w:p>
                  <w:pPr>
                    <w:pStyle w:val="22"/>
                    <w:rPr>
                      <w:color w:val="auto"/>
                      <w:highlight w:val="none"/>
                    </w:rPr>
                  </w:pPr>
                  <w:r>
                    <w:rPr>
                      <w:color w:val="auto"/>
                      <w:highlight w:val="none"/>
                    </w:rPr>
                    <w:t>机械噪声</w:t>
                  </w:r>
                  <w:r>
                    <w:rPr>
                      <w:rFonts w:hint="eastAsia"/>
                      <w:color w:val="auto"/>
                      <w:highlight w:val="none"/>
                    </w:rPr>
                    <w:t>、操作噪声</w:t>
                  </w:r>
                </w:p>
              </w:tc>
              <w:tc>
                <w:tcPr>
                  <w:tcW w:w="2206" w:type="dxa"/>
                  <w:tcBorders>
                    <w:tl2br w:val="nil"/>
                    <w:tr2bl w:val="nil"/>
                  </w:tcBorders>
                  <w:vAlign w:val="center"/>
                </w:tcPr>
                <w:p>
                  <w:pPr>
                    <w:pStyle w:val="22"/>
                    <w:rPr>
                      <w:color w:val="auto"/>
                      <w:highlight w:val="none"/>
                    </w:rPr>
                  </w:pPr>
                  <w:r>
                    <w:rPr>
                      <w:color w:val="auto"/>
                      <w:highlight w:val="none"/>
                    </w:rPr>
                    <w:t>Leq</w:t>
                  </w:r>
                  <w:r>
                    <w:rPr>
                      <w:rFonts w:hint="eastAsia"/>
                      <w:color w:val="auto"/>
                      <w:highlight w:val="none"/>
                    </w:rPr>
                    <w:t>(</w:t>
                  </w:r>
                  <w:r>
                    <w:rPr>
                      <w:color w:val="auto"/>
                      <w:highlight w:val="none"/>
                    </w:rPr>
                    <w:t>A</w:t>
                  </w: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9" w:hRule="atLeast"/>
              </w:trPr>
              <w:tc>
                <w:tcPr>
                  <w:tcW w:w="722" w:type="dxa"/>
                  <w:vMerge w:val="continue"/>
                  <w:tcBorders>
                    <w:tl2br w:val="nil"/>
                    <w:tr2bl w:val="nil"/>
                  </w:tcBorders>
                  <w:vAlign w:val="center"/>
                </w:tcPr>
                <w:p>
                  <w:pPr>
                    <w:pStyle w:val="22"/>
                    <w:rPr>
                      <w:color w:val="auto"/>
                      <w:highlight w:val="none"/>
                    </w:rPr>
                  </w:pPr>
                </w:p>
              </w:tc>
              <w:tc>
                <w:tcPr>
                  <w:tcW w:w="852" w:type="dxa"/>
                  <w:vMerge w:val="continue"/>
                  <w:tcBorders>
                    <w:tl2br w:val="nil"/>
                    <w:tr2bl w:val="nil"/>
                  </w:tcBorders>
                  <w:vAlign w:val="center"/>
                </w:tcPr>
                <w:p>
                  <w:pPr>
                    <w:pStyle w:val="22"/>
                    <w:rPr>
                      <w:color w:val="auto"/>
                      <w:highlight w:val="none"/>
                    </w:rPr>
                  </w:pPr>
                </w:p>
              </w:tc>
              <w:tc>
                <w:tcPr>
                  <w:tcW w:w="2358" w:type="dxa"/>
                  <w:tcBorders>
                    <w:tl2br w:val="nil"/>
                    <w:tr2bl w:val="nil"/>
                  </w:tcBorders>
                  <w:vAlign w:val="center"/>
                </w:tcPr>
                <w:p>
                  <w:pPr>
                    <w:pStyle w:val="22"/>
                    <w:rPr>
                      <w:color w:val="auto"/>
                      <w:highlight w:val="none"/>
                    </w:rPr>
                  </w:pPr>
                  <w:r>
                    <w:rPr>
                      <w:color w:val="auto"/>
                      <w:highlight w:val="none"/>
                    </w:rPr>
                    <w:t>运输车辆</w:t>
                  </w:r>
                </w:p>
              </w:tc>
              <w:tc>
                <w:tcPr>
                  <w:tcW w:w="1991" w:type="dxa"/>
                  <w:tcBorders>
                    <w:tl2br w:val="nil"/>
                    <w:tr2bl w:val="nil"/>
                  </w:tcBorders>
                  <w:vAlign w:val="center"/>
                </w:tcPr>
                <w:p>
                  <w:pPr>
                    <w:pStyle w:val="22"/>
                    <w:rPr>
                      <w:color w:val="auto"/>
                      <w:highlight w:val="none"/>
                    </w:rPr>
                  </w:pPr>
                  <w:r>
                    <w:rPr>
                      <w:color w:val="auto"/>
                      <w:highlight w:val="none"/>
                    </w:rPr>
                    <w:t>车辆噪声</w:t>
                  </w:r>
                </w:p>
              </w:tc>
              <w:tc>
                <w:tcPr>
                  <w:tcW w:w="2206" w:type="dxa"/>
                  <w:tcBorders>
                    <w:tl2br w:val="nil"/>
                    <w:tr2bl w:val="nil"/>
                  </w:tcBorders>
                  <w:vAlign w:val="center"/>
                </w:tcPr>
                <w:p>
                  <w:pPr>
                    <w:pStyle w:val="22"/>
                    <w:rPr>
                      <w:color w:val="auto"/>
                      <w:highlight w:val="none"/>
                    </w:rPr>
                  </w:pPr>
                  <w:r>
                    <w:rPr>
                      <w:color w:val="auto"/>
                      <w:highlight w:val="none"/>
                    </w:rPr>
                    <w:t>Leq</w:t>
                  </w:r>
                  <w:r>
                    <w:rPr>
                      <w:rFonts w:hint="eastAsia"/>
                      <w:color w:val="auto"/>
                      <w:highlight w:val="none"/>
                    </w:rPr>
                    <w:t>(</w:t>
                  </w:r>
                  <w:r>
                    <w:rPr>
                      <w:color w:val="auto"/>
                      <w:highlight w:val="none"/>
                    </w:rPr>
                    <w:t>A</w:t>
                  </w: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9" w:hRule="atLeast"/>
              </w:trPr>
              <w:tc>
                <w:tcPr>
                  <w:tcW w:w="722" w:type="dxa"/>
                  <w:vMerge w:val="continue"/>
                  <w:tcBorders>
                    <w:tl2br w:val="nil"/>
                    <w:tr2bl w:val="nil"/>
                  </w:tcBorders>
                  <w:vAlign w:val="center"/>
                </w:tcPr>
                <w:p>
                  <w:pPr>
                    <w:pStyle w:val="22"/>
                    <w:rPr>
                      <w:color w:val="auto"/>
                      <w:highlight w:val="none"/>
                    </w:rPr>
                  </w:pPr>
                </w:p>
              </w:tc>
              <w:tc>
                <w:tcPr>
                  <w:tcW w:w="852" w:type="dxa"/>
                  <w:vMerge w:val="restart"/>
                  <w:tcBorders>
                    <w:tl2br w:val="nil"/>
                    <w:tr2bl w:val="nil"/>
                  </w:tcBorders>
                  <w:vAlign w:val="center"/>
                </w:tcPr>
                <w:p>
                  <w:pPr>
                    <w:pStyle w:val="22"/>
                    <w:rPr>
                      <w:color w:val="auto"/>
                      <w:highlight w:val="none"/>
                    </w:rPr>
                  </w:pPr>
                  <w:r>
                    <w:rPr>
                      <w:color w:val="auto"/>
                      <w:highlight w:val="none"/>
                    </w:rPr>
                    <w:t>固废</w:t>
                  </w:r>
                </w:p>
              </w:tc>
              <w:tc>
                <w:tcPr>
                  <w:tcW w:w="2358"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生产操作</w:t>
                  </w:r>
                </w:p>
              </w:tc>
              <w:tc>
                <w:tcPr>
                  <w:tcW w:w="1991"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废电解液</w:t>
                  </w:r>
                </w:p>
              </w:tc>
              <w:tc>
                <w:tcPr>
                  <w:tcW w:w="2206"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废电解液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9" w:hRule="atLeast"/>
              </w:trPr>
              <w:tc>
                <w:tcPr>
                  <w:tcW w:w="722" w:type="dxa"/>
                  <w:vMerge w:val="continue"/>
                  <w:tcBorders>
                    <w:tl2br w:val="nil"/>
                    <w:tr2bl w:val="nil"/>
                  </w:tcBorders>
                  <w:vAlign w:val="center"/>
                </w:tcPr>
                <w:p>
                  <w:pPr>
                    <w:pStyle w:val="22"/>
                    <w:rPr>
                      <w:color w:val="auto"/>
                      <w:highlight w:val="none"/>
                    </w:rPr>
                  </w:pPr>
                </w:p>
              </w:tc>
              <w:tc>
                <w:tcPr>
                  <w:tcW w:w="852" w:type="dxa"/>
                  <w:vMerge w:val="continue"/>
                  <w:tcBorders>
                    <w:tl2br w:val="nil"/>
                    <w:tr2bl w:val="nil"/>
                  </w:tcBorders>
                  <w:vAlign w:val="center"/>
                </w:tcPr>
                <w:p>
                  <w:pPr>
                    <w:pStyle w:val="22"/>
                    <w:rPr>
                      <w:color w:val="auto"/>
                      <w:highlight w:val="none"/>
                    </w:rPr>
                  </w:pPr>
                </w:p>
              </w:tc>
              <w:tc>
                <w:tcPr>
                  <w:tcW w:w="2358"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生产操作</w:t>
                  </w:r>
                </w:p>
              </w:tc>
              <w:tc>
                <w:tcPr>
                  <w:tcW w:w="1991"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废劳保用品</w:t>
                  </w:r>
                </w:p>
              </w:tc>
              <w:tc>
                <w:tcPr>
                  <w:tcW w:w="2206"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废劳保用品</w:t>
                  </w:r>
                </w:p>
              </w:tc>
            </w:tr>
          </w:tbl>
          <w:p>
            <w:pPr>
              <w:pStyle w:val="12"/>
              <w:ind w:left="0" w:leftChars="0" w:firstLine="0" w:firstLineChars="0"/>
              <w:rPr>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699" w:type="dxa"/>
            <w:vAlign w:val="center"/>
          </w:tcPr>
          <w:p>
            <w:pPr>
              <w:adjustRightInd w:val="0"/>
              <w:snapToGrid w:val="0"/>
              <w:jc w:val="center"/>
              <w:rPr>
                <w:rFonts w:cs="宋体"/>
                <w:color w:val="auto"/>
                <w:sz w:val="21"/>
                <w:szCs w:val="21"/>
                <w:highlight w:val="none"/>
              </w:rPr>
            </w:pPr>
            <w:r>
              <w:rPr>
                <w:rFonts w:hint="eastAsia" w:ascii="Times New Roman" w:hAnsi="Times New Roman" w:eastAsia="宋体" w:cs="Times New Roman"/>
                <w:color w:val="auto"/>
                <w:kern w:val="2"/>
                <w:sz w:val="24"/>
                <w:szCs w:val="22"/>
                <w:highlight w:val="none"/>
                <w:lang w:val="en-US" w:eastAsia="zh-CN" w:bidi="ar-SA"/>
              </w:rPr>
              <w:t>与项目有关的原有环境污染问题</w:t>
            </w:r>
          </w:p>
        </w:tc>
        <w:tc>
          <w:tcPr>
            <w:tcW w:w="8361" w:type="dxa"/>
          </w:tcPr>
          <w:p>
            <w:pPr>
              <w:pStyle w:val="12"/>
              <w:ind w:firstLine="480"/>
              <w:rPr>
                <w:rFonts w:hint="default" w:eastAsia="宋体"/>
                <w:color w:val="auto"/>
                <w:highlight w:val="none"/>
                <w:lang w:val="en-US" w:eastAsia="zh-CN"/>
              </w:rPr>
            </w:pPr>
            <w:r>
              <w:rPr>
                <w:rFonts w:hint="eastAsia"/>
                <w:color w:val="auto"/>
                <w:highlight w:val="none"/>
              </w:rPr>
              <w:t>辽宁二道沟黄金矿业有限公司是中国黄金集团下属矿山企业。二道沟金矿于1976年开工基建，1980年建成投产。二道沟采区由9个拐点坐标组成，采区面积：13.3649km</w:t>
            </w:r>
            <w:r>
              <w:rPr>
                <w:rFonts w:hint="eastAsia"/>
                <w:color w:val="auto"/>
                <w:highlight w:val="none"/>
                <w:vertAlign w:val="superscript"/>
              </w:rPr>
              <w:t>2</w:t>
            </w:r>
            <w:r>
              <w:rPr>
                <w:rFonts w:hint="eastAsia"/>
                <w:color w:val="auto"/>
                <w:highlight w:val="none"/>
              </w:rPr>
              <w:t>，开采标高：650m～-400m。现状分为两个生产系统，分别为红旗采区和正北沟采区，红旗采区年开采金矿石3万吨/年，正北沟采区年开采金矿石3万吨/年。矿区内配套1座红旗选矿厂，生产规模为日处理金矿石400吨，1座顺发浮选厂，生产规模为日处理金矿石100吨</w:t>
            </w:r>
            <w:r>
              <w:rPr>
                <w:rFonts w:hint="eastAsia"/>
                <w:color w:val="auto"/>
                <w:highlight w:val="none"/>
                <w:lang w:eastAsia="zh-CN"/>
              </w:rPr>
              <w:t>，</w:t>
            </w:r>
            <w:r>
              <w:rPr>
                <w:rFonts w:hint="eastAsia"/>
                <w:color w:val="auto"/>
                <w:highlight w:val="none"/>
              </w:rPr>
              <w:t>1座振兴浮选厂，生产规模为日处理金矿石400吨；二道沟金矿尾矿库位于顺发选矿厂西侧，该库为三等库，终期堆积坝顶标高658m，堆积坝高53m，总坝高72m，库容508.7万m³</w:t>
            </w:r>
            <w:r>
              <w:rPr>
                <w:rFonts w:hint="eastAsia"/>
                <w:color w:val="auto"/>
                <w:highlight w:val="none"/>
                <w:lang w:eastAsia="zh-CN"/>
              </w:rPr>
              <w:t>。根据《辽宁二道沟黄金矿业有限责任公司二道沟金矿全尾砂胶结充填系统工程环境影响报告书》中说明“二道沟金矿尾矿库现状坝高59m，现状剩余有效库容220万m³，按现状两座选矿厂日处理500吨金矿规模计算，剩余服务年限约1</w:t>
            </w:r>
            <w:r>
              <w:rPr>
                <w:rFonts w:hint="eastAsia"/>
                <w:color w:val="auto"/>
                <w:highlight w:val="none"/>
                <w:lang w:val="en-US" w:eastAsia="zh-CN"/>
              </w:rPr>
              <w:t>5</w:t>
            </w:r>
            <w:r>
              <w:rPr>
                <w:rFonts w:hint="eastAsia"/>
                <w:color w:val="auto"/>
                <w:highlight w:val="none"/>
                <w:lang w:eastAsia="zh-CN"/>
              </w:rPr>
              <w:t>年”。根据近年实际情况分析，剩余服务年限约为</w:t>
            </w:r>
            <w:r>
              <w:rPr>
                <w:rFonts w:hint="eastAsia"/>
                <w:color w:val="auto"/>
                <w:highlight w:val="none"/>
                <w:lang w:val="en-US" w:eastAsia="zh-CN"/>
              </w:rPr>
              <w:t>10年。</w:t>
            </w:r>
          </w:p>
          <w:p>
            <w:pPr>
              <w:pStyle w:val="12"/>
              <w:ind w:firstLine="480"/>
              <w:rPr>
                <w:rFonts w:hint="eastAsia"/>
                <w:color w:val="auto"/>
                <w:highlight w:val="none"/>
                <w:lang w:val="en-US" w:eastAsia="zh-CN"/>
              </w:rPr>
            </w:pPr>
            <w:r>
              <w:rPr>
                <w:rFonts w:hint="eastAsia"/>
                <w:color w:val="auto"/>
                <w:highlight w:val="none"/>
                <w:lang w:val="en-US" w:eastAsia="zh-CN"/>
              </w:rPr>
              <w:t>1.现有环评、验收手续及排污许可证情况</w:t>
            </w:r>
          </w:p>
          <w:p>
            <w:pPr>
              <w:pStyle w:val="23"/>
              <w:numPr>
                <w:ilvl w:val="0"/>
                <w:numId w:val="2"/>
              </w:numPr>
              <w:tabs>
                <w:tab w:val="clear" w:pos="0"/>
                <w:tab w:val="clear" w:pos="420"/>
              </w:tabs>
              <w:ind w:left="0" w:leftChars="0" w:firstLine="0" w:firstLineChars="0"/>
              <w:rPr>
                <w:rFonts w:hint="default"/>
                <w:color w:val="auto"/>
                <w:highlight w:val="none"/>
              </w:rPr>
            </w:pPr>
            <w:r>
              <w:rPr>
                <w:color w:val="auto"/>
                <w:highlight w:val="none"/>
              </w:rPr>
              <w:t xml:space="preserve">   </w:t>
            </w:r>
            <w:r>
              <w:rPr>
                <w:rFonts w:hint="eastAsia"/>
                <w:color w:val="auto"/>
                <w:highlight w:val="none"/>
                <w:lang w:val="en-US" w:eastAsia="zh-CN"/>
              </w:rPr>
              <w:t>环评及验收</w:t>
            </w:r>
            <w:r>
              <w:rPr>
                <w:color w:val="auto"/>
                <w:highlight w:val="none"/>
              </w:rPr>
              <w:t>手续情况</w:t>
            </w:r>
          </w:p>
          <w:tbl>
            <w:tblPr>
              <w:tblStyle w:val="16"/>
              <w:tblW w:w="814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864"/>
              <w:gridCol w:w="1553"/>
              <w:gridCol w:w="1481"/>
              <w:gridCol w:w="1636"/>
              <w:gridCol w:w="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17" w:type="dxa"/>
                  <w:tcBorders>
                    <w:tl2br w:val="nil"/>
                    <w:tr2bl w:val="nil"/>
                  </w:tcBorders>
                  <w:vAlign w:val="center"/>
                </w:tcPr>
                <w:p>
                  <w:pPr>
                    <w:pStyle w:val="25"/>
                    <w:bidi w:val="0"/>
                    <w:rPr>
                      <w:rFonts w:hint="default"/>
                      <w:color w:val="auto"/>
                      <w:highlight w:val="none"/>
                    </w:rPr>
                  </w:pPr>
                  <w:r>
                    <w:rPr>
                      <w:color w:val="auto"/>
                      <w:highlight w:val="none"/>
                    </w:rPr>
                    <w:t>序号</w:t>
                  </w:r>
                </w:p>
              </w:tc>
              <w:tc>
                <w:tcPr>
                  <w:tcW w:w="1864" w:type="dxa"/>
                  <w:tcBorders>
                    <w:tl2br w:val="nil"/>
                    <w:tr2bl w:val="nil"/>
                  </w:tcBorders>
                  <w:vAlign w:val="center"/>
                </w:tcPr>
                <w:p>
                  <w:pPr>
                    <w:pStyle w:val="25"/>
                    <w:bidi w:val="0"/>
                    <w:rPr>
                      <w:rFonts w:hint="default"/>
                      <w:color w:val="auto"/>
                      <w:highlight w:val="none"/>
                    </w:rPr>
                  </w:pPr>
                  <w:r>
                    <w:rPr>
                      <w:color w:val="auto"/>
                      <w:highlight w:val="none"/>
                    </w:rPr>
                    <w:t>项目名称</w:t>
                  </w:r>
                </w:p>
              </w:tc>
              <w:tc>
                <w:tcPr>
                  <w:tcW w:w="1553" w:type="dxa"/>
                  <w:tcBorders>
                    <w:tl2br w:val="nil"/>
                    <w:tr2bl w:val="nil"/>
                  </w:tcBorders>
                  <w:vAlign w:val="center"/>
                </w:tcPr>
                <w:p>
                  <w:pPr>
                    <w:pStyle w:val="25"/>
                    <w:bidi w:val="0"/>
                    <w:rPr>
                      <w:rFonts w:hint="eastAsia" w:eastAsiaTheme="minorEastAsia"/>
                      <w:color w:val="auto"/>
                      <w:highlight w:val="none"/>
                      <w:lang w:eastAsia="zh-CN"/>
                    </w:rPr>
                  </w:pPr>
                  <w:r>
                    <w:rPr>
                      <w:rFonts w:hint="eastAsia"/>
                      <w:color w:val="auto"/>
                      <w:highlight w:val="none"/>
                    </w:rPr>
                    <w:t>批复名称</w:t>
                  </w:r>
                  <w:r>
                    <w:rPr>
                      <w:rFonts w:hint="eastAsia"/>
                      <w:color w:val="auto"/>
                      <w:highlight w:val="none"/>
                      <w:lang w:eastAsia="zh-CN"/>
                    </w:rPr>
                    <w:t>、</w:t>
                  </w:r>
                  <w:r>
                    <w:rPr>
                      <w:rFonts w:hint="eastAsia"/>
                      <w:color w:val="auto"/>
                      <w:highlight w:val="none"/>
                    </w:rPr>
                    <w:t>文号</w:t>
                  </w:r>
                  <w:r>
                    <w:rPr>
                      <w:rFonts w:hint="eastAsia"/>
                      <w:color w:val="auto"/>
                      <w:highlight w:val="none"/>
                      <w:lang w:eastAsia="zh-CN"/>
                    </w:rPr>
                    <w:t>及时间</w:t>
                  </w:r>
                </w:p>
              </w:tc>
              <w:tc>
                <w:tcPr>
                  <w:tcW w:w="1481" w:type="dxa"/>
                  <w:tcBorders>
                    <w:tl2br w:val="nil"/>
                    <w:tr2bl w:val="nil"/>
                  </w:tcBorders>
                  <w:vAlign w:val="center"/>
                </w:tcPr>
                <w:p>
                  <w:pPr>
                    <w:pStyle w:val="25"/>
                    <w:bidi w:val="0"/>
                    <w:rPr>
                      <w:rFonts w:hint="default"/>
                      <w:color w:val="auto"/>
                      <w:highlight w:val="none"/>
                    </w:rPr>
                  </w:pPr>
                  <w:r>
                    <w:rPr>
                      <w:rFonts w:hint="eastAsia"/>
                      <w:color w:val="auto"/>
                      <w:highlight w:val="none"/>
                    </w:rPr>
                    <w:t>验收报告名称</w:t>
                  </w:r>
                </w:p>
              </w:tc>
              <w:tc>
                <w:tcPr>
                  <w:tcW w:w="1636" w:type="dxa"/>
                  <w:tcBorders>
                    <w:tl2br w:val="nil"/>
                    <w:tr2bl w:val="nil"/>
                  </w:tcBorders>
                  <w:vAlign w:val="center"/>
                </w:tcPr>
                <w:p>
                  <w:pPr>
                    <w:pStyle w:val="25"/>
                    <w:bidi w:val="0"/>
                    <w:rPr>
                      <w:color w:val="auto"/>
                      <w:highlight w:val="none"/>
                    </w:rPr>
                  </w:pPr>
                  <w:r>
                    <w:rPr>
                      <w:rFonts w:hint="eastAsia"/>
                      <w:color w:val="auto"/>
                      <w:highlight w:val="none"/>
                    </w:rPr>
                    <w:t>批复名称</w:t>
                  </w:r>
                  <w:r>
                    <w:rPr>
                      <w:rFonts w:hint="eastAsia"/>
                      <w:color w:val="auto"/>
                      <w:highlight w:val="none"/>
                      <w:lang w:eastAsia="zh-CN"/>
                    </w:rPr>
                    <w:t>、</w:t>
                  </w:r>
                  <w:r>
                    <w:rPr>
                      <w:rFonts w:hint="eastAsia"/>
                      <w:color w:val="auto"/>
                      <w:highlight w:val="none"/>
                    </w:rPr>
                    <w:t>文号</w:t>
                  </w:r>
                  <w:r>
                    <w:rPr>
                      <w:rFonts w:hint="eastAsia"/>
                      <w:color w:val="auto"/>
                      <w:highlight w:val="none"/>
                      <w:lang w:eastAsia="zh-CN"/>
                    </w:rPr>
                    <w:t>及时间</w:t>
                  </w:r>
                </w:p>
              </w:tc>
              <w:tc>
                <w:tcPr>
                  <w:tcW w:w="891" w:type="dxa"/>
                  <w:tcBorders>
                    <w:tl2br w:val="nil"/>
                    <w:tr2bl w:val="nil"/>
                  </w:tcBorders>
                  <w:vAlign w:val="center"/>
                </w:tcPr>
                <w:p>
                  <w:pPr>
                    <w:pStyle w:val="25"/>
                    <w:bidi w:val="0"/>
                    <w:rPr>
                      <w:rFonts w:hint="eastAsia" w:eastAsiaTheme="minorEastAsia"/>
                      <w:color w:val="auto"/>
                      <w:highlight w:val="none"/>
                      <w:lang w:eastAsia="zh-CN"/>
                    </w:rPr>
                  </w:pPr>
                  <w:r>
                    <w:rPr>
                      <w:rFonts w:hint="eastAsia"/>
                      <w:color w:val="auto"/>
                      <w:highlight w:val="none"/>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17" w:type="dxa"/>
                  <w:tcBorders>
                    <w:tl2br w:val="nil"/>
                    <w:tr2bl w:val="nil"/>
                  </w:tcBorders>
                  <w:vAlign w:val="center"/>
                </w:tcPr>
                <w:p>
                  <w:pPr>
                    <w:pStyle w:val="22"/>
                    <w:bidi w:val="0"/>
                    <w:rPr>
                      <w:rFonts w:hint="default"/>
                      <w:color w:val="auto"/>
                      <w:highlight w:val="none"/>
                      <w:lang w:val="en-US" w:eastAsia="zh-CN"/>
                    </w:rPr>
                  </w:pPr>
                  <w:r>
                    <w:rPr>
                      <w:color w:val="auto"/>
                      <w:highlight w:val="none"/>
                    </w:rPr>
                    <w:t>1</w:t>
                  </w:r>
                </w:p>
              </w:tc>
              <w:tc>
                <w:tcPr>
                  <w:tcW w:w="1864" w:type="dxa"/>
                  <w:tcBorders>
                    <w:tl2br w:val="nil"/>
                    <w:tr2bl w:val="nil"/>
                  </w:tcBorders>
                  <w:vAlign w:val="center"/>
                </w:tcPr>
                <w:p>
                  <w:pPr>
                    <w:pStyle w:val="22"/>
                    <w:bidi w:val="0"/>
                    <w:rPr>
                      <w:color w:val="auto"/>
                      <w:highlight w:val="none"/>
                    </w:rPr>
                  </w:pPr>
                  <w:r>
                    <w:rPr>
                      <w:rFonts w:hint="eastAsia"/>
                      <w:color w:val="auto"/>
                      <w:highlight w:val="none"/>
                    </w:rPr>
                    <w:t>中国黄金集团二道沟金矿环境影响评估报告</w:t>
                  </w:r>
                </w:p>
              </w:tc>
              <w:tc>
                <w:tcPr>
                  <w:tcW w:w="1553" w:type="dxa"/>
                  <w:tcBorders>
                    <w:tl2br w:val="nil"/>
                    <w:tr2bl w:val="nil"/>
                  </w:tcBorders>
                  <w:vAlign w:val="center"/>
                </w:tcPr>
                <w:p>
                  <w:pPr>
                    <w:pStyle w:val="22"/>
                    <w:bidi w:val="0"/>
                    <w:rPr>
                      <w:color w:val="auto"/>
                      <w:highlight w:val="none"/>
                    </w:rPr>
                  </w:pPr>
                  <w:r>
                    <w:rPr>
                      <w:rFonts w:hint="eastAsia"/>
                      <w:color w:val="auto"/>
                      <w:highlight w:val="none"/>
                    </w:rPr>
                    <w:t>关于中国黄金集团二道沟金矿环境影响评估报告的批复 北环发[2006]42号 2006.7.25</w:t>
                  </w:r>
                </w:p>
              </w:tc>
              <w:tc>
                <w:tcPr>
                  <w:tcW w:w="1481" w:type="dxa"/>
                  <w:tcBorders>
                    <w:tl2br w:val="nil"/>
                    <w:tr2bl w:val="nil"/>
                  </w:tcBorders>
                  <w:vAlign w:val="center"/>
                </w:tcPr>
                <w:p>
                  <w:pPr>
                    <w:pStyle w:val="22"/>
                    <w:bidi w:val="0"/>
                    <w:rPr>
                      <w:color w:val="auto"/>
                      <w:highlight w:val="none"/>
                    </w:rPr>
                  </w:pPr>
                  <w:r>
                    <w:rPr>
                      <w:rFonts w:hint="eastAsia"/>
                      <w:color w:val="auto"/>
                      <w:highlight w:val="none"/>
                    </w:rPr>
                    <w:t>中国黄金集团公司二道沟金矿项目</w:t>
                  </w:r>
                </w:p>
              </w:tc>
              <w:tc>
                <w:tcPr>
                  <w:tcW w:w="1636"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关于中国黄金集团二道沟金矿建设项目竣工环境保护验收申请的批复 北环验[2010]5号 2010.7.30</w:t>
                  </w:r>
                </w:p>
              </w:tc>
              <w:tc>
                <w:tcPr>
                  <w:tcW w:w="891"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17" w:type="dxa"/>
                  <w:tcBorders>
                    <w:tl2br w:val="nil"/>
                    <w:tr2bl w:val="nil"/>
                  </w:tcBorders>
                  <w:vAlign w:val="center"/>
                </w:tcPr>
                <w:p>
                  <w:pPr>
                    <w:pStyle w:val="22"/>
                    <w:bidi w:val="0"/>
                    <w:rPr>
                      <w:rFonts w:hint="default"/>
                      <w:color w:val="auto"/>
                      <w:highlight w:val="none"/>
                      <w:lang w:val="en-US" w:eastAsia="zh-CN"/>
                    </w:rPr>
                  </w:pPr>
                  <w:r>
                    <w:rPr>
                      <w:color w:val="auto"/>
                      <w:highlight w:val="none"/>
                    </w:rPr>
                    <w:t>2</w:t>
                  </w:r>
                </w:p>
              </w:tc>
              <w:tc>
                <w:tcPr>
                  <w:tcW w:w="1864" w:type="dxa"/>
                  <w:tcBorders>
                    <w:tl2br w:val="nil"/>
                    <w:tr2bl w:val="nil"/>
                  </w:tcBorders>
                  <w:vAlign w:val="center"/>
                </w:tcPr>
                <w:p>
                  <w:pPr>
                    <w:pStyle w:val="22"/>
                    <w:bidi w:val="0"/>
                    <w:rPr>
                      <w:color w:val="auto"/>
                      <w:highlight w:val="none"/>
                    </w:rPr>
                  </w:pPr>
                  <w:r>
                    <w:rPr>
                      <w:rFonts w:hint="eastAsia"/>
                      <w:color w:val="auto"/>
                      <w:highlight w:val="none"/>
                    </w:rPr>
                    <w:t>中国黄金集团二道沟金矿振兴浮选厂新建日处理400吨金矿石项目</w:t>
                  </w:r>
                </w:p>
              </w:tc>
              <w:tc>
                <w:tcPr>
                  <w:tcW w:w="1553"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关于中国黄金集团二道沟金矿振兴浮选厂新建日处理400吨矿石项目环境影响报告书的批复意见 朝环审[2008]75号 2008.9.4</w:t>
                  </w:r>
                </w:p>
              </w:tc>
              <w:tc>
                <w:tcPr>
                  <w:tcW w:w="1481" w:type="dxa"/>
                  <w:tcBorders>
                    <w:tl2br w:val="nil"/>
                    <w:tr2bl w:val="nil"/>
                  </w:tcBorders>
                  <w:vAlign w:val="center"/>
                </w:tcPr>
                <w:p>
                  <w:pPr>
                    <w:pStyle w:val="22"/>
                    <w:bidi w:val="0"/>
                    <w:rPr>
                      <w:color w:val="auto"/>
                      <w:highlight w:val="none"/>
                    </w:rPr>
                  </w:pPr>
                  <w:r>
                    <w:rPr>
                      <w:rFonts w:hint="eastAsia"/>
                      <w:color w:val="auto"/>
                      <w:highlight w:val="none"/>
                    </w:rPr>
                    <w:t>中国黄金集团二道沟金矿振兴浮选厂新建日处理400吨矿石项目</w:t>
                  </w:r>
                </w:p>
              </w:tc>
              <w:tc>
                <w:tcPr>
                  <w:tcW w:w="1636"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关于中国黄金集团二道沟金矿振兴浮选厂《中国黄金集团二道沟金矿振兴浮选厂新建日处理400t矿石项目环境影响报告书》环境保护竣工验收意见朝环验[2010]12号 2010.12.9</w:t>
                  </w:r>
                </w:p>
              </w:tc>
              <w:tc>
                <w:tcPr>
                  <w:tcW w:w="891"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17" w:type="dxa"/>
                  <w:tcBorders>
                    <w:tl2br w:val="nil"/>
                    <w:tr2bl w:val="nil"/>
                  </w:tcBorders>
                  <w:vAlign w:val="center"/>
                </w:tcPr>
                <w:p>
                  <w:pPr>
                    <w:pStyle w:val="22"/>
                    <w:bidi w:val="0"/>
                    <w:rPr>
                      <w:rFonts w:hint="default"/>
                      <w:color w:val="auto"/>
                      <w:highlight w:val="none"/>
                    </w:rPr>
                  </w:pPr>
                  <w:r>
                    <w:rPr>
                      <w:color w:val="auto"/>
                      <w:highlight w:val="none"/>
                    </w:rPr>
                    <w:t>3</w:t>
                  </w:r>
                </w:p>
              </w:tc>
              <w:tc>
                <w:tcPr>
                  <w:tcW w:w="1864" w:type="dxa"/>
                  <w:tcBorders>
                    <w:tl2br w:val="nil"/>
                    <w:tr2bl w:val="nil"/>
                  </w:tcBorders>
                  <w:vAlign w:val="center"/>
                </w:tcPr>
                <w:p>
                  <w:pPr>
                    <w:pStyle w:val="22"/>
                    <w:bidi w:val="0"/>
                    <w:rPr>
                      <w:rFonts w:hint="default"/>
                      <w:color w:val="auto"/>
                      <w:highlight w:val="none"/>
                    </w:rPr>
                  </w:pPr>
                  <w:r>
                    <w:rPr>
                      <w:rFonts w:hint="default"/>
                      <w:color w:val="auto"/>
                      <w:highlight w:val="none"/>
                    </w:rPr>
                    <w:t>中国黄金集团北票鑫龙矿业有限公司顺发浮选厂日处理金矿石100吨建设项目环境影响报告书</w:t>
                  </w:r>
                </w:p>
              </w:tc>
              <w:tc>
                <w:tcPr>
                  <w:tcW w:w="1553" w:type="dxa"/>
                  <w:tcBorders>
                    <w:tl2br w:val="nil"/>
                    <w:tr2bl w:val="nil"/>
                  </w:tcBorders>
                  <w:vAlign w:val="center"/>
                </w:tcPr>
                <w:p>
                  <w:pPr>
                    <w:pStyle w:val="22"/>
                    <w:bidi w:val="0"/>
                    <w:rPr>
                      <w:rFonts w:hint="default"/>
                      <w:color w:val="auto"/>
                      <w:highlight w:val="none"/>
                    </w:rPr>
                  </w:pPr>
                  <w:r>
                    <w:rPr>
                      <w:rFonts w:hint="default"/>
                      <w:color w:val="auto"/>
                      <w:highlight w:val="none"/>
                    </w:rPr>
                    <w:t>关于中国黄金集团北票鑫龙矿业有限公司顺发浮选厂日处理金矿石100吨建设项目环境影响报告书的批复 北环审[2011]2号 2011.1.5</w:t>
                  </w:r>
                </w:p>
              </w:tc>
              <w:tc>
                <w:tcPr>
                  <w:tcW w:w="1481" w:type="dxa"/>
                  <w:tcBorders>
                    <w:tl2br w:val="nil"/>
                    <w:tr2bl w:val="nil"/>
                  </w:tcBorders>
                  <w:vAlign w:val="center"/>
                </w:tcPr>
                <w:p>
                  <w:pPr>
                    <w:pStyle w:val="22"/>
                    <w:bidi w:val="0"/>
                    <w:rPr>
                      <w:rFonts w:hint="default"/>
                      <w:color w:val="auto"/>
                      <w:highlight w:val="none"/>
                    </w:rPr>
                  </w:pPr>
                  <w:r>
                    <w:rPr>
                      <w:rFonts w:hint="default"/>
                      <w:color w:val="auto"/>
                      <w:highlight w:val="none"/>
                    </w:rPr>
                    <w:t>中国黄金集团北票鑫龙矿业有限公司顺发浮选厂日处理金矿石100吨建设项目</w:t>
                  </w:r>
                </w:p>
              </w:tc>
              <w:tc>
                <w:tcPr>
                  <w:tcW w:w="1636" w:type="dxa"/>
                  <w:tcBorders>
                    <w:tl2br w:val="nil"/>
                    <w:tr2bl w:val="nil"/>
                  </w:tcBorders>
                  <w:vAlign w:val="center"/>
                </w:tcPr>
                <w:p>
                  <w:pPr>
                    <w:pStyle w:val="22"/>
                    <w:bidi w:val="0"/>
                    <w:rPr>
                      <w:rFonts w:hint="eastAsia"/>
                      <w:color w:val="auto"/>
                      <w:highlight w:val="none"/>
                      <w:lang w:val="en-US" w:eastAsia="zh-CN"/>
                    </w:rPr>
                  </w:pPr>
                  <w:r>
                    <w:rPr>
                      <w:rFonts w:hint="default"/>
                      <w:color w:val="auto"/>
                      <w:highlight w:val="none"/>
                    </w:rPr>
                    <w:t>关于中国黄金集团北票鑫龙矿业有限公司顺发浮选厂日处理金矿石100吨建设项目竣工环境保护验收的批复</w:t>
                  </w:r>
                  <w:r>
                    <w:rPr>
                      <w:rFonts w:hint="eastAsia"/>
                      <w:color w:val="auto"/>
                      <w:highlight w:val="none"/>
                      <w:lang w:val="en-US" w:eastAsia="zh-CN"/>
                    </w:rPr>
                    <w:t xml:space="preserve"> 北环验[2016]3号 2016.3.8</w:t>
                  </w:r>
                </w:p>
              </w:tc>
              <w:tc>
                <w:tcPr>
                  <w:tcW w:w="891"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17"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4</w:t>
                  </w:r>
                </w:p>
              </w:tc>
              <w:tc>
                <w:tcPr>
                  <w:tcW w:w="1864" w:type="dxa"/>
                  <w:tcBorders>
                    <w:tl2br w:val="nil"/>
                    <w:tr2bl w:val="nil"/>
                  </w:tcBorders>
                  <w:vAlign w:val="center"/>
                </w:tcPr>
                <w:p>
                  <w:pPr>
                    <w:pStyle w:val="22"/>
                    <w:bidi w:val="0"/>
                    <w:rPr>
                      <w:rFonts w:hint="default"/>
                      <w:color w:val="auto"/>
                      <w:highlight w:val="none"/>
                    </w:rPr>
                  </w:pPr>
                  <w:r>
                    <w:rPr>
                      <w:rFonts w:hint="default"/>
                      <w:color w:val="auto"/>
                      <w:highlight w:val="none"/>
                    </w:rPr>
                    <w:t>辽宁二道沟黄金矿业有限责任公司爆破器材仓库项目环境影响评价报告书</w:t>
                  </w:r>
                </w:p>
              </w:tc>
              <w:tc>
                <w:tcPr>
                  <w:tcW w:w="1553" w:type="dxa"/>
                  <w:tcBorders>
                    <w:tl2br w:val="nil"/>
                    <w:tr2bl w:val="nil"/>
                  </w:tcBorders>
                  <w:vAlign w:val="center"/>
                </w:tcPr>
                <w:p>
                  <w:pPr>
                    <w:pStyle w:val="22"/>
                    <w:bidi w:val="0"/>
                    <w:rPr>
                      <w:rFonts w:hint="default"/>
                      <w:color w:val="auto"/>
                      <w:highlight w:val="none"/>
                    </w:rPr>
                  </w:pPr>
                  <w:r>
                    <w:rPr>
                      <w:rFonts w:hint="default"/>
                      <w:color w:val="auto"/>
                      <w:highlight w:val="none"/>
                    </w:rPr>
                    <w:t>关于辽宁二道沟黄金矿业有限责任公司爆破器材仓库项目环境影响报告书的批复 北环审[2011]3号，2011.1.5</w:t>
                  </w:r>
                </w:p>
              </w:tc>
              <w:tc>
                <w:tcPr>
                  <w:tcW w:w="1481" w:type="dxa"/>
                  <w:tcBorders>
                    <w:tl2br w:val="nil"/>
                    <w:tr2bl w:val="nil"/>
                  </w:tcBorders>
                  <w:vAlign w:val="center"/>
                </w:tcPr>
                <w:p>
                  <w:pPr>
                    <w:pStyle w:val="22"/>
                    <w:bidi w:val="0"/>
                    <w:rPr>
                      <w:rFonts w:hint="default"/>
                      <w:color w:val="auto"/>
                      <w:highlight w:val="none"/>
                    </w:rPr>
                  </w:pPr>
                  <w:r>
                    <w:rPr>
                      <w:rFonts w:hint="default"/>
                      <w:color w:val="auto"/>
                      <w:highlight w:val="none"/>
                    </w:rPr>
                    <w:t>辽宁二道沟黄金矿业有限责任公司爆破器材仓库项目环</w:t>
                  </w:r>
                </w:p>
              </w:tc>
              <w:tc>
                <w:tcPr>
                  <w:tcW w:w="1636" w:type="dxa"/>
                  <w:tcBorders>
                    <w:tl2br w:val="nil"/>
                    <w:tr2bl w:val="nil"/>
                  </w:tcBorders>
                  <w:vAlign w:val="center"/>
                </w:tcPr>
                <w:p>
                  <w:pPr>
                    <w:pStyle w:val="22"/>
                    <w:bidi w:val="0"/>
                    <w:rPr>
                      <w:rFonts w:hint="eastAsia"/>
                      <w:color w:val="auto"/>
                      <w:highlight w:val="none"/>
                      <w:lang w:val="en-US" w:eastAsia="zh-CN"/>
                    </w:rPr>
                  </w:pPr>
                  <w:r>
                    <w:rPr>
                      <w:rFonts w:hint="default"/>
                      <w:color w:val="auto"/>
                      <w:highlight w:val="none"/>
                    </w:rPr>
                    <w:t>关于辽宁二道沟黄金矿业有限责任公司爆破器材仓库项目竣工环境保护验收的批复</w:t>
                  </w:r>
                  <w:r>
                    <w:rPr>
                      <w:rFonts w:hint="eastAsia"/>
                      <w:color w:val="auto"/>
                      <w:highlight w:val="none"/>
                      <w:lang w:val="en-US" w:eastAsia="zh-CN"/>
                    </w:rPr>
                    <w:t xml:space="preserve"> 北环验[2016]1号 2016.2.3</w:t>
                  </w:r>
                </w:p>
              </w:tc>
              <w:tc>
                <w:tcPr>
                  <w:tcW w:w="891"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17"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5</w:t>
                  </w:r>
                </w:p>
              </w:tc>
              <w:tc>
                <w:tcPr>
                  <w:tcW w:w="1864" w:type="dxa"/>
                  <w:tcBorders>
                    <w:tl2br w:val="nil"/>
                    <w:tr2bl w:val="nil"/>
                  </w:tcBorders>
                  <w:vAlign w:val="center"/>
                </w:tcPr>
                <w:p>
                  <w:pPr>
                    <w:pStyle w:val="22"/>
                    <w:bidi w:val="0"/>
                    <w:rPr>
                      <w:rFonts w:hint="default"/>
                      <w:color w:val="auto"/>
                      <w:highlight w:val="none"/>
                    </w:rPr>
                  </w:pPr>
                  <w:r>
                    <w:rPr>
                      <w:rFonts w:hint="default"/>
                      <w:color w:val="auto"/>
                      <w:highlight w:val="none"/>
                    </w:rPr>
                    <w:t>中国黄金集团二道沟金矿尾矿库改造及扩容工程建设项目</w:t>
                  </w:r>
                </w:p>
              </w:tc>
              <w:tc>
                <w:tcPr>
                  <w:tcW w:w="1553" w:type="dxa"/>
                  <w:tcBorders>
                    <w:tl2br w:val="nil"/>
                    <w:tr2bl w:val="nil"/>
                  </w:tcBorders>
                  <w:vAlign w:val="center"/>
                </w:tcPr>
                <w:p>
                  <w:pPr>
                    <w:pStyle w:val="22"/>
                    <w:bidi w:val="0"/>
                    <w:rPr>
                      <w:rFonts w:hint="default"/>
                      <w:color w:val="auto"/>
                      <w:highlight w:val="none"/>
                    </w:rPr>
                  </w:pPr>
                  <w:r>
                    <w:rPr>
                      <w:rFonts w:hint="default"/>
                      <w:color w:val="auto"/>
                      <w:highlight w:val="none"/>
                    </w:rPr>
                    <w:t>关于中国黄金集团二道沟金矿尾矿库改造及扩容工程建设项目环境影响报告表的批复 北环审[2013]23号 2013.3.29</w:t>
                  </w:r>
                </w:p>
              </w:tc>
              <w:tc>
                <w:tcPr>
                  <w:tcW w:w="1481" w:type="dxa"/>
                  <w:tcBorders>
                    <w:tl2br w:val="nil"/>
                    <w:tr2bl w:val="nil"/>
                  </w:tcBorders>
                  <w:vAlign w:val="center"/>
                </w:tcPr>
                <w:p>
                  <w:pPr>
                    <w:pStyle w:val="22"/>
                    <w:bidi w:val="0"/>
                    <w:rPr>
                      <w:rFonts w:hint="default"/>
                      <w:color w:val="auto"/>
                      <w:highlight w:val="none"/>
                    </w:rPr>
                  </w:pPr>
                  <w:r>
                    <w:rPr>
                      <w:rFonts w:hint="default"/>
                      <w:color w:val="auto"/>
                      <w:highlight w:val="none"/>
                    </w:rPr>
                    <w:t>中国黄金集团二道沟金矿尾矿库改造及扩容工程建设项目(第一阶段)</w:t>
                  </w:r>
                </w:p>
              </w:tc>
              <w:tc>
                <w:tcPr>
                  <w:tcW w:w="1636" w:type="dxa"/>
                  <w:tcBorders>
                    <w:tl2br w:val="nil"/>
                    <w:tr2bl w:val="nil"/>
                  </w:tcBorders>
                  <w:vAlign w:val="center"/>
                </w:tcPr>
                <w:p>
                  <w:pPr>
                    <w:pStyle w:val="22"/>
                    <w:bidi w:val="0"/>
                    <w:rPr>
                      <w:rFonts w:hint="eastAsia"/>
                      <w:color w:val="auto"/>
                      <w:highlight w:val="none"/>
                      <w:lang w:val="en-US" w:eastAsia="zh-CN"/>
                    </w:rPr>
                  </w:pPr>
                  <w:r>
                    <w:rPr>
                      <w:rFonts w:hint="default"/>
                      <w:color w:val="auto"/>
                      <w:highlight w:val="none"/>
                    </w:rPr>
                    <w:t>关于中国黄金集团二道沟金矿尾矿库改造及扩容工程建设项目(第一阶段)竣工环境保护验收的批复</w:t>
                  </w:r>
                  <w:r>
                    <w:rPr>
                      <w:rFonts w:hint="eastAsia"/>
                      <w:color w:val="auto"/>
                      <w:highlight w:val="none"/>
                      <w:lang w:val="en-US" w:eastAsia="zh-CN"/>
                    </w:rPr>
                    <w:t xml:space="preserve"> 北环验[2016]2号 2016.3.8</w:t>
                  </w:r>
                </w:p>
              </w:tc>
              <w:tc>
                <w:tcPr>
                  <w:tcW w:w="891"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17" w:type="dxa"/>
                  <w:vAlign w:val="center"/>
                </w:tcPr>
                <w:p>
                  <w:pPr>
                    <w:pStyle w:val="22"/>
                    <w:bidi w:val="0"/>
                    <w:rPr>
                      <w:rFonts w:hint="default"/>
                      <w:color w:val="auto"/>
                      <w:highlight w:val="none"/>
                      <w:lang w:val="en-US" w:eastAsia="zh-CN"/>
                    </w:rPr>
                  </w:pPr>
                  <w:r>
                    <w:rPr>
                      <w:rFonts w:hint="eastAsia"/>
                      <w:color w:val="auto"/>
                      <w:highlight w:val="none"/>
                      <w:lang w:val="en-US" w:eastAsia="zh-CN"/>
                    </w:rPr>
                    <w:t>6</w:t>
                  </w:r>
                </w:p>
              </w:tc>
              <w:tc>
                <w:tcPr>
                  <w:tcW w:w="1864" w:type="dxa"/>
                  <w:vAlign w:val="center"/>
                </w:tcPr>
                <w:p>
                  <w:pPr>
                    <w:pStyle w:val="22"/>
                    <w:bidi w:val="0"/>
                    <w:rPr>
                      <w:rFonts w:hint="default"/>
                      <w:color w:val="auto"/>
                      <w:highlight w:val="none"/>
                      <w:lang w:val="en-US" w:eastAsia="zh-CN"/>
                    </w:rPr>
                  </w:pPr>
                  <w:r>
                    <w:rPr>
                      <w:rFonts w:hint="default"/>
                      <w:color w:val="auto"/>
                      <w:highlight w:val="none"/>
                      <w:lang w:val="en-US" w:eastAsia="zh-CN"/>
                    </w:rPr>
                    <w:t>二道沟黄金矿业有限责任公司红旗选厂（400t/d）扩建项目环境影响报告书</w:t>
                  </w:r>
                </w:p>
              </w:tc>
              <w:tc>
                <w:tcPr>
                  <w:tcW w:w="1553" w:type="dxa"/>
                  <w:vAlign w:val="center"/>
                </w:tcPr>
                <w:p>
                  <w:pPr>
                    <w:pStyle w:val="22"/>
                    <w:bidi w:val="0"/>
                    <w:rPr>
                      <w:rFonts w:hint="default"/>
                      <w:color w:val="auto"/>
                      <w:highlight w:val="none"/>
                      <w:lang w:val="en-US" w:eastAsia="zh-CN"/>
                    </w:rPr>
                  </w:pPr>
                  <w:r>
                    <w:rPr>
                      <w:rFonts w:hint="default"/>
                      <w:color w:val="auto"/>
                      <w:highlight w:val="none"/>
                      <w:lang w:val="en-US" w:eastAsia="zh-CN"/>
                    </w:rPr>
                    <w:t>关于辽宁二道沟黄金矿业有限责任公司红旗选厂（400t/d）扩建项目环境影响报告书的批复 北环审[2013]77号 2013.9.29</w:t>
                  </w:r>
                </w:p>
              </w:tc>
              <w:tc>
                <w:tcPr>
                  <w:tcW w:w="1481" w:type="dxa"/>
                  <w:vAlign w:val="center"/>
                </w:tcPr>
                <w:p>
                  <w:pPr>
                    <w:pStyle w:val="22"/>
                    <w:bidi w:val="0"/>
                    <w:rPr>
                      <w:rFonts w:hint="default"/>
                      <w:color w:val="auto"/>
                      <w:highlight w:val="none"/>
                      <w:lang w:val="en-US" w:eastAsia="zh-CN"/>
                    </w:rPr>
                  </w:pPr>
                  <w:r>
                    <w:rPr>
                      <w:rFonts w:hint="default"/>
                      <w:color w:val="auto"/>
                      <w:highlight w:val="none"/>
                      <w:lang w:val="en-US" w:eastAsia="zh-CN"/>
                    </w:rPr>
                    <w:t>辽宁二道沟黄金矿业有限责任公司红旗选厂（400t/d)扩建项目</w:t>
                  </w:r>
                </w:p>
              </w:tc>
              <w:tc>
                <w:tcPr>
                  <w:tcW w:w="1636" w:type="dxa"/>
                  <w:vAlign w:val="center"/>
                </w:tcPr>
                <w:p>
                  <w:pPr>
                    <w:pStyle w:val="22"/>
                    <w:bidi w:val="0"/>
                    <w:rPr>
                      <w:rFonts w:hint="default"/>
                      <w:color w:val="auto"/>
                      <w:highlight w:val="none"/>
                      <w:lang w:val="en-US" w:eastAsia="zh-CN"/>
                    </w:rPr>
                  </w:pPr>
                  <w:r>
                    <w:rPr>
                      <w:rFonts w:hint="eastAsia"/>
                      <w:color w:val="auto"/>
                      <w:highlight w:val="none"/>
                      <w:lang w:val="en-US" w:eastAsia="zh-CN"/>
                    </w:rPr>
                    <w:t>关于辽宁二道沟黄金矿业有限责任公司红旗选厂(400t/d)扩建项目竣工环境保护验收的批复 北环验[2016]4号</w:t>
                  </w:r>
                </w:p>
              </w:tc>
              <w:tc>
                <w:tcPr>
                  <w:tcW w:w="891" w:type="dxa"/>
                  <w:vAlign w:val="center"/>
                </w:tcPr>
                <w:p>
                  <w:pPr>
                    <w:pStyle w:val="22"/>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17" w:type="dxa"/>
                  <w:vAlign w:val="center"/>
                </w:tcPr>
                <w:p>
                  <w:pPr>
                    <w:pStyle w:val="22"/>
                    <w:bidi w:val="0"/>
                    <w:rPr>
                      <w:rFonts w:hint="default"/>
                      <w:color w:val="auto"/>
                      <w:highlight w:val="none"/>
                      <w:lang w:val="en-US" w:eastAsia="zh-CN"/>
                    </w:rPr>
                  </w:pPr>
                  <w:r>
                    <w:rPr>
                      <w:rFonts w:hint="eastAsia"/>
                      <w:color w:val="auto"/>
                      <w:highlight w:val="none"/>
                      <w:lang w:val="en-US" w:eastAsia="zh-CN"/>
                    </w:rPr>
                    <w:t>7</w:t>
                  </w:r>
                </w:p>
              </w:tc>
              <w:tc>
                <w:tcPr>
                  <w:tcW w:w="1864" w:type="dxa"/>
                  <w:vAlign w:val="center"/>
                </w:tcPr>
                <w:p>
                  <w:pPr>
                    <w:pStyle w:val="22"/>
                    <w:bidi w:val="0"/>
                    <w:rPr>
                      <w:rFonts w:hint="default"/>
                      <w:color w:val="auto"/>
                      <w:highlight w:val="none"/>
                    </w:rPr>
                  </w:pPr>
                  <w:r>
                    <w:rPr>
                      <w:rFonts w:hint="default"/>
                      <w:color w:val="auto"/>
                      <w:highlight w:val="none"/>
                    </w:rPr>
                    <w:t>辽宁二道沟黄金矿业有限责任公司</w:t>
                  </w:r>
                  <w:r>
                    <w:rPr>
                      <w:rFonts w:hint="eastAsia"/>
                      <w:color w:val="auto"/>
                      <w:highlight w:val="none"/>
                      <w:lang w:eastAsia="zh-CN"/>
                    </w:rPr>
                    <w:t>平房</w:t>
                  </w:r>
                  <w:r>
                    <w:rPr>
                      <w:rFonts w:hint="default"/>
                      <w:color w:val="auto"/>
                      <w:highlight w:val="none"/>
                    </w:rPr>
                    <w:t>矿区采选技术改造工程项目环境现状评估报告</w:t>
                  </w:r>
                </w:p>
              </w:tc>
              <w:tc>
                <w:tcPr>
                  <w:tcW w:w="1553" w:type="dxa"/>
                  <w:vAlign w:val="center"/>
                </w:tcPr>
                <w:p>
                  <w:pPr>
                    <w:pStyle w:val="22"/>
                    <w:bidi w:val="0"/>
                    <w:rPr>
                      <w:rFonts w:hint="eastAsia"/>
                      <w:color w:val="auto"/>
                      <w:highlight w:val="none"/>
                      <w:lang w:eastAsia="zh-CN"/>
                    </w:rPr>
                  </w:pPr>
                  <w:r>
                    <w:rPr>
                      <w:rFonts w:hint="eastAsia"/>
                      <w:color w:val="auto"/>
                      <w:highlight w:val="none"/>
                      <w:lang w:eastAsia="zh-CN"/>
                    </w:rPr>
                    <w:t>关于辽宁二道沟黄金矿业有限责任公司平房矿区采选技术改造工程项目环境现状评估报告备案审查意见朝环备[2016]15号 2016.6.8</w:t>
                  </w:r>
                </w:p>
              </w:tc>
              <w:tc>
                <w:tcPr>
                  <w:tcW w:w="1481" w:type="dxa"/>
                  <w:vAlign w:val="center"/>
                </w:tcPr>
                <w:p>
                  <w:pPr>
                    <w:pStyle w:val="22"/>
                    <w:bidi w:val="0"/>
                    <w:rPr>
                      <w:rFonts w:hint="default"/>
                      <w:color w:val="auto"/>
                      <w:highlight w:val="none"/>
                      <w:lang w:val="en-US" w:eastAsia="zh-CN"/>
                    </w:rPr>
                  </w:pPr>
                  <w:r>
                    <w:rPr>
                      <w:rFonts w:hint="eastAsia"/>
                      <w:color w:val="auto"/>
                      <w:highlight w:val="none"/>
                      <w:lang w:val="en-US" w:eastAsia="zh-CN"/>
                    </w:rPr>
                    <w:t>/</w:t>
                  </w:r>
                </w:p>
              </w:tc>
              <w:tc>
                <w:tcPr>
                  <w:tcW w:w="1636" w:type="dxa"/>
                  <w:vAlign w:val="center"/>
                </w:tcPr>
                <w:p>
                  <w:pPr>
                    <w:pStyle w:val="22"/>
                    <w:bidi w:val="0"/>
                    <w:rPr>
                      <w:rFonts w:hint="default"/>
                      <w:color w:val="auto"/>
                      <w:highlight w:val="none"/>
                      <w:lang w:val="en-US" w:eastAsia="zh-CN"/>
                    </w:rPr>
                  </w:pPr>
                  <w:r>
                    <w:rPr>
                      <w:rFonts w:hint="eastAsia"/>
                      <w:color w:val="auto"/>
                      <w:highlight w:val="none"/>
                      <w:lang w:val="en-US" w:eastAsia="zh-CN"/>
                    </w:rPr>
                    <w:t>/</w:t>
                  </w:r>
                </w:p>
              </w:tc>
              <w:tc>
                <w:tcPr>
                  <w:tcW w:w="891" w:type="dxa"/>
                  <w:vAlign w:val="center"/>
                </w:tcPr>
                <w:p>
                  <w:pPr>
                    <w:pStyle w:val="22"/>
                    <w:bidi w:val="0"/>
                    <w:rPr>
                      <w:rFonts w:hint="eastAsia"/>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17" w:type="dxa"/>
                  <w:vAlign w:val="center"/>
                </w:tcPr>
                <w:p>
                  <w:pPr>
                    <w:pStyle w:val="22"/>
                    <w:bidi w:val="0"/>
                    <w:rPr>
                      <w:rFonts w:hint="default"/>
                      <w:color w:val="auto"/>
                      <w:highlight w:val="none"/>
                      <w:lang w:val="en-US" w:eastAsia="zh-CN"/>
                    </w:rPr>
                  </w:pPr>
                  <w:r>
                    <w:rPr>
                      <w:rFonts w:hint="eastAsia"/>
                      <w:color w:val="auto"/>
                      <w:highlight w:val="none"/>
                      <w:lang w:val="en-US" w:eastAsia="zh-CN"/>
                    </w:rPr>
                    <w:t>8</w:t>
                  </w:r>
                </w:p>
              </w:tc>
              <w:tc>
                <w:tcPr>
                  <w:tcW w:w="1864" w:type="dxa"/>
                  <w:vAlign w:val="center"/>
                </w:tcPr>
                <w:p>
                  <w:pPr>
                    <w:pStyle w:val="22"/>
                    <w:bidi w:val="0"/>
                    <w:rPr>
                      <w:rFonts w:hint="default"/>
                      <w:color w:val="auto"/>
                      <w:highlight w:val="none"/>
                    </w:rPr>
                  </w:pPr>
                  <w:r>
                    <w:rPr>
                      <w:rFonts w:hint="default"/>
                      <w:color w:val="auto"/>
                      <w:highlight w:val="none"/>
                    </w:rPr>
                    <w:t>辽宁二道沟黄金矿业有限责任公司正北沟采区竖井工程改造项目环境影响报告书</w:t>
                  </w:r>
                </w:p>
              </w:tc>
              <w:tc>
                <w:tcPr>
                  <w:tcW w:w="1553" w:type="dxa"/>
                  <w:vAlign w:val="center"/>
                </w:tcPr>
                <w:p>
                  <w:pPr>
                    <w:pStyle w:val="22"/>
                    <w:bidi w:val="0"/>
                    <w:rPr>
                      <w:rFonts w:hint="eastAsia"/>
                      <w:color w:val="auto"/>
                      <w:highlight w:val="none"/>
                      <w:lang w:eastAsia="zh-CN"/>
                    </w:rPr>
                  </w:pPr>
                  <w:r>
                    <w:rPr>
                      <w:rFonts w:hint="eastAsia"/>
                      <w:color w:val="auto"/>
                      <w:highlight w:val="none"/>
                      <w:lang w:eastAsia="zh-CN"/>
                    </w:rPr>
                    <w:t>关于辽宁二道沟黄金矿业有限责任公司正北沟采区竖井工程改造项目环境影响报告书的批复 北环审[2014]43号 2014.7.31</w:t>
                  </w:r>
                </w:p>
              </w:tc>
              <w:tc>
                <w:tcPr>
                  <w:tcW w:w="1481" w:type="dxa"/>
                  <w:vAlign w:val="center"/>
                </w:tcPr>
                <w:p>
                  <w:pPr>
                    <w:pStyle w:val="22"/>
                    <w:bidi w:val="0"/>
                    <w:rPr>
                      <w:rFonts w:hint="default"/>
                      <w:color w:val="auto"/>
                      <w:highlight w:val="none"/>
                    </w:rPr>
                  </w:pPr>
                  <w:r>
                    <w:rPr>
                      <w:rFonts w:hint="default"/>
                      <w:color w:val="auto"/>
                      <w:highlight w:val="none"/>
                    </w:rPr>
                    <w:t>辽宁二道沟黄金矿业有限责任公司正北沟采区竖井工程改造项目建设项目竣工环境保护验收调查报告</w:t>
                  </w:r>
                </w:p>
              </w:tc>
              <w:tc>
                <w:tcPr>
                  <w:tcW w:w="1636" w:type="dxa"/>
                  <w:vAlign w:val="center"/>
                </w:tcPr>
                <w:p>
                  <w:pPr>
                    <w:pStyle w:val="22"/>
                    <w:bidi w:val="0"/>
                    <w:rPr>
                      <w:rFonts w:hint="default"/>
                      <w:color w:val="auto"/>
                      <w:highlight w:val="none"/>
                      <w:lang w:val="en-US" w:eastAsia="zh-CN"/>
                    </w:rPr>
                  </w:pPr>
                  <w:r>
                    <w:rPr>
                      <w:rFonts w:hint="eastAsia"/>
                      <w:color w:val="auto"/>
                      <w:highlight w:val="none"/>
                      <w:lang w:val="en-US" w:eastAsia="zh-CN"/>
                    </w:rPr>
                    <w:t>/</w:t>
                  </w:r>
                </w:p>
              </w:tc>
              <w:tc>
                <w:tcPr>
                  <w:tcW w:w="891" w:type="dxa"/>
                  <w:vAlign w:val="center"/>
                </w:tcPr>
                <w:p>
                  <w:pPr>
                    <w:pStyle w:val="22"/>
                    <w:bidi w:val="0"/>
                    <w:rPr>
                      <w:rFonts w:hint="eastAsia"/>
                      <w:color w:val="auto"/>
                      <w:highlight w:val="none"/>
                      <w:lang w:eastAsia="zh-CN"/>
                    </w:rPr>
                  </w:pPr>
                  <w:r>
                    <w:rPr>
                      <w:rFonts w:hint="eastAsia"/>
                      <w:color w:val="auto"/>
                      <w:highlight w:val="none"/>
                      <w:lang w:eastAsia="zh-CN"/>
                    </w:rPr>
                    <w:t>自主验收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17" w:type="dxa"/>
                  <w:vAlign w:val="center"/>
                </w:tcPr>
                <w:p>
                  <w:pPr>
                    <w:pStyle w:val="22"/>
                    <w:bidi w:val="0"/>
                    <w:rPr>
                      <w:rFonts w:hint="default"/>
                      <w:color w:val="auto"/>
                      <w:highlight w:val="none"/>
                      <w:lang w:val="en-US" w:eastAsia="zh-CN"/>
                    </w:rPr>
                  </w:pPr>
                  <w:r>
                    <w:rPr>
                      <w:rFonts w:hint="eastAsia"/>
                      <w:color w:val="auto"/>
                      <w:highlight w:val="none"/>
                      <w:lang w:val="en-US" w:eastAsia="zh-CN"/>
                    </w:rPr>
                    <w:t>9</w:t>
                  </w:r>
                </w:p>
              </w:tc>
              <w:tc>
                <w:tcPr>
                  <w:tcW w:w="1864" w:type="dxa"/>
                  <w:vAlign w:val="center"/>
                </w:tcPr>
                <w:p>
                  <w:pPr>
                    <w:pStyle w:val="22"/>
                    <w:bidi w:val="0"/>
                    <w:rPr>
                      <w:rFonts w:hint="default"/>
                      <w:color w:val="auto"/>
                      <w:highlight w:val="none"/>
                    </w:rPr>
                  </w:pPr>
                  <w:r>
                    <w:rPr>
                      <w:rFonts w:hint="default"/>
                      <w:color w:val="auto"/>
                      <w:highlight w:val="none"/>
                    </w:rPr>
                    <w:t>辽宁二道沟黄金矿业有限责任公司二道沟金矿全尾砂胶结充填系统工程环境影响报告书</w:t>
                  </w:r>
                </w:p>
              </w:tc>
              <w:tc>
                <w:tcPr>
                  <w:tcW w:w="1553" w:type="dxa"/>
                  <w:vAlign w:val="center"/>
                </w:tcPr>
                <w:p>
                  <w:pPr>
                    <w:pStyle w:val="22"/>
                    <w:bidi w:val="0"/>
                    <w:rPr>
                      <w:rFonts w:hint="eastAsia"/>
                      <w:color w:val="auto"/>
                      <w:highlight w:val="none"/>
                      <w:lang w:eastAsia="zh-CN"/>
                    </w:rPr>
                  </w:pPr>
                  <w:r>
                    <w:rPr>
                      <w:rFonts w:hint="eastAsia"/>
                      <w:color w:val="auto"/>
                      <w:highlight w:val="none"/>
                      <w:lang w:eastAsia="zh-CN"/>
                    </w:rPr>
                    <w:t>关于辽宁二道沟黄金矿业有限责任公司二道沟金矿全尾砂胶结充填系统工程环境影响报告书的批复 北行审发[2020]49号 2020.6.10</w:t>
                  </w:r>
                </w:p>
              </w:tc>
              <w:tc>
                <w:tcPr>
                  <w:tcW w:w="1481" w:type="dxa"/>
                  <w:vAlign w:val="center"/>
                </w:tcPr>
                <w:p>
                  <w:pPr>
                    <w:pStyle w:val="22"/>
                    <w:bidi w:val="0"/>
                    <w:rPr>
                      <w:rFonts w:hint="eastAsia"/>
                      <w:color w:val="auto"/>
                      <w:highlight w:val="none"/>
                      <w:lang w:val="en-US" w:eastAsia="zh-CN"/>
                    </w:rPr>
                  </w:pPr>
                  <w:r>
                    <w:rPr>
                      <w:rFonts w:hint="default"/>
                      <w:color w:val="auto"/>
                      <w:highlight w:val="none"/>
                    </w:rPr>
                    <w:t>辽宁二道沟黄金矿业有限责任公司二道沟金矿全尾砂胶结充填系统工程竣工环境保护验收调查报告</w:t>
                  </w:r>
                </w:p>
              </w:tc>
              <w:tc>
                <w:tcPr>
                  <w:tcW w:w="1636" w:type="dxa"/>
                  <w:vAlign w:val="center"/>
                </w:tcPr>
                <w:p>
                  <w:pPr>
                    <w:pStyle w:val="22"/>
                    <w:bidi w:val="0"/>
                    <w:rPr>
                      <w:rFonts w:hint="default"/>
                      <w:color w:val="auto"/>
                      <w:highlight w:val="none"/>
                      <w:lang w:val="en-US" w:eastAsia="zh-CN"/>
                    </w:rPr>
                  </w:pPr>
                  <w:r>
                    <w:rPr>
                      <w:rFonts w:hint="eastAsia"/>
                      <w:color w:val="auto"/>
                      <w:highlight w:val="none"/>
                      <w:lang w:val="en-US" w:eastAsia="zh-CN"/>
                    </w:rPr>
                    <w:t>/</w:t>
                  </w:r>
                </w:p>
              </w:tc>
              <w:tc>
                <w:tcPr>
                  <w:tcW w:w="891" w:type="dxa"/>
                  <w:vAlign w:val="center"/>
                </w:tcPr>
                <w:p>
                  <w:pPr>
                    <w:pStyle w:val="22"/>
                    <w:bidi w:val="0"/>
                    <w:rPr>
                      <w:rFonts w:hint="default"/>
                      <w:color w:val="auto"/>
                      <w:highlight w:val="none"/>
                      <w:lang w:val="en-US" w:eastAsia="zh-CN"/>
                    </w:rPr>
                  </w:pPr>
                  <w:r>
                    <w:rPr>
                      <w:rFonts w:hint="eastAsia"/>
                      <w:color w:val="auto"/>
                      <w:highlight w:val="none"/>
                      <w:lang w:eastAsia="zh-CN"/>
                    </w:rPr>
                    <w:t>自主验收</w:t>
                  </w:r>
                </w:p>
              </w:tc>
            </w:tr>
          </w:tbl>
          <w:p>
            <w:pPr>
              <w:pStyle w:val="23"/>
              <w:numPr>
                <w:ilvl w:val="0"/>
                <w:numId w:val="2"/>
              </w:numPr>
              <w:tabs>
                <w:tab w:val="clear" w:pos="0"/>
                <w:tab w:val="clear" w:pos="420"/>
              </w:tabs>
              <w:ind w:left="0" w:leftChars="0" w:firstLine="0" w:firstLineChars="0"/>
              <w:rPr>
                <w:rFonts w:hint="default"/>
                <w:color w:val="auto"/>
                <w:highlight w:val="none"/>
              </w:rPr>
            </w:pPr>
            <w:r>
              <w:rPr>
                <w:color w:val="auto"/>
                <w:highlight w:val="none"/>
              </w:rPr>
              <w:t xml:space="preserve">   排污许可证情况</w:t>
            </w:r>
          </w:p>
          <w:tbl>
            <w:tblPr>
              <w:tblStyle w:val="16"/>
              <w:tblW w:w="814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6"/>
              <w:gridCol w:w="2265"/>
              <w:gridCol w:w="2081"/>
              <w:gridCol w:w="1515"/>
              <w:gridCol w:w="15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4" w:hRule="atLeast"/>
              </w:trPr>
              <w:tc>
                <w:tcPr>
                  <w:tcW w:w="766" w:type="dxa"/>
                  <w:tcBorders>
                    <w:tl2br w:val="nil"/>
                    <w:tr2bl w:val="nil"/>
                  </w:tcBorders>
                  <w:vAlign w:val="center"/>
                </w:tcPr>
                <w:p>
                  <w:pPr>
                    <w:pStyle w:val="25"/>
                    <w:bidi w:val="0"/>
                    <w:rPr>
                      <w:rFonts w:hint="default"/>
                      <w:color w:val="auto"/>
                      <w:highlight w:val="none"/>
                    </w:rPr>
                  </w:pPr>
                  <w:r>
                    <w:rPr>
                      <w:color w:val="auto"/>
                      <w:highlight w:val="none"/>
                    </w:rPr>
                    <w:t>序号</w:t>
                  </w:r>
                </w:p>
              </w:tc>
              <w:tc>
                <w:tcPr>
                  <w:tcW w:w="2265" w:type="dxa"/>
                  <w:tcBorders>
                    <w:tl2br w:val="nil"/>
                    <w:tr2bl w:val="nil"/>
                  </w:tcBorders>
                  <w:vAlign w:val="center"/>
                </w:tcPr>
                <w:p>
                  <w:pPr>
                    <w:pStyle w:val="25"/>
                    <w:bidi w:val="0"/>
                    <w:rPr>
                      <w:rFonts w:hint="default"/>
                      <w:color w:val="auto"/>
                      <w:highlight w:val="none"/>
                    </w:rPr>
                  </w:pPr>
                  <w:r>
                    <w:rPr>
                      <w:color w:val="auto"/>
                      <w:highlight w:val="none"/>
                    </w:rPr>
                    <w:t>公司名称</w:t>
                  </w:r>
                </w:p>
              </w:tc>
              <w:tc>
                <w:tcPr>
                  <w:tcW w:w="2081" w:type="dxa"/>
                  <w:tcBorders>
                    <w:tl2br w:val="nil"/>
                    <w:tr2bl w:val="nil"/>
                  </w:tcBorders>
                  <w:vAlign w:val="center"/>
                </w:tcPr>
                <w:p>
                  <w:pPr>
                    <w:pStyle w:val="25"/>
                    <w:bidi w:val="0"/>
                    <w:rPr>
                      <w:rFonts w:hint="default"/>
                      <w:color w:val="auto"/>
                      <w:highlight w:val="none"/>
                    </w:rPr>
                  </w:pPr>
                  <w:r>
                    <w:rPr>
                      <w:color w:val="auto"/>
                      <w:highlight w:val="none"/>
                    </w:rPr>
                    <w:t>有效期限</w:t>
                  </w:r>
                </w:p>
              </w:tc>
              <w:tc>
                <w:tcPr>
                  <w:tcW w:w="1515" w:type="dxa"/>
                  <w:tcBorders>
                    <w:tl2br w:val="nil"/>
                    <w:tr2bl w:val="nil"/>
                  </w:tcBorders>
                  <w:vAlign w:val="center"/>
                </w:tcPr>
                <w:p>
                  <w:pPr>
                    <w:pStyle w:val="25"/>
                    <w:bidi w:val="0"/>
                    <w:rPr>
                      <w:rFonts w:hint="default"/>
                      <w:color w:val="auto"/>
                      <w:highlight w:val="none"/>
                    </w:rPr>
                  </w:pPr>
                  <w:r>
                    <w:rPr>
                      <w:color w:val="auto"/>
                      <w:highlight w:val="none"/>
                    </w:rPr>
                    <w:t>行业类别</w:t>
                  </w:r>
                </w:p>
              </w:tc>
              <w:tc>
                <w:tcPr>
                  <w:tcW w:w="1515" w:type="dxa"/>
                  <w:tcBorders>
                    <w:tl2br w:val="nil"/>
                    <w:tr2bl w:val="nil"/>
                  </w:tcBorders>
                  <w:vAlign w:val="center"/>
                </w:tcPr>
                <w:p>
                  <w:pPr>
                    <w:pStyle w:val="25"/>
                    <w:bidi w:val="0"/>
                    <w:rPr>
                      <w:rFonts w:hint="eastAsia" w:eastAsiaTheme="minorEastAsia"/>
                      <w:color w:val="auto"/>
                      <w:highlight w:val="none"/>
                      <w:lang w:eastAsia="zh-CN"/>
                    </w:rPr>
                  </w:pPr>
                  <w:r>
                    <w:rPr>
                      <w:rFonts w:hint="eastAsia"/>
                      <w:color w:val="auto"/>
                      <w:highlight w:val="none"/>
                      <w:lang w:eastAsia="zh-CN"/>
                    </w:rPr>
                    <w:t>管理级别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trPr>
              <w:tc>
                <w:tcPr>
                  <w:tcW w:w="766" w:type="dxa"/>
                  <w:tcBorders>
                    <w:tl2br w:val="nil"/>
                    <w:tr2bl w:val="nil"/>
                  </w:tcBorders>
                  <w:vAlign w:val="center"/>
                </w:tcPr>
                <w:p>
                  <w:pPr>
                    <w:pStyle w:val="22"/>
                    <w:bidi w:val="0"/>
                    <w:rPr>
                      <w:rFonts w:hint="default" w:ascii="仿宋_GB2312" w:eastAsia="仿宋_GB2312"/>
                      <w:color w:val="auto"/>
                      <w:highlight w:val="none"/>
                    </w:rPr>
                  </w:pPr>
                  <w:r>
                    <w:rPr>
                      <w:color w:val="auto"/>
                      <w:highlight w:val="none"/>
                    </w:rPr>
                    <w:t>1</w:t>
                  </w:r>
                </w:p>
              </w:tc>
              <w:tc>
                <w:tcPr>
                  <w:tcW w:w="2265" w:type="dxa"/>
                  <w:tcBorders>
                    <w:tl2br w:val="nil"/>
                    <w:tr2bl w:val="nil"/>
                  </w:tcBorders>
                  <w:vAlign w:val="center"/>
                </w:tcPr>
                <w:p>
                  <w:pPr>
                    <w:pStyle w:val="22"/>
                    <w:bidi w:val="0"/>
                    <w:rPr>
                      <w:rFonts w:hint="default"/>
                      <w:color w:val="auto"/>
                      <w:highlight w:val="none"/>
                    </w:rPr>
                  </w:pPr>
                  <w:r>
                    <w:rPr>
                      <w:rFonts w:hint="default"/>
                      <w:color w:val="auto"/>
                      <w:highlight w:val="none"/>
                    </w:rPr>
                    <w:t>辽宁二道沟黄金矿业有限责任公司</w:t>
                  </w:r>
                </w:p>
              </w:tc>
              <w:tc>
                <w:tcPr>
                  <w:tcW w:w="2081"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2020-06-22至2025-06-21</w:t>
                  </w:r>
                </w:p>
              </w:tc>
              <w:tc>
                <w:tcPr>
                  <w:tcW w:w="1515" w:type="dxa"/>
                  <w:tcBorders>
                    <w:tl2br w:val="nil"/>
                    <w:tr2bl w:val="nil"/>
                  </w:tcBorders>
                  <w:vAlign w:val="center"/>
                </w:tcPr>
                <w:p>
                  <w:pPr>
                    <w:pStyle w:val="22"/>
                    <w:bidi w:val="0"/>
                    <w:rPr>
                      <w:rFonts w:hint="eastAsia" w:eastAsiaTheme="minorEastAsia"/>
                      <w:color w:val="auto"/>
                      <w:highlight w:val="none"/>
                      <w:lang w:eastAsia="zh-CN"/>
                    </w:rPr>
                  </w:pPr>
                  <w:r>
                    <w:rPr>
                      <w:rFonts w:hint="eastAsia"/>
                      <w:color w:val="auto"/>
                      <w:highlight w:val="none"/>
                      <w:lang w:eastAsia="zh-CN"/>
                    </w:rPr>
                    <w:t>金矿采选</w:t>
                  </w:r>
                </w:p>
              </w:tc>
              <w:tc>
                <w:tcPr>
                  <w:tcW w:w="1515" w:type="dxa"/>
                  <w:tcBorders>
                    <w:tl2br w:val="nil"/>
                    <w:tr2bl w:val="nil"/>
                  </w:tcBorders>
                  <w:vAlign w:val="center"/>
                </w:tcPr>
                <w:p>
                  <w:pPr>
                    <w:pStyle w:val="22"/>
                    <w:bidi w:val="0"/>
                    <w:rPr>
                      <w:rFonts w:hint="eastAsia" w:eastAsiaTheme="minorEastAsia"/>
                      <w:color w:val="auto"/>
                      <w:highlight w:val="none"/>
                      <w:lang w:eastAsia="zh-CN"/>
                    </w:rPr>
                  </w:pPr>
                  <w:r>
                    <w:rPr>
                      <w:rFonts w:hint="eastAsia"/>
                      <w:color w:val="auto"/>
                      <w:highlight w:val="none"/>
                      <w:lang w:eastAsia="zh-CN"/>
                    </w:rPr>
                    <w:t>登记管理</w:t>
                  </w:r>
                </w:p>
              </w:tc>
            </w:tr>
          </w:tbl>
          <w:p>
            <w:pPr>
              <w:pStyle w:val="12"/>
              <w:ind w:firstLine="480"/>
              <w:rPr>
                <w:rFonts w:hint="eastAsia"/>
                <w:color w:val="auto"/>
                <w:highlight w:val="none"/>
                <w:lang w:val="en-US" w:eastAsia="zh-CN"/>
              </w:rPr>
            </w:pPr>
            <w:r>
              <w:rPr>
                <w:rFonts w:hint="eastAsia"/>
                <w:color w:val="auto"/>
                <w:highlight w:val="none"/>
                <w:lang w:val="en-US" w:eastAsia="zh-CN"/>
              </w:rPr>
              <w:t>2.现有危险废物收集贮存转运情况</w:t>
            </w:r>
          </w:p>
          <w:p>
            <w:pPr>
              <w:pStyle w:val="23"/>
              <w:numPr>
                <w:ilvl w:val="0"/>
                <w:numId w:val="2"/>
              </w:numPr>
              <w:tabs>
                <w:tab w:val="clear" w:pos="0"/>
                <w:tab w:val="clear" w:pos="420"/>
              </w:tabs>
              <w:ind w:left="0" w:leftChars="0" w:firstLine="0" w:firstLineChars="0"/>
              <w:rPr>
                <w:rFonts w:hint="default" w:eastAsia="宋体"/>
                <w:color w:val="auto"/>
                <w:highlight w:val="none"/>
                <w:lang w:val="en-US" w:eastAsia="zh-CN"/>
              </w:rPr>
            </w:pPr>
            <w:r>
              <w:rPr>
                <w:rFonts w:hint="eastAsia"/>
                <w:color w:val="auto"/>
                <w:highlight w:val="none"/>
                <w:lang w:val="en-US" w:eastAsia="zh-CN"/>
              </w:rPr>
              <w:t xml:space="preserve">   现有危险废物收集贮存转运情况</w:t>
            </w:r>
          </w:p>
          <w:tbl>
            <w:tblPr>
              <w:tblStyle w:val="16"/>
              <w:tblW w:w="814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572"/>
              <w:gridCol w:w="1919"/>
              <w:gridCol w:w="1460"/>
              <w:gridCol w:w="2126"/>
              <w:gridCol w:w="106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53" w:hRule="atLeast"/>
                <w:tblHeader/>
                <w:jc w:val="center"/>
              </w:trPr>
              <w:tc>
                <w:tcPr>
                  <w:tcW w:w="1572"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贮存危险废物类别</w:t>
                  </w:r>
                </w:p>
              </w:tc>
              <w:tc>
                <w:tcPr>
                  <w:tcW w:w="1919"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贮存危险废物堆放方式</w:t>
                  </w:r>
                </w:p>
              </w:tc>
              <w:tc>
                <w:tcPr>
                  <w:tcW w:w="1460"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是否转移</w:t>
                  </w:r>
                </w:p>
              </w:tc>
              <w:tc>
                <w:tcPr>
                  <w:tcW w:w="2126"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是否留存转移联单</w:t>
                  </w:r>
                </w:p>
              </w:tc>
              <w:tc>
                <w:tcPr>
                  <w:tcW w:w="1065"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22" w:hRule="atLeast"/>
                <w:jc w:val="center"/>
              </w:trPr>
              <w:tc>
                <w:tcPr>
                  <w:tcW w:w="1572"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废润滑油</w:t>
                  </w:r>
                </w:p>
              </w:tc>
              <w:tc>
                <w:tcPr>
                  <w:tcW w:w="1919"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油桶</w:t>
                  </w:r>
                </w:p>
              </w:tc>
              <w:tc>
                <w:tcPr>
                  <w:tcW w:w="1460"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是</w:t>
                  </w:r>
                </w:p>
              </w:tc>
              <w:tc>
                <w:tcPr>
                  <w:tcW w:w="2126"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是</w:t>
                  </w:r>
                </w:p>
              </w:tc>
              <w:tc>
                <w:tcPr>
                  <w:tcW w:w="1065"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22" w:hRule="atLeast"/>
                <w:jc w:val="center"/>
              </w:trPr>
              <w:tc>
                <w:tcPr>
                  <w:tcW w:w="1572"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废油桶</w:t>
                  </w:r>
                </w:p>
              </w:tc>
              <w:tc>
                <w:tcPr>
                  <w:tcW w:w="1919"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托盘</w:t>
                  </w:r>
                </w:p>
              </w:tc>
              <w:tc>
                <w:tcPr>
                  <w:tcW w:w="1460"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是</w:t>
                  </w:r>
                </w:p>
              </w:tc>
              <w:tc>
                <w:tcPr>
                  <w:tcW w:w="2126"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是</w:t>
                  </w:r>
                </w:p>
              </w:tc>
              <w:tc>
                <w:tcPr>
                  <w:tcW w:w="1065"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572"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废铅蓄电池</w:t>
                  </w:r>
                </w:p>
              </w:tc>
              <w:tc>
                <w:tcPr>
                  <w:tcW w:w="1919"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托盘</w:t>
                  </w:r>
                </w:p>
              </w:tc>
              <w:tc>
                <w:tcPr>
                  <w:tcW w:w="1460"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否</w:t>
                  </w:r>
                </w:p>
              </w:tc>
              <w:tc>
                <w:tcPr>
                  <w:tcW w:w="2126"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val="en-US" w:eastAsia="zh-CN"/>
                    </w:rPr>
                    <w:t>/</w:t>
                  </w:r>
                </w:p>
              </w:tc>
              <w:tc>
                <w:tcPr>
                  <w:tcW w:w="1065"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暂未产生</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1572"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废油漆桶</w:t>
                  </w:r>
                </w:p>
              </w:tc>
              <w:tc>
                <w:tcPr>
                  <w:tcW w:w="1919"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托盘</w:t>
                  </w:r>
                </w:p>
              </w:tc>
              <w:tc>
                <w:tcPr>
                  <w:tcW w:w="1460" w:type="dxa"/>
                  <w:tcBorders>
                    <w:tl2br w:val="nil"/>
                    <w:tr2bl w:val="nil"/>
                  </w:tcBorders>
                  <w:vAlign w:val="center"/>
                </w:tcPr>
                <w:p>
                  <w:pPr>
                    <w:pStyle w:val="22"/>
                    <w:bidi w:val="0"/>
                    <w:rPr>
                      <w:rFonts w:hint="eastAsia"/>
                      <w:color w:val="auto"/>
                      <w:highlight w:val="none"/>
                      <w:lang w:eastAsia="zh-CN"/>
                    </w:rPr>
                  </w:pPr>
                  <w:r>
                    <w:rPr>
                      <w:rFonts w:hint="eastAsia"/>
                      <w:color w:val="auto"/>
                      <w:highlight w:val="none"/>
                      <w:lang w:eastAsia="zh-CN"/>
                    </w:rPr>
                    <w:t>否</w:t>
                  </w:r>
                </w:p>
              </w:tc>
              <w:tc>
                <w:tcPr>
                  <w:tcW w:w="2126"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w:t>
                  </w:r>
                </w:p>
              </w:tc>
              <w:tc>
                <w:tcPr>
                  <w:tcW w:w="1065"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暂未产生</w:t>
                  </w:r>
                </w:p>
              </w:tc>
            </w:tr>
          </w:tbl>
          <w:p>
            <w:pPr>
              <w:pStyle w:val="12"/>
              <w:ind w:firstLine="480"/>
              <w:rPr>
                <w:rFonts w:hint="eastAsia"/>
                <w:color w:val="auto"/>
                <w:highlight w:val="none"/>
                <w:lang w:val="en-US" w:eastAsia="zh-CN"/>
              </w:rPr>
            </w:pPr>
            <w:r>
              <w:rPr>
                <w:rFonts w:hint="eastAsia"/>
                <w:color w:val="auto"/>
                <w:highlight w:val="none"/>
                <w:lang w:val="en-US" w:eastAsia="zh-CN"/>
              </w:rPr>
              <w:t>3.现有工程污染物排放量汇总</w:t>
            </w:r>
          </w:p>
          <w:p>
            <w:pPr>
              <w:pStyle w:val="23"/>
              <w:numPr>
                <w:ilvl w:val="0"/>
                <w:numId w:val="2"/>
              </w:numPr>
              <w:tabs>
                <w:tab w:val="clear" w:pos="0"/>
                <w:tab w:val="clear" w:pos="420"/>
              </w:tabs>
              <w:ind w:left="0" w:leftChars="0" w:firstLine="0" w:firstLineChars="0"/>
              <w:rPr>
                <w:rFonts w:hint="default" w:eastAsia="宋体"/>
                <w:color w:val="auto"/>
                <w:highlight w:val="none"/>
                <w:lang w:val="en-US" w:eastAsia="zh-CN"/>
              </w:rPr>
            </w:pPr>
            <w:r>
              <w:rPr>
                <w:rFonts w:hint="eastAsia"/>
                <w:color w:val="auto"/>
                <w:highlight w:val="none"/>
                <w:lang w:val="en-US" w:eastAsia="zh-CN"/>
              </w:rPr>
              <w:t xml:space="preserve">   现有工程污染物排放量统计表</w:t>
            </w:r>
          </w:p>
          <w:tbl>
            <w:tblPr>
              <w:tblStyle w:val="16"/>
              <w:tblW w:w="814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853"/>
              <w:gridCol w:w="3013"/>
              <w:gridCol w:w="327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52" w:hRule="atLeast"/>
                <w:tblHeader/>
                <w:jc w:val="center"/>
              </w:trPr>
              <w:tc>
                <w:tcPr>
                  <w:tcW w:w="1853"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类别</w:t>
                  </w:r>
                </w:p>
              </w:tc>
              <w:tc>
                <w:tcPr>
                  <w:tcW w:w="3013"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污染物</w:t>
                  </w:r>
                </w:p>
              </w:tc>
              <w:tc>
                <w:tcPr>
                  <w:tcW w:w="3276" w:type="dxa"/>
                  <w:tcBorders>
                    <w:tl2br w:val="nil"/>
                    <w:tr2bl w:val="nil"/>
                  </w:tcBorders>
                  <w:vAlign w:val="center"/>
                </w:tcPr>
                <w:p>
                  <w:pPr>
                    <w:pStyle w:val="25"/>
                    <w:bidi w:val="0"/>
                    <w:rPr>
                      <w:rFonts w:hint="default"/>
                      <w:color w:val="auto"/>
                      <w:highlight w:val="none"/>
                      <w:lang w:val="en-US" w:eastAsia="zh-CN"/>
                    </w:rPr>
                  </w:pPr>
                  <w:r>
                    <w:rPr>
                      <w:rFonts w:hint="eastAsia"/>
                      <w:color w:val="auto"/>
                      <w:highlight w:val="none"/>
                      <w:lang w:eastAsia="zh-CN"/>
                    </w:rPr>
                    <w:t>现有工程排放量</w:t>
                  </w:r>
                  <w:r>
                    <w:rPr>
                      <w:rFonts w:hint="eastAsia"/>
                      <w:color w:val="auto"/>
                      <w:highlight w:val="none"/>
                      <w:lang w:val="en-US" w:eastAsia="zh-CN"/>
                    </w:rPr>
                    <w:t>t/a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tblHeader/>
                <w:jc w:val="center"/>
              </w:trPr>
              <w:tc>
                <w:tcPr>
                  <w:tcW w:w="1853" w:type="dxa"/>
                  <w:vMerge w:val="restart"/>
                  <w:tcBorders>
                    <w:tl2br w:val="nil"/>
                    <w:tr2bl w:val="nil"/>
                  </w:tcBorders>
                  <w:vAlign w:val="center"/>
                </w:tcPr>
                <w:p>
                  <w:pPr>
                    <w:pStyle w:val="22"/>
                    <w:bidi w:val="0"/>
                    <w:rPr>
                      <w:rFonts w:hint="eastAsia" w:cs="Times New Roman"/>
                      <w:color w:val="auto"/>
                      <w:highlight w:val="none"/>
                      <w:lang w:eastAsia="zh-CN"/>
                    </w:rPr>
                  </w:pPr>
                  <w:r>
                    <w:rPr>
                      <w:rFonts w:hint="eastAsia" w:cs="Times New Roman"/>
                      <w:color w:val="auto"/>
                      <w:highlight w:val="none"/>
                      <w:lang w:eastAsia="zh-CN"/>
                    </w:rPr>
                    <w:t>废气</w:t>
                  </w:r>
                </w:p>
              </w:tc>
              <w:tc>
                <w:tcPr>
                  <w:tcW w:w="3013" w:type="dxa"/>
                  <w:tcBorders>
                    <w:tl2br w:val="nil"/>
                    <w:tr2bl w:val="nil"/>
                  </w:tcBorders>
                  <w:shd w:val="clear" w:color="auto" w:fill="auto"/>
                  <w:vAlign w:val="center"/>
                </w:tcPr>
                <w:p>
                  <w:pPr>
                    <w:pStyle w:val="22"/>
                    <w:bidi w:val="0"/>
                    <w:rPr>
                      <w:rFonts w:hint="eastAsia" w:cs="Times New Roman"/>
                      <w:color w:val="auto"/>
                      <w:highlight w:val="none"/>
                      <w:lang w:eastAsia="zh-CN"/>
                    </w:rPr>
                  </w:pPr>
                  <w:r>
                    <w:rPr>
                      <w:rFonts w:hint="eastAsia" w:cs="Times New Roman"/>
                      <w:color w:val="auto"/>
                      <w:highlight w:val="none"/>
                      <w:lang w:eastAsia="zh-CN"/>
                    </w:rPr>
                    <w:t>颗粒物</w:t>
                  </w:r>
                </w:p>
              </w:tc>
              <w:tc>
                <w:tcPr>
                  <w:tcW w:w="3276" w:type="dxa"/>
                  <w:tcBorders>
                    <w:tl2br w:val="nil"/>
                    <w:tr2bl w:val="nil"/>
                  </w:tcBorders>
                  <w:shd w:val="clear" w:color="auto" w:fill="auto"/>
                  <w:vAlign w:val="center"/>
                </w:tcPr>
                <w:p>
                  <w:pPr>
                    <w:pStyle w:val="22"/>
                    <w:bidi w:val="0"/>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42.914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tblHeader/>
                <w:jc w:val="center"/>
              </w:trPr>
              <w:tc>
                <w:tcPr>
                  <w:tcW w:w="1853" w:type="dxa"/>
                  <w:vMerge w:val="continue"/>
                  <w:tcBorders>
                    <w:tl2br w:val="nil"/>
                    <w:tr2bl w:val="nil"/>
                  </w:tcBorders>
                  <w:vAlign w:val="center"/>
                </w:tcPr>
                <w:p>
                  <w:pPr>
                    <w:pStyle w:val="22"/>
                    <w:bidi w:val="0"/>
                    <w:rPr>
                      <w:rFonts w:hint="eastAsia" w:cs="Times New Roman"/>
                      <w:color w:val="auto"/>
                      <w:highlight w:val="none"/>
                      <w:lang w:eastAsia="zh-CN"/>
                    </w:rPr>
                  </w:pPr>
                </w:p>
              </w:tc>
              <w:tc>
                <w:tcPr>
                  <w:tcW w:w="3013" w:type="dxa"/>
                  <w:tcBorders>
                    <w:tl2br w:val="nil"/>
                    <w:tr2bl w:val="nil"/>
                  </w:tcBorders>
                  <w:shd w:val="clear" w:color="auto" w:fill="auto"/>
                  <w:vAlign w:val="center"/>
                </w:tcPr>
                <w:p>
                  <w:pPr>
                    <w:pStyle w:val="22"/>
                    <w:bidi w:val="0"/>
                    <w:rPr>
                      <w:rFonts w:hint="default" w:cs="Times New Roman"/>
                      <w:color w:val="auto"/>
                      <w:highlight w:val="none"/>
                      <w:lang w:val="en-US" w:eastAsia="zh-CN"/>
                    </w:rPr>
                  </w:pPr>
                  <w:r>
                    <w:rPr>
                      <w:rFonts w:hint="eastAsia" w:cs="Times New Roman"/>
                      <w:color w:val="auto"/>
                      <w:highlight w:val="none"/>
                      <w:lang w:val="en-US" w:eastAsia="zh-CN"/>
                    </w:rPr>
                    <w:t>VOCs</w:t>
                  </w:r>
                </w:p>
              </w:tc>
              <w:tc>
                <w:tcPr>
                  <w:tcW w:w="3276" w:type="dxa"/>
                  <w:tcBorders>
                    <w:tl2br w:val="nil"/>
                    <w:tr2bl w:val="nil"/>
                  </w:tcBorders>
                  <w:shd w:val="clear" w:color="auto" w:fill="auto"/>
                  <w:vAlign w:val="center"/>
                </w:tcPr>
                <w:p>
                  <w:pPr>
                    <w:pStyle w:val="22"/>
                    <w:bidi w:val="0"/>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0.00696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tblHeader/>
                <w:jc w:val="center"/>
              </w:trPr>
              <w:tc>
                <w:tcPr>
                  <w:tcW w:w="1853" w:type="dxa"/>
                  <w:tcBorders>
                    <w:tl2br w:val="nil"/>
                    <w:tr2bl w:val="nil"/>
                  </w:tcBorders>
                  <w:vAlign w:val="center"/>
                </w:tcPr>
                <w:p>
                  <w:pPr>
                    <w:pStyle w:val="22"/>
                    <w:bidi w:val="0"/>
                    <w:jc w:val="center"/>
                    <w:rPr>
                      <w:rFonts w:hint="default" w:cs="Times New Roman"/>
                      <w:color w:val="auto"/>
                      <w:highlight w:val="none"/>
                      <w:lang w:val="en-US" w:eastAsia="zh-CN"/>
                    </w:rPr>
                  </w:pPr>
                  <w:r>
                    <w:rPr>
                      <w:rFonts w:hint="eastAsia" w:cs="Times New Roman"/>
                      <w:color w:val="auto"/>
                      <w:highlight w:val="none"/>
                      <w:lang w:val="en-US" w:eastAsia="zh-CN"/>
                    </w:rPr>
                    <w:t>废水</w:t>
                  </w:r>
                </w:p>
              </w:tc>
              <w:tc>
                <w:tcPr>
                  <w:tcW w:w="3013" w:type="dxa"/>
                  <w:tcBorders>
                    <w:tl2br w:val="nil"/>
                    <w:tr2bl w:val="nil"/>
                  </w:tcBorders>
                  <w:shd w:val="clear" w:color="auto" w:fill="auto"/>
                  <w:vAlign w:val="center"/>
                </w:tcPr>
                <w:p>
                  <w:pPr>
                    <w:pStyle w:val="22"/>
                    <w:bidi w:val="0"/>
                    <w:rPr>
                      <w:rFonts w:hint="default" w:cs="Times New Roman"/>
                      <w:color w:val="auto"/>
                      <w:highlight w:val="none"/>
                      <w:lang w:val="en-US" w:eastAsia="zh-CN"/>
                    </w:rPr>
                  </w:pPr>
                  <w:r>
                    <w:rPr>
                      <w:rFonts w:hint="eastAsia" w:cs="Times New Roman"/>
                      <w:color w:val="auto"/>
                      <w:highlight w:val="none"/>
                      <w:lang w:val="en-US" w:eastAsia="zh-CN"/>
                    </w:rPr>
                    <w:t>COD</w:t>
                  </w:r>
                </w:p>
              </w:tc>
              <w:tc>
                <w:tcPr>
                  <w:tcW w:w="3276" w:type="dxa"/>
                  <w:tcBorders>
                    <w:tl2br w:val="nil"/>
                    <w:tr2bl w:val="nil"/>
                  </w:tcBorders>
                  <w:shd w:val="clear" w:color="auto" w:fill="auto"/>
                  <w:vAlign w:val="center"/>
                </w:tcPr>
                <w:p>
                  <w:pPr>
                    <w:pStyle w:val="22"/>
                    <w:bidi w:val="0"/>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13.0023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tblHeader/>
                <w:jc w:val="center"/>
              </w:trPr>
              <w:tc>
                <w:tcPr>
                  <w:tcW w:w="1853" w:type="dxa"/>
                  <w:vMerge w:val="restart"/>
                  <w:tcBorders>
                    <w:tl2br w:val="nil"/>
                    <w:tr2bl w:val="nil"/>
                  </w:tcBorders>
                  <w:vAlign w:val="center"/>
                </w:tcPr>
                <w:p>
                  <w:pPr>
                    <w:pStyle w:val="22"/>
                    <w:bidi w:val="0"/>
                    <w:rPr>
                      <w:rFonts w:hint="eastAsia" w:cs="Times New Roman"/>
                      <w:color w:val="auto"/>
                      <w:highlight w:val="none"/>
                      <w:lang w:eastAsia="zh-CN"/>
                    </w:rPr>
                  </w:pPr>
                  <w:r>
                    <w:rPr>
                      <w:rFonts w:hint="eastAsia" w:cs="Times New Roman"/>
                      <w:color w:val="auto"/>
                      <w:highlight w:val="none"/>
                      <w:lang w:eastAsia="zh-CN"/>
                    </w:rPr>
                    <w:t>固体废物</w:t>
                  </w:r>
                </w:p>
              </w:tc>
              <w:tc>
                <w:tcPr>
                  <w:tcW w:w="3013" w:type="dxa"/>
                  <w:tcBorders>
                    <w:tl2br w:val="nil"/>
                    <w:tr2bl w:val="nil"/>
                  </w:tcBorders>
                  <w:shd w:val="clear" w:color="auto" w:fill="auto"/>
                  <w:vAlign w:val="center"/>
                </w:tcPr>
                <w:p>
                  <w:pPr>
                    <w:pStyle w:val="22"/>
                    <w:bidi w:val="0"/>
                    <w:rPr>
                      <w:rFonts w:hint="default" w:cs="Times New Roman"/>
                      <w:color w:val="auto"/>
                      <w:highlight w:val="none"/>
                      <w:lang w:val="en-US" w:eastAsia="zh-CN"/>
                    </w:rPr>
                  </w:pPr>
                  <w:r>
                    <w:rPr>
                      <w:rFonts w:hint="eastAsia" w:cs="Times New Roman"/>
                      <w:color w:val="auto"/>
                      <w:highlight w:val="none"/>
                      <w:lang w:val="en-US" w:eastAsia="zh-CN"/>
                    </w:rPr>
                    <w:t>尾矿</w:t>
                  </w:r>
                </w:p>
              </w:tc>
              <w:tc>
                <w:tcPr>
                  <w:tcW w:w="3276" w:type="dxa"/>
                  <w:tcBorders>
                    <w:tl2br w:val="nil"/>
                    <w:tr2bl w:val="nil"/>
                  </w:tcBorders>
                  <w:shd w:val="clear" w:color="auto" w:fill="auto"/>
                  <w:vAlign w:val="center"/>
                </w:tcPr>
                <w:p>
                  <w:pPr>
                    <w:pStyle w:val="22"/>
                    <w:bidi w:val="0"/>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20.5833万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tblHeader/>
                <w:jc w:val="center"/>
              </w:trPr>
              <w:tc>
                <w:tcPr>
                  <w:tcW w:w="1853" w:type="dxa"/>
                  <w:vMerge w:val="continue"/>
                  <w:tcBorders>
                    <w:tl2br w:val="nil"/>
                    <w:tr2bl w:val="nil"/>
                  </w:tcBorders>
                  <w:vAlign w:val="center"/>
                </w:tcPr>
                <w:p>
                  <w:pPr>
                    <w:pStyle w:val="22"/>
                    <w:bidi w:val="0"/>
                    <w:rPr>
                      <w:rFonts w:hint="eastAsia" w:cs="Times New Roman"/>
                      <w:color w:val="auto"/>
                      <w:highlight w:val="none"/>
                      <w:lang w:eastAsia="zh-CN"/>
                    </w:rPr>
                  </w:pPr>
                </w:p>
              </w:tc>
              <w:tc>
                <w:tcPr>
                  <w:tcW w:w="3013" w:type="dxa"/>
                  <w:tcBorders>
                    <w:tl2br w:val="nil"/>
                    <w:tr2bl w:val="nil"/>
                  </w:tcBorders>
                  <w:shd w:val="clear" w:color="auto" w:fill="auto"/>
                  <w:vAlign w:val="center"/>
                </w:tcPr>
                <w:p>
                  <w:pPr>
                    <w:pStyle w:val="22"/>
                    <w:bidi w:val="0"/>
                    <w:rPr>
                      <w:rFonts w:hint="eastAsia" w:cs="Times New Roman"/>
                      <w:color w:val="auto"/>
                      <w:highlight w:val="none"/>
                      <w:lang w:eastAsia="zh-CN"/>
                    </w:rPr>
                  </w:pPr>
                  <w:r>
                    <w:rPr>
                      <w:rFonts w:hint="eastAsia" w:cs="Times New Roman"/>
                      <w:color w:val="auto"/>
                      <w:highlight w:val="none"/>
                      <w:lang w:eastAsia="zh-CN"/>
                    </w:rPr>
                    <w:t>废石</w:t>
                  </w:r>
                </w:p>
              </w:tc>
              <w:tc>
                <w:tcPr>
                  <w:tcW w:w="3276" w:type="dxa"/>
                  <w:tcBorders>
                    <w:tl2br w:val="nil"/>
                    <w:tr2bl w:val="nil"/>
                  </w:tcBorders>
                  <w:shd w:val="clear" w:color="auto" w:fill="auto"/>
                  <w:vAlign w:val="center"/>
                </w:tcPr>
                <w:p>
                  <w:pPr>
                    <w:pStyle w:val="22"/>
                    <w:bidi w:val="0"/>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6.2万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tblHeader/>
                <w:jc w:val="center"/>
              </w:trPr>
              <w:tc>
                <w:tcPr>
                  <w:tcW w:w="1853" w:type="dxa"/>
                  <w:vMerge w:val="continue"/>
                  <w:tcBorders>
                    <w:tl2br w:val="nil"/>
                    <w:tr2bl w:val="nil"/>
                  </w:tcBorders>
                  <w:vAlign w:val="center"/>
                </w:tcPr>
                <w:p>
                  <w:pPr>
                    <w:pStyle w:val="22"/>
                    <w:bidi w:val="0"/>
                    <w:rPr>
                      <w:rFonts w:hint="eastAsia" w:ascii="Times New Roman" w:hAnsi="Times New Roman" w:cs="Times New Roman"/>
                      <w:color w:val="auto"/>
                      <w:highlight w:val="none"/>
                      <w:lang w:eastAsia="zh-CN"/>
                    </w:rPr>
                  </w:pPr>
                </w:p>
              </w:tc>
              <w:tc>
                <w:tcPr>
                  <w:tcW w:w="3013" w:type="dxa"/>
                  <w:tcBorders>
                    <w:tl2br w:val="nil"/>
                    <w:tr2bl w:val="nil"/>
                  </w:tcBorders>
                  <w:shd w:val="clear" w:color="auto" w:fill="auto"/>
                  <w:vAlign w:val="center"/>
                </w:tcPr>
                <w:p>
                  <w:pPr>
                    <w:pStyle w:val="22"/>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废润滑油</w:t>
                  </w:r>
                </w:p>
              </w:tc>
              <w:tc>
                <w:tcPr>
                  <w:tcW w:w="3276" w:type="dxa"/>
                  <w:tcBorders>
                    <w:tl2br w:val="nil"/>
                    <w:tr2bl w:val="nil"/>
                  </w:tcBorders>
                  <w:shd w:val="clear" w:color="auto" w:fill="auto"/>
                  <w:vAlign w:val="center"/>
                </w:tcPr>
                <w:p>
                  <w:pPr>
                    <w:pStyle w:val="22"/>
                    <w:bidi w:val="0"/>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1.81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24" w:hRule="atLeast"/>
                <w:tblHeader/>
                <w:jc w:val="center"/>
              </w:trPr>
              <w:tc>
                <w:tcPr>
                  <w:tcW w:w="1853" w:type="dxa"/>
                  <w:vMerge w:val="continue"/>
                  <w:tcBorders>
                    <w:tl2br w:val="nil"/>
                    <w:tr2bl w:val="nil"/>
                  </w:tcBorders>
                  <w:vAlign w:val="center"/>
                </w:tcPr>
                <w:p>
                  <w:pPr>
                    <w:pStyle w:val="22"/>
                    <w:bidi w:val="0"/>
                    <w:rPr>
                      <w:rFonts w:hint="eastAsia" w:ascii="Times New Roman" w:hAnsi="Times New Roman" w:cs="Times New Roman"/>
                      <w:color w:val="auto"/>
                      <w:highlight w:val="none"/>
                      <w:lang w:eastAsia="zh-CN"/>
                    </w:rPr>
                  </w:pPr>
                </w:p>
              </w:tc>
              <w:tc>
                <w:tcPr>
                  <w:tcW w:w="3013" w:type="dxa"/>
                  <w:tcBorders>
                    <w:tl2br w:val="nil"/>
                    <w:tr2bl w:val="nil"/>
                  </w:tcBorders>
                  <w:shd w:val="clear" w:color="auto" w:fill="auto"/>
                  <w:vAlign w:val="center"/>
                </w:tcPr>
                <w:p>
                  <w:pPr>
                    <w:pStyle w:val="22"/>
                    <w:bidi w:val="0"/>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废油桶</w:t>
                  </w:r>
                </w:p>
              </w:tc>
              <w:tc>
                <w:tcPr>
                  <w:tcW w:w="3276" w:type="dxa"/>
                  <w:tcBorders>
                    <w:tl2br w:val="nil"/>
                    <w:tr2bl w:val="nil"/>
                  </w:tcBorders>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1.29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24" w:hRule="atLeast"/>
                <w:tblHeader/>
                <w:jc w:val="center"/>
              </w:trPr>
              <w:tc>
                <w:tcPr>
                  <w:tcW w:w="1853" w:type="dxa"/>
                  <w:vMerge w:val="continue"/>
                  <w:tcBorders>
                    <w:tl2br w:val="nil"/>
                    <w:tr2bl w:val="nil"/>
                  </w:tcBorders>
                  <w:vAlign w:val="center"/>
                </w:tcPr>
                <w:p>
                  <w:pPr>
                    <w:pStyle w:val="22"/>
                    <w:bidi w:val="0"/>
                    <w:rPr>
                      <w:rFonts w:hint="eastAsia" w:ascii="Times New Roman" w:hAnsi="Times New Roman" w:cs="Times New Roman"/>
                      <w:color w:val="auto"/>
                      <w:highlight w:val="none"/>
                      <w:lang w:eastAsia="zh-CN"/>
                    </w:rPr>
                  </w:pPr>
                </w:p>
              </w:tc>
              <w:tc>
                <w:tcPr>
                  <w:tcW w:w="3013" w:type="dxa"/>
                  <w:tcBorders>
                    <w:tl2br w:val="nil"/>
                    <w:tr2bl w:val="nil"/>
                  </w:tcBorders>
                  <w:shd w:val="clear" w:color="auto" w:fill="auto"/>
                  <w:vAlign w:val="center"/>
                </w:tcPr>
                <w:p>
                  <w:pPr>
                    <w:pStyle w:val="22"/>
                    <w:bidi w:val="0"/>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废铅蓄电池</w:t>
                  </w:r>
                </w:p>
              </w:tc>
              <w:tc>
                <w:tcPr>
                  <w:tcW w:w="3276" w:type="dxa"/>
                  <w:tcBorders>
                    <w:tl2br w:val="nil"/>
                    <w:tr2bl w:val="nil"/>
                  </w:tcBorders>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5.72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24" w:hRule="atLeast"/>
                <w:tblHeader/>
                <w:jc w:val="center"/>
              </w:trPr>
              <w:tc>
                <w:tcPr>
                  <w:tcW w:w="1853" w:type="dxa"/>
                  <w:vMerge w:val="continue"/>
                  <w:tcBorders>
                    <w:tl2br w:val="nil"/>
                    <w:tr2bl w:val="nil"/>
                  </w:tcBorders>
                  <w:vAlign w:val="center"/>
                </w:tcPr>
                <w:p>
                  <w:pPr>
                    <w:pStyle w:val="22"/>
                    <w:bidi w:val="0"/>
                    <w:rPr>
                      <w:rFonts w:hint="eastAsia" w:ascii="Times New Roman" w:hAnsi="Times New Roman" w:cs="Times New Roman"/>
                      <w:color w:val="auto"/>
                      <w:highlight w:val="none"/>
                      <w:lang w:eastAsia="zh-CN"/>
                    </w:rPr>
                  </w:pPr>
                </w:p>
              </w:tc>
              <w:tc>
                <w:tcPr>
                  <w:tcW w:w="3013" w:type="dxa"/>
                  <w:tcBorders>
                    <w:tl2br w:val="nil"/>
                    <w:tr2bl w:val="nil"/>
                  </w:tcBorders>
                  <w:shd w:val="clear" w:color="auto" w:fill="auto"/>
                  <w:vAlign w:val="center"/>
                </w:tcPr>
                <w:p>
                  <w:pPr>
                    <w:pStyle w:val="22"/>
                    <w:bidi w:val="0"/>
                    <w:ind w:firstLine="0" w:firstLineChars="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废油漆桶</w:t>
                  </w:r>
                </w:p>
              </w:tc>
              <w:tc>
                <w:tcPr>
                  <w:tcW w:w="3276" w:type="dxa"/>
                  <w:tcBorders>
                    <w:tl2br w:val="nil"/>
                    <w:tr2bl w:val="nil"/>
                  </w:tcBorders>
                  <w:shd w:val="clear" w:color="auto" w:fill="auto"/>
                  <w:vAlign w:val="center"/>
                </w:tcPr>
                <w:p>
                  <w:pPr>
                    <w:pStyle w:val="22"/>
                    <w:ind w:firstLine="0" w:firstLineChars="0"/>
                    <w:rPr>
                      <w:rFonts w:hint="default"/>
                      <w:color w:val="auto"/>
                      <w:highlight w:val="none"/>
                      <w:lang w:val="en-US" w:eastAsia="zh-CN"/>
                    </w:rPr>
                  </w:pPr>
                  <w:r>
                    <w:rPr>
                      <w:rFonts w:hint="eastAsia"/>
                      <w:color w:val="auto"/>
                      <w:highlight w:val="none"/>
                      <w:lang w:val="en-US" w:eastAsia="zh-CN"/>
                    </w:rPr>
                    <w:t>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24" w:hRule="atLeast"/>
                <w:tblHeader/>
                <w:jc w:val="center"/>
              </w:trPr>
              <w:tc>
                <w:tcPr>
                  <w:tcW w:w="1853" w:type="dxa"/>
                  <w:vMerge w:val="continue"/>
                  <w:tcBorders>
                    <w:tl2br w:val="nil"/>
                    <w:tr2bl w:val="nil"/>
                  </w:tcBorders>
                  <w:vAlign w:val="center"/>
                </w:tcPr>
                <w:p>
                  <w:pPr>
                    <w:pStyle w:val="22"/>
                    <w:bidi w:val="0"/>
                    <w:rPr>
                      <w:rFonts w:hint="eastAsia" w:ascii="Times New Roman" w:hAnsi="Times New Roman" w:cs="Times New Roman"/>
                      <w:color w:val="auto"/>
                      <w:highlight w:val="none"/>
                      <w:lang w:eastAsia="zh-CN"/>
                    </w:rPr>
                  </w:pPr>
                </w:p>
              </w:tc>
              <w:tc>
                <w:tcPr>
                  <w:tcW w:w="3013" w:type="dxa"/>
                  <w:tcBorders>
                    <w:tl2br w:val="nil"/>
                    <w:tr2bl w:val="nil"/>
                  </w:tcBorders>
                  <w:shd w:val="clear" w:color="auto" w:fill="auto"/>
                  <w:vAlign w:val="center"/>
                </w:tcPr>
                <w:p>
                  <w:pPr>
                    <w:pStyle w:val="22"/>
                    <w:bidi w:val="0"/>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废电解液</w:t>
                  </w:r>
                </w:p>
              </w:tc>
              <w:tc>
                <w:tcPr>
                  <w:tcW w:w="3276" w:type="dxa"/>
                  <w:tcBorders>
                    <w:tl2br w:val="nil"/>
                    <w:tr2bl w:val="nil"/>
                  </w:tcBorders>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0.026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24" w:hRule="atLeast"/>
                <w:tblHeader/>
                <w:jc w:val="center"/>
              </w:trPr>
              <w:tc>
                <w:tcPr>
                  <w:tcW w:w="1853" w:type="dxa"/>
                  <w:vMerge w:val="continue"/>
                  <w:tcBorders>
                    <w:tl2br w:val="nil"/>
                    <w:tr2bl w:val="nil"/>
                  </w:tcBorders>
                  <w:vAlign w:val="center"/>
                </w:tcPr>
                <w:p>
                  <w:pPr>
                    <w:pStyle w:val="22"/>
                    <w:bidi w:val="0"/>
                    <w:rPr>
                      <w:rFonts w:hint="eastAsia" w:ascii="Times New Roman" w:hAnsi="Times New Roman" w:cs="Times New Roman"/>
                      <w:color w:val="auto"/>
                      <w:highlight w:val="none"/>
                      <w:lang w:eastAsia="zh-CN"/>
                    </w:rPr>
                  </w:pPr>
                </w:p>
              </w:tc>
              <w:tc>
                <w:tcPr>
                  <w:tcW w:w="3013" w:type="dxa"/>
                  <w:tcBorders>
                    <w:tl2br w:val="nil"/>
                    <w:tr2bl w:val="nil"/>
                  </w:tcBorders>
                  <w:shd w:val="clear" w:color="auto" w:fill="auto"/>
                  <w:vAlign w:val="center"/>
                </w:tcPr>
                <w:p>
                  <w:pPr>
                    <w:pStyle w:val="22"/>
                    <w:bidi w:val="0"/>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废劳保用品</w:t>
                  </w:r>
                </w:p>
              </w:tc>
              <w:tc>
                <w:tcPr>
                  <w:tcW w:w="3276" w:type="dxa"/>
                  <w:tcBorders>
                    <w:tl2br w:val="nil"/>
                    <w:tr2bl w:val="nil"/>
                  </w:tcBorders>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0.01</w:t>
                  </w:r>
                </w:p>
              </w:tc>
            </w:tr>
          </w:tbl>
          <w:p>
            <w:pPr>
              <w:pStyle w:val="12"/>
              <w:ind w:firstLine="480"/>
              <w:rPr>
                <w:rFonts w:hint="default" w:eastAsia="宋体"/>
                <w:color w:val="auto"/>
                <w:highlight w:val="none"/>
                <w:lang w:val="en-US" w:eastAsia="zh-CN"/>
              </w:rPr>
            </w:pPr>
            <w:r>
              <w:rPr>
                <w:rFonts w:hint="eastAsia"/>
                <w:color w:val="auto"/>
                <w:highlight w:val="none"/>
                <w:lang w:val="en-US" w:eastAsia="zh-CN"/>
              </w:rPr>
              <w:t>3.与本项目有关环境问题</w:t>
            </w:r>
          </w:p>
          <w:p>
            <w:pPr>
              <w:pStyle w:val="12"/>
              <w:ind w:firstLine="480"/>
              <w:rPr>
                <w:rFonts w:hint="eastAsia"/>
                <w:color w:val="auto"/>
                <w:highlight w:val="none"/>
                <w:lang w:val="en-US" w:eastAsia="zh-CN"/>
              </w:rPr>
            </w:pPr>
            <w:r>
              <w:rPr>
                <w:rFonts w:hint="eastAsia"/>
                <w:color w:val="auto"/>
                <w:highlight w:val="none"/>
                <w:lang w:val="en-US" w:eastAsia="zh-CN"/>
              </w:rPr>
              <w:t>3.1现有危险废物收集贮存情况</w:t>
            </w:r>
          </w:p>
          <w:p>
            <w:pPr>
              <w:pStyle w:val="12"/>
              <w:ind w:firstLine="480"/>
              <w:rPr>
                <w:rFonts w:hint="eastAsia"/>
                <w:color w:val="auto"/>
                <w:highlight w:val="none"/>
                <w:lang w:val="en-US" w:eastAsia="zh-CN"/>
              </w:rPr>
            </w:pPr>
            <w:r>
              <w:rPr>
                <w:rFonts w:hint="eastAsia"/>
                <w:color w:val="auto"/>
                <w:highlight w:val="none"/>
                <w:lang w:val="en-US" w:eastAsia="zh-CN"/>
              </w:rPr>
              <w:t>现有危险废物产生后直接委托有资质单位进行处置。</w:t>
            </w:r>
          </w:p>
          <w:p>
            <w:pPr>
              <w:pStyle w:val="12"/>
              <w:ind w:firstLine="480"/>
              <w:rPr>
                <w:rFonts w:hint="default" w:eastAsia="宋体"/>
                <w:color w:val="auto"/>
                <w:highlight w:val="none"/>
                <w:lang w:val="en-US" w:eastAsia="zh-CN"/>
              </w:rPr>
            </w:pPr>
            <w:r>
              <w:rPr>
                <w:rFonts w:hint="eastAsia"/>
                <w:color w:val="auto"/>
                <w:highlight w:val="none"/>
                <w:lang w:val="en-US" w:eastAsia="zh-CN"/>
              </w:rPr>
              <w:t>3.2原有相关环境问题</w:t>
            </w:r>
          </w:p>
          <w:p>
            <w:pPr>
              <w:pStyle w:val="12"/>
              <w:ind w:firstLine="48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）原有环境问题</w:t>
            </w:r>
          </w:p>
          <w:p>
            <w:pPr>
              <w:pStyle w:val="12"/>
              <w:ind w:firstLine="480"/>
              <w:rPr>
                <w:rFonts w:hint="default"/>
                <w:color w:val="auto"/>
                <w:highlight w:val="none"/>
                <w:lang w:val="en-US" w:eastAsia="zh-CN"/>
              </w:rPr>
            </w:pPr>
            <w:r>
              <w:rPr>
                <w:rFonts w:hint="eastAsia"/>
                <w:color w:val="auto"/>
                <w:highlight w:val="none"/>
                <w:lang w:eastAsia="zh-CN"/>
              </w:rPr>
              <w:t>危险废物周转不及时，存在部分危险废物在厂区内临时贮存等情况。</w:t>
            </w:r>
          </w:p>
          <w:p>
            <w:pPr>
              <w:pStyle w:val="12"/>
              <w:ind w:firstLine="48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）整改措施</w:t>
            </w:r>
          </w:p>
          <w:p>
            <w:pPr>
              <w:pStyle w:val="12"/>
              <w:ind w:firstLine="480"/>
              <w:rPr>
                <w:rFonts w:hint="eastAsia"/>
                <w:color w:val="auto"/>
                <w:highlight w:val="none"/>
                <w:lang w:eastAsia="zh-CN"/>
              </w:rPr>
            </w:pPr>
            <w:r>
              <w:rPr>
                <w:rFonts w:hint="eastAsia"/>
                <w:color w:val="auto"/>
                <w:highlight w:val="none"/>
                <w:lang w:eastAsia="zh-CN"/>
              </w:rPr>
              <w:t>建设危险废物贮存点用于临时贮存项目产生的危险废物。</w:t>
            </w:r>
          </w:p>
          <w:p>
            <w:pPr>
              <w:pStyle w:val="12"/>
              <w:ind w:firstLine="480"/>
              <w:rPr>
                <w:rFonts w:hint="default"/>
                <w:color w:val="auto"/>
                <w:highlight w:val="none"/>
                <w:lang w:val="en-US" w:eastAsia="zh-CN"/>
              </w:rPr>
            </w:pPr>
            <w:r>
              <w:rPr>
                <w:rFonts w:hint="eastAsia"/>
                <w:color w:val="auto"/>
                <w:highlight w:val="none"/>
                <w:lang w:val="en-US" w:eastAsia="zh-CN"/>
              </w:rPr>
              <w:t>3.3本项目原有库房生产情况</w:t>
            </w:r>
          </w:p>
          <w:p>
            <w:pPr>
              <w:pStyle w:val="12"/>
              <w:ind w:firstLine="480"/>
              <w:rPr>
                <w:rFonts w:hint="eastAsia"/>
                <w:color w:val="auto"/>
                <w:highlight w:val="none"/>
                <w:lang w:eastAsia="zh-CN"/>
              </w:rPr>
            </w:pPr>
            <w:r>
              <w:rPr>
                <w:rFonts w:hint="eastAsia"/>
                <w:color w:val="auto"/>
                <w:highlight w:val="none"/>
                <w:lang w:eastAsia="zh-CN"/>
              </w:rPr>
              <w:t>本项目在原有库房内进行改造，经调查，库房未进行过生产活动，均贮存物料，无遗留的环境问题或污染迹象，无与本项目有关的原有环境污染问题。</w:t>
            </w:r>
          </w:p>
          <w:p>
            <w:pPr>
              <w:rPr>
                <w:color w:val="auto"/>
                <w:highlight w:val="none"/>
              </w:rPr>
            </w:pPr>
          </w:p>
          <w:p>
            <w:pPr>
              <w:pStyle w:val="6"/>
              <w:rPr>
                <w:color w:val="auto"/>
                <w:highlight w:val="none"/>
              </w:rPr>
            </w:pPr>
          </w:p>
          <w:p>
            <w:pPr>
              <w:rPr>
                <w:color w:val="auto"/>
                <w:highlight w:val="none"/>
              </w:rPr>
            </w:pPr>
          </w:p>
          <w:p>
            <w:pPr>
              <w:pStyle w:val="6"/>
              <w:rPr>
                <w:color w:val="auto"/>
                <w:highlight w:val="none"/>
              </w:rPr>
            </w:pPr>
          </w:p>
          <w:p>
            <w:pPr>
              <w:rPr>
                <w:color w:val="auto"/>
                <w:highlight w:val="none"/>
              </w:rPr>
            </w:pPr>
          </w:p>
          <w:p>
            <w:pPr>
              <w:pStyle w:val="6"/>
              <w:rPr>
                <w:color w:val="auto"/>
                <w:highlight w:val="none"/>
              </w:rPr>
            </w:pPr>
          </w:p>
          <w:p>
            <w:pPr>
              <w:rPr>
                <w:color w:val="auto"/>
                <w:highlight w:val="none"/>
              </w:rPr>
            </w:pPr>
          </w:p>
          <w:p>
            <w:pPr>
              <w:pStyle w:val="6"/>
              <w:rPr>
                <w:color w:val="auto"/>
                <w:highlight w:val="none"/>
              </w:rPr>
            </w:pPr>
          </w:p>
          <w:p>
            <w:pPr>
              <w:rPr>
                <w:color w:val="auto"/>
                <w:highlight w:val="none"/>
              </w:rPr>
            </w:pPr>
          </w:p>
          <w:p>
            <w:pPr>
              <w:pStyle w:val="6"/>
              <w:rPr>
                <w:color w:val="auto"/>
                <w:highlight w:val="none"/>
              </w:rPr>
            </w:pPr>
          </w:p>
          <w:p>
            <w:pPr>
              <w:pStyle w:val="6"/>
              <w:rPr>
                <w:color w:val="auto"/>
                <w:highlight w:val="none"/>
              </w:rPr>
            </w:pPr>
          </w:p>
          <w:p>
            <w:pPr>
              <w:rPr>
                <w:color w:val="auto"/>
                <w:highlight w:val="none"/>
              </w:rPr>
            </w:pPr>
          </w:p>
          <w:p>
            <w:pPr>
              <w:pStyle w:val="6"/>
              <w:rPr>
                <w:color w:val="auto"/>
                <w:highlight w:val="none"/>
              </w:rPr>
            </w:pPr>
          </w:p>
          <w:p>
            <w:pPr>
              <w:rPr>
                <w:color w:val="auto"/>
                <w:highlight w:val="none"/>
              </w:rPr>
            </w:pPr>
          </w:p>
          <w:p>
            <w:pPr>
              <w:pStyle w:val="6"/>
              <w:rPr>
                <w:color w:val="auto"/>
                <w:highlight w:val="none"/>
              </w:rPr>
            </w:pPr>
          </w:p>
          <w:p>
            <w:pPr>
              <w:rPr>
                <w:color w:val="auto"/>
                <w:highlight w:val="none"/>
              </w:rPr>
            </w:pPr>
          </w:p>
          <w:p>
            <w:pPr>
              <w:pStyle w:val="6"/>
              <w:rPr>
                <w:color w:val="auto"/>
                <w:highlight w:val="none"/>
              </w:rPr>
            </w:pPr>
          </w:p>
          <w:p>
            <w:pPr>
              <w:rPr>
                <w:color w:val="auto"/>
                <w:highlight w:val="none"/>
              </w:rPr>
            </w:pPr>
          </w:p>
          <w:p>
            <w:pPr>
              <w:pStyle w:val="6"/>
              <w:rPr>
                <w:color w:val="auto"/>
                <w:highlight w:val="none"/>
              </w:rPr>
            </w:pPr>
          </w:p>
          <w:p>
            <w:pPr>
              <w:rPr>
                <w:color w:val="auto"/>
                <w:highlight w:val="none"/>
              </w:rPr>
            </w:pPr>
          </w:p>
          <w:p>
            <w:pPr>
              <w:rPr>
                <w:color w:val="auto"/>
                <w:highlight w:val="none"/>
              </w:rPr>
            </w:pPr>
          </w:p>
        </w:tc>
      </w:tr>
    </w:tbl>
    <w:p>
      <w:pPr>
        <w:jc w:val="center"/>
        <w:rPr>
          <w:rFonts w:ascii="黑体" w:hAnsi="黑体" w:eastAsia="黑体"/>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adjustRightInd w:val="0"/>
        <w:snapToGrid w:val="0"/>
        <w:spacing w:line="14" w:lineRule="auto"/>
        <w:jc w:val="center"/>
        <w:outlineLvl w:val="0"/>
        <w:rPr>
          <w:rFonts w:ascii="黑体" w:hAnsi="黑体" w:eastAsia="黑体"/>
          <w:snapToGrid w:val="0"/>
          <w:color w:val="auto"/>
          <w:sz w:val="30"/>
          <w:szCs w:val="30"/>
          <w:highlight w:val="none"/>
        </w:rPr>
      </w:pPr>
    </w:p>
    <w:p>
      <w:pPr>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三、区域环境质量现状、环境保护目标及评价标准</w:t>
      </w:r>
    </w:p>
    <w:tbl>
      <w:tblPr>
        <w:tblStyle w:val="15"/>
        <w:tblW w:w="8980"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9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906" w:hRule="atLeast"/>
          <w:jc w:val="center"/>
        </w:trPr>
        <w:tc>
          <w:tcPr>
            <w:tcW w:w="790" w:type="dxa"/>
            <w:vAlign w:val="center"/>
          </w:tcPr>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区域</w:t>
            </w:r>
          </w:p>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环境</w:t>
            </w:r>
          </w:p>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质量</w:t>
            </w:r>
          </w:p>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现状</w:t>
            </w:r>
          </w:p>
        </w:tc>
        <w:tc>
          <w:tcPr>
            <w:tcW w:w="8190" w:type="dxa"/>
            <w:vAlign w:val="center"/>
          </w:tcPr>
          <w:p>
            <w:pPr>
              <w:pStyle w:val="27"/>
              <w:ind w:firstLine="482"/>
              <w:rPr>
                <w:rFonts w:hint="default"/>
                <w:color w:val="auto"/>
                <w:highlight w:val="none"/>
              </w:rPr>
            </w:pPr>
            <w:r>
              <w:rPr>
                <w:color w:val="auto"/>
                <w:highlight w:val="none"/>
              </w:rPr>
              <w:t>1环境空气质量</w:t>
            </w:r>
          </w:p>
          <w:p>
            <w:pPr>
              <w:pStyle w:val="12"/>
              <w:ind w:firstLine="480"/>
              <w:rPr>
                <w:color w:val="auto"/>
                <w:highlight w:val="none"/>
              </w:rPr>
            </w:pPr>
            <w:r>
              <w:rPr>
                <w:rFonts w:hint="eastAsia"/>
                <w:color w:val="auto"/>
                <w:highlight w:val="none"/>
              </w:rPr>
              <w:t>（1）常规污染物</w:t>
            </w:r>
          </w:p>
          <w:p>
            <w:pPr>
              <w:pStyle w:val="12"/>
              <w:ind w:firstLine="480"/>
              <w:rPr>
                <w:color w:val="auto"/>
                <w:highlight w:val="none"/>
              </w:rPr>
            </w:pPr>
            <w:r>
              <w:rPr>
                <w:rFonts w:hint="eastAsia"/>
                <w:color w:val="auto"/>
                <w:highlight w:val="none"/>
              </w:rPr>
              <w:t>本项目位于</w:t>
            </w:r>
            <w:r>
              <w:rPr>
                <w:rFonts w:hint="eastAsia"/>
                <w:color w:val="auto"/>
                <w:highlight w:val="none"/>
                <w:lang w:eastAsia="zh-CN"/>
              </w:rPr>
              <w:t>北票市龙潭镇二道沟公司厂区内，</w:t>
            </w:r>
            <w:r>
              <w:rPr>
                <w:rFonts w:hint="eastAsia"/>
                <w:color w:val="auto"/>
                <w:highlight w:val="none"/>
              </w:rPr>
              <w:t>执行《环境空气质量标准》（GB3095-2012）中二级标准及修改单</w:t>
            </w:r>
            <w:r>
              <w:rPr>
                <w:rFonts w:hint="eastAsia"/>
                <w:color w:val="auto"/>
                <w:highlight w:val="none"/>
                <w:lang w:eastAsia="zh-CN"/>
              </w:rPr>
              <w:t>，</w:t>
            </w:r>
            <w:r>
              <w:rPr>
                <w:rFonts w:hint="eastAsia"/>
                <w:color w:val="auto"/>
                <w:highlight w:val="none"/>
              </w:rPr>
              <w:t>根据朝阳市生态环境局公布的朝阳市生态环境质量公报</w:t>
            </w:r>
            <w:r>
              <w:rPr>
                <w:rFonts w:hint="eastAsia"/>
                <w:color w:val="auto"/>
                <w:highlight w:val="none"/>
                <w:lang w:eastAsia="zh-CN"/>
              </w:rPr>
              <w:t>（</w:t>
            </w:r>
            <w:r>
              <w:rPr>
                <w:rFonts w:hint="eastAsia"/>
                <w:color w:val="auto"/>
                <w:highlight w:val="none"/>
              </w:rPr>
              <w:t>202</w:t>
            </w:r>
            <w:r>
              <w:rPr>
                <w:rFonts w:hint="eastAsia"/>
                <w:color w:val="auto"/>
                <w:highlight w:val="none"/>
                <w:lang w:val="en-US" w:eastAsia="zh-CN"/>
              </w:rPr>
              <w:t>3</w:t>
            </w:r>
            <w:r>
              <w:rPr>
                <w:rFonts w:hint="eastAsia"/>
                <w:color w:val="auto"/>
                <w:highlight w:val="none"/>
              </w:rPr>
              <w:t>年</w:t>
            </w:r>
            <w:r>
              <w:rPr>
                <w:rFonts w:hint="eastAsia"/>
                <w:color w:val="auto"/>
                <w:highlight w:val="none"/>
                <w:lang w:eastAsia="zh-CN"/>
              </w:rPr>
              <w:t>），朝阳</w:t>
            </w:r>
            <w:r>
              <w:rPr>
                <w:rFonts w:hint="eastAsia"/>
                <w:color w:val="auto"/>
                <w:highlight w:val="none"/>
              </w:rPr>
              <w:t>市环境空气质量现状见</w:t>
            </w:r>
            <w:r>
              <w:rPr>
                <w:rFonts w:hint="eastAsia"/>
                <w:color w:val="auto"/>
                <w:highlight w:val="none"/>
                <w:lang w:eastAsia="zh-CN"/>
              </w:rPr>
              <w:t>下表</w:t>
            </w:r>
            <w:r>
              <w:rPr>
                <w:rFonts w:hint="eastAsia"/>
                <w:color w:val="auto"/>
                <w:highlight w:val="none"/>
              </w:rPr>
              <w:t>。</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区域环境空气质量现状</w:t>
            </w:r>
          </w:p>
          <w:tbl>
            <w:tblPr>
              <w:tblStyle w:val="15"/>
              <w:tblW w:w="787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0"/>
              <w:gridCol w:w="2363"/>
              <w:gridCol w:w="1485"/>
              <w:gridCol w:w="1266"/>
              <w:gridCol w:w="820"/>
              <w:gridCol w:w="11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2" w:hRule="atLeast"/>
                <w:jc w:val="center"/>
              </w:trPr>
              <w:tc>
                <w:tcPr>
                  <w:tcW w:w="810" w:type="dxa"/>
                  <w:vAlign w:val="center"/>
                </w:tcPr>
                <w:p>
                  <w:pPr>
                    <w:pStyle w:val="25"/>
                    <w:rPr>
                      <w:rFonts w:hint="default"/>
                      <w:color w:val="auto"/>
                      <w:highlight w:val="none"/>
                    </w:rPr>
                  </w:pPr>
                  <w:r>
                    <w:rPr>
                      <w:color w:val="auto"/>
                      <w:highlight w:val="none"/>
                    </w:rPr>
                    <w:t>污染物</w:t>
                  </w:r>
                </w:p>
              </w:tc>
              <w:tc>
                <w:tcPr>
                  <w:tcW w:w="2363" w:type="dxa"/>
                  <w:vAlign w:val="center"/>
                </w:tcPr>
                <w:p>
                  <w:pPr>
                    <w:pStyle w:val="25"/>
                    <w:rPr>
                      <w:rFonts w:hint="default"/>
                      <w:color w:val="auto"/>
                      <w:highlight w:val="none"/>
                    </w:rPr>
                  </w:pPr>
                  <w:r>
                    <w:rPr>
                      <w:color w:val="auto"/>
                      <w:highlight w:val="none"/>
                    </w:rPr>
                    <w:t>年评价指标</w:t>
                  </w:r>
                </w:p>
              </w:tc>
              <w:tc>
                <w:tcPr>
                  <w:tcW w:w="1485" w:type="dxa"/>
                  <w:vAlign w:val="center"/>
                </w:tcPr>
                <w:p>
                  <w:pPr>
                    <w:pStyle w:val="25"/>
                    <w:rPr>
                      <w:rFonts w:hint="default"/>
                      <w:color w:val="auto"/>
                      <w:highlight w:val="none"/>
                    </w:rPr>
                  </w:pPr>
                  <w:r>
                    <w:rPr>
                      <w:color w:val="auto"/>
                      <w:highlight w:val="none"/>
                    </w:rPr>
                    <w:t>现状浓度</w:t>
                  </w:r>
                  <w:r>
                    <w:rPr>
                      <w:rFonts w:hint="default" w:ascii="Times New Roman" w:hAnsi="Times New Roman" w:cs="Times New Roman"/>
                      <w:color w:val="auto"/>
                      <w:highlight w:val="none"/>
                      <w:lang w:eastAsia="zh-CN"/>
                    </w:rPr>
                    <w:t>μ</w:t>
                  </w:r>
                  <w:r>
                    <w:rPr>
                      <w:rFonts w:hint="eastAsia"/>
                      <w:color w:val="auto"/>
                      <w:highlight w:val="none"/>
                      <w:lang w:eastAsia="zh-CN"/>
                    </w:rPr>
                    <w:t>g/m</w:t>
                  </w:r>
                  <w:r>
                    <w:rPr>
                      <w:rFonts w:hint="eastAsia"/>
                      <w:color w:val="auto"/>
                      <w:highlight w:val="none"/>
                      <w:vertAlign w:val="superscript"/>
                      <w:lang w:eastAsia="zh-CN"/>
                    </w:rPr>
                    <w:t>3</w:t>
                  </w:r>
                </w:p>
              </w:tc>
              <w:tc>
                <w:tcPr>
                  <w:tcW w:w="1266" w:type="dxa"/>
                  <w:vAlign w:val="center"/>
                </w:tcPr>
                <w:p>
                  <w:pPr>
                    <w:pStyle w:val="25"/>
                    <w:rPr>
                      <w:rFonts w:hint="default"/>
                      <w:color w:val="auto"/>
                      <w:highlight w:val="none"/>
                    </w:rPr>
                  </w:pPr>
                  <w:r>
                    <w:rPr>
                      <w:color w:val="auto"/>
                      <w:highlight w:val="none"/>
                    </w:rPr>
                    <w:t>标准值</w:t>
                  </w:r>
                  <w:r>
                    <w:rPr>
                      <w:rFonts w:hint="default" w:ascii="Times New Roman" w:hAnsi="Times New Roman" w:cs="Times New Roman"/>
                      <w:color w:val="auto"/>
                      <w:highlight w:val="none"/>
                      <w:lang w:eastAsia="zh-CN"/>
                    </w:rPr>
                    <w:t>μ</w:t>
                  </w:r>
                  <w:r>
                    <w:rPr>
                      <w:rFonts w:hint="eastAsia"/>
                      <w:color w:val="auto"/>
                      <w:highlight w:val="none"/>
                      <w:lang w:eastAsia="zh-CN"/>
                    </w:rPr>
                    <w:t>g/m</w:t>
                  </w:r>
                  <w:r>
                    <w:rPr>
                      <w:rFonts w:hint="eastAsia"/>
                      <w:color w:val="auto"/>
                      <w:highlight w:val="none"/>
                      <w:vertAlign w:val="superscript"/>
                      <w:lang w:eastAsia="zh-CN"/>
                    </w:rPr>
                    <w:t>3</w:t>
                  </w:r>
                </w:p>
              </w:tc>
              <w:tc>
                <w:tcPr>
                  <w:tcW w:w="820" w:type="dxa"/>
                  <w:vAlign w:val="center"/>
                </w:tcPr>
                <w:p>
                  <w:pPr>
                    <w:pStyle w:val="25"/>
                    <w:rPr>
                      <w:rFonts w:hint="default"/>
                      <w:color w:val="auto"/>
                      <w:highlight w:val="none"/>
                    </w:rPr>
                  </w:pPr>
                  <w:r>
                    <w:rPr>
                      <w:color w:val="auto"/>
                      <w:highlight w:val="none"/>
                    </w:rPr>
                    <w:t>占标率%</w:t>
                  </w:r>
                </w:p>
              </w:tc>
              <w:tc>
                <w:tcPr>
                  <w:tcW w:w="1133" w:type="dxa"/>
                  <w:vAlign w:val="center"/>
                </w:tcPr>
                <w:p>
                  <w:pPr>
                    <w:pStyle w:val="25"/>
                    <w:rPr>
                      <w:rFonts w:hint="default"/>
                      <w:color w:val="auto"/>
                      <w:highlight w:val="none"/>
                    </w:rPr>
                  </w:pPr>
                  <w:r>
                    <w:rPr>
                      <w:color w:val="auto"/>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1" w:hRule="atLeast"/>
                <w:jc w:val="center"/>
              </w:trPr>
              <w:tc>
                <w:tcPr>
                  <w:tcW w:w="810" w:type="dxa"/>
                  <w:vAlign w:val="center"/>
                </w:tcPr>
                <w:p>
                  <w:pPr>
                    <w:pStyle w:val="22"/>
                    <w:rPr>
                      <w:color w:val="auto"/>
                      <w:highlight w:val="none"/>
                    </w:rPr>
                  </w:pPr>
                  <w:r>
                    <w:rPr>
                      <w:rFonts w:hint="eastAsia"/>
                      <w:color w:val="auto"/>
                      <w:highlight w:val="none"/>
                    </w:rPr>
                    <w:t>PM</w:t>
                  </w:r>
                  <w:r>
                    <w:rPr>
                      <w:rFonts w:hint="eastAsia"/>
                      <w:color w:val="auto"/>
                      <w:highlight w:val="none"/>
                      <w:vertAlign w:val="subscript"/>
                    </w:rPr>
                    <w:t>2.5</w:t>
                  </w:r>
                </w:p>
              </w:tc>
              <w:tc>
                <w:tcPr>
                  <w:tcW w:w="2363" w:type="dxa"/>
                  <w:vAlign w:val="center"/>
                </w:tcPr>
                <w:p>
                  <w:pPr>
                    <w:pStyle w:val="22"/>
                    <w:rPr>
                      <w:color w:val="auto"/>
                      <w:highlight w:val="none"/>
                    </w:rPr>
                  </w:pPr>
                  <w:r>
                    <w:rPr>
                      <w:rFonts w:hint="eastAsia"/>
                      <w:color w:val="auto"/>
                      <w:highlight w:val="none"/>
                    </w:rPr>
                    <w:t>年平均质量浓度</w:t>
                  </w:r>
                </w:p>
              </w:tc>
              <w:tc>
                <w:tcPr>
                  <w:tcW w:w="1485"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26</w:t>
                  </w:r>
                </w:p>
              </w:tc>
              <w:tc>
                <w:tcPr>
                  <w:tcW w:w="1266" w:type="dxa"/>
                  <w:vAlign w:val="center"/>
                </w:tcPr>
                <w:p>
                  <w:pPr>
                    <w:pStyle w:val="22"/>
                    <w:rPr>
                      <w:color w:val="auto"/>
                      <w:highlight w:val="none"/>
                    </w:rPr>
                  </w:pPr>
                  <w:r>
                    <w:rPr>
                      <w:rFonts w:hint="eastAsia"/>
                      <w:color w:val="auto"/>
                      <w:highlight w:val="none"/>
                    </w:rPr>
                    <w:t>35</w:t>
                  </w:r>
                </w:p>
              </w:tc>
              <w:tc>
                <w:tcPr>
                  <w:tcW w:w="820"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74</w:t>
                  </w:r>
                </w:p>
              </w:tc>
              <w:tc>
                <w:tcPr>
                  <w:tcW w:w="1133"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1" w:hRule="atLeast"/>
                <w:jc w:val="center"/>
              </w:trPr>
              <w:tc>
                <w:tcPr>
                  <w:tcW w:w="810" w:type="dxa"/>
                  <w:vAlign w:val="center"/>
                </w:tcPr>
                <w:p>
                  <w:pPr>
                    <w:pStyle w:val="22"/>
                    <w:rPr>
                      <w:color w:val="auto"/>
                      <w:highlight w:val="none"/>
                    </w:rPr>
                  </w:pPr>
                  <w:r>
                    <w:rPr>
                      <w:rFonts w:hint="eastAsia"/>
                      <w:color w:val="auto"/>
                      <w:highlight w:val="none"/>
                    </w:rPr>
                    <w:t>PM</w:t>
                  </w:r>
                  <w:r>
                    <w:rPr>
                      <w:rFonts w:hint="eastAsia"/>
                      <w:color w:val="auto"/>
                      <w:highlight w:val="none"/>
                      <w:vertAlign w:val="subscript"/>
                    </w:rPr>
                    <w:t>10</w:t>
                  </w:r>
                </w:p>
              </w:tc>
              <w:tc>
                <w:tcPr>
                  <w:tcW w:w="2363" w:type="dxa"/>
                  <w:vAlign w:val="center"/>
                </w:tcPr>
                <w:p>
                  <w:pPr>
                    <w:pStyle w:val="22"/>
                    <w:rPr>
                      <w:color w:val="auto"/>
                      <w:highlight w:val="none"/>
                    </w:rPr>
                  </w:pPr>
                  <w:r>
                    <w:rPr>
                      <w:rFonts w:hint="eastAsia"/>
                      <w:color w:val="auto"/>
                      <w:highlight w:val="none"/>
                    </w:rPr>
                    <w:t>年平均质量浓度</w:t>
                  </w:r>
                </w:p>
              </w:tc>
              <w:tc>
                <w:tcPr>
                  <w:tcW w:w="1485"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50</w:t>
                  </w:r>
                </w:p>
              </w:tc>
              <w:tc>
                <w:tcPr>
                  <w:tcW w:w="1266" w:type="dxa"/>
                  <w:vAlign w:val="center"/>
                </w:tcPr>
                <w:p>
                  <w:pPr>
                    <w:pStyle w:val="22"/>
                    <w:rPr>
                      <w:color w:val="auto"/>
                      <w:highlight w:val="none"/>
                    </w:rPr>
                  </w:pPr>
                  <w:r>
                    <w:rPr>
                      <w:rFonts w:hint="eastAsia"/>
                      <w:color w:val="auto"/>
                      <w:highlight w:val="none"/>
                    </w:rPr>
                    <w:t>70</w:t>
                  </w:r>
                </w:p>
              </w:tc>
              <w:tc>
                <w:tcPr>
                  <w:tcW w:w="820"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71</w:t>
                  </w:r>
                </w:p>
              </w:tc>
              <w:tc>
                <w:tcPr>
                  <w:tcW w:w="1133"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1" w:hRule="atLeast"/>
                <w:jc w:val="center"/>
              </w:trPr>
              <w:tc>
                <w:tcPr>
                  <w:tcW w:w="810" w:type="dxa"/>
                  <w:vAlign w:val="center"/>
                </w:tcPr>
                <w:p>
                  <w:pPr>
                    <w:pStyle w:val="22"/>
                    <w:rPr>
                      <w:color w:val="auto"/>
                      <w:highlight w:val="none"/>
                    </w:rPr>
                  </w:pPr>
                  <w:r>
                    <w:rPr>
                      <w:rFonts w:hint="eastAsia"/>
                      <w:color w:val="auto"/>
                      <w:highlight w:val="none"/>
                    </w:rPr>
                    <w:t>SO</w:t>
                  </w:r>
                  <w:r>
                    <w:rPr>
                      <w:rFonts w:hint="eastAsia"/>
                      <w:color w:val="auto"/>
                      <w:highlight w:val="none"/>
                      <w:vertAlign w:val="subscript"/>
                    </w:rPr>
                    <w:t>2</w:t>
                  </w:r>
                </w:p>
              </w:tc>
              <w:tc>
                <w:tcPr>
                  <w:tcW w:w="2363" w:type="dxa"/>
                  <w:vAlign w:val="center"/>
                </w:tcPr>
                <w:p>
                  <w:pPr>
                    <w:pStyle w:val="22"/>
                    <w:rPr>
                      <w:color w:val="auto"/>
                      <w:highlight w:val="none"/>
                    </w:rPr>
                  </w:pPr>
                  <w:r>
                    <w:rPr>
                      <w:rFonts w:hint="eastAsia"/>
                      <w:color w:val="auto"/>
                      <w:highlight w:val="none"/>
                    </w:rPr>
                    <w:t>年平均质量浓度</w:t>
                  </w:r>
                </w:p>
              </w:tc>
              <w:tc>
                <w:tcPr>
                  <w:tcW w:w="1485"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12</w:t>
                  </w:r>
                </w:p>
              </w:tc>
              <w:tc>
                <w:tcPr>
                  <w:tcW w:w="1266" w:type="dxa"/>
                  <w:vAlign w:val="center"/>
                </w:tcPr>
                <w:p>
                  <w:pPr>
                    <w:pStyle w:val="22"/>
                    <w:rPr>
                      <w:color w:val="auto"/>
                      <w:highlight w:val="none"/>
                    </w:rPr>
                  </w:pPr>
                  <w:r>
                    <w:rPr>
                      <w:rFonts w:hint="eastAsia"/>
                      <w:color w:val="auto"/>
                      <w:highlight w:val="none"/>
                    </w:rPr>
                    <w:t>60</w:t>
                  </w:r>
                </w:p>
              </w:tc>
              <w:tc>
                <w:tcPr>
                  <w:tcW w:w="820"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20</w:t>
                  </w:r>
                </w:p>
              </w:tc>
              <w:tc>
                <w:tcPr>
                  <w:tcW w:w="1133"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1" w:hRule="atLeast"/>
                <w:jc w:val="center"/>
              </w:trPr>
              <w:tc>
                <w:tcPr>
                  <w:tcW w:w="810" w:type="dxa"/>
                  <w:vAlign w:val="center"/>
                </w:tcPr>
                <w:p>
                  <w:pPr>
                    <w:pStyle w:val="22"/>
                    <w:rPr>
                      <w:color w:val="auto"/>
                      <w:highlight w:val="none"/>
                    </w:rPr>
                  </w:pPr>
                  <w:r>
                    <w:rPr>
                      <w:rFonts w:hint="eastAsia"/>
                      <w:color w:val="auto"/>
                      <w:highlight w:val="none"/>
                    </w:rPr>
                    <w:t>NO</w:t>
                  </w:r>
                  <w:r>
                    <w:rPr>
                      <w:rFonts w:hint="eastAsia"/>
                      <w:color w:val="auto"/>
                      <w:highlight w:val="none"/>
                      <w:vertAlign w:val="subscript"/>
                    </w:rPr>
                    <w:t>2</w:t>
                  </w:r>
                </w:p>
              </w:tc>
              <w:tc>
                <w:tcPr>
                  <w:tcW w:w="2363" w:type="dxa"/>
                  <w:vAlign w:val="center"/>
                </w:tcPr>
                <w:p>
                  <w:pPr>
                    <w:pStyle w:val="22"/>
                    <w:rPr>
                      <w:color w:val="auto"/>
                      <w:highlight w:val="none"/>
                    </w:rPr>
                  </w:pPr>
                  <w:r>
                    <w:rPr>
                      <w:rFonts w:hint="eastAsia"/>
                      <w:color w:val="auto"/>
                      <w:highlight w:val="none"/>
                    </w:rPr>
                    <w:t>年平均质量浓度</w:t>
                  </w:r>
                </w:p>
              </w:tc>
              <w:tc>
                <w:tcPr>
                  <w:tcW w:w="1485"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12</w:t>
                  </w:r>
                </w:p>
              </w:tc>
              <w:tc>
                <w:tcPr>
                  <w:tcW w:w="1266" w:type="dxa"/>
                  <w:vAlign w:val="center"/>
                </w:tcPr>
                <w:p>
                  <w:pPr>
                    <w:pStyle w:val="22"/>
                    <w:rPr>
                      <w:color w:val="auto"/>
                      <w:highlight w:val="none"/>
                    </w:rPr>
                  </w:pPr>
                  <w:r>
                    <w:rPr>
                      <w:rFonts w:hint="eastAsia"/>
                      <w:color w:val="auto"/>
                      <w:highlight w:val="none"/>
                    </w:rPr>
                    <w:t>40</w:t>
                  </w:r>
                </w:p>
              </w:tc>
              <w:tc>
                <w:tcPr>
                  <w:tcW w:w="820"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30</w:t>
                  </w:r>
                </w:p>
              </w:tc>
              <w:tc>
                <w:tcPr>
                  <w:tcW w:w="1133"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1" w:hRule="atLeast"/>
                <w:jc w:val="center"/>
              </w:trPr>
              <w:tc>
                <w:tcPr>
                  <w:tcW w:w="810" w:type="dxa"/>
                  <w:vAlign w:val="center"/>
                </w:tcPr>
                <w:p>
                  <w:pPr>
                    <w:pStyle w:val="22"/>
                    <w:rPr>
                      <w:color w:val="auto"/>
                      <w:highlight w:val="none"/>
                    </w:rPr>
                  </w:pPr>
                  <w:r>
                    <w:rPr>
                      <w:rFonts w:hint="eastAsia"/>
                      <w:color w:val="auto"/>
                      <w:highlight w:val="none"/>
                    </w:rPr>
                    <w:t>CO</w:t>
                  </w:r>
                </w:p>
              </w:tc>
              <w:tc>
                <w:tcPr>
                  <w:tcW w:w="2363" w:type="dxa"/>
                  <w:vAlign w:val="center"/>
                </w:tcPr>
                <w:p>
                  <w:pPr>
                    <w:pStyle w:val="22"/>
                    <w:rPr>
                      <w:color w:val="auto"/>
                      <w:highlight w:val="none"/>
                    </w:rPr>
                  </w:pPr>
                  <w:r>
                    <w:rPr>
                      <w:rFonts w:hint="eastAsia"/>
                      <w:color w:val="auto"/>
                      <w:highlight w:val="none"/>
                    </w:rPr>
                    <w:t>百分位浓度</w:t>
                  </w:r>
                </w:p>
              </w:tc>
              <w:tc>
                <w:tcPr>
                  <w:tcW w:w="1485" w:type="dxa"/>
                  <w:vAlign w:val="center"/>
                </w:tcPr>
                <w:p>
                  <w:pPr>
                    <w:pStyle w:val="22"/>
                    <w:rPr>
                      <w:color w:val="auto"/>
                      <w:highlight w:val="none"/>
                    </w:rPr>
                  </w:pPr>
                  <w:r>
                    <w:rPr>
                      <w:rFonts w:hint="eastAsia"/>
                      <w:color w:val="auto"/>
                      <w:highlight w:val="none"/>
                      <w:lang w:val="en-US" w:eastAsia="zh-CN"/>
                    </w:rPr>
                    <w:t>1.3</w:t>
                  </w:r>
                  <w:r>
                    <w:rPr>
                      <w:color w:val="auto"/>
                      <w:highlight w:val="none"/>
                    </w:rPr>
                    <w:t>mg/m</w:t>
                  </w:r>
                  <w:r>
                    <w:rPr>
                      <w:color w:val="auto"/>
                      <w:highlight w:val="none"/>
                      <w:vertAlign w:val="superscript"/>
                    </w:rPr>
                    <w:t>3</w:t>
                  </w:r>
                </w:p>
              </w:tc>
              <w:tc>
                <w:tcPr>
                  <w:tcW w:w="1266" w:type="dxa"/>
                  <w:vAlign w:val="center"/>
                </w:tcPr>
                <w:p>
                  <w:pPr>
                    <w:pStyle w:val="22"/>
                    <w:rPr>
                      <w:color w:val="auto"/>
                      <w:highlight w:val="none"/>
                    </w:rPr>
                  </w:pPr>
                  <w:r>
                    <w:rPr>
                      <w:rFonts w:hint="eastAsia"/>
                      <w:color w:val="auto"/>
                      <w:highlight w:val="none"/>
                    </w:rPr>
                    <w:t>4mg/m</w:t>
                  </w:r>
                  <w:r>
                    <w:rPr>
                      <w:rFonts w:hint="eastAsia"/>
                      <w:color w:val="auto"/>
                      <w:highlight w:val="none"/>
                      <w:vertAlign w:val="superscript"/>
                    </w:rPr>
                    <w:t>3</w:t>
                  </w:r>
                </w:p>
              </w:tc>
              <w:tc>
                <w:tcPr>
                  <w:tcW w:w="820"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32</w:t>
                  </w:r>
                </w:p>
              </w:tc>
              <w:tc>
                <w:tcPr>
                  <w:tcW w:w="1133"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82" w:hRule="atLeast"/>
                <w:jc w:val="center"/>
              </w:trPr>
              <w:tc>
                <w:tcPr>
                  <w:tcW w:w="810" w:type="dxa"/>
                  <w:vAlign w:val="center"/>
                </w:tcPr>
                <w:p>
                  <w:pPr>
                    <w:pStyle w:val="22"/>
                    <w:rPr>
                      <w:color w:val="auto"/>
                      <w:highlight w:val="none"/>
                    </w:rPr>
                  </w:pPr>
                  <w:r>
                    <w:rPr>
                      <w:rFonts w:hint="eastAsia"/>
                      <w:color w:val="auto"/>
                      <w:highlight w:val="none"/>
                    </w:rPr>
                    <w:t>O</w:t>
                  </w:r>
                  <w:r>
                    <w:rPr>
                      <w:rFonts w:hint="eastAsia"/>
                      <w:color w:val="auto"/>
                      <w:highlight w:val="none"/>
                      <w:vertAlign w:val="subscript"/>
                    </w:rPr>
                    <w:t>3</w:t>
                  </w:r>
                </w:p>
              </w:tc>
              <w:tc>
                <w:tcPr>
                  <w:tcW w:w="2363" w:type="dxa"/>
                  <w:vAlign w:val="center"/>
                </w:tcPr>
                <w:p>
                  <w:pPr>
                    <w:pStyle w:val="22"/>
                    <w:rPr>
                      <w:color w:val="auto"/>
                      <w:highlight w:val="none"/>
                    </w:rPr>
                  </w:pPr>
                  <w:r>
                    <w:rPr>
                      <w:rFonts w:hint="eastAsia"/>
                      <w:color w:val="auto"/>
                      <w:highlight w:val="none"/>
                    </w:rPr>
                    <w:t>日最大8小时百分位浓度</w:t>
                  </w:r>
                </w:p>
              </w:tc>
              <w:tc>
                <w:tcPr>
                  <w:tcW w:w="1485"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149</w:t>
                  </w:r>
                </w:p>
              </w:tc>
              <w:tc>
                <w:tcPr>
                  <w:tcW w:w="1266" w:type="dxa"/>
                  <w:vAlign w:val="center"/>
                </w:tcPr>
                <w:p>
                  <w:pPr>
                    <w:pStyle w:val="22"/>
                    <w:rPr>
                      <w:color w:val="auto"/>
                      <w:highlight w:val="none"/>
                    </w:rPr>
                  </w:pPr>
                  <w:r>
                    <w:rPr>
                      <w:rFonts w:hint="eastAsia"/>
                      <w:color w:val="auto"/>
                      <w:highlight w:val="none"/>
                    </w:rPr>
                    <w:t>160</w:t>
                  </w:r>
                </w:p>
              </w:tc>
              <w:tc>
                <w:tcPr>
                  <w:tcW w:w="820"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93</w:t>
                  </w:r>
                </w:p>
              </w:tc>
              <w:tc>
                <w:tcPr>
                  <w:tcW w:w="1133" w:type="dxa"/>
                  <w:vAlign w:val="center"/>
                </w:tcPr>
                <w:p>
                  <w:pPr>
                    <w:pStyle w:val="22"/>
                    <w:rPr>
                      <w:color w:val="auto"/>
                      <w:highlight w:val="none"/>
                    </w:rPr>
                  </w:pPr>
                  <w:r>
                    <w:rPr>
                      <w:rFonts w:hint="eastAsia"/>
                      <w:color w:val="auto"/>
                      <w:highlight w:val="none"/>
                    </w:rPr>
                    <w:t>达标</w:t>
                  </w:r>
                </w:p>
              </w:tc>
            </w:tr>
          </w:tbl>
          <w:p>
            <w:pPr>
              <w:pStyle w:val="12"/>
              <w:ind w:firstLine="480"/>
              <w:rPr>
                <w:color w:val="auto"/>
                <w:highlight w:val="none"/>
              </w:rPr>
            </w:pPr>
            <w:r>
              <w:rPr>
                <w:rFonts w:hint="eastAsia"/>
                <w:color w:val="auto"/>
                <w:highlight w:val="none"/>
              </w:rPr>
              <w:t>从上表可知</w:t>
            </w:r>
            <w:r>
              <w:rPr>
                <w:rFonts w:hint="eastAsia"/>
                <w:color w:val="auto"/>
                <w:highlight w:val="none"/>
                <w:lang w:eastAsia="zh-CN"/>
              </w:rPr>
              <w:t>，</w:t>
            </w:r>
            <w:r>
              <w:rPr>
                <w:rFonts w:hint="eastAsia"/>
                <w:color w:val="auto"/>
                <w:highlight w:val="none"/>
              </w:rPr>
              <w:t>项目所在区域的</w:t>
            </w:r>
            <w:r>
              <w:rPr>
                <w:color w:val="auto"/>
                <w:highlight w:val="none"/>
              </w:rPr>
              <w:t>PM</w:t>
            </w:r>
            <w:r>
              <w:rPr>
                <w:color w:val="auto"/>
                <w:highlight w:val="none"/>
                <w:vertAlign w:val="subscript"/>
              </w:rPr>
              <w:t>2.5</w:t>
            </w:r>
            <w:r>
              <w:rPr>
                <w:rFonts w:hint="eastAsia"/>
                <w:color w:val="auto"/>
                <w:highlight w:val="none"/>
              </w:rPr>
              <w:t>、</w:t>
            </w:r>
            <w:r>
              <w:rPr>
                <w:color w:val="auto"/>
                <w:highlight w:val="none"/>
              </w:rPr>
              <w:t>PM</w:t>
            </w:r>
            <w:r>
              <w:rPr>
                <w:color w:val="auto"/>
                <w:highlight w:val="none"/>
                <w:vertAlign w:val="subscript"/>
              </w:rPr>
              <w:t>10</w:t>
            </w:r>
            <w:r>
              <w:rPr>
                <w:rFonts w:hint="eastAsia"/>
                <w:color w:val="auto"/>
                <w:highlight w:val="none"/>
              </w:rPr>
              <w:t>、</w:t>
            </w:r>
            <w:r>
              <w:rPr>
                <w:color w:val="auto"/>
                <w:highlight w:val="none"/>
              </w:rPr>
              <w:t>SO</w:t>
            </w:r>
            <w:r>
              <w:rPr>
                <w:color w:val="auto"/>
                <w:highlight w:val="none"/>
                <w:vertAlign w:val="subscript"/>
              </w:rPr>
              <w:t>2</w:t>
            </w:r>
            <w:r>
              <w:rPr>
                <w:rFonts w:hint="eastAsia"/>
                <w:color w:val="auto"/>
                <w:highlight w:val="none"/>
              </w:rPr>
              <w:t>、</w:t>
            </w:r>
            <w:r>
              <w:rPr>
                <w:color w:val="auto"/>
                <w:highlight w:val="none"/>
              </w:rPr>
              <w:t>NO</w:t>
            </w:r>
            <w:r>
              <w:rPr>
                <w:color w:val="auto"/>
                <w:highlight w:val="none"/>
                <w:vertAlign w:val="subscript"/>
              </w:rPr>
              <w:t>2</w:t>
            </w:r>
            <w:r>
              <w:rPr>
                <w:rFonts w:hint="eastAsia"/>
                <w:color w:val="auto"/>
                <w:highlight w:val="none"/>
              </w:rPr>
              <w:t>、</w:t>
            </w:r>
            <w:r>
              <w:rPr>
                <w:color w:val="auto"/>
                <w:highlight w:val="none"/>
              </w:rPr>
              <w:t>CO</w:t>
            </w:r>
            <w:r>
              <w:rPr>
                <w:rFonts w:hint="eastAsia"/>
                <w:color w:val="auto"/>
                <w:highlight w:val="none"/>
              </w:rPr>
              <w:t>、</w:t>
            </w:r>
            <w:r>
              <w:rPr>
                <w:color w:val="auto"/>
                <w:highlight w:val="none"/>
              </w:rPr>
              <w:t>O</w:t>
            </w:r>
            <w:r>
              <w:rPr>
                <w:color w:val="auto"/>
                <w:highlight w:val="none"/>
                <w:vertAlign w:val="subscript"/>
              </w:rPr>
              <w:t>3</w:t>
            </w:r>
            <w:r>
              <w:rPr>
                <w:rFonts w:hint="eastAsia"/>
                <w:color w:val="auto"/>
                <w:highlight w:val="none"/>
              </w:rPr>
              <w:t>指标均符合《环境空气质量标准》（GB3095-2012）中二级标准及修改单。</w:t>
            </w:r>
          </w:p>
          <w:p>
            <w:pPr>
              <w:pStyle w:val="12"/>
              <w:ind w:firstLine="480"/>
              <w:rPr>
                <w:color w:val="auto"/>
                <w:highlight w:val="none"/>
              </w:rPr>
            </w:pPr>
            <w:r>
              <w:rPr>
                <w:rFonts w:hint="eastAsia"/>
                <w:color w:val="auto"/>
                <w:highlight w:val="none"/>
              </w:rPr>
              <w:t>（2）其他污染物</w:t>
            </w:r>
          </w:p>
          <w:p>
            <w:pPr>
              <w:pStyle w:val="12"/>
              <w:ind w:firstLine="480"/>
              <w:rPr>
                <w:color w:val="auto"/>
                <w:highlight w:val="none"/>
              </w:rPr>
            </w:pPr>
            <w:r>
              <w:rPr>
                <w:rFonts w:hint="eastAsia"/>
                <w:color w:val="auto"/>
                <w:highlight w:val="none"/>
              </w:rPr>
              <w:t>本项目位于北票市</w:t>
            </w:r>
            <w:r>
              <w:rPr>
                <w:rFonts w:hint="eastAsia"/>
                <w:color w:val="auto"/>
                <w:highlight w:val="none"/>
                <w:lang w:eastAsia="zh-CN"/>
              </w:rPr>
              <w:t>龙潭镇二道沟公司</w:t>
            </w:r>
            <w:r>
              <w:rPr>
                <w:rFonts w:hint="eastAsia"/>
                <w:color w:val="auto"/>
                <w:highlight w:val="none"/>
              </w:rPr>
              <w:t>厂区内</w:t>
            </w:r>
            <w:r>
              <w:rPr>
                <w:rFonts w:hint="eastAsia"/>
                <w:color w:val="auto"/>
                <w:highlight w:val="none"/>
                <w:lang w:eastAsia="zh-CN"/>
              </w:rPr>
              <w:t>，监测期间当季主导风向为东南风，</w:t>
            </w:r>
            <w:r>
              <w:rPr>
                <w:color w:val="auto"/>
                <w:highlight w:val="none"/>
              </w:rPr>
              <w:t>辽宁中环祥瑞工程技术有限公司于202</w:t>
            </w:r>
            <w:r>
              <w:rPr>
                <w:rFonts w:hint="eastAsia"/>
                <w:color w:val="auto"/>
                <w:highlight w:val="none"/>
                <w:lang w:val="en-US" w:eastAsia="zh-CN"/>
              </w:rPr>
              <w:t>4</w:t>
            </w:r>
            <w:r>
              <w:rPr>
                <w:color w:val="auto"/>
                <w:highlight w:val="none"/>
              </w:rPr>
              <w:t>年</w:t>
            </w:r>
            <w:r>
              <w:rPr>
                <w:rFonts w:hint="eastAsia"/>
                <w:color w:val="auto"/>
                <w:highlight w:val="none"/>
                <w:lang w:val="en-US" w:eastAsia="zh-CN"/>
              </w:rPr>
              <w:t>8</w:t>
            </w:r>
            <w:r>
              <w:rPr>
                <w:color w:val="auto"/>
                <w:highlight w:val="none"/>
              </w:rPr>
              <w:t>月</w:t>
            </w:r>
            <w:r>
              <w:rPr>
                <w:rFonts w:hint="eastAsia"/>
                <w:color w:val="auto"/>
                <w:highlight w:val="none"/>
                <w:lang w:val="en-US" w:eastAsia="zh-CN"/>
              </w:rPr>
              <w:t>18</w:t>
            </w:r>
            <w:r>
              <w:rPr>
                <w:color w:val="auto"/>
                <w:highlight w:val="none"/>
              </w:rPr>
              <w:t>日</w:t>
            </w:r>
            <w:r>
              <w:rPr>
                <w:rFonts w:hint="eastAsia"/>
                <w:color w:val="auto"/>
                <w:highlight w:val="none"/>
              </w:rPr>
              <w:t>-</w:t>
            </w:r>
            <w:r>
              <w:rPr>
                <w:rFonts w:hint="eastAsia"/>
                <w:color w:val="auto"/>
                <w:highlight w:val="none"/>
                <w:lang w:val="en-US" w:eastAsia="zh-CN"/>
              </w:rPr>
              <w:t>8</w:t>
            </w:r>
            <w:r>
              <w:rPr>
                <w:rFonts w:hint="eastAsia"/>
                <w:color w:val="auto"/>
                <w:highlight w:val="none"/>
              </w:rPr>
              <w:t>月</w:t>
            </w:r>
            <w:r>
              <w:rPr>
                <w:rFonts w:hint="eastAsia"/>
                <w:color w:val="auto"/>
                <w:highlight w:val="none"/>
                <w:lang w:val="en-US" w:eastAsia="zh-CN"/>
              </w:rPr>
              <w:t>20</w:t>
            </w:r>
            <w:r>
              <w:rPr>
                <w:rFonts w:hint="eastAsia"/>
                <w:color w:val="auto"/>
                <w:highlight w:val="none"/>
              </w:rPr>
              <w:t>日</w:t>
            </w:r>
            <w:r>
              <w:rPr>
                <w:color w:val="auto"/>
                <w:highlight w:val="none"/>
              </w:rPr>
              <w:t>对</w:t>
            </w:r>
            <w:r>
              <w:rPr>
                <w:rFonts w:hint="eastAsia"/>
                <w:color w:val="auto"/>
                <w:highlight w:val="none"/>
              </w:rPr>
              <w:t>本项目</w:t>
            </w:r>
            <w:r>
              <w:rPr>
                <w:color w:val="auto"/>
                <w:highlight w:val="none"/>
              </w:rPr>
              <w:t>环境空气进行现状检测</w:t>
            </w:r>
            <w:r>
              <w:rPr>
                <w:rFonts w:hint="eastAsia"/>
                <w:color w:val="auto"/>
                <w:highlight w:val="none"/>
                <w:lang w:eastAsia="zh-CN"/>
              </w:rPr>
              <w:t>，</w:t>
            </w:r>
            <w:r>
              <w:rPr>
                <w:color w:val="auto"/>
                <w:highlight w:val="none"/>
              </w:rPr>
              <w:t>检测基本信息如下。</w:t>
            </w:r>
          </w:p>
          <w:p>
            <w:pPr>
              <w:pStyle w:val="23"/>
              <w:numPr>
                <w:ilvl w:val="0"/>
                <w:numId w:val="2"/>
              </w:numPr>
              <w:tabs>
                <w:tab w:val="clear" w:pos="0"/>
                <w:tab w:val="clear" w:pos="420"/>
              </w:tabs>
              <w:ind w:left="0" w:leftChars="0" w:firstLine="0" w:firstLineChars="0"/>
              <w:rPr>
                <w:rFonts w:hint="eastAsia"/>
                <w:color w:val="auto"/>
                <w:highlight w:val="none"/>
              </w:rPr>
            </w:pPr>
            <w:r>
              <w:rPr>
                <w:rFonts w:hint="eastAsia"/>
                <w:color w:val="auto"/>
                <w:highlight w:val="none"/>
              </w:rPr>
              <w:t xml:space="preserve">   </w:t>
            </w:r>
            <w:r>
              <w:rPr>
                <w:rFonts w:hint="eastAsia"/>
                <w:color w:val="auto"/>
                <w:highlight w:val="none"/>
                <w:lang w:eastAsia="zh-CN"/>
              </w:rPr>
              <w:t>监测点位合理性</w:t>
            </w:r>
          </w:p>
          <w:tbl>
            <w:tblPr>
              <w:tblStyle w:val="15"/>
              <w:tblW w:w="79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658"/>
              <w:gridCol w:w="1602"/>
              <w:gridCol w:w="1778"/>
              <w:gridCol w:w="1733"/>
              <w:gridCol w:w="12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617" w:hRule="atLeast"/>
                <w:tblHeader/>
                <w:jc w:val="center"/>
              </w:trPr>
              <w:tc>
                <w:tcPr>
                  <w:tcW w:w="1658" w:type="dxa"/>
                  <w:tcMar>
                    <w:left w:w="85" w:type="dxa"/>
                    <w:right w:w="85" w:type="dxa"/>
                  </w:tcMar>
                  <w:vAlign w:val="center"/>
                </w:tcPr>
                <w:p>
                  <w:pPr>
                    <w:pStyle w:val="25"/>
                    <w:rPr>
                      <w:rFonts w:hint="eastAsia"/>
                      <w:color w:val="auto"/>
                      <w:highlight w:val="none"/>
                      <w:lang w:eastAsia="zh-CN"/>
                    </w:rPr>
                  </w:pPr>
                  <w:r>
                    <w:rPr>
                      <w:rFonts w:hint="eastAsia"/>
                      <w:color w:val="auto"/>
                      <w:highlight w:val="none"/>
                      <w:lang w:eastAsia="zh-CN"/>
                    </w:rPr>
                    <w:t>监测时间</w:t>
                  </w:r>
                </w:p>
              </w:tc>
              <w:tc>
                <w:tcPr>
                  <w:tcW w:w="1602" w:type="dxa"/>
                  <w:shd w:val="clear" w:color="auto" w:fill="auto"/>
                  <w:tcMar>
                    <w:left w:w="85" w:type="dxa"/>
                    <w:right w:w="85" w:type="dxa"/>
                  </w:tcMar>
                  <w:vAlign w:val="center"/>
                </w:tcPr>
                <w:p>
                  <w:pPr>
                    <w:pStyle w:val="25"/>
                    <w:rPr>
                      <w:rFonts w:hint="eastAsia"/>
                      <w:color w:val="auto"/>
                      <w:highlight w:val="none"/>
                      <w:lang w:val="en-US" w:eastAsia="zh-CN"/>
                    </w:rPr>
                  </w:pPr>
                  <w:r>
                    <w:rPr>
                      <w:rFonts w:hint="eastAsia"/>
                      <w:color w:val="auto"/>
                      <w:highlight w:val="none"/>
                      <w:lang w:eastAsia="zh-CN"/>
                    </w:rPr>
                    <w:t>当季主导风向</w:t>
                  </w:r>
                </w:p>
              </w:tc>
              <w:tc>
                <w:tcPr>
                  <w:tcW w:w="1778" w:type="dxa"/>
                  <w:shd w:val="clear" w:color="auto" w:fill="auto"/>
                  <w:tcMar>
                    <w:left w:w="85" w:type="dxa"/>
                    <w:right w:w="85" w:type="dxa"/>
                  </w:tcMar>
                  <w:vAlign w:val="center"/>
                </w:tcPr>
                <w:p>
                  <w:pPr>
                    <w:pStyle w:val="25"/>
                    <w:rPr>
                      <w:rFonts w:hint="eastAsia"/>
                      <w:color w:val="auto"/>
                      <w:highlight w:val="none"/>
                      <w:lang w:val="en-US" w:eastAsia="zh-CN"/>
                    </w:rPr>
                  </w:pPr>
                  <w:r>
                    <w:rPr>
                      <w:rFonts w:hint="eastAsia"/>
                      <w:color w:val="auto"/>
                      <w:highlight w:val="none"/>
                      <w:lang w:eastAsia="zh-CN"/>
                    </w:rPr>
                    <w:t>监测点位位于本项目方向</w:t>
                  </w:r>
                </w:p>
              </w:tc>
              <w:tc>
                <w:tcPr>
                  <w:tcW w:w="1733" w:type="dxa"/>
                  <w:tcMar>
                    <w:left w:w="85" w:type="dxa"/>
                    <w:right w:w="85" w:type="dxa"/>
                  </w:tcMar>
                  <w:vAlign w:val="center"/>
                </w:tcPr>
                <w:p>
                  <w:pPr>
                    <w:pStyle w:val="25"/>
                    <w:rPr>
                      <w:rFonts w:hint="eastAsia"/>
                      <w:color w:val="auto"/>
                      <w:highlight w:val="none"/>
                      <w:lang w:eastAsia="zh-CN"/>
                    </w:rPr>
                  </w:pPr>
                  <w:r>
                    <w:rPr>
                      <w:rFonts w:hint="eastAsia"/>
                      <w:color w:val="auto"/>
                      <w:highlight w:val="none"/>
                      <w:lang w:eastAsia="zh-CN"/>
                    </w:rPr>
                    <w:t>监测点位要求</w:t>
                  </w:r>
                </w:p>
              </w:tc>
              <w:tc>
                <w:tcPr>
                  <w:tcW w:w="1200" w:type="dxa"/>
                  <w:tcMar>
                    <w:left w:w="85" w:type="dxa"/>
                    <w:right w:w="85" w:type="dxa"/>
                  </w:tcMar>
                  <w:vAlign w:val="center"/>
                </w:tcPr>
                <w:p>
                  <w:pPr>
                    <w:pStyle w:val="25"/>
                    <w:rPr>
                      <w:rFonts w:hint="eastAsia"/>
                      <w:color w:val="auto"/>
                      <w:highlight w:val="none"/>
                      <w:lang w:eastAsia="zh-CN"/>
                    </w:rPr>
                  </w:pPr>
                  <w:r>
                    <w:rPr>
                      <w:rFonts w:hint="eastAsia"/>
                      <w:color w:val="auto"/>
                      <w:highlight w:val="none"/>
                      <w:lang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1658" w:type="dxa"/>
                  <w:tcMar>
                    <w:left w:w="85" w:type="dxa"/>
                    <w:right w:w="85" w:type="dxa"/>
                  </w:tcMar>
                  <w:vAlign w:val="center"/>
                </w:tcPr>
                <w:p>
                  <w:pPr>
                    <w:pStyle w:val="22"/>
                    <w:rPr>
                      <w:rFonts w:hint="default"/>
                      <w:color w:val="auto"/>
                      <w:highlight w:val="none"/>
                      <w:lang w:val="en-US" w:eastAsia="zh-CN"/>
                    </w:rPr>
                  </w:pPr>
                  <w:r>
                    <w:rPr>
                      <w:rFonts w:hint="eastAsia"/>
                      <w:color w:val="auto"/>
                      <w:highlight w:val="none"/>
                      <w:lang w:val="en-US" w:eastAsia="zh-CN"/>
                    </w:rPr>
                    <w:t>2024.8.18-2024.8.20</w:t>
                  </w:r>
                </w:p>
              </w:tc>
              <w:tc>
                <w:tcPr>
                  <w:tcW w:w="1602" w:type="dxa"/>
                  <w:tcMar>
                    <w:left w:w="85" w:type="dxa"/>
                    <w:right w:w="85" w:type="dxa"/>
                  </w:tcMar>
                  <w:vAlign w:val="center"/>
                </w:tcPr>
                <w:p>
                  <w:pPr>
                    <w:pStyle w:val="22"/>
                    <w:rPr>
                      <w:rFonts w:hint="eastAsia"/>
                      <w:color w:val="auto"/>
                      <w:highlight w:val="none"/>
                      <w:lang w:eastAsia="zh-CN"/>
                    </w:rPr>
                  </w:pPr>
                  <w:r>
                    <w:rPr>
                      <w:rFonts w:hint="eastAsia"/>
                      <w:color w:val="auto"/>
                      <w:highlight w:val="none"/>
                      <w:lang w:eastAsia="zh-CN"/>
                    </w:rPr>
                    <w:t>东南风</w:t>
                  </w:r>
                </w:p>
              </w:tc>
              <w:tc>
                <w:tcPr>
                  <w:tcW w:w="1778" w:type="dxa"/>
                  <w:tcMar>
                    <w:left w:w="85" w:type="dxa"/>
                    <w:right w:w="85" w:type="dxa"/>
                  </w:tcMar>
                  <w:vAlign w:val="center"/>
                </w:tcPr>
                <w:p>
                  <w:pPr>
                    <w:pStyle w:val="22"/>
                    <w:rPr>
                      <w:rFonts w:hint="eastAsia"/>
                      <w:color w:val="auto"/>
                      <w:highlight w:val="none"/>
                      <w:lang w:eastAsia="zh-CN"/>
                    </w:rPr>
                  </w:pPr>
                  <w:r>
                    <w:rPr>
                      <w:rFonts w:hint="eastAsia"/>
                      <w:color w:val="auto"/>
                      <w:highlight w:val="none"/>
                      <w:lang w:eastAsia="zh-CN"/>
                    </w:rPr>
                    <w:t>西北</w:t>
                  </w:r>
                </w:p>
              </w:tc>
              <w:tc>
                <w:tcPr>
                  <w:tcW w:w="1733" w:type="dxa"/>
                  <w:tcMar>
                    <w:left w:w="85" w:type="dxa"/>
                    <w:right w:w="85" w:type="dxa"/>
                  </w:tcMar>
                  <w:vAlign w:val="center"/>
                </w:tcPr>
                <w:p>
                  <w:pPr>
                    <w:pStyle w:val="22"/>
                    <w:rPr>
                      <w:color w:val="auto"/>
                      <w:highlight w:val="none"/>
                    </w:rPr>
                  </w:pPr>
                  <w:r>
                    <w:rPr>
                      <w:rFonts w:hint="eastAsia"/>
                      <w:color w:val="auto"/>
                      <w:highlight w:val="none"/>
                    </w:rPr>
                    <w:t>当季主导风向下风向1个点位</w:t>
                  </w:r>
                </w:p>
              </w:tc>
              <w:tc>
                <w:tcPr>
                  <w:tcW w:w="1200" w:type="dxa"/>
                  <w:tcMar>
                    <w:left w:w="85" w:type="dxa"/>
                    <w:right w:w="85" w:type="dxa"/>
                  </w:tcMar>
                  <w:vAlign w:val="center"/>
                </w:tcPr>
                <w:p>
                  <w:pPr>
                    <w:pStyle w:val="22"/>
                    <w:rPr>
                      <w:rFonts w:hint="eastAsia"/>
                      <w:color w:val="auto"/>
                      <w:highlight w:val="none"/>
                      <w:lang w:eastAsia="zh-CN"/>
                    </w:rPr>
                  </w:pPr>
                  <w:r>
                    <w:rPr>
                      <w:rFonts w:hint="eastAsia"/>
                      <w:color w:val="auto"/>
                      <w:highlight w:val="none"/>
                      <w:lang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7971" w:type="dxa"/>
                  <w:gridSpan w:val="5"/>
                  <w:tcMar>
                    <w:left w:w="85" w:type="dxa"/>
                    <w:right w:w="85" w:type="dxa"/>
                  </w:tcMar>
                  <w:vAlign w:val="center"/>
                </w:tcPr>
                <w:p>
                  <w:pPr>
                    <w:pStyle w:val="22"/>
                    <w:rPr>
                      <w:rFonts w:hint="eastAsia"/>
                      <w:color w:val="auto"/>
                      <w:highlight w:val="none"/>
                      <w:lang w:val="en-US" w:eastAsia="zh-CN"/>
                    </w:rPr>
                  </w:pPr>
                  <w:r>
                    <w:rPr>
                      <w:rFonts w:hint="eastAsia"/>
                      <w:color w:val="auto"/>
                      <w:highlight w:val="none"/>
                      <w:lang w:val="en-US" w:eastAsia="zh-CN"/>
                    </w:rPr>
                    <w:t>注：监测点位要求来源《建设项目环境影响报告表编制技术指南》（污染影响类）（试行中）中“无相关数据的选择当季主导风向下风向 1 个点位补充不少于3天的监测数据”</w:t>
                  </w:r>
                </w:p>
              </w:tc>
            </w:tr>
          </w:tbl>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特征污染物环境质量监测结果</w:t>
            </w:r>
          </w:p>
          <w:tbl>
            <w:tblPr>
              <w:tblStyle w:val="15"/>
              <w:tblW w:w="79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659"/>
              <w:gridCol w:w="1603"/>
              <w:gridCol w:w="1779"/>
              <w:gridCol w:w="1421"/>
              <w:gridCol w:w="15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617" w:hRule="atLeast"/>
                <w:tblHeader/>
                <w:jc w:val="center"/>
              </w:trPr>
              <w:tc>
                <w:tcPr>
                  <w:tcW w:w="1659" w:type="dxa"/>
                  <w:tcMar>
                    <w:left w:w="85" w:type="dxa"/>
                    <w:right w:w="85" w:type="dxa"/>
                  </w:tcMar>
                  <w:vAlign w:val="center"/>
                </w:tcPr>
                <w:p>
                  <w:pPr>
                    <w:pStyle w:val="25"/>
                    <w:rPr>
                      <w:rFonts w:hint="default"/>
                      <w:color w:val="auto"/>
                      <w:highlight w:val="none"/>
                    </w:rPr>
                  </w:pPr>
                  <w:r>
                    <w:rPr>
                      <w:color w:val="auto"/>
                      <w:highlight w:val="none"/>
                    </w:rPr>
                    <w:t>大气监测指标</w:t>
                  </w:r>
                </w:p>
              </w:tc>
              <w:tc>
                <w:tcPr>
                  <w:tcW w:w="1603" w:type="dxa"/>
                  <w:tcMar>
                    <w:left w:w="85" w:type="dxa"/>
                    <w:right w:w="85" w:type="dxa"/>
                  </w:tcMar>
                  <w:vAlign w:val="center"/>
                </w:tcPr>
                <w:p>
                  <w:pPr>
                    <w:pStyle w:val="25"/>
                    <w:rPr>
                      <w:rFonts w:hint="default"/>
                      <w:color w:val="auto"/>
                      <w:highlight w:val="none"/>
                    </w:rPr>
                  </w:pPr>
                  <w:r>
                    <w:rPr>
                      <w:color w:val="auto"/>
                      <w:highlight w:val="none"/>
                    </w:rPr>
                    <w:t>浓度范围（m</w:t>
                  </w:r>
                  <w:r>
                    <w:rPr>
                      <w:rFonts w:hint="default"/>
                      <w:color w:val="auto"/>
                      <w:highlight w:val="none"/>
                    </w:rPr>
                    <w:t>g/</w:t>
                  </w:r>
                  <w:r>
                    <w:rPr>
                      <w:color w:val="auto"/>
                      <w:highlight w:val="none"/>
                    </w:rPr>
                    <w:t>m</w:t>
                  </w:r>
                  <w:r>
                    <w:rPr>
                      <w:color w:val="auto"/>
                      <w:highlight w:val="none"/>
                      <w:vertAlign w:val="superscript"/>
                    </w:rPr>
                    <w:t>3</w:t>
                  </w:r>
                  <w:r>
                    <w:rPr>
                      <w:color w:val="auto"/>
                      <w:highlight w:val="none"/>
                    </w:rPr>
                    <w:t>）</w:t>
                  </w:r>
                </w:p>
              </w:tc>
              <w:tc>
                <w:tcPr>
                  <w:tcW w:w="1779" w:type="dxa"/>
                  <w:tcMar>
                    <w:left w:w="85" w:type="dxa"/>
                    <w:right w:w="85" w:type="dxa"/>
                  </w:tcMar>
                  <w:vAlign w:val="center"/>
                </w:tcPr>
                <w:p>
                  <w:pPr>
                    <w:pStyle w:val="25"/>
                    <w:rPr>
                      <w:rFonts w:hint="default"/>
                      <w:color w:val="auto"/>
                      <w:highlight w:val="none"/>
                    </w:rPr>
                  </w:pPr>
                  <w:r>
                    <w:rPr>
                      <w:color w:val="auto"/>
                      <w:highlight w:val="none"/>
                    </w:rPr>
                    <w:t>标准（</w:t>
                  </w:r>
                  <w:r>
                    <w:rPr>
                      <w:rFonts w:hint="default"/>
                      <w:color w:val="auto"/>
                      <w:highlight w:val="none"/>
                    </w:rPr>
                    <w:t>μg/</w:t>
                  </w:r>
                  <w:r>
                    <w:rPr>
                      <w:color w:val="auto"/>
                      <w:highlight w:val="none"/>
                    </w:rPr>
                    <w:t>m</w:t>
                  </w:r>
                  <w:r>
                    <w:rPr>
                      <w:color w:val="auto"/>
                      <w:highlight w:val="none"/>
                      <w:vertAlign w:val="superscript"/>
                    </w:rPr>
                    <w:t>3</w:t>
                  </w:r>
                  <w:r>
                    <w:rPr>
                      <w:color w:val="auto"/>
                      <w:highlight w:val="none"/>
                    </w:rPr>
                    <w:t>）</w:t>
                  </w:r>
                </w:p>
              </w:tc>
              <w:tc>
                <w:tcPr>
                  <w:tcW w:w="1421" w:type="dxa"/>
                  <w:tcMar>
                    <w:left w:w="85" w:type="dxa"/>
                    <w:right w:w="85" w:type="dxa"/>
                  </w:tcMar>
                  <w:vAlign w:val="center"/>
                </w:tcPr>
                <w:p>
                  <w:pPr>
                    <w:pStyle w:val="25"/>
                    <w:rPr>
                      <w:rFonts w:hint="default"/>
                      <w:color w:val="auto"/>
                      <w:highlight w:val="none"/>
                    </w:rPr>
                  </w:pPr>
                  <w:r>
                    <w:rPr>
                      <w:color w:val="auto"/>
                      <w:highlight w:val="none"/>
                    </w:rPr>
                    <w:t>超标率（%)</w:t>
                  </w:r>
                </w:p>
              </w:tc>
              <w:tc>
                <w:tcPr>
                  <w:tcW w:w="1509" w:type="dxa"/>
                  <w:tcMar>
                    <w:left w:w="85" w:type="dxa"/>
                    <w:right w:w="85" w:type="dxa"/>
                  </w:tcMar>
                  <w:vAlign w:val="center"/>
                </w:tcPr>
                <w:p>
                  <w:pPr>
                    <w:pStyle w:val="25"/>
                    <w:rPr>
                      <w:rFonts w:hint="default"/>
                      <w:color w:val="auto"/>
                      <w:highlight w:val="none"/>
                    </w:rPr>
                  </w:pPr>
                  <w:r>
                    <w:rPr>
                      <w:color w:val="auto"/>
                      <w:highlight w:val="none"/>
                    </w:rPr>
                    <w:t>最大超标倍数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1659" w:type="dxa"/>
                  <w:tcMar>
                    <w:left w:w="85" w:type="dxa"/>
                    <w:right w:w="85" w:type="dxa"/>
                  </w:tcMar>
                  <w:vAlign w:val="center"/>
                </w:tcPr>
                <w:p>
                  <w:pPr>
                    <w:pStyle w:val="22"/>
                    <w:rPr>
                      <w:color w:val="auto"/>
                      <w:highlight w:val="none"/>
                    </w:rPr>
                  </w:pPr>
                  <w:r>
                    <w:rPr>
                      <w:rFonts w:hint="eastAsia"/>
                      <w:color w:val="auto"/>
                      <w:highlight w:val="none"/>
                    </w:rPr>
                    <w:t>硫酸</w:t>
                  </w:r>
                </w:p>
              </w:tc>
              <w:tc>
                <w:tcPr>
                  <w:tcW w:w="1603" w:type="dxa"/>
                  <w:tcMar>
                    <w:left w:w="85" w:type="dxa"/>
                    <w:right w:w="85" w:type="dxa"/>
                  </w:tcMar>
                  <w:vAlign w:val="center"/>
                </w:tcPr>
                <w:p>
                  <w:pPr>
                    <w:pStyle w:val="22"/>
                    <w:rPr>
                      <w:color w:val="auto"/>
                      <w:highlight w:val="none"/>
                    </w:rPr>
                  </w:pPr>
                  <w:r>
                    <w:rPr>
                      <w:rFonts w:hint="eastAsia" w:ascii="Times New Roman" w:hAnsi="Times New Roman" w:eastAsia="宋体" w:cs="Times New Roman"/>
                      <w:color w:val="auto"/>
                      <w:sz w:val="21"/>
                      <w:szCs w:val="21"/>
                      <w:highlight w:val="none"/>
                      <w:lang w:val="en-US" w:eastAsia="zh-CN"/>
                    </w:rPr>
                    <w:t>&lt;0.005</w:t>
                  </w:r>
                </w:p>
              </w:tc>
              <w:tc>
                <w:tcPr>
                  <w:tcW w:w="1779" w:type="dxa"/>
                  <w:tcMar>
                    <w:left w:w="85" w:type="dxa"/>
                    <w:right w:w="85" w:type="dxa"/>
                  </w:tcMar>
                  <w:vAlign w:val="center"/>
                </w:tcPr>
                <w:p>
                  <w:pPr>
                    <w:pStyle w:val="22"/>
                    <w:rPr>
                      <w:color w:val="auto"/>
                      <w:highlight w:val="none"/>
                    </w:rPr>
                  </w:pPr>
                  <w:r>
                    <w:rPr>
                      <w:rFonts w:hint="eastAsia"/>
                      <w:color w:val="auto"/>
                      <w:highlight w:val="none"/>
                    </w:rPr>
                    <w:t>300</w:t>
                  </w:r>
                </w:p>
              </w:tc>
              <w:tc>
                <w:tcPr>
                  <w:tcW w:w="1421" w:type="dxa"/>
                  <w:tcMar>
                    <w:left w:w="85" w:type="dxa"/>
                    <w:right w:w="85" w:type="dxa"/>
                  </w:tcMar>
                  <w:vAlign w:val="center"/>
                </w:tcPr>
                <w:p>
                  <w:pPr>
                    <w:pStyle w:val="22"/>
                    <w:rPr>
                      <w:color w:val="auto"/>
                      <w:highlight w:val="none"/>
                    </w:rPr>
                  </w:pPr>
                  <w:r>
                    <w:rPr>
                      <w:rFonts w:hint="eastAsia"/>
                      <w:color w:val="auto"/>
                      <w:highlight w:val="none"/>
                    </w:rPr>
                    <w:t>/</w:t>
                  </w:r>
                </w:p>
              </w:tc>
              <w:tc>
                <w:tcPr>
                  <w:tcW w:w="1509" w:type="dxa"/>
                  <w:tcMar>
                    <w:left w:w="85" w:type="dxa"/>
                    <w:right w:w="85" w:type="dxa"/>
                  </w:tcMar>
                  <w:vAlign w:val="center"/>
                </w:tcPr>
                <w:p>
                  <w:pPr>
                    <w:pStyle w:val="22"/>
                    <w:rPr>
                      <w:color w:val="auto"/>
                      <w:highlight w:val="none"/>
                    </w:rPr>
                  </w:pP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397" w:hRule="atLeast"/>
                <w:jc w:val="center"/>
              </w:trPr>
              <w:tc>
                <w:tcPr>
                  <w:tcW w:w="1659" w:type="dxa"/>
                  <w:tcMar>
                    <w:left w:w="85" w:type="dxa"/>
                    <w:right w:w="85" w:type="dxa"/>
                  </w:tcMar>
                  <w:vAlign w:val="center"/>
                </w:tcPr>
                <w:p>
                  <w:pPr>
                    <w:pStyle w:val="22"/>
                    <w:rPr>
                      <w:rFonts w:hint="eastAsia" w:eastAsiaTheme="minorEastAsia"/>
                      <w:color w:val="auto"/>
                      <w:highlight w:val="none"/>
                      <w:lang w:eastAsia="zh-CN"/>
                    </w:rPr>
                  </w:pPr>
                  <w:r>
                    <w:rPr>
                      <w:rFonts w:hint="eastAsia"/>
                      <w:color w:val="auto"/>
                      <w:highlight w:val="none"/>
                      <w:lang w:eastAsia="zh-CN"/>
                    </w:rPr>
                    <w:t>非甲烷总烃</w:t>
                  </w:r>
                </w:p>
              </w:tc>
              <w:tc>
                <w:tcPr>
                  <w:tcW w:w="1603" w:type="dxa"/>
                  <w:tcMar>
                    <w:left w:w="85" w:type="dxa"/>
                    <w:right w:w="85" w:type="dxa"/>
                  </w:tcMar>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0.43~0.48</w:t>
                  </w:r>
                </w:p>
              </w:tc>
              <w:tc>
                <w:tcPr>
                  <w:tcW w:w="1779" w:type="dxa"/>
                  <w:tcMar>
                    <w:left w:w="85" w:type="dxa"/>
                    <w:right w:w="85" w:type="dxa"/>
                  </w:tcMar>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2.0</w:t>
                  </w:r>
                </w:p>
              </w:tc>
              <w:tc>
                <w:tcPr>
                  <w:tcW w:w="1421" w:type="dxa"/>
                  <w:tcMar>
                    <w:left w:w="85" w:type="dxa"/>
                    <w:right w:w="85" w:type="dxa"/>
                  </w:tcMar>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c>
                <w:tcPr>
                  <w:tcW w:w="1509" w:type="dxa"/>
                  <w:tcMar>
                    <w:left w:w="85" w:type="dxa"/>
                    <w:right w:w="85" w:type="dxa"/>
                  </w:tcMar>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r>
          </w:tbl>
          <w:p>
            <w:pPr>
              <w:pStyle w:val="12"/>
              <w:ind w:firstLine="480"/>
              <w:rPr>
                <w:color w:val="auto"/>
                <w:highlight w:val="none"/>
              </w:rPr>
            </w:pPr>
            <w:r>
              <w:rPr>
                <w:rFonts w:hint="eastAsia"/>
                <w:color w:val="auto"/>
                <w:highlight w:val="none"/>
              </w:rPr>
              <w:t>由分析结果可知</w:t>
            </w:r>
            <w:r>
              <w:rPr>
                <w:rFonts w:hint="eastAsia"/>
                <w:color w:val="auto"/>
                <w:highlight w:val="none"/>
                <w:lang w:eastAsia="zh-CN"/>
              </w:rPr>
              <w:t>，</w:t>
            </w:r>
            <w:r>
              <w:rPr>
                <w:rFonts w:hint="eastAsia"/>
                <w:color w:val="auto"/>
                <w:highlight w:val="none"/>
              </w:rPr>
              <w:t>建设项目所在地硫酸的监测结果满足《环境影响评价技术导则 大气环境》（HJ 2.2-2018）附录D</w:t>
            </w:r>
            <w:r>
              <w:rPr>
                <w:rFonts w:hint="eastAsia"/>
                <w:color w:val="auto"/>
                <w:highlight w:val="none"/>
                <w:lang w:eastAsia="zh-CN"/>
              </w:rPr>
              <w:t>，非甲烷总烃的检测结果满足《大气污染物综合排放标准详解》</w:t>
            </w:r>
            <w:r>
              <w:rPr>
                <w:rFonts w:hint="eastAsia"/>
                <w:color w:val="auto"/>
                <w:highlight w:val="none"/>
                <w:lang w:val="en-US" w:eastAsia="zh-CN"/>
              </w:rPr>
              <w:t>2.0mg/m</w:t>
            </w:r>
            <w:r>
              <w:rPr>
                <w:rFonts w:hint="eastAsia"/>
                <w:color w:val="auto"/>
                <w:highlight w:val="none"/>
                <w:vertAlign w:val="superscript"/>
                <w:lang w:val="en-US" w:eastAsia="zh-CN"/>
              </w:rPr>
              <w:t>3</w:t>
            </w:r>
            <w:r>
              <w:rPr>
                <w:rFonts w:hint="eastAsia"/>
                <w:color w:val="auto"/>
                <w:highlight w:val="none"/>
              </w:rPr>
              <w:t>。</w:t>
            </w:r>
          </w:p>
          <w:p>
            <w:pPr>
              <w:pStyle w:val="27"/>
              <w:ind w:firstLine="482"/>
              <w:rPr>
                <w:rFonts w:hint="default"/>
                <w:color w:val="auto"/>
                <w:highlight w:val="none"/>
              </w:rPr>
            </w:pPr>
            <w:r>
              <w:rPr>
                <w:color w:val="auto"/>
                <w:highlight w:val="none"/>
              </w:rPr>
              <w:t>2地表水环境</w:t>
            </w:r>
          </w:p>
          <w:p>
            <w:pPr>
              <w:pStyle w:val="12"/>
              <w:wordWrap w:val="0"/>
              <w:ind w:firstLine="480"/>
              <w:rPr>
                <w:color w:val="auto"/>
                <w:highlight w:val="none"/>
              </w:rPr>
            </w:pPr>
            <w:r>
              <w:rPr>
                <w:rFonts w:hint="eastAsia"/>
                <w:color w:val="auto"/>
                <w:highlight w:val="none"/>
                <w:lang w:eastAsia="zh-CN"/>
              </w:rPr>
              <w:t>本项目位于北票市龙潭镇二道沟公司厂区内，</w:t>
            </w:r>
            <w:r>
              <w:rPr>
                <w:rFonts w:hint="eastAsia"/>
                <w:color w:val="auto"/>
                <w:highlight w:val="none"/>
              </w:rPr>
              <w:t>附近地表水体为</w:t>
            </w:r>
            <w:r>
              <w:rPr>
                <w:rFonts w:hint="eastAsia"/>
                <w:color w:val="auto"/>
                <w:highlight w:val="none"/>
                <w:lang w:val="en-US" w:eastAsia="zh-CN"/>
              </w:rPr>
              <w:t>矿区南侧季节性河流，现已干涸，项目生产无废水产生及外排，不向地表水体直接排放污染物</w:t>
            </w:r>
            <w:r>
              <w:rPr>
                <w:rFonts w:hint="eastAsia"/>
                <w:color w:val="auto"/>
                <w:highlight w:val="none"/>
              </w:rPr>
              <w:t>。</w:t>
            </w:r>
          </w:p>
          <w:p>
            <w:pPr>
              <w:pStyle w:val="27"/>
              <w:ind w:firstLine="482"/>
              <w:rPr>
                <w:rFonts w:hint="default"/>
                <w:color w:val="auto"/>
                <w:highlight w:val="none"/>
              </w:rPr>
            </w:pPr>
            <w:r>
              <w:rPr>
                <w:color w:val="auto"/>
                <w:highlight w:val="none"/>
              </w:rPr>
              <w:t>3声环境质量现状</w:t>
            </w:r>
          </w:p>
          <w:p>
            <w:pPr>
              <w:pStyle w:val="12"/>
              <w:ind w:firstLine="480"/>
              <w:rPr>
                <w:color w:val="auto"/>
                <w:highlight w:val="none"/>
              </w:rPr>
            </w:pPr>
            <w:r>
              <w:rPr>
                <w:rFonts w:hint="eastAsia"/>
                <w:color w:val="auto"/>
                <w:highlight w:val="none"/>
              </w:rPr>
              <w:t>厂界噪声执行《声环境质量标准》（GB3096-2008）中</w:t>
            </w:r>
            <w:r>
              <w:rPr>
                <w:rFonts w:hint="eastAsia"/>
                <w:color w:val="auto"/>
                <w:highlight w:val="none"/>
                <w:lang w:val="en-US" w:eastAsia="zh-CN"/>
              </w:rPr>
              <w:t>2</w:t>
            </w:r>
            <w:r>
              <w:rPr>
                <w:rFonts w:hint="eastAsia"/>
                <w:color w:val="auto"/>
                <w:highlight w:val="none"/>
              </w:rPr>
              <w:t>类标准[昼间</w:t>
            </w:r>
            <w:r>
              <w:rPr>
                <w:rFonts w:hint="eastAsia"/>
                <w:color w:val="auto"/>
                <w:highlight w:val="none"/>
                <w:lang w:val="en-US" w:eastAsia="zh-CN"/>
              </w:rPr>
              <w:t>60</w:t>
            </w:r>
            <w:r>
              <w:rPr>
                <w:rFonts w:hint="eastAsia"/>
                <w:color w:val="auto"/>
                <w:highlight w:val="none"/>
              </w:rPr>
              <w:t>dB(A)、夜间</w:t>
            </w:r>
            <w:r>
              <w:rPr>
                <w:rFonts w:hint="eastAsia"/>
                <w:color w:val="auto"/>
                <w:highlight w:val="none"/>
                <w:lang w:val="en-US" w:eastAsia="zh-CN"/>
              </w:rPr>
              <w:t>50</w:t>
            </w:r>
            <w:r>
              <w:rPr>
                <w:rFonts w:hint="eastAsia"/>
                <w:color w:val="auto"/>
                <w:highlight w:val="none"/>
              </w:rPr>
              <w:t>dB(A)]</w:t>
            </w:r>
            <w:r>
              <w:rPr>
                <w:rFonts w:hint="eastAsia"/>
                <w:color w:val="auto"/>
                <w:highlight w:val="none"/>
                <w:lang w:eastAsia="zh-CN"/>
              </w:rPr>
              <w:t>，</w:t>
            </w:r>
            <w:r>
              <w:rPr>
                <w:rFonts w:hint="eastAsia"/>
                <w:color w:val="auto"/>
                <w:highlight w:val="none"/>
              </w:rPr>
              <w:t>辽宁中环祥瑞工程技术有限公司于202</w:t>
            </w:r>
            <w:r>
              <w:rPr>
                <w:rFonts w:hint="eastAsia"/>
                <w:color w:val="auto"/>
                <w:highlight w:val="none"/>
                <w:lang w:val="en-US" w:eastAsia="zh-CN"/>
              </w:rPr>
              <w:t>4</w:t>
            </w:r>
            <w:r>
              <w:rPr>
                <w:rFonts w:hint="eastAsia"/>
                <w:color w:val="auto"/>
                <w:highlight w:val="none"/>
              </w:rPr>
              <w:t>年</w:t>
            </w:r>
            <w:r>
              <w:rPr>
                <w:rFonts w:hint="eastAsia"/>
                <w:color w:val="auto"/>
                <w:highlight w:val="none"/>
                <w:lang w:val="en-US" w:eastAsia="zh-CN"/>
              </w:rPr>
              <w:t>8</w:t>
            </w:r>
            <w:r>
              <w:rPr>
                <w:rFonts w:hint="eastAsia"/>
                <w:color w:val="auto"/>
                <w:highlight w:val="none"/>
              </w:rPr>
              <w:t>月</w:t>
            </w:r>
            <w:r>
              <w:rPr>
                <w:rFonts w:hint="eastAsia"/>
                <w:color w:val="auto"/>
                <w:highlight w:val="none"/>
                <w:lang w:val="en-US" w:eastAsia="zh-CN"/>
              </w:rPr>
              <w:t>19</w:t>
            </w:r>
            <w:r>
              <w:rPr>
                <w:rFonts w:hint="eastAsia"/>
                <w:color w:val="auto"/>
                <w:highlight w:val="none"/>
              </w:rPr>
              <w:t>日对所在区域声环境质量现状监测结果</w:t>
            </w:r>
            <w:r>
              <w:rPr>
                <w:rFonts w:hint="eastAsia"/>
                <w:color w:val="auto"/>
                <w:highlight w:val="none"/>
                <w:lang w:eastAsia="zh-CN"/>
              </w:rPr>
              <w:t>，</w:t>
            </w:r>
            <w:r>
              <w:rPr>
                <w:rFonts w:hint="eastAsia"/>
                <w:color w:val="auto"/>
                <w:highlight w:val="none"/>
              </w:rPr>
              <w:t>监测结果见下表。</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 xml:space="preserve">  声环境现状监测结果</w:t>
            </w:r>
          </w:p>
          <w:tbl>
            <w:tblPr>
              <w:tblStyle w:val="15"/>
              <w:tblW w:w="797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3"/>
              <w:gridCol w:w="1986"/>
              <w:gridCol w:w="1222"/>
              <w:gridCol w:w="1164"/>
              <w:gridCol w:w="1209"/>
              <w:gridCol w:w="11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1" w:hRule="atLeast"/>
              </w:trPr>
              <w:tc>
                <w:tcPr>
                  <w:tcW w:w="1263" w:type="dxa"/>
                  <w:vMerge w:val="restart"/>
                  <w:vAlign w:val="center"/>
                </w:tcPr>
                <w:p>
                  <w:pPr>
                    <w:pStyle w:val="25"/>
                    <w:rPr>
                      <w:rFonts w:hint="default"/>
                      <w:color w:val="auto"/>
                      <w:highlight w:val="none"/>
                    </w:rPr>
                  </w:pPr>
                  <w:r>
                    <w:rPr>
                      <w:color w:val="auto"/>
                      <w:highlight w:val="none"/>
                    </w:rPr>
                    <w:t>采样时间</w:t>
                  </w:r>
                </w:p>
              </w:tc>
              <w:tc>
                <w:tcPr>
                  <w:tcW w:w="1986" w:type="dxa"/>
                  <w:vMerge w:val="restart"/>
                  <w:vAlign w:val="center"/>
                </w:tcPr>
                <w:p>
                  <w:pPr>
                    <w:pStyle w:val="25"/>
                    <w:rPr>
                      <w:rFonts w:hint="default"/>
                      <w:color w:val="auto"/>
                      <w:highlight w:val="none"/>
                    </w:rPr>
                  </w:pPr>
                  <w:r>
                    <w:rPr>
                      <w:color w:val="auto"/>
                      <w:highlight w:val="none"/>
                    </w:rPr>
                    <w:t>测点名称</w:t>
                  </w:r>
                </w:p>
              </w:tc>
              <w:tc>
                <w:tcPr>
                  <w:tcW w:w="4725" w:type="dxa"/>
                  <w:gridSpan w:val="4"/>
                  <w:vAlign w:val="center"/>
                </w:tcPr>
                <w:p>
                  <w:pPr>
                    <w:pStyle w:val="25"/>
                    <w:rPr>
                      <w:rFonts w:hint="default"/>
                      <w:color w:val="auto"/>
                      <w:highlight w:val="none"/>
                    </w:rPr>
                  </w:pPr>
                  <w:r>
                    <w:rPr>
                      <w:color w:val="auto"/>
                      <w:highlight w:val="none"/>
                    </w:rPr>
                    <w:t>检测结果 单位：dB(A)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3" w:hRule="atLeast"/>
              </w:trPr>
              <w:tc>
                <w:tcPr>
                  <w:tcW w:w="1263" w:type="dxa"/>
                  <w:vMerge w:val="continue"/>
                  <w:vAlign w:val="center"/>
                </w:tcPr>
                <w:p>
                  <w:pPr>
                    <w:pStyle w:val="25"/>
                    <w:rPr>
                      <w:rFonts w:hint="default"/>
                      <w:color w:val="auto"/>
                      <w:highlight w:val="none"/>
                    </w:rPr>
                  </w:pPr>
                </w:p>
              </w:tc>
              <w:tc>
                <w:tcPr>
                  <w:tcW w:w="1986" w:type="dxa"/>
                  <w:vMerge w:val="continue"/>
                  <w:vAlign w:val="center"/>
                </w:tcPr>
                <w:p>
                  <w:pPr>
                    <w:pStyle w:val="25"/>
                    <w:rPr>
                      <w:rFonts w:hint="default"/>
                      <w:color w:val="auto"/>
                      <w:highlight w:val="none"/>
                    </w:rPr>
                  </w:pPr>
                </w:p>
              </w:tc>
              <w:tc>
                <w:tcPr>
                  <w:tcW w:w="2386" w:type="dxa"/>
                  <w:gridSpan w:val="2"/>
                  <w:vAlign w:val="center"/>
                </w:tcPr>
                <w:p>
                  <w:pPr>
                    <w:pStyle w:val="25"/>
                    <w:rPr>
                      <w:rFonts w:hint="default"/>
                      <w:color w:val="auto"/>
                      <w:highlight w:val="none"/>
                    </w:rPr>
                  </w:pPr>
                  <w:r>
                    <w:rPr>
                      <w:color w:val="auto"/>
                      <w:highlight w:val="none"/>
                    </w:rPr>
                    <w:t>昼间</w:t>
                  </w:r>
                </w:p>
              </w:tc>
              <w:tc>
                <w:tcPr>
                  <w:tcW w:w="2339" w:type="dxa"/>
                  <w:gridSpan w:val="2"/>
                  <w:vAlign w:val="center"/>
                </w:tcPr>
                <w:p>
                  <w:pPr>
                    <w:pStyle w:val="25"/>
                    <w:rPr>
                      <w:rFonts w:hint="default"/>
                      <w:color w:val="auto"/>
                      <w:highlight w:val="none"/>
                    </w:rPr>
                  </w:pPr>
                  <w:r>
                    <w:rPr>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263" w:type="dxa"/>
                  <w:vMerge w:val="continue"/>
                  <w:vAlign w:val="center"/>
                </w:tcPr>
                <w:p>
                  <w:pPr>
                    <w:pStyle w:val="25"/>
                    <w:rPr>
                      <w:rFonts w:hint="default"/>
                      <w:color w:val="auto"/>
                      <w:highlight w:val="none"/>
                    </w:rPr>
                  </w:pPr>
                </w:p>
              </w:tc>
              <w:tc>
                <w:tcPr>
                  <w:tcW w:w="1986" w:type="dxa"/>
                  <w:vMerge w:val="continue"/>
                  <w:vAlign w:val="center"/>
                </w:tcPr>
                <w:p>
                  <w:pPr>
                    <w:pStyle w:val="25"/>
                    <w:rPr>
                      <w:rFonts w:hint="default"/>
                      <w:color w:val="auto"/>
                      <w:highlight w:val="none"/>
                    </w:rPr>
                  </w:pPr>
                </w:p>
              </w:tc>
              <w:tc>
                <w:tcPr>
                  <w:tcW w:w="1222" w:type="dxa"/>
                  <w:vAlign w:val="center"/>
                </w:tcPr>
                <w:p>
                  <w:pPr>
                    <w:pStyle w:val="25"/>
                    <w:rPr>
                      <w:rFonts w:hint="default"/>
                      <w:color w:val="auto"/>
                      <w:highlight w:val="none"/>
                    </w:rPr>
                  </w:pPr>
                  <w:r>
                    <w:rPr>
                      <w:color w:val="auto"/>
                      <w:highlight w:val="none"/>
                    </w:rPr>
                    <w:t>Leq</w:t>
                  </w:r>
                </w:p>
              </w:tc>
              <w:tc>
                <w:tcPr>
                  <w:tcW w:w="1164" w:type="dxa"/>
                  <w:vAlign w:val="center"/>
                </w:tcPr>
                <w:p>
                  <w:pPr>
                    <w:pStyle w:val="25"/>
                    <w:rPr>
                      <w:rFonts w:hint="default"/>
                      <w:color w:val="auto"/>
                      <w:highlight w:val="none"/>
                    </w:rPr>
                  </w:pPr>
                  <w:r>
                    <w:rPr>
                      <w:color w:val="auto"/>
                      <w:highlight w:val="none"/>
                    </w:rPr>
                    <w:t>SD</w:t>
                  </w:r>
                </w:p>
              </w:tc>
              <w:tc>
                <w:tcPr>
                  <w:tcW w:w="1209" w:type="dxa"/>
                  <w:vAlign w:val="center"/>
                </w:tcPr>
                <w:p>
                  <w:pPr>
                    <w:pStyle w:val="25"/>
                    <w:rPr>
                      <w:rFonts w:hint="default"/>
                      <w:color w:val="auto"/>
                      <w:highlight w:val="none"/>
                    </w:rPr>
                  </w:pPr>
                  <w:r>
                    <w:rPr>
                      <w:color w:val="auto"/>
                      <w:highlight w:val="none"/>
                    </w:rPr>
                    <w:t>Leq</w:t>
                  </w:r>
                </w:p>
              </w:tc>
              <w:tc>
                <w:tcPr>
                  <w:tcW w:w="1130" w:type="dxa"/>
                  <w:vAlign w:val="center"/>
                </w:tcPr>
                <w:p>
                  <w:pPr>
                    <w:pStyle w:val="25"/>
                    <w:rPr>
                      <w:rFonts w:hint="default"/>
                      <w:color w:val="auto"/>
                      <w:highlight w:val="none"/>
                    </w:rPr>
                  </w:pPr>
                  <w:r>
                    <w:rPr>
                      <w:color w:val="auto"/>
                      <w:highlight w:val="none"/>
                    </w:rPr>
                    <w:t>SD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263" w:type="dxa"/>
                  <w:vMerge w:val="restart"/>
                  <w:vAlign w:val="center"/>
                </w:tcPr>
                <w:p>
                  <w:pPr>
                    <w:pStyle w:val="22"/>
                    <w:rPr>
                      <w:rFonts w:hint="default" w:ascii="Times New Roman" w:hAnsi="Times New Roman" w:cs="Times New Roman"/>
                      <w:color w:val="auto"/>
                      <w:highlight w:val="none"/>
                      <w:lang w:val="en-US" w:eastAsia="zh-CN"/>
                    </w:rPr>
                  </w:pPr>
                  <w:bookmarkStart w:id="4" w:name="OLE_LINK2" w:colFirst="2" w:colLast="6"/>
                  <w:r>
                    <w:rPr>
                      <w:rFonts w:hint="eastAsia" w:ascii="Times New Roman" w:hAnsi="Times New Roman" w:cs="Times New Roman"/>
                      <w:color w:val="auto"/>
                      <w:highlight w:val="none"/>
                      <w:lang w:val="en-US" w:eastAsia="zh-CN"/>
                    </w:rPr>
                    <w:t>2024.8.19</w:t>
                  </w:r>
                </w:p>
              </w:tc>
              <w:tc>
                <w:tcPr>
                  <w:tcW w:w="1986" w:type="dxa"/>
                  <w:vAlign w:val="center"/>
                </w:tcPr>
                <w:p>
                  <w:pPr>
                    <w:pStyle w:val="22"/>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厂界东侧</w:t>
                  </w:r>
                </w:p>
              </w:tc>
              <w:tc>
                <w:tcPr>
                  <w:tcW w:w="1222" w:type="dxa"/>
                  <w:vAlign w:val="center"/>
                </w:tcPr>
                <w:p>
                  <w:pPr>
                    <w:pStyle w:val="2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46</w:t>
                  </w:r>
                </w:p>
              </w:tc>
              <w:tc>
                <w:tcPr>
                  <w:tcW w:w="1164"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1.9</w:t>
                  </w:r>
                </w:p>
              </w:tc>
              <w:tc>
                <w:tcPr>
                  <w:tcW w:w="1209"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42</w:t>
                  </w:r>
                </w:p>
              </w:tc>
              <w:tc>
                <w:tcPr>
                  <w:tcW w:w="1130"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263" w:type="dxa"/>
                  <w:vMerge w:val="continue"/>
                  <w:vAlign w:val="center"/>
                </w:tcPr>
                <w:p>
                  <w:pPr>
                    <w:pStyle w:val="22"/>
                    <w:rPr>
                      <w:rFonts w:hint="eastAsia" w:ascii="Times New Roman" w:hAnsi="Times New Roman" w:cs="Times New Roman"/>
                      <w:color w:val="auto"/>
                      <w:highlight w:val="none"/>
                      <w:lang w:val="en-US" w:eastAsia="zh-CN"/>
                    </w:rPr>
                  </w:pPr>
                </w:p>
              </w:tc>
              <w:tc>
                <w:tcPr>
                  <w:tcW w:w="1986" w:type="dxa"/>
                  <w:vAlign w:val="center"/>
                </w:tcPr>
                <w:p>
                  <w:pPr>
                    <w:pStyle w:val="22"/>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厂界南侧</w:t>
                  </w:r>
                </w:p>
              </w:tc>
              <w:tc>
                <w:tcPr>
                  <w:tcW w:w="1222"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45</w:t>
                  </w:r>
                </w:p>
              </w:tc>
              <w:tc>
                <w:tcPr>
                  <w:tcW w:w="1164"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1.9</w:t>
                  </w:r>
                </w:p>
              </w:tc>
              <w:tc>
                <w:tcPr>
                  <w:tcW w:w="1209"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41</w:t>
                  </w:r>
                </w:p>
              </w:tc>
              <w:tc>
                <w:tcPr>
                  <w:tcW w:w="1130"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263" w:type="dxa"/>
                  <w:vMerge w:val="continue"/>
                  <w:vAlign w:val="center"/>
                </w:tcPr>
                <w:p>
                  <w:pPr>
                    <w:pStyle w:val="22"/>
                    <w:rPr>
                      <w:rFonts w:hint="eastAsia" w:ascii="Times New Roman" w:hAnsi="Times New Roman" w:cs="Times New Roman"/>
                      <w:color w:val="auto"/>
                      <w:highlight w:val="none"/>
                      <w:lang w:val="en-US" w:eastAsia="zh-CN"/>
                    </w:rPr>
                  </w:pPr>
                </w:p>
              </w:tc>
              <w:tc>
                <w:tcPr>
                  <w:tcW w:w="1986" w:type="dxa"/>
                  <w:vAlign w:val="center"/>
                </w:tcPr>
                <w:p>
                  <w:pPr>
                    <w:pStyle w:val="22"/>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厂界西侧</w:t>
                  </w:r>
                </w:p>
              </w:tc>
              <w:tc>
                <w:tcPr>
                  <w:tcW w:w="1222"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44</w:t>
                  </w:r>
                </w:p>
              </w:tc>
              <w:tc>
                <w:tcPr>
                  <w:tcW w:w="1164"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2.2</w:t>
                  </w:r>
                </w:p>
              </w:tc>
              <w:tc>
                <w:tcPr>
                  <w:tcW w:w="1209"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40</w:t>
                  </w:r>
                </w:p>
              </w:tc>
              <w:tc>
                <w:tcPr>
                  <w:tcW w:w="1130"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263" w:type="dxa"/>
                  <w:vMerge w:val="continue"/>
                  <w:vAlign w:val="center"/>
                </w:tcPr>
                <w:p>
                  <w:pPr>
                    <w:pStyle w:val="22"/>
                    <w:rPr>
                      <w:rFonts w:hint="eastAsia" w:ascii="Times New Roman" w:hAnsi="Times New Roman" w:cs="Times New Roman"/>
                      <w:color w:val="auto"/>
                      <w:highlight w:val="none"/>
                      <w:lang w:val="en-US" w:eastAsia="zh-CN"/>
                    </w:rPr>
                  </w:pPr>
                </w:p>
              </w:tc>
              <w:tc>
                <w:tcPr>
                  <w:tcW w:w="1986" w:type="dxa"/>
                  <w:vAlign w:val="center"/>
                </w:tcPr>
                <w:p>
                  <w:pPr>
                    <w:pStyle w:val="22"/>
                    <w:rPr>
                      <w:rFonts w:hint="eastAsia"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厂界北侧</w:t>
                  </w:r>
                </w:p>
              </w:tc>
              <w:tc>
                <w:tcPr>
                  <w:tcW w:w="1222"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43</w:t>
                  </w:r>
                </w:p>
              </w:tc>
              <w:tc>
                <w:tcPr>
                  <w:tcW w:w="1164"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2.0</w:t>
                  </w:r>
                </w:p>
              </w:tc>
              <w:tc>
                <w:tcPr>
                  <w:tcW w:w="1209"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40</w:t>
                  </w:r>
                </w:p>
              </w:tc>
              <w:tc>
                <w:tcPr>
                  <w:tcW w:w="1130"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263" w:type="dxa"/>
                  <w:vMerge w:val="continue"/>
                  <w:vAlign w:val="center"/>
                </w:tcPr>
                <w:p>
                  <w:pPr>
                    <w:pStyle w:val="22"/>
                    <w:rPr>
                      <w:rFonts w:hint="eastAsia" w:ascii="Times New Roman" w:hAnsi="Times New Roman" w:cs="Times New Roman"/>
                      <w:color w:val="auto"/>
                      <w:highlight w:val="none"/>
                      <w:lang w:val="en-US" w:eastAsia="zh-CN"/>
                    </w:rPr>
                  </w:pPr>
                </w:p>
              </w:tc>
              <w:tc>
                <w:tcPr>
                  <w:tcW w:w="1986"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楼上村</w:t>
                  </w:r>
                </w:p>
              </w:tc>
              <w:tc>
                <w:tcPr>
                  <w:tcW w:w="1222"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45</w:t>
                  </w:r>
                </w:p>
              </w:tc>
              <w:tc>
                <w:tcPr>
                  <w:tcW w:w="1164"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2.2</w:t>
                  </w:r>
                </w:p>
              </w:tc>
              <w:tc>
                <w:tcPr>
                  <w:tcW w:w="1209"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40</w:t>
                  </w:r>
                </w:p>
              </w:tc>
              <w:tc>
                <w:tcPr>
                  <w:tcW w:w="1130"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263" w:type="dxa"/>
                  <w:vMerge w:val="continue"/>
                  <w:vAlign w:val="center"/>
                </w:tcPr>
                <w:p>
                  <w:pPr>
                    <w:pStyle w:val="22"/>
                    <w:rPr>
                      <w:rFonts w:hint="eastAsia" w:ascii="Times New Roman" w:hAnsi="Times New Roman" w:cs="Times New Roman"/>
                      <w:color w:val="auto"/>
                      <w:highlight w:val="none"/>
                      <w:lang w:val="en-US" w:eastAsia="zh-CN"/>
                    </w:rPr>
                  </w:pPr>
                </w:p>
              </w:tc>
              <w:tc>
                <w:tcPr>
                  <w:tcW w:w="1986"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公司家属院</w:t>
                  </w:r>
                </w:p>
              </w:tc>
              <w:tc>
                <w:tcPr>
                  <w:tcW w:w="1222"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44</w:t>
                  </w:r>
                </w:p>
              </w:tc>
              <w:tc>
                <w:tcPr>
                  <w:tcW w:w="1164"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1.7</w:t>
                  </w:r>
                </w:p>
              </w:tc>
              <w:tc>
                <w:tcPr>
                  <w:tcW w:w="1209"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41</w:t>
                  </w:r>
                </w:p>
              </w:tc>
              <w:tc>
                <w:tcPr>
                  <w:tcW w:w="1130"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3249" w:type="dxa"/>
                  <w:gridSpan w:val="2"/>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标准值</w:t>
                  </w:r>
                </w:p>
              </w:tc>
              <w:tc>
                <w:tcPr>
                  <w:tcW w:w="1222" w:type="dxa"/>
                  <w:vAlign w:val="center"/>
                </w:tcPr>
                <w:p>
                  <w:pPr>
                    <w:pStyle w:val="2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60</w:t>
                  </w:r>
                </w:p>
              </w:tc>
              <w:tc>
                <w:tcPr>
                  <w:tcW w:w="1164"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1209" w:type="dxa"/>
                  <w:vAlign w:val="center"/>
                </w:tcPr>
                <w:p>
                  <w:pPr>
                    <w:pStyle w:val="2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50</w:t>
                  </w:r>
                </w:p>
              </w:tc>
              <w:tc>
                <w:tcPr>
                  <w:tcW w:w="1130"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r>
            <w:bookmarkEnd w:id="4"/>
          </w:tbl>
          <w:p>
            <w:pPr>
              <w:pStyle w:val="12"/>
              <w:ind w:firstLine="480"/>
              <w:rPr>
                <w:color w:val="auto"/>
                <w:highlight w:val="none"/>
              </w:rPr>
            </w:pPr>
            <w:r>
              <w:rPr>
                <w:color w:val="auto"/>
                <w:highlight w:val="none"/>
              </w:rPr>
              <w:t>由表可见</w:t>
            </w:r>
            <w:r>
              <w:rPr>
                <w:rFonts w:hint="eastAsia"/>
                <w:color w:val="auto"/>
                <w:highlight w:val="none"/>
                <w:lang w:eastAsia="zh-CN"/>
              </w:rPr>
              <w:t>，</w:t>
            </w:r>
            <w:r>
              <w:rPr>
                <w:color w:val="auto"/>
                <w:highlight w:val="none"/>
              </w:rPr>
              <w:t>该区域声环境质量较好</w:t>
            </w:r>
            <w:r>
              <w:rPr>
                <w:rFonts w:hint="eastAsia"/>
                <w:color w:val="auto"/>
                <w:highlight w:val="none"/>
                <w:lang w:eastAsia="zh-CN"/>
              </w:rPr>
              <w:t>，</w:t>
            </w:r>
            <w:r>
              <w:rPr>
                <w:color w:val="auto"/>
                <w:highlight w:val="none"/>
              </w:rPr>
              <w:t>昼夜间各厂界</w:t>
            </w:r>
            <w:r>
              <w:rPr>
                <w:rFonts w:hint="eastAsia"/>
                <w:color w:val="auto"/>
                <w:highlight w:val="none"/>
                <w:lang w:eastAsia="zh-CN"/>
              </w:rPr>
              <w:t>及敏感点</w:t>
            </w:r>
            <w:r>
              <w:rPr>
                <w:color w:val="auto"/>
                <w:highlight w:val="none"/>
              </w:rPr>
              <w:t>均符合</w:t>
            </w:r>
            <w:r>
              <w:rPr>
                <w:rFonts w:hint="eastAsia"/>
                <w:bCs/>
                <w:color w:val="auto"/>
                <w:highlight w:val="none"/>
              </w:rPr>
              <w:t>《声环境质量标准》（GB3096-2008）中</w:t>
            </w:r>
            <w:r>
              <w:rPr>
                <w:rFonts w:hint="eastAsia"/>
                <w:bCs/>
                <w:color w:val="auto"/>
                <w:highlight w:val="none"/>
                <w:lang w:val="en-US" w:eastAsia="zh-CN"/>
              </w:rPr>
              <w:t>2</w:t>
            </w:r>
            <w:r>
              <w:rPr>
                <w:rFonts w:hint="eastAsia"/>
                <w:bCs/>
                <w:color w:val="auto"/>
                <w:highlight w:val="none"/>
              </w:rPr>
              <w:t>类标准[昼间</w:t>
            </w:r>
            <w:r>
              <w:rPr>
                <w:rFonts w:hint="eastAsia"/>
                <w:bCs/>
                <w:color w:val="auto"/>
                <w:highlight w:val="none"/>
                <w:lang w:val="en-US" w:eastAsia="zh-CN"/>
              </w:rPr>
              <w:t>60</w:t>
            </w:r>
            <w:r>
              <w:rPr>
                <w:rFonts w:hint="eastAsia"/>
                <w:bCs/>
                <w:color w:val="auto"/>
                <w:highlight w:val="none"/>
              </w:rPr>
              <w:t>dB(A)、夜间</w:t>
            </w:r>
            <w:r>
              <w:rPr>
                <w:rFonts w:hint="eastAsia"/>
                <w:bCs/>
                <w:color w:val="auto"/>
                <w:highlight w:val="none"/>
                <w:lang w:val="en-US" w:eastAsia="zh-CN"/>
              </w:rPr>
              <w:t>50</w:t>
            </w:r>
            <w:r>
              <w:rPr>
                <w:rFonts w:hint="eastAsia"/>
                <w:bCs/>
                <w:color w:val="auto"/>
                <w:highlight w:val="none"/>
              </w:rPr>
              <w:t>dB(A)]</w:t>
            </w:r>
            <w:r>
              <w:rPr>
                <w:rFonts w:hint="eastAsia"/>
                <w:color w:val="auto"/>
                <w:highlight w:val="none"/>
              </w:rPr>
              <w:t>。</w:t>
            </w:r>
          </w:p>
          <w:p>
            <w:pPr>
              <w:pStyle w:val="27"/>
              <w:ind w:firstLine="482"/>
              <w:rPr>
                <w:rFonts w:hint="default"/>
                <w:color w:val="auto"/>
                <w:highlight w:val="none"/>
              </w:rPr>
            </w:pPr>
            <w:r>
              <w:rPr>
                <w:color w:val="auto"/>
                <w:highlight w:val="none"/>
              </w:rPr>
              <w:t>4地下水质量现状</w:t>
            </w:r>
          </w:p>
          <w:p>
            <w:pPr>
              <w:pStyle w:val="12"/>
              <w:ind w:firstLine="480"/>
              <w:rPr>
                <w:color w:val="auto"/>
                <w:highlight w:val="none"/>
              </w:rPr>
            </w:pPr>
            <w:r>
              <w:rPr>
                <w:rFonts w:hint="eastAsia"/>
                <w:color w:val="auto"/>
                <w:highlight w:val="none"/>
              </w:rPr>
              <w:t>辽宁中环祥瑞工程技术有限公司于202</w:t>
            </w:r>
            <w:r>
              <w:rPr>
                <w:rFonts w:hint="eastAsia"/>
                <w:color w:val="auto"/>
                <w:highlight w:val="none"/>
                <w:lang w:val="en-US" w:eastAsia="zh-CN"/>
              </w:rPr>
              <w:t>4</w:t>
            </w:r>
            <w:r>
              <w:rPr>
                <w:rFonts w:hint="eastAsia"/>
                <w:color w:val="auto"/>
                <w:highlight w:val="none"/>
              </w:rPr>
              <w:t>年</w:t>
            </w:r>
            <w:r>
              <w:rPr>
                <w:rFonts w:hint="eastAsia"/>
                <w:color w:val="auto"/>
                <w:highlight w:val="none"/>
                <w:lang w:val="en-US" w:eastAsia="zh-CN"/>
              </w:rPr>
              <w:t>8</w:t>
            </w:r>
            <w:r>
              <w:rPr>
                <w:rFonts w:hint="eastAsia"/>
                <w:color w:val="auto"/>
                <w:highlight w:val="none"/>
              </w:rPr>
              <w:t>月</w:t>
            </w:r>
            <w:r>
              <w:rPr>
                <w:rFonts w:hint="eastAsia"/>
                <w:color w:val="auto"/>
                <w:highlight w:val="none"/>
                <w:lang w:val="en-US" w:eastAsia="zh-CN"/>
              </w:rPr>
              <w:t>19</w:t>
            </w:r>
            <w:r>
              <w:rPr>
                <w:rFonts w:hint="eastAsia"/>
                <w:color w:val="auto"/>
                <w:highlight w:val="none"/>
              </w:rPr>
              <w:t>日对</w:t>
            </w:r>
            <w:r>
              <w:rPr>
                <w:rFonts w:hint="eastAsia"/>
                <w:color w:val="auto"/>
                <w:highlight w:val="none"/>
                <w:lang w:eastAsia="zh-CN"/>
              </w:rPr>
              <w:t>厂区内水井</w:t>
            </w:r>
            <w:r>
              <w:rPr>
                <w:rFonts w:hint="eastAsia"/>
                <w:color w:val="auto"/>
                <w:highlight w:val="none"/>
              </w:rPr>
              <w:t>进行监测</w:t>
            </w:r>
            <w:r>
              <w:rPr>
                <w:rFonts w:hint="eastAsia"/>
                <w:color w:val="auto"/>
                <w:highlight w:val="none"/>
                <w:lang w:eastAsia="zh-CN"/>
              </w:rPr>
              <w:t>，</w:t>
            </w:r>
            <w:r>
              <w:rPr>
                <w:rFonts w:hint="eastAsia"/>
                <w:color w:val="auto"/>
                <w:highlight w:val="none"/>
              </w:rPr>
              <w:t>检测结果见</w:t>
            </w:r>
            <w:r>
              <w:rPr>
                <w:rFonts w:hint="eastAsia"/>
                <w:color w:val="auto"/>
                <w:highlight w:val="none"/>
                <w:lang w:val="en-US" w:eastAsia="zh-CN"/>
              </w:rPr>
              <w:t>下表</w:t>
            </w:r>
            <w:r>
              <w:rPr>
                <w:rFonts w:hint="eastAsia"/>
                <w:color w:val="auto"/>
                <w:highlight w:val="none"/>
              </w:rPr>
              <w:t>。监测点位图见附图</w:t>
            </w:r>
            <w:r>
              <w:rPr>
                <w:rFonts w:hint="eastAsia"/>
                <w:color w:val="auto"/>
                <w:highlight w:val="none"/>
                <w:lang w:val="en-US" w:eastAsia="zh-CN"/>
              </w:rPr>
              <w:t>7</w:t>
            </w:r>
            <w:r>
              <w:rPr>
                <w:rFonts w:hint="eastAsia"/>
                <w:color w:val="auto"/>
                <w:highlight w:val="none"/>
              </w:rPr>
              <w:t>。</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监测结果</w:t>
            </w:r>
          </w:p>
          <w:tbl>
            <w:tblPr>
              <w:tblStyle w:val="15"/>
              <w:tblW w:w="79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27"/>
              <w:gridCol w:w="1600"/>
              <w:gridCol w:w="1594"/>
              <w:gridCol w:w="1621"/>
              <w:gridCol w:w="1031"/>
              <w:gridCol w:w="10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tblHeader/>
                <w:jc w:val="center"/>
              </w:trPr>
              <w:tc>
                <w:tcPr>
                  <w:tcW w:w="1027" w:type="dxa"/>
                  <w:tcMar>
                    <w:left w:w="85" w:type="dxa"/>
                    <w:right w:w="85" w:type="dxa"/>
                  </w:tcMar>
                  <w:vAlign w:val="center"/>
                </w:tcPr>
                <w:p>
                  <w:pPr>
                    <w:pStyle w:val="25"/>
                    <w:rPr>
                      <w:rFonts w:hint="default"/>
                      <w:color w:val="auto"/>
                      <w:highlight w:val="none"/>
                    </w:rPr>
                  </w:pPr>
                  <w:r>
                    <w:rPr>
                      <w:color w:val="auto"/>
                      <w:highlight w:val="none"/>
                    </w:rPr>
                    <w:t>采样点位</w:t>
                  </w:r>
                </w:p>
              </w:tc>
              <w:tc>
                <w:tcPr>
                  <w:tcW w:w="1600" w:type="dxa"/>
                  <w:tcMar>
                    <w:left w:w="85" w:type="dxa"/>
                    <w:right w:w="85" w:type="dxa"/>
                  </w:tcMar>
                  <w:vAlign w:val="center"/>
                </w:tcPr>
                <w:p>
                  <w:pPr>
                    <w:pStyle w:val="25"/>
                    <w:rPr>
                      <w:rFonts w:hint="default"/>
                      <w:color w:val="auto"/>
                      <w:highlight w:val="none"/>
                    </w:rPr>
                  </w:pPr>
                  <w:r>
                    <w:rPr>
                      <w:color w:val="auto"/>
                      <w:highlight w:val="none"/>
                    </w:rPr>
                    <w:t>检测项目</w:t>
                  </w:r>
                </w:p>
              </w:tc>
              <w:tc>
                <w:tcPr>
                  <w:tcW w:w="1594" w:type="dxa"/>
                  <w:tcMar>
                    <w:left w:w="85" w:type="dxa"/>
                    <w:right w:w="85" w:type="dxa"/>
                  </w:tcMar>
                  <w:vAlign w:val="center"/>
                </w:tcPr>
                <w:p>
                  <w:pPr>
                    <w:pStyle w:val="25"/>
                    <w:rPr>
                      <w:rFonts w:hint="default"/>
                      <w:color w:val="auto"/>
                      <w:highlight w:val="none"/>
                    </w:rPr>
                  </w:pPr>
                  <w:r>
                    <w:rPr>
                      <w:color w:val="auto"/>
                      <w:highlight w:val="none"/>
                    </w:rPr>
                    <w:t>检测结果</w:t>
                  </w:r>
                </w:p>
              </w:tc>
              <w:tc>
                <w:tcPr>
                  <w:tcW w:w="1621" w:type="dxa"/>
                  <w:tcMar>
                    <w:left w:w="85" w:type="dxa"/>
                    <w:right w:w="85" w:type="dxa"/>
                  </w:tcMar>
                  <w:vAlign w:val="center"/>
                </w:tcPr>
                <w:p>
                  <w:pPr>
                    <w:pStyle w:val="25"/>
                    <w:rPr>
                      <w:rFonts w:hint="default"/>
                      <w:color w:val="auto"/>
                      <w:highlight w:val="none"/>
                    </w:rPr>
                  </w:pPr>
                  <w:r>
                    <w:rPr>
                      <w:color w:val="auto"/>
                      <w:highlight w:val="none"/>
                    </w:rPr>
                    <w:t>标准结果</w:t>
                  </w:r>
                </w:p>
              </w:tc>
              <w:tc>
                <w:tcPr>
                  <w:tcW w:w="1031" w:type="dxa"/>
                  <w:tcMar>
                    <w:left w:w="85" w:type="dxa"/>
                    <w:right w:w="85" w:type="dxa"/>
                  </w:tcMar>
                  <w:vAlign w:val="center"/>
                </w:tcPr>
                <w:p>
                  <w:pPr>
                    <w:pStyle w:val="25"/>
                    <w:rPr>
                      <w:rFonts w:hint="default"/>
                      <w:color w:val="auto"/>
                      <w:highlight w:val="none"/>
                    </w:rPr>
                  </w:pPr>
                  <w:r>
                    <w:rPr>
                      <w:color w:val="auto"/>
                      <w:highlight w:val="none"/>
                    </w:rPr>
                    <w:t>单位</w:t>
                  </w:r>
                </w:p>
              </w:tc>
              <w:tc>
                <w:tcPr>
                  <w:tcW w:w="1098" w:type="dxa"/>
                  <w:tcMar>
                    <w:left w:w="85" w:type="dxa"/>
                    <w:right w:w="85" w:type="dxa"/>
                  </w:tcMar>
                  <w:vAlign w:val="center"/>
                </w:tcPr>
                <w:p>
                  <w:pPr>
                    <w:pStyle w:val="25"/>
                    <w:rPr>
                      <w:rFonts w:hint="default"/>
                      <w:color w:val="auto"/>
                      <w:highlight w:val="none"/>
                    </w:rPr>
                  </w:pPr>
                  <w:r>
                    <w:rPr>
                      <w:color w:val="auto"/>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restart"/>
                  <w:tcMar>
                    <w:left w:w="85" w:type="dxa"/>
                    <w:right w:w="85" w:type="dxa"/>
                  </w:tcMar>
                  <w:vAlign w:val="center"/>
                </w:tcPr>
                <w:p>
                  <w:pPr>
                    <w:pStyle w:val="22"/>
                    <w:rPr>
                      <w:color w:val="auto"/>
                      <w:highlight w:val="none"/>
                    </w:rPr>
                  </w:pPr>
                  <w:r>
                    <w:rPr>
                      <w:rFonts w:hint="eastAsia"/>
                      <w:color w:val="auto"/>
                      <w:highlight w:val="none"/>
                      <w:lang w:eastAsia="zh-CN"/>
                    </w:rPr>
                    <w:t>厂区内</w:t>
                  </w:r>
                  <w:r>
                    <w:rPr>
                      <w:rFonts w:hint="eastAsia"/>
                      <w:color w:val="auto"/>
                      <w:highlight w:val="none"/>
                    </w:rPr>
                    <w:t>水井</w:t>
                  </w:r>
                </w:p>
              </w:tc>
              <w:tc>
                <w:tcPr>
                  <w:tcW w:w="1600" w:type="dxa"/>
                  <w:tcMar>
                    <w:left w:w="85" w:type="dxa"/>
                    <w:right w:w="85" w:type="dxa"/>
                  </w:tcMar>
                  <w:vAlign w:val="center"/>
                </w:tcPr>
                <w:p>
                  <w:pPr>
                    <w:widowControl/>
                    <w:adjustRightInd w:val="0"/>
                    <w:snapToGrid w:val="0"/>
                    <w:jc w:val="center"/>
                    <w:rPr>
                      <w:color w:val="auto"/>
                      <w:highlight w:val="none"/>
                    </w:rPr>
                  </w:pPr>
                  <w:r>
                    <w:rPr>
                      <w:rFonts w:hint="default" w:ascii="Times New Roman" w:hAnsi="Times New Roman" w:eastAsia="宋体" w:cs="Times New Roman"/>
                      <w:color w:val="auto"/>
                      <w:sz w:val="21"/>
                      <w:szCs w:val="21"/>
                      <w:highlight w:val="none"/>
                    </w:rPr>
                    <w:t>pH</w:t>
                  </w:r>
                </w:p>
              </w:tc>
              <w:tc>
                <w:tcPr>
                  <w:tcW w:w="1594" w:type="dxa"/>
                  <w:tcMar>
                    <w:left w:w="85" w:type="dxa"/>
                    <w:right w:w="85" w:type="dxa"/>
                  </w:tcMar>
                  <w:vAlign w:val="center"/>
                </w:tcPr>
                <w:p>
                  <w:pPr>
                    <w:widowControl/>
                    <w:jc w:val="center"/>
                    <w:textAlignment w:val="center"/>
                    <w:rPr>
                      <w:color w:val="auto"/>
                      <w:highlight w:val="none"/>
                    </w:rPr>
                  </w:pPr>
                  <w:r>
                    <w:rPr>
                      <w:rFonts w:hint="eastAsia" w:cs="Times New Roman"/>
                      <w:color w:val="auto"/>
                      <w:sz w:val="21"/>
                      <w:szCs w:val="21"/>
                      <w:highlight w:val="none"/>
                      <w:lang w:val="en-US" w:eastAsia="zh-CN"/>
                    </w:rPr>
                    <w:t>7.6</w:t>
                  </w:r>
                </w:p>
              </w:tc>
              <w:tc>
                <w:tcPr>
                  <w:tcW w:w="1621" w:type="dxa"/>
                  <w:tcMar>
                    <w:left w:w="85" w:type="dxa"/>
                    <w:right w:w="85" w:type="dxa"/>
                  </w:tcMar>
                  <w:vAlign w:val="center"/>
                </w:tcPr>
                <w:p>
                  <w:pPr>
                    <w:pStyle w:val="22"/>
                    <w:rPr>
                      <w:color w:val="auto"/>
                      <w:highlight w:val="none"/>
                    </w:rPr>
                  </w:pPr>
                  <w:r>
                    <w:rPr>
                      <w:rFonts w:hint="eastAsia"/>
                      <w:color w:val="auto"/>
                      <w:highlight w:val="none"/>
                    </w:rPr>
                    <w:t>6.5≤</w:t>
                  </w:r>
                  <w:r>
                    <w:rPr>
                      <w:color w:val="auto"/>
                      <w:highlight w:val="none"/>
                    </w:rPr>
                    <w:t>pH</w:t>
                  </w:r>
                  <w:r>
                    <w:rPr>
                      <w:rFonts w:hint="eastAsia"/>
                      <w:color w:val="auto"/>
                      <w:highlight w:val="none"/>
                    </w:rPr>
                    <w:t>≤8.5</w:t>
                  </w:r>
                </w:p>
              </w:tc>
              <w:tc>
                <w:tcPr>
                  <w:tcW w:w="1031" w:type="dxa"/>
                  <w:tcMar>
                    <w:left w:w="85" w:type="dxa"/>
                    <w:right w:w="85" w:type="dxa"/>
                  </w:tcMar>
                  <w:vAlign w:val="center"/>
                </w:tcPr>
                <w:p>
                  <w:pPr>
                    <w:pStyle w:val="22"/>
                    <w:rPr>
                      <w:color w:val="auto"/>
                      <w:highlight w:val="none"/>
                    </w:rPr>
                  </w:pPr>
                  <w:r>
                    <w:rPr>
                      <w:color w:val="auto"/>
                      <w:highlight w:val="none"/>
                    </w:rPr>
                    <w:t>无量纲</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keepNext w:val="0"/>
                    <w:keepLines w:val="0"/>
                    <w:pageBreakBefore w:val="0"/>
                    <w:widowControl/>
                    <w:kinsoku/>
                    <w:wordWrap/>
                    <w:overflowPunct/>
                    <w:topLinePunct w:val="0"/>
                    <w:autoSpaceDE/>
                    <w:autoSpaceDN/>
                    <w:bidi w:val="0"/>
                    <w:spacing w:line="240" w:lineRule="auto"/>
                    <w:jc w:val="center"/>
                    <w:textAlignment w:val="center"/>
                    <w:rPr>
                      <w:color w:val="auto"/>
                      <w:highlight w:val="none"/>
                    </w:rPr>
                  </w:pPr>
                  <w:r>
                    <w:rPr>
                      <w:rFonts w:hint="default" w:ascii="Times New Roman" w:hAnsi="Times New Roman" w:eastAsia="宋体" w:cs="Times New Roman"/>
                      <w:color w:val="auto"/>
                      <w:sz w:val="21"/>
                      <w:szCs w:val="21"/>
                      <w:highlight w:val="none"/>
                      <w:lang w:val="en-US" w:eastAsia="zh-CN"/>
                    </w:rPr>
                    <w:t>色度</w:t>
                  </w:r>
                </w:p>
              </w:tc>
              <w:tc>
                <w:tcPr>
                  <w:tcW w:w="1594" w:type="dxa"/>
                  <w:tcMar>
                    <w:left w:w="85" w:type="dxa"/>
                    <w:right w:w="85" w:type="dxa"/>
                  </w:tcMar>
                  <w:vAlign w:val="center"/>
                </w:tcPr>
                <w:p>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621" w:type="dxa"/>
                  <w:tcMar>
                    <w:left w:w="85" w:type="dxa"/>
                    <w:right w:w="85" w:type="dxa"/>
                  </w:tcMar>
                  <w:vAlign w:val="center"/>
                </w:tcPr>
                <w:p>
                  <w:pPr>
                    <w:pStyle w:val="22"/>
                    <w:rPr>
                      <w:color w:val="auto"/>
                      <w:highlight w:val="none"/>
                    </w:rPr>
                  </w:pPr>
                  <w:r>
                    <w:rPr>
                      <w:rFonts w:hint="eastAsia"/>
                      <w:color w:val="auto"/>
                      <w:highlight w:val="none"/>
                    </w:rPr>
                    <w:t>≤15</w:t>
                  </w:r>
                </w:p>
              </w:tc>
              <w:tc>
                <w:tcPr>
                  <w:tcW w:w="1031" w:type="dxa"/>
                  <w:tcMar>
                    <w:left w:w="85" w:type="dxa"/>
                    <w:right w:w="85" w:type="dxa"/>
                  </w:tcMar>
                  <w:vAlign w:val="center"/>
                </w:tcPr>
                <w:p>
                  <w:pPr>
                    <w:pStyle w:val="22"/>
                    <w:rPr>
                      <w:color w:val="auto"/>
                      <w:highlight w:val="none"/>
                    </w:rPr>
                  </w:pPr>
                  <w:r>
                    <w:rPr>
                      <w:color w:val="auto"/>
                      <w:highlight w:val="none"/>
                    </w:rPr>
                    <w:t>度</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keepNext w:val="0"/>
                    <w:keepLines w:val="0"/>
                    <w:pageBreakBefore w:val="0"/>
                    <w:widowControl/>
                    <w:kinsoku/>
                    <w:wordWrap/>
                    <w:overflowPunct/>
                    <w:topLinePunct w:val="0"/>
                    <w:autoSpaceDE/>
                    <w:autoSpaceDN/>
                    <w:bidi w:val="0"/>
                    <w:spacing w:line="240" w:lineRule="auto"/>
                    <w:jc w:val="center"/>
                    <w:textAlignment w:val="center"/>
                    <w:rPr>
                      <w:color w:val="auto"/>
                      <w:highlight w:val="none"/>
                    </w:rPr>
                  </w:pPr>
                  <w:r>
                    <w:rPr>
                      <w:rFonts w:hint="default" w:ascii="Times New Roman" w:hAnsi="Times New Roman" w:eastAsia="宋体" w:cs="Times New Roman"/>
                      <w:color w:val="auto"/>
                      <w:sz w:val="21"/>
                      <w:szCs w:val="21"/>
                      <w:highlight w:val="none"/>
                      <w:lang w:val="en-US" w:eastAsia="zh-CN"/>
                    </w:rPr>
                    <w:t>浑浊度</w:t>
                  </w:r>
                </w:p>
              </w:tc>
              <w:tc>
                <w:tcPr>
                  <w:tcW w:w="1594" w:type="dxa"/>
                  <w:tcMar>
                    <w:left w:w="85" w:type="dxa"/>
                    <w:right w:w="85" w:type="dxa"/>
                  </w:tcMar>
                  <w:vAlign w:val="center"/>
                </w:tcPr>
                <w:p>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&lt;0.5</w:t>
                  </w:r>
                </w:p>
              </w:tc>
              <w:tc>
                <w:tcPr>
                  <w:tcW w:w="1621" w:type="dxa"/>
                  <w:tcMar>
                    <w:left w:w="85" w:type="dxa"/>
                    <w:right w:w="85" w:type="dxa"/>
                  </w:tcMar>
                  <w:vAlign w:val="center"/>
                </w:tcPr>
                <w:p>
                  <w:pPr>
                    <w:pStyle w:val="22"/>
                    <w:rPr>
                      <w:color w:val="auto"/>
                      <w:highlight w:val="none"/>
                    </w:rPr>
                  </w:pPr>
                  <w:r>
                    <w:rPr>
                      <w:rFonts w:hint="eastAsia"/>
                      <w:color w:val="auto"/>
                      <w:highlight w:val="none"/>
                    </w:rPr>
                    <w:t>≤3</w:t>
                  </w:r>
                </w:p>
              </w:tc>
              <w:tc>
                <w:tcPr>
                  <w:tcW w:w="1031" w:type="dxa"/>
                  <w:tcMar>
                    <w:left w:w="85" w:type="dxa"/>
                    <w:right w:w="85" w:type="dxa"/>
                  </w:tcMar>
                  <w:vAlign w:val="center"/>
                </w:tcPr>
                <w:p>
                  <w:pPr>
                    <w:pStyle w:val="22"/>
                    <w:rPr>
                      <w:color w:val="auto"/>
                      <w:highlight w:val="none"/>
                    </w:rPr>
                  </w:pPr>
                  <w:r>
                    <w:rPr>
                      <w:color w:val="auto"/>
                      <w:highlight w:val="none"/>
                    </w:rPr>
                    <w:t>NTU</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keepNext w:val="0"/>
                    <w:keepLines w:val="0"/>
                    <w:pageBreakBefore w:val="0"/>
                    <w:widowControl/>
                    <w:kinsoku/>
                    <w:wordWrap/>
                    <w:overflowPunct/>
                    <w:topLinePunct w:val="0"/>
                    <w:autoSpaceDE/>
                    <w:autoSpaceDN/>
                    <w:bidi w:val="0"/>
                    <w:spacing w:line="240" w:lineRule="auto"/>
                    <w:jc w:val="center"/>
                    <w:textAlignment w:val="center"/>
                    <w:rPr>
                      <w:color w:val="auto"/>
                      <w:highlight w:val="none"/>
                    </w:rPr>
                  </w:pPr>
                  <w:r>
                    <w:rPr>
                      <w:rFonts w:hint="default" w:ascii="Times New Roman" w:hAnsi="Times New Roman" w:eastAsia="宋体" w:cs="Times New Roman"/>
                      <w:color w:val="auto"/>
                      <w:sz w:val="21"/>
                      <w:szCs w:val="21"/>
                      <w:highlight w:val="none"/>
                      <w:lang w:val="en-US" w:eastAsia="zh-CN"/>
                    </w:rPr>
                    <w:t>臭和味</w:t>
                  </w:r>
                </w:p>
              </w:tc>
              <w:tc>
                <w:tcPr>
                  <w:tcW w:w="1594" w:type="dxa"/>
                  <w:tcMar>
                    <w:left w:w="85" w:type="dxa"/>
                    <w:right w:w="85" w:type="dxa"/>
                  </w:tcMar>
                  <w:vAlign w:val="center"/>
                </w:tcPr>
                <w:p>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无任何臭和味</w:t>
                  </w:r>
                </w:p>
              </w:tc>
              <w:tc>
                <w:tcPr>
                  <w:tcW w:w="1621" w:type="dxa"/>
                  <w:tcMar>
                    <w:left w:w="85" w:type="dxa"/>
                    <w:right w:w="85" w:type="dxa"/>
                  </w:tcMar>
                  <w:vAlign w:val="center"/>
                </w:tcPr>
                <w:p>
                  <w:pPr>
                    <w:pStyle w:val="22"/>
                    <w:rPr>
                      <w:color w:val="auto"/>
                      <w:highlight w:val="none"/>
                    </w:rPr>
                  </w:pPr>
                  <w:r>
                    <w:rPr>
                      <w:rFonts w:hint="eastAsia"/>
                      <w:color w:val="auto"/>
                      <w:highlight w:val="none"/>
                    </w:rPr>
                    <w:t>无</w:t>
                  </w:r>
                </w:p>
              </w:tc>
              <w:tc>
                <w:tcPr>
                  <w:tcW w:w="1031" w:type="dxa"/>
                  <w:tcMar>
                    <w:left w:w="85" w:type="dxa"/>
                    <w:right w:w="85" w:type="dxa"/>
                  </w:tcMar>
                  <w:vAlign w:val="center"/>
                </w:tcPr>
                <w:p>
                  <w:pPr>
                    <w:pStyle w:val="22"/>
                    <w:rPr>
                      <w:color w:val="auto"/>
                      <w:highlight w:val="none"/>
                    </w:rPr>
                  </w:pPr>
                  <w:r>
                    <w:rPr>
                      <w:rFonts w:hint="eastAsia"/>
                      <w:color w:val="auto"/>
                      <w:highlight w:val="none"/>
                    </w:rPr>
                    <w:t>/</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keepNext w:val="0"/>
                    <w:keepLines w:val="0"/>
                    <w:pageBreakBefore w:val="0"/>
                    <w:widowControl/>
                    <w:kinsoku/>
                    <w:wordWrap/>
                    <w:overflowPunct/>
                    <w:topLinePunct w:val="0"/>
                    <w:autoSpaceDE/>
                    <w:autoSpaceDN/>
                    <w:bidi w:val="0"/>
                    <w:spacing w:line="240" w:lineRule="auto"/>
                    <w:jc w:val="center"/>
                    <w:textAlignment w:val="center"/>
                    <w:rPr>
                      <w:color w:val="auto"/>
                      <w:highlight w:val="none"/>
                    </w:rPr>
                  </w:pPr>
                  <w:r>
                    <w:rPr>
                      <w:rFonts w:hint="default" w:ascii="Times New Roman" w:hAnsi="Times New Roman" w:eastAsia="宋体" w:cs="Times New Roman"/>
                      <w:color w:val="auto"/>
                      <w:sz w:val="21"/>
                      <w:szCs w:val="21"/>
                      <w:highlight w:val="none"/>
                      <w:lang w:val="en-US" w:eastAsia="zh-CN"/>
                    </w:rPr>
                    <w:t>肉眼可见物</w:t>
                  </w:r>
                </w:p>
              </w:tc>
              <w:tc>
                <w:tcPr>
                  <w:tcW w:w="1594" w:type="dxa"/>
                  <w:tcMar>
                    <w:left w:w="85" w:type="dxa"/>
                    <w:right w:w="85" w:type="dxa"/>
                  </w:tcMar>
                  <w:vAlign w:val="center"/>
                </w:tcPr>
                <w:p>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无</w:t>
                  </w:r>
                </w:p>
              </w:tc>
              <w:tc>
                <w:tcPr>
                  <w:tcW w:w="1621" w:type="dxa"/>
                  <w:tcMar>
                    <w:left w:w="85" w:type="dxa"/>
                    <w:right w:w="85" w:type="dxa"/>
                  </w:tcMar>
                  <w:vAlign w:val="center"/>
                </w:tcPr>
                <w:p>
                  <w:pPr>
                    <w:pStyle w:val="22"/>
                    <w:rPr>
                      <w:color w:val="auto"/>
                      <w:highlight w:val="none"/>
                    </w:rPr>
                  </w:pPr>
                  <w:r>
                    <w:rPr>
                      <w:rFonts w:hint="eastAsia"/>
                      <w:color w:val="auto"/>
                      <w:highlight w:val="none"/>
                    </w:rPr>
                    <w:t>无</w:t>
                  </w:r>
                </w:p>
              </w:tc>
              <w:tc>
                <w:tcPr>
                  <w:tcW w:w="1031" w:type="dxa"/>
                  <w:tcMar>
                    <w:left w:w="85" w:type="dxa"/>
                    <w:right w:w="85" w:type="dxa"/>
                  </w:tcMar>
                  <w:vAlign w:val="center"/>
                </w:tcPr>
                <w:p>
                  <w:pPr>
                    <w:pStyle w:val="22"/>
                    <w:rPr>
                      <w:color w:val="auto"/>
                      <w:highlight w:val="none"/>
                    </w:rPr>
                  </w:pPr>
                  <w:r>
                    <w:rPr>
                      <w:rFonts w:hint="eastAsia"/>
                      <w:color w:val="auto"/>
                      <w:highlight w:val="none"/>
                    </w:rPr>
                    <w:t>/</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widowControl/>
                    <w:jc w:val="center"/>
                    <w:textAlignment w:val="center"/>
                    <w:rPr>
                      <w:color w:val="auto"/>
                      <w:highlight w:val="none"/>
                    </w:rPr>
                  </w:pPr>
                  <w:r>
                    <w:rPr>
                      <w:rFonts w:hint="default" w:ascii="Times New Roman" w:hAnsi="Times New Roman" w:eastAsia="宋体" w:cs="Times New Roman"/>
                      <w:color w:val="auto"/>
                      <w:sz w:val="21"/>
                      <w:szCs w:val="21"/>
                      <w:highlight w:val="none"/>
                    </w:rPr>
                    <w:t>氨氮</w:t>
                  </w:r>
                </w:p>
              </w:tc>
              <w:tc>
                <w:tcPr>
                  <w:tcW w:w="1594" w:type="dxa"/>
                  <w:tcMar>
                    <w:left w:w="85" w:type="dxa"/>
                    <w:right w:w="85" w:type="dxa"/>
                  </w:tcMar>
                  <w:vAlign w:val="center"/>
                </w:tcPr>
                <w:p>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0.397</w:t>
                  </w:r>
                </w:p>
              </w:tc>
              <w:tc>
                <w:tcPr>
                  <w:tcW w:w="1621" w:type="dxa"/>
                  <w:tcMar>
                    <w:left w:w="85" w:type="dxa"/>
                    <w:right w:w="85" w:type="dxa"/>
                  </w:tcMar>
                  <w:vAlign w:val="center"/>
                </w:tcPr>
                <w:p>
                  <w:pPr>
                    <w:pStyle w:val="22"/>
                    <w:rPr>
                      <w:color w:val="auto"/>
                      <w:highlight w:val="none"/>
                    </w:rPr>
                  </w:pPr>
                  <w:r>
                    <w:rPr>
                      <w:rFonts w:hint="eastAsia"/>
                      <w:color w:val="auto"/>
                      <w:highlight w:val="none"/>
                    </w:rPr>
                    <w:t>≤0.50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widowControl/>
                    <w:adjustRightInd w:val="0"/>
                    <w:snapToGrid w:val="0"/>
                    <w:jc w:val="center"/>
                    <w:rPr>
                      <w:color w:val="auto"/>
                      <w:highlight w:val="none"/>
                    </w:rPr>
                  </w:pPr>
                  <w:r>
                    <w:rPr>
                      <w:rFonts w:hint="default" w:ascii="Times New Roman" w:hAnsi="Times New Roman" w:eastAsia="宋体" w:cs="Times New Roman"/>
                      <w:color w:val="auto"/>
                      <w:kern w:val="0"/>
                      <w:sz w:val="21"/>
                      <w:szCs w:val="21"/>
                      <w:highlight w:val="none"/>
                      <w:lang w:val="en-US" w:eastAsia="zh-CN" w:bidi="ar"/>
                    </w:rPr>
                    <w:t>挥发酚</w:t>
                  </w:r>
                </w:p>
              </w:tc>
              <w:tc>
                <w:tcPr>
                  <w:tcW w:w="1594" w:type="dxa"/>
                  <w:tcMar>
                    <w:left w:w="85" w:type="dxa"/>
                    <w:right w:w="85" w:type="dxa"/>
                  </w:tcMar>
                  <w:vAlign w:val="center"/>
                </w:tcPr>
                <w:p>
                  <w:pPr>
                    <w:keepNext w:val="0"/>
                    <w:keepLines w:val="0"/>
                    <w:pageBreakBefore w:val="0"/>
                    <w:widowControl/>
                    <w:kinsoku/>
                    <w:wordWrap/>
                    <w:overflowPunct/>
                    <w:topLinePunct w:val="0"/>
                    <w:autoSpaceDE/>
                    <w:autoSpaceDN/>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&lt;0.0003</w:t>
                  </w:r>
                </w:p>
              </w:tc>
              <w:tc>
                <w:tcPr>
                  <w:tcW w:w="1621" w:type="dxa"/>
                  <w:tcMar>
                    <w:left w:w="85" w:type="dxa"/>
                    <w:right w:w="85" w:type="dxa"/>
                  </w:tcMar>
                  <w:vAlign w:val="center"/>
                </w:tcPr>
                <w:p>
                  <w:pPr>
                    <w:pStyle w:val="22"/>
                    <w:rPr>
                      <w:color w:val="auto"/>
                      <w:highlight w:val="none"/>
                    </w:rPr>
                  </w:pPr>
                  <w:r>
                    <w:rPr>
                      <w:rFonts w:hint="eastAsia"/>
                      <w:color w:val="auto"/>
                      <w:highlight w:val="none"/>
                    </w:rPr>
                    <w:t>≤0.002</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高锰酸盐指数</w:t>
                  </w:r>
                </w:p>
              </w:tc>
              <w:tc>
                <w:tcPr>
                  <w:tcW w:w="1594" w:type="dxa"/>
                  <w:tcMar>
                    <w:left w:w="85" w:type="dxa"/>
                    <w:right w:w="85" w:type="dxa"/>
                  </w:tcMar>
                  <w:vAlign w:val="center"/>
                </w:tcPr>
                <w:p>
                  <w:pPr>
                    <w:widowControl/>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0.67</w:t>
                  </w:r>
                </w:p>
              </w:tc>
              <w:tc>
                <w:tcPr>
                  <w:tcW w:w="1621" w:type="dxa"/>
                  <w:tcMar>
                    <w:left w:w="85" w:type="dxa"/>
                    <w:right w:w="85" w:type="dxa"/>
                  </w:tcMar>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30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rFonts w:hint="eastAsia"/>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ageBreakBefore w:val="0"/>
                    <w:kinsoku/>
                    <w:wordWrap/>
                    <w:overflowPunct/>
                    <w:topLinePunct w:val="0"/>
                    <w:autoSpaceDE/>
                    <w:autoSpaceDN/>
                    <w:bidi w:val="0"/>
                    <w:adjustRightInd/>
                    <w:snapToGrid/>
                    <w:spacing w:line="240" w:lineRule="auto"/>
                    <w:jc w:val="center"/>
                    <w:rPr>
                      <w:color w:val="auto"/>
                      <w:highlight w:val="none"/>
                    </w:rPr>
                  </w:pPr>
                  <w:r>
                    <w:rPr>
                      <w:rFonts w:hint="default" w:ascii="Times New Roman" w:hAnsi="Times New Roman" w:eastAsia="宋体" w:cs="Times New Roman"/>
                      <w:b w:val="0"/>
                      <w:bCs/>
                      <w:color w:val="auto"/>
                      <w:sz w:val="21"/>
                      <w:szCs w:val="21"/>
                      <w:highlight w:val="none"/>
                      <w:vertAlign w:val="baseline"/>
                      <w:lang w:val="en-US" w:eastAsia="zh-CN"/>
                    </w:rPr>
                    <w:t>氯化物</w:t>
                  </w:r>
                </w:p>
              </w:tc>
              <w:tc>
                <w:tcPr>
                  <w:tcW w:w="1594" w:type="dxa"/>
                  <w:tcMar>
                    <w:left w:w="85" w:type="dxa"/>
                    <w:right w:w="85" w:type="dxa"/>
                  </w:tcMar>
                  <w:vAlign w:val="center"/>
                </w:tcPr>
                <w:p>
                  <w:pPr>
                    <w:widowControl/>
                    <w:jc w:val="center"/>
                    <w:textAlignment w:val="center"/>
                    <w:rPr>
                      <w:color w:val="auto"/>
                      <w:highlight w:val="none"/>
                    </w:rPr>
                  </w:pPr>
                  <w:r>
                    <w:rPr>
                      <w:rFonts w:hint="eastAsia" w:cs="Times New Roman"/>
                      <w:color w:val="auto"/>
                      <w:sz w:val="21"/>
                      <w:szCs w:val="21"/>
                      <w:highlight w:val="none"/>
                      <w:lang w:val="en-US" w:eastAsia="zh-CN"/>
                    </w:rPr>
                    <w:t>59.1</w:t>
                  </w:r>
                </w:p>
              </w:tc>
              <w:tc>
                <w:tcPr>
                  <w:tcW w:w="1621" w:type="dxa"/>
                  <w:tcMar>
                    <w:left w:w="85" w:type="dxa"/>
                    <w:right w:w="85" w:type="dxa"/>
                  </w:tcMar>
                  <w:vAlign w:val="center"/>
                </w:tcPr>
                <w:p>
                  <w:pPr>
                    <w:pStyle w:val="22"/>
                    <w:rPr>
                      <w:color w:val="auto"/>
                      <w:highlight w:val="none"/>
                    </w:rPr>
                  </w:pPr>
                  <w:r>
                    <w:rPr>
                      <w:rFonts w:hint="eastAsia"/>
                      <w:color w:val="auto"/>
                      <w:highlight w:val="none"/>
                    </w:rPr>
                    <w:t>≤250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6"/>
                    <w:jc w:val="center"/>
                    <w:rPr>
                      <w:color w:val="auto"/>
                      <w:highlight w:val="none"/>
                    </w:rPr>
                  </w:pPr>
                  <w:r>
                    <w:rPr>
                      <w:rFonts w:hint="default" w:ascii="Times New Roman" w:hAnsi="Times New Roman" w:eastAsia="宋体" w:cs="Times New Roman"/>
                      <w:color w:val="auto"/>
                      <w:sz w:val="21"/>
                      <w:szCs w:val="21"/>
                      <w:highlight w:val="none"/>
                      <w:lang w:eastAsia="zh-CN"/>
                    </w:rPr>
                    <w:t>硫酸盐</w:t>
                  </w:r>
                </w:p>
              </w:tc>
              <w:tc>
                <w:tcPr>
                  <w:tcW w:w="1594" w:type="dxa"/>
                  <w:tcMar>
                    <w:left w:w="85" w:type="dxa"/>
                    <w:right w:w="85" w:type="dxa"/>
                  </w:tcMar>
                  <w:vAlign w:val="center"/>
                </w:tcPr>
                <w:p>
                  <w:pPr>
                    <w:widowControl/>
                    <w:jc w:val="center"/>
                    <w:textAlignment w:val="center"/>
                    <w:rPr>
                      <w:color w:val="auto"/>
                      <w:highlight w:val="none"/>
                    </w:rPr>
                  </w:pPr>
                  <w:r>
                    <w:rPr>
                      <w:rFonts w:hint="eastAsia" w:cs="Times New Roman"/>
                      <w:color w:val="auto"/>
                      <w:kern w:val="2"/>
                      <w:sz w:val="21"/>
                      <w:szCs w:val="21"/>
                      <w:highlight w:val="none"/>
                      <w:lang w:val="en-US" w:eastAsia="zh-CN" w:bidi="ar-SA"/>
                    </w:rPr>
                    <w:t>78</w:t>
                  </w:r>
                </w:p>
              </w:tc>
              <w:tc>
                <w:tcPr>
                  <w:tcW w:w="1621" w:type="dxa"/>
                  <w:tcMar>
                    <w:left w:w="85" w:type="dxa"/>
                    <w:right w:w="85" w:type="dxa"/>
                  </w:tcMar>
                  <w:vAlign w:val="center"/>
                </w:tcPr>
                <w:p>
                  <w:pPr>
                    <w:pStyle w:val="22"/>
                    <w:rPr>
                      <w:color w:val="auto"/>
                      <w:highlight w:val="none"/>
                    </w:rPr>
                  </w:pPr>
                  <w:r>
                    <w:rPr>
                      <w:rFonts w:hint="eastAsia"/>
                      <w:color w:val="auto"/>
                      <w:highlight w:val="none"/>
                    </w:rPr>
                    <w:t>≤250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color w:val="auto"/>
                      <w:highlight w:val="none"/>
                    </w:rPr>
                  </w:pPr>
                  <w:r>
                    <w:rPr>
                      <w:rFonts w:hint="default" w:ascii="Times New Roman" w:hAnsi="Times New Roman" w:eastAsia="宋体" w:cs="Times New Roman"/>
                      <w:b w:val="0"/>
                      <w:i w:val="0"/>
                      <w:strike w:val="0"/>
                      <w:color w:val="auto"/>
                      <w:spacing w:val="0"/>
                      <w:sz w:val="21"/>
                      <w:szCs w:val="21"/>
                      <w:highlight w:val="none"/>
                      <w:u w:val="none"/>
                    </w:rPr>
                    <w:t>总硬度</w:t>
                  </w:r>
                </w:p>
              </w:tc>
              <w:tc>
                <w:tcPr>
                  <w:tcW w:w="1594" w:type="dxa"/>
                  <w:tcMar>
                    <w:left w:w="85" w:type="dxa"/>
                    <w:right w:w="85" w:type="dxa"/>
                  </w:tcMar>
                  <w:vAlign w:val="center"/>
                </w:tcPr>
                <w:p>
                  <w:pPr>
                    <w:widowControl/>
                    <w:jc w:val="center"/>
                    <w:textAlignment w:val="center"/>
                    <w:rPr>
                      <w:color w:val="auto"/>
                      <w:highlight w:val="none"/>
                    </w:rPr>
                  </w:pPr>
                  <w:r>
                    <w:rPr>
                      <w:rFonts w:hint="eastAsia" w:cs="Times New Roman"/>
                      <w:color w:val="auto"/>
                      <w:sz w:val="21"/>
                      <w:szCs w:val="21"/>
                      <w:highlight w:val="none"/>
                      <w:lang w:val="en-US" w:eastAsia="zh-CN"/>
                    </w:rPr>
                    <w:t>405.4</w:t>
                  </w:r>
                </w:p>
              </w:tc>
              <w:tc>
                <w:tcPr>
                  <w:tcW w:w="1621" w:type="dxa"/>
                  <w:tcMar>
                    <w:left w:w="85" w:type="dxa"/>
                    <w:right w:w="85" w:type="dxa"/>
                  </w:tcMar>
                  <w:vAlign w:val="center"/>
                </w:tcPr>
                <w:p>
                  <w:pPr>
                    <w:pStyle w:val="22"/>
                    <w:rPr>
                      <w:color w:val="auto"/>
                      <w:highlight w:val="none"/>
                    </w:rPr>
                  </w:pPr>
                  <w:r>
                    <w:rPr>
                      <w:rFonts w:hint="eastAsia"/>
                      <w:color w:val="auto"/>
                      <w:highlight w:val="none"/>
                    </w:rPr>
                    <w:t>≤450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ageBreakBefore w:val="0"/>
                    <w:kinsoku/>
                    <w:wordWrap/>
                    <w:overflowPunct/>
                    <w:topLinePunct w:val="0"/>
                    <w:autoSpaceDE/>
                    <w:autoSpaceDN/>
                    <w:bidi w:val="0"/>
                    <w:adjustRightInd/>
                    <w:snapToGrid/>
                    <w:spacing w:line="240" w:lineRule="auto"/>
                    <w:jc w:val="center"/>
                    <w:rPr>
                      <w:color w:val="auto"/>
                      <w:highlight w:val="none"/>
                    </w:rPr>
                  </w:pPr>
                  <w:r>
                    <w:rPr>
                      <w:rFonts w:hint="default" w:ascii="Times New Roman" w:hAnsi="Times New Roman" w:eastAsia="宋体" w:cs="Times New Roman"/>
                      <w:b w:val="0"/>
                      <w:bCs/>
                      <w:color w:val="auto"/>
                      <w:sz w:val="21"/>
                      <w:szCs w:val="21"/>
                      <w:highlight w:val="none"/>
                      <w:vertAlign w:val="baseline"/>
                      <w:lang w:val="en-US" w:eastAsia="zh-CN"/>
                    </w:rPr>
                    <w:t>氟化物</w:t>
                  </w:r>
                </w:p>
              </w:tc>
              <w:tc>
                <w:tcPr>
                  <w:tcW w:w="1594" w:type="dxa"/>
                  <w:tcMar>
                    <w:left w:w="85" w:type="dxa"/>
                    <w:right w:w="85" w:type="dxa"/>
                  </w:tcMar>
                  <w:vAlign w:val="center"/>
                </w:tcPr>
                <w:p>
                  <w:pPr>
                    <w:widowControl/>
                    <w:jc w:val="center"/>
                    <w:textAlignment w:val="center"/>
                    <w:rPr>
                      <w:color w:val="auto"/>
                      <w:highlight w:val="none"/>
                    </w:rPr>
                  </w:pPr>
                  <w:r>
                    <w:rPr>
                      <w:rFonts w:hint="eastAsia" w:cs="Times New Roman"/>
                      <w:color w:val="auto"/>
                      <w:sz w:val="21"/>
                      <w:szCs w:val="21"/>
                      <w:highlight w:val="none"/>
                      <w:lang w:val="en-US" w:eastAsia="zh-CN"/>
                    </w:rPr>
                    <w:t>0.47</w:t>
                  </w:r>
                </w:p>
              </w:tc>
              <w:tc>
                <w:tcPr>
                  <w:tcW w:w="1621" w:type="dxa"/>
                  <w:tcMar>
                    <w:left w:w="85" w:type="dxa"/>
                    <w:right w:w="85" w:type="dxa"/>
                  </w:tcMar>
                  <w:vAlign w:val="center"/>
                </w:tcPr>
                <w:p>
                  <w:pPr>
                    <w:pStyle w:val="22"/>
                    <w:rPr>
                      <w:color w:val="auto"/>
                      <w:highlight w:val="none"/>
                    </w:rPr>
                  </w:pPr>
                  <w:r>
                    <w:rPr>
                      <w:rFonts w:hint="eastAsia"/>
                      <w:color w:val="auto"/>
                      <w:highlight w:val="none"/>
                    </w:rPr>
                    <w:t>≤1.0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六价铬</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&lt;0.004</w:t>
                  </w:r>
                </w:p>
              </w:tc>
              <w:tc>
                <w:tcPr>
                  <w:tcW w:w="1621" w:type="dxa"/>
                  <w:tcMar>
                    <w:left w:w="85" w:type="dxa"/>
                    <w:right w:w="85" w:type="dxa"/>
                  </w:tcMar>
                  <w:vAlign w:val="center"/>
                </w:tcPr>
                <w:p>
                  <w:pPr>
                    <w:pStyle w:val="22"/>
                    <w:rPr>
                      <w:color w:val="auto"/>
                      <w:highlight w:val="none"/>
                    </w:rPr>
                  </w:pPr>
                  <w:r>
                    <w:rPr>
                      <w:rFonts w:hint="eastAsia"/>
                      <w:color w:val="auto"/>
                      <w:highlight w:val="none"/>
                    </w:rPr>
                    <w:t>≤0.05</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耗氧量</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0.67</w:t>
                  </w:r>
                </w:p>
              </w:tc>
              <w:tc>
                <w:tcPr>
                  <w:tcW w:w="1621" w:type="dxa"/>
                  <w:tcMar>
                    <w:left w:w="85" w:type="dxa"/>
                    <w:right w:w="85" w:type="dxa"/>
                  </w:tcMar>
                  <w:vAlign w:val="center"/>
                </w:tcPr>
                <w:p>
                  <w:pPr>
                    <w:pStyle w:val="22"/>
                    <w:rPr>
                      <w:color w:val="auto"/>
                      <w:highlight w:val="none"/>
                    </w:rPr>
                  </w:pPr>
                  <w:r>
                    <w:rPr>
                      <w:rFonts w:hint="eastAsia"/>
                      <w:color w:val="auto"/>
                      <w:highlight w:val="none"/>
                    </w:rPr>
                    <w:t>≤3.0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亚硝酸盐氮</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0.005</w:t>
                  </w:r>
                </w:p>
              </w:tc>
              <w:tc>
                <w:tcPr>
                  <w:tcW w:w="1621" w:type="dxa"/>
                  <w:tcMar>
                    <w:left w:w="85" w:type="dxa"/>
                    <w:right w:w="85" w:type="dxa"/>
                  </w:tcMar>
                  <w:vAlign w:val="center"/>
                </w:tcPr>
                <w:p>
                  <w:pPr>
                    <w:pStyle w:val="22"/>
                    <w:rPr>
                      <w:color w:val="auto"/>
                      <w:highlight w:val="none"/>
                    </w:rPr>
                  </w:pPr>
                  <w:r>
                    <w:rPr>
                      <w:rFonts w:hint="eastAsia"/>
                      <w:color w:val="auto"/>
                      <w:highlight w:val="none"/>
                    </w:rPr>
                    <w:t>≤1.00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硝酸盐氮</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2.6</w:t>
                  </w:r>
                </w:p>
              </w:tc>
              <w:tc>
                <w:tcPr>
                  <w:tcW w:w="1621" w:type="dxa"/>
                  <w:tcMar>
                    <w:left w:w="85" w:type="dxa"/>
                    <w:right w:w="85" w:type="dxa"/>
                  </w:tcMar>
                  <w:vAlign w:val="center"/>
                </w:tcPr>
                <w:p>
                  <w:pPr>
                    <w:pStyle w:val="22"/>
                    <w:rPr>
                      <w:color w:val="auto"/>
                      <w:highlight w:val="none"/>
                    </w:rPr>
                  </w:pPr>
                  <w:r>
                    <w:rPr>
                      <w:rFonts w:hint="eastAsia"/>
                      <w:color w:val="auto"/>
                      <w:highlight w:val="none"/>
                    </w:rPr>
                    <w:t>≤20.0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溶解性总固体</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960</w:t>
                  </w:r>
                </w:p>
              </w:tc>
              <w:tc>
                <w:tcPr>
                  <w:tcW w:w="1621" w:type="dxa"/>
                  <w:tcMar>
                    <w:left w:w="85" w:type="dxa"/>
                    <w:right w:w="85" w:type="dxa"/>
                  </w:tcMar>
                  <w:vAlign w:val="center"/>
                </w:tcPr>
                <w:p>
                  <w:pPr>
                    <w:pStyle w:val="22"/>
                    <w:rPr>
                      <w:color w:val="auto"/>
                      <w:highlight w:val="none"/>
                    </w:rPr>
                  </w:pPr>
                  <w:r>
                    <w:rPr>
                      <w:rFonts w:hint="eastAsia"/>
                      <w:color w:val="auto"/>
                      <w:highlight w:val="none"/>
                    </w:rPr>
                    <w:t>≤1000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阴离子表面活性剂</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&lt;0.05</w:t>
                  </w:r>
                </w:p>
              </w:tc>
              <w:tc>
                <w:tcPr>
                  <w:tcW w:w="1621" w:type="dxa"/>
                  <w:tcMar>
                    <w:left w:w="85" w:type="dxa"/>
                    <w:right w:w="85" w:type="dxa"/>
                  </w:tcMar>
                  <w:vAlign w:val="center"/>
                </w:tcPr>
                <w:p>
                  <w:pPr>
                    <w:pStyle w:val="22"/>
                    <w:rPr>
                      <w:color w:val="auto"/>
                      <w:highlight w:val="none"/>
                    </w:rPr>
                  </w:pPr>
                  <w:r>
                    <w:rPr>
                      <w:rFonts w:hint="eastAsia"/>
                      <w:color w:val="auto"/>
                      <w:highlight w:val="none"/>
                    </w:rPr>
                    <w:t>≤0.3</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氰化物</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&lt;0.002</w:t>
                  </w:r>
                </w:p>
              </w:tc>
              <w:tc>
                <w:tcPr>
                  <w:tcW w:w="1621" w:type="dxa"/>
                  <w:tcMar>
                    <w:left w:w="85" w:type="dxa"/>
                    <w:right w:w="85" w:type="dxa"/>
                  </w:tcMar>
                  <w:vAlign w:val="center"/>
                </w:tcPr>
                <w:p>
                  <w:pPr>
                    <w:pStyle w:val="22"/>
                    <w:rPr>
                      <w:color w:val="auto"/>
                      <w:highlight w:val="none"/>
                    </w:rPr>
                  </w:pPr>
                  <w:r>
                    <w:rPr>
                      <w:rFonts w:hint="eastAsia"/>
                      <w:color w:val="auto"/>
                      <w:highlight w:val="none"/>
                    </w:rPr>
                    <w:t>≤0.05</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镉</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&lt;0.5</w:t>
                  </w:r>
                </w:p>
              </w:tc>
              <w:tc>
                <w:tcPr>
                  <w:tcW w:w="1621" w:type="dxa"/>
                  <w:tcMar>
                    <w:left w:w="85" w:type="dxa"/>
                    <w:right w:w="85" w:type="dxa"/>
                  </w:tcMar>
                  <w:vAlign w:val="center"/>
                </w:tcPr>
                <w:p>
                  <w:pPr>
                    <w:pStyle w:val="22"/>
                    <w:rPr>
                      <w:color w:val="auto"/>
                      <w:highlight w:val="none"/>
                    </w:rPr>
                  </w:pPr>
                  <w:r>
                    <w:rPr>
                      <w:rFonts w:hint="eastAsia"/>
                      <w:color w:val="auto"/>
                      <w:highlight w:val="none"/>
                    </w:rPr>
                    <w:t>≤0.005</w:t>
                  </w:r>
                </w:p>
              </w:tc>
              <w:tc>
                <w:tcPr>
                  <w:tcW w:w="1031" w:type="dxa"/>
                  <w:tcMar>
                    <w:left w:w="85" w:type="dxa"/>
                    <w:right w:w="85" w:type="dxa"/>
                  </w:tcMar>
                  <w:vAlign w:val="center"/>
                </w:tcPr>
                <w:p>
                  <w:pPr>
                    <w:pStyle w:val="22"/>
                    <w:rPr>
                      <w:color w:val="auto"/>
                      <w:highlight w:val="none"/>
                    </w:rPr>
                  </w:pPr>
                  <w:r>
                    <w:rPr>
                      <w:color w:val="auto"/>
                      <w:highlight w:val="none"/>
                    </w:rPr>
                    <w:t>μg/L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铅</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&lt;2.5</w:t>
                  </w:r>
                </w:p>
              </w:tc>
              <w:tc>
                <w:tcPr>
                  <w:tcW w:w="1621" w:type="dxa"/>
                  <w:tcMar>
                    <w:left w:w="85" w:type="dxa"/>
                    <w:right w:w="85" w:type="dxa"/>
                  </w:tcMar>
                  <w:vAlign w:val="center"/>
                </w:tcPr>
                <w:p>
                  <w:pPr>
                    <w:pStyle w:val="22"/>
                    <w:rPr>
                      <w:color w:val="auto"/>
                      <w:highlight w:val="none"/>
                    </w:rPr>
                  </w:pPr>
                  <w:r>
                    <w:rPr>
                      <w:rFonts w:hint="eastAsia"/>
                      <w:color w:val="auto"/>
                      <w:highlight w:val="none"/>
                    </w:rPr>
                    <w:t>≤0.01</w:t>
                  </w:r>
                </w:p>
              </w:tc>
              <w:tc>
                <w:tcPr>
                  <w:tcW w:w="1031" w:type="dxa"/>
                  <w:tcMar>
                    <w:left w:w="85" w:type="dxa"/>
                    <w:right w:w="85" w:type="dxa"/>
                  </w:tcMar>
                  <w:vAlign w:val="center"/>
                </w:tcPr>
                <w:p>
                  <w:pPr>
                    <w:pStyle w:val="22"/>
                    <w:rPr>
                      <w:color w:val="auto"/>
                      <w:highlight w:val="none"/>
                    </w:rPr>
                  </w:pPr>
                  <w:r>
                    <w:rPr>
                      <w:color w:val="auto"/>
                      <w:highlight w:val="none"/>
                    </w:rPr>
                    <w:t>μg/L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铜</w:t>
                  </w:r>
                </w:p>
              </w:tc>
              <w:tc>
                <w:tcPr>
                  <w:tcW w:w="1594" w:type="dxa"/>
                  <w:tcMar>
                    <w:left w:w="85" w:type="dxa"/>
                    <w:right w:w="85" w:type="dxa"/>
                  </w:tcMar>
                  <w:vAlign w:val="center"/>
                </w:tcPr>
                <w:p>
                  <w:pPr>
                    <w:pStyle w:val="22"/>
                    <w:rPr>
                      <w:color w:val="auto"/>
                      <w:highlight w:val="none"/>
                    </w:rPr>
                  </w:pPr>
                  <w:r>
                    <w:rPr>
                      <w:rFonts w:hint="eastAsia" w:cs="Times New Roman"/>
                      <w:color w:val="auto"/>
                      <w:kern w:val="2"/>
                      <w:sz w:val="21"/>
                      <w:szCs w:val="21"/>
                      <w:highlight w:val="none"/>
                      <w:lang w:val="en-US" w:eastAsia="zh-CN" w:bidi="ar-SA"/>
                    </w:rPr>
                    <w:t>&lt;5</w:t>
                  </w:r>
                </w:p>
              </w:tc>
              <w:tc>
                <w:tcPr>
                  <w:tcW w:w="1621" w:type="dxa"/>
                  <w:tcMar>
                    <w:left w:w="85" w:type="dxa"/>
                    <w:right w:w="85" w:type="dxa"/>
                  </w:tcMar>
                  <w:vAlign w:val="center"/>
                </w:tcPr>
                <w:p>
                  <w:pPr>
                    <w:pStyle w:val="22"/>
                    <w:rPr>
                      <w:color w:val="auto"/>
                      <w:highlight w:val="none"/>
                    </w:rPr>
                  </w:pPr>
                  <w:r>
                    <w:rPr>
                      <w:rFonts w:hint="eastAsia"/>
                      <w:color w:val="auto"/>
                      <w:highlight w:val="none"/>
                    </w:rPr>
                    <w:t>≤1.00</w:t>
                  </w:r>
                </w:p>
              </w:tc>
              <w:tc>
                <w:tcPr>
                  <w:tcW w:w="1031" w:type="dxa"/>
                  <w:tcMar>
                    <w:left w:w="85" w:type="dxa"/>
                    <w:right w:w="85" w:type="dxa"/>
                  </w:tcMar>
                  <w:vAlign w:val="center"/>
                </w:tcPr>
                <w:p>
                  <w:pPr>
                    <w:pStyle w:val="22"/>
                    <w:rPr>
                      <w:color w:val="auto"/>
                      <w:highlight w:val="none"/>
                    </w:rPr>
                  </w:pPr>
                  <w:r>
                    <w:rPr>
                      <w:color w:val="auto"/>
                      <w:highlight w:val="none"/>
                    </w:rPr>
                    <w:t>μg/L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铁</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&lt;0.03</w:t>
                  </w:r>
                </w:p>
              </w:tc>
              <w:tc>
                <w:tcPr>
                  <w:tcW w:w="1621" w:type="dxa"/>
                  <w:tcMar>
                    <w:left w:w="85" w:type="dxa"/>
                    <w:right w:w="85" w:type="dxa"/>
                  </w:tcMar>
                  <w:vAlign w:val="center"/>
                </w:tcPr>
                <w:p>
                  <w:pPr>
                    <w:pStyle w:val="22"/>
                    <w:rPr>
                      <w:color w:val="auto"/>
                      <w:highlight w:val="none"/>
                    </w:rPr>
                  </w:pPr>
                  <w:r>
                    <w:rPr>
                      <w:rFonts w:hint="eastAsia"/>
                      <w:color w:val="auto"/>
                      <w:highlight w:val="none"/>
                    </w:rPr>
                    <w:t>≤0.3</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锌</w:t>
                  </w:r>
                </w:p>
              </w:tc>
              <w:tc>
                <w:tcPr>
                  <w:tcW w:w="1594" w:type="dxa"/>
                  <w:tcMar>
                    <w:left w:w="85" w:type="dxa"/>
                    <w:right w:w="85" w:type="dxa"/>
                  </w:tcMar>
                  <w:vAlign w:val="center"/>
                </w:tcPr>
                <w:p>
                  <w:pPr>
                    <w:pStyle w:val="22"/>
                    <w:rPr>
                      <w:color w:val="auto"/>
                      <w:highlight w:val="none"/>
                    </w:rPr>
                  </w:pPr>
                  <w:r>
                    <w:rPr>
                      <w:rFonts w:hint="eastAsia" w:cs="Times New Roman"/>
                      <w:color w:val="auto"/>
                      <w:highlight w:val="none"/>
                      <w:lang w:val="en-US" w:eastAsia="zh-CN"/>
                    </w:rPr>
                    <w:t>&lt;0.05</w:t>
                  </w:r>
                </w:p>
              </w:tc>
              <w:tc>
                <w:tcPr>
                  <w:tcW w:w="1621" w:type="dxa"/>
                  <w:tcMar>
                    <w:left w:w="85" w:type="dxa"/>
                    <w:right w:w="85" w:type="dxa"/>
                  </w:tcMar>
                  <w:vAlign w:val="center"/>
                </w:tcPr>
                <w:p>
                  <w:pPr>
                    <w:pStyle w:val="22"/>
                    <w:rPr>
                      <w:color w:val="auto"/>
                      <w:highlight w:val="none"/>
                    </w:rPr>
                  </w:pPr>
                  <w:r>
                    <w:rPr>
                      <w:rFonts w:hint="eastAsia"/>
                      <w:color w:val="auto"/>
                      <w:highlight w:val="none"/>
                    </w:rPr>
                    <w:t>≤1.00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锰</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&lt;0.01</w:t>
                  </w:r>
                </w:p>
              </w:tc>
              <w:tc>
                <w:tcPr>
                  <w:tcW w:w="1621" w:type="dxa"/>
                  <w:tcMar>
                    <w:left w:w="85" w:type="dxa"/>
                    <w:right w:w="85" w:type="dxa"/>
                  </w:tcMar>
                  <w:vAlign w:val="center"/>
                </w:tcPr>
                <w:p>
                  <w:pPr>
                    <w:pStyle w:val="22"/>
                    <w:rPr>
                      <w:color w:val="auto"/>
                      <w:highlight w:val="none"/>
                    </w:rPr>
                  </w:pPr>
                  <w:r>
                    <w:rPr>
                      <w:rFonts w:hint="eastAsia"/>
                      <w:color w:val="auto"/>
                      <w:highlight w:val="none"/>
                    </w:rPr>
                    <w:t>≤0.1</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钠</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57.92</w:t>
                  </w:r>
                </w:p>
              </w:tc>
              <w:tc>
                <w:tcPr>
                  <w:tcW w:w="1621" w:type="dxa"/>
                  <w:tcMar>
                    <w:left w:w="85" w:type="dxa"/>
                    <w:right w:w="85" w:type="dxa"/>
                  </w:tcMar>
                  <w:vAlign w:val="center"/>
                </w:tcPr>
                <w:p>
                  <w:pPr>
                    <w:pStyle w:val="22"/>
                    <w:rPr>
                      <w:color w:val="auto"/>
                      <w:highlight w:val="none"/>
                    </w:rPr>
                  </w:pPr>
                  <w:r>
                    <w:rPr>
                      <w:rFonts w:hint="eastAsia"/>
                      <w:color w:val="auto"/>
                      <w:highlight w:val="none"/>
                    </w:rPr>
                    <w:t>≤200</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铝</w:t>
                  </w:r>
                </w:p>
              </w:tc>
              <w:tc>
                <w:tcPr>
                  <w:tcW w:w="1594" w:type="dxa"/>
                  <w:tcMar>
                    <w:left w:w="85" w:type="dxa"/>
                    <w:right w:w="85" w:type="dxa"/>
                  </w:tcMar>
                  <w:vAlign w:val="center"/>
                </w:tcPr>
                <w:p>
                  <w:pPr>
                    <w:pStyle w:val="22"/>
                    <w:rPr>
                      <w:color w:val="auto"/>
                      <w:highlight w:val="none"/>
                    </w:rPr>
                  </w:pPr>
                  <w:r>
                    <w:rPr>
                      <w:rFonts w:hint="eastAsia" w:cs="Times New Roman"/>
                      <w:color w:val="auto"/>
                      <w:kern w:val="2"/>
                      <w:sz w:val="21"/>
                      <w:szCs w:val="21"/>
                      <w:highlight w:val="none"/>
                      <w:lang w:val="en-US" w:eastAsia="zh-CN" w:bidi="ar-SA"/>
                    </w:rPr>
                    <w:t>0.086</w:t>
                  </w:r>
                </w:p>
              </w:tc>
              <w:tc>
                <w:tcPr>
                  <w:tcW w:w="1621" w:type="dxa"/>
                  <w:tcMar>
                    <w:left w:w="85" w:type="dxa"/>
                    <w:right w:w="85" w:type="dxa"/>
                  </w:tcMar>
                  <w:vAlign w:val="center"/>
                </w:tcPr>
                <w:p>
                  <w:pPr>
                    <w:pStyle w:val="22"/>
                    <w:rPr>
                      <w:color w:val="auto"/>
                      <w:highlight w:val="none"/>
                    </w:rPr>
                  </w:pPr>
                  <w:r>
                    <w:rPr>
                      <w:rFonts w:hint="eastAsia"/>
                      <w:color w:val="auto"/>
                      <w:highlight w:val="none"/>
                    </w:rPr>
                    <w:t>≤0.2</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汞</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&lt;0.04</w:t>
                  </w:r>
                </w:p>
              </w:tc>
              <w:tc>
                <w:tcPr>
                  <w:tcW w:w="1621" w:type="dxa"/>
                  <w:tcMar>
                    <w:left w:w="85" w:type="dxa"/>
                    <w:right w:w="85" w:type="dxa"/>
                  </w:tcMar>
                  <w:vAlign w:val="center"/>
                </w:tcPr>
                <w:p>
                  <w:pPr>
                    <w:pStyle w:val="22"/>
                    <w:rPr>
                      <w:color w:val="auto"/>
                      <w:highlight w:val="none"/>
                    </w:rPr>
                  </w:pPr>
                  <w:r>
                    <w:rPr>
                      <w:rFonts w:hint="eastAsia"/>
                      <w:color w:val="auto"/>
                      <w:highlight w:val="none"/>
                    </w:rPr>
                    <w:t>≤0.001</w:t>
                  </w:r>
                </w:p>
              </w:tc>
              <w:tc>
                <w:tcPr>
                  <w:tcW w:w="1031" w:type="dxa"/>
                  <w:tcMar>
                    <w:left w:w="85" w:type="dxa"/>
                    <w:right w:w="85" w:type="dxa"/>
                  </w:tcMar>
                  <w:vAlign w:val="center"/>
                </w:tcPr>
                <w:p>
                  <w:pPr>
                    <w:pStyle w:val="22"/>
                    <w:rPr>
                      <w:color w:val="auto"/>
                      <w:highlight w:val="none"/>
                    </w:rPr>
                  </w:pPr>
                  <w:r>
                    <w:rPr>
                      <w:color w:val="auto"/>
                      <w:highlight w:val="none"/>
                    </w:rPr>
                    <w:t>μg/L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砷</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&lt;0.3</w:t>
                  </w:r>
                </w:p>
              </w:tc>
              <w:tc>
                <w:tcPr>
                  <w:tcW w:w="1621" w:type="dxa"/>
                  <w:tcMar>
                    <w:left w:w="85" w:type="dxa"/>
                    <w:right w:w="85" w:type="dxa"/>
                  </w:tcMar>
                  <w:vAlign w:val="center"/>
                </w:tcPr>
                <w:p>
                  <w:pPr>
                    <w:pStyle w:val="22"/>
                    <w:rPr>
                      <w:color w:val="auto"/>
                      <w:highlight w:val="none"/>
                    </w:rPr>
                  </w:pPr>
                  <w:r>
                    <w:rPr>
                      <w:rFonts w:hint="eastAsia"/>
                      <w:color w:val="auto"/>
                      <w:highlight w:val="none"/>
                    </w:rPr>
                    <w:t>≤0.01</w:t>
                  </w:r>
                </w:p>
              </w:tc>
              <w:tc>
                <w:tcPr>
                  <w:tcW w:w="1031" w:type="dxa"/>
                  <w:tcMar>
                    <w:left w:w="85" w:type="dxa"/>
                    <w:right w:w="85" w:type="dxa"/>
                  </w:tcMar>
                  <w:vAlign w:val="center"/>
                </w:tcPr>
                <w:p>
                  <w:pPr>
                    <w:pStyle w:val="22"/>
                    <w:rPr>
                      <w:color w:val="auto"/>
                      <w:highlight w:val="none"/>
                    </w:rPr>
                  </w:pPr>
                  <w:r>
                    <w:rPr>
                      <w:color w:val="auto"/>
                      <w:highlight w:val="none"/>
                    </w:rPr>
                    <w:t>μg/L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硒</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&lt;0.4</w:t>
                  </w:r>
                </w:p>
              </w:tc>
              <w:tc>
                <w:tcPr>
                  <w:tcW w:w="1621" w:type="dxa"/>
                  <w:tcMar>
                    <w:left w:w="85" w:type="dxa"/>
                    <w:right w:w="85" w:type="dxa"/>
                  </w:tcMar>
                  <w:vAlign w:val="center"/>
                </w:tcPr>
                <w:p>
                  <w:pPr>
                    <w:pStyle w:val="22"/>
                    <w:rPr>
                      <w:color w:val="auto"/>
                      <w:highlight w:val="none"/>
                    </w:rPr>
                  </w:pPr>
                  <w:r>
                    <w:rPr>
                      <w:rFonts w:hint="eastAsia"/>
                      <w:color w:val="auto"/>
                      <w:highlight w:val="none"/>
                    </w:rPr>
                    <w:t>≤0.01</w:t>
                  </w:r>
                </w:p>
              </w:tc>
              <w:tc>
                <w:tcPr>
                  <w:tcW w:w="1031" w:type="dxa"/>
                  <w:tcMar>
                    <w:left w:w="85" w:type="dxa"/>
                    <w:right w:w="85" w:type="dxa"/>
                  </w:tcMar>
                  <w:vAlign w:val="center"/>
                </w:tcPr>
                <w:p>
                  <w:pPr>
                    <w:pStyle w:val="22"/>
                    <w:rPr>
                      <w:color w:val="auto"/>
                      <w:highlight w:val="none"/>
                    </w:rPr>
                  </w:pPr>
                  <w:r>
                    <w:rPr>
                      <w:color w:val="auto"/>
                      <w:highlight w:val="none"/>
                    </w:rPr>
                    <w:t>μg/L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碘化物</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&lt;0.002</w:t>
                  </w:r>
                </w:p>
              </w:tc>
              <w:tc>
                <w:tcPr>
                  <w:tcW w:w="1621" w:type="dxa"/>
                  <w:tcMar>
                    <w:left w:w="85" w:type="dxa"/>
                    <w:right w:w="85" w:type="dxa"/>
                  </w:tcMar>
                  <w:vAlign w:val="center"/>
                </w:tcPr>
                <w:p>
                  <w:pPr>
                    <w:pStyle w:val="22"/>
                    <w:rPr>
                      <w:color w:val="auto"/>
                      <w:highlight w:val="none"/>
                    </w:rPr>
                  </w:pPr>
                  <w:r>
                    <w:rPr>
                      <w:rFonts w:hint="eastAsia"/>
                      <w:color w:val="auto"/>
                      <w:highlight w:val="none"/>
                    </w:rPr>
                    <w:t>≤0.08</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硫化物</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&lt;0.003</w:t>
                  </w:r>
                </w:p>
              </w:tc>
              <w:tc>
                <w:tcPr>
                  <w:tcW w:w="1621" w:type="dxa"/>
                  <w:tcMar>
                    <w:left w:w="85" w:type="dxa"/>
                    <w:right w:w="85" w:type="dxa"/>
                  </w:tcMar>
                  <w:vAlign w:val="center"/>
                </w:tcPr>
                <w:p>
                  <w:pPr>
                    <w:pStyle w:val="22"/>
                    <w:rPr>
                      <w:color w:val="auto"/>
                      <w:highlight w:val="none"/>
                    </w:rPr>
                  </w:pPr>
                  <w:r>
                    <w:rPr>
                      <w:rFonts w:hint="eastAsia"/>
                      <w:color w:val="auto"/>
                      <w:highlight w:val="none"/>
                    </w:rPr>
                    <w:t>≤0.02</w:t>
                  </w:r>
                </w:p>
              </w:tc>
              <w:tc>
                <w:tcPr>
                  <w:tcW w:w="1031" w:type="dxa"/>
                  <w:tcMar>
                    <w:left w:w="85" w:type="dxa"/>
                    <w:right w:w="85" w:type="dxa"/>
                  </w:tcMar>
                  <w:vAlign w:val="center"/>
                </w:tcPr>
                <w:p>
                  <w:pPr>
                    <w:pStyle w:val="22"/>
                    <w:rPr>
                      <w:color w:val="auto"/>
                      <w:highlight w:val="none"/>
                    </w:rPr>
                  </w:pPr>
                  <w:r>
                    <w:rPr>
                      <w:color w:val="auto"/>
                      <w:highlight w:val="none"/>
                    </w:rPr>
                    <w:t>mg/L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三氯甲烷</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&lt;0.4</w:t>
                  </w:r>
                </w:p>
              </w:tc>
              <w:tc>
                <w:tcPr>
                  <w:tcW w:w="1621" w:type="dxa"/>
                  <w:tcMar>
                    <w:left w:w="85" w:type="dxa"/>
                    <w:right w:w="85" w:type="dxa"/>
                  </w:tcMar>
                  <w:vAlign w:val="center"/>
                </w:tcPr>
                <w:p>
                  <w:pPr>
                    <w:pStyle w:val="22"/>
                    <w:rPr>
                      <w:color w:val="auto"/>
                      <w:highlight w:val="none"/>
                    </w:rPr>
                  </w:pPr>
                  <w:r>
                    <w:rPr>
                      <w:rFonts w:hint="eastAsia"/>
                      <w:color w:val="auto"/>
                      <w:highlight w:val="none"/>
                    </w:rPr>
                    <w:t>≤60</w:t>
                  </w:r>
                </w:p>
              </w:tc>
              <w:tc>
                <w:tcPr>
                  <w:tcW w:w="1031" w:type="dxa"/>
                  <w:tcMar>
                    <w:left w:w="85" w:type="dxa"/>
                    <w:right w:w="85" w:type="dxa"/>
                  </w:tcMar>
                  <w:vAlign w:val="center"/>
                </w:tcPr>
                <w:p>
                  <w:pPr>
                    <w:pStyle w:val="22"/>
                    <w:rPr>
                      <w:color w:val="auto"/>
                      <w:highlight w:val="none"/>
                    </w:rPr>
                  </w:pPr>
                  <w:r>
                    <w:rPr>
                      <w:color w:val="auto"/>
                      <w:highlight w:val="none"/>
                    </w:rPr>
                    <w:t>μg/L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四氯化碳</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&lt;0.4</w:t>
                  </w:r>
                </w:p>
              </w:tc>
              <w:tc>
                <w:tcPr>
                  <w:tcW w:w="1621" w:type="dxa"/>
                  <w:tcMar>
                    <w:left w:w="85" w:type="dxa"/>
                    <w:right w:w="85" w:type="dxa"/>
                  </w:tcMar>
                  <w:vAlign w:val="center"/>
                </w:tcPr>
                <w:p>
                  <w:pPr>
                    <w:pStyle w:val="22"/>
                    <w:rPr>
                      <w:color w:val="auto"/>
                      <w:highlight w:val="none"/>
                    </w:rPr>
                  </w:pPr>
                  <w:r>
                    <w:rPr>
                      <w:rFonts w:hint="eastAsia"/>
                      <w:color w:val="auto"/>
                      <w:highlight w:val="none"/>
                    </w:rPr>
                    <w:t>≤2.0</w:t>
                  </w:r>
                </w:p>
              </w:tc>
              <w:tc>
                <w:tcPr>
                  <w:tcW w:w="1031" w:type="dxa"/>
                  <w:tcMar>
                    <w:left w:w="85" w:type="dxa"/>
                    <w:right w:w="85" w:type="dxa"/>
                  </w:tcMar>
                  <w:vAlign w:val="center"/>
                </w:tcPr>
                <w:p>
                  <w:pPr>
                    <w:pStyle w:val="22"/>
                    <w:rPr>
                      <w:color w:val="auto"/>
                      <w:highlight w:val="none"/>
                    </w:rPr>
                  </w:pPr>
                  <w:r>
                    <w:rPr>
                      <w:color w:val="auto"/>
                      <w:highlight w:val="none"/>
                    </w:rPr>
                    <w:t>μg/L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color w:val="auto"/>
                      <w:highlight w:val="none"/>
                    </w:rPr>
                  </w:pPr>
                  <w:r>
                    <w:rPr>
                      <w:color w:val="auto"/>
                      <w:highlight w:val="none"/>
                    </w:rPr>
                    <w:t>苯</w:t>
                  </w:r>
                </w:p>
              </w:tc>
              <w:tc>
                <w:tcPr>
                  <w:tcW w:w="1594" w:type="dxa"/>
                  <w:tcMar>
                    <w:left w:w="85" w:type="dxa"/>
                    <w:right w:w="85" w:type="dxa"/>
                  </w:tcMar>
                  <w:vAlign w:val="center"/>
                </w:tcPr>
                <w:p>
                  <w:pPr>
                    <w:pStyle w:val="22"/>
                    <w:rPr>
                      <w:color w:val="auto"/>
                      <w:highlight w:val="none"/>
                    </w:rPr>
                  </w:pPr>
                  <w:r>
                    <w:rPr>
                      <w:rFonts w:hint="eastAsia" w:cs="Times New Roman"/>
                      <w:color w:val="auto"/>
                      <w:sz w:val="21"/>
                      <w:szCs w:val="21"/>
                      <w:highlight w:val="none"/>
                      <w:lang w:val="en-US" w:eastAsia="zh-CN"/>
                    </w:rPr>
                    <w:t>&lt;0.4</w:t>
                  </w:r>
                </w:p>
              </w:tc>
              <w:tc>
                <w:tcPr>
                  <w:tcW w:w="1621" w:type="dxa"/>
                  <w:tcMar>
                    <w:left w:w="85" w:type="dxa"/>
                    <w:right w:w="85" w:type="dxa"/>
                  </w:tcMar>
                  <w:vAlign w:val="center"/>
                </w:tcPr>
                <w:p>
                  <w:pPr>
                    <w:pStyle w:val="22"/>
                    <w:rPr>
                      <w:color w:val="auto"/>
                      <w:highlight w:val="none"/>
                    </w:rPr>
                  </w:pPr>
                  <w:r>
                    <w:rPr>
                      <w:rFonts w:hint="eastAsia"/>
                      <w:color w:val="auto"/>
                      <w:highlight w:val="none"/>
                    </w:rPr>
                    <w:t>≤10.0</w:t>
                  </w:r>
                </w:p>
              </w:tc>
              <w:tc>
                <w:tcPr>
                  <w:tcW w:w="1031" w:type="dxa"/>
                  <w:tcMar>
                    <w:left w:w="85" w:type="dxa"/>
                    <w:right w:w="85" w:type="dxa"/>
                  </w:tcMar>
                  <w:vAlign w:val="center"/>
                </w:tcPr>
                <w:p>
                  <w:pPr>
                    <w:pStyle w:val="22"/>
                    <w:rPr>
                      <w:color w:val="auto"/>
                      <w:highlight w:val="none"/>
                    </w:rPr>
                  </w:pPr>
                  <w:r>
                    <w:rPr>
                      <w:color w:val="auto"/>
                      <w:highlight w:val="none"/>
                    </w:rPr>
                    <w:t>μg/L</w:t>
                  </w:r>
                </w:p>
              </w:tc>
              <w:tc>
                <w:tcPr>
                  <w:tcW w:w="1098" w:type="dxa"/>
                  <w:tcMar>
                    <w:left w:w="85" w:type="dxa"/>
                    <w:right w:w="85" w:type="dxa"/>
                  </w:tcMar>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color w:val="auto"/>
                      <w:highlight w:val="none"/>
                    </w:rPr>
                    <w:t>甲苯</w:t>
                  </w:r>
                </w:p>
              </w:tc>
              <w:tc>
                <w:tcPr>
                  <w:tcW w:w="1594" w:type="dxa"/>
                  <w:tcMar>
                    <w:left w:w="85" w:type="dxa"/>
                    <w:right w:w="85" w:type="dxa"/>
                  </w:tcMar>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s="Times New Roman"/>
                      <w:color w:val="auto"/>
                      <w:sz w:val="21"/>
                      <w:szCs w:val="21"/>
                      <w:highlight w:val="none"/>
                      <w:lang w:val="en-US" w:eastAsia="zh-CN"/>
                    </w:rPr>
                    <w:t>&lt;0.3</w:t>
                  </w:r>
                </w:p>
              </w:tc>
              <w:tc>
                <w:tcPr>
                  <w:tcW w:w="1621" w:type="dxa"/>
                  <w:tcMar>
                    <w:left w:w="85" w:type="dxa"/>
                    <w:right w:w="85" w:type="dxa"/>
                  </w:tcMar>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≤700</w:t>
                  </w:r>
                </w:p>
              </w:tc>
              <w:tc>
                <w:tcPr>
                  <w:tcW w:w="1031" w:type="dxa"/>
                  <w:tcMar>
                    <w:left w:w="85" w:type="dxa"/>
                    <w:right w:w="85" w:type="dxa"/>
                  </w:tcMar>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color w:val="auto"/>
                      <w:highlight w:val="none"/>
                    </w:rPr>
                    <w:t>μg/L</w:t>
                  </w:r>
                </w:p>
              </w:tc>
              <w:tc>
                <w:tcPr>
                  <w:tcW w:w="1098" w:type="dxa"/>
                  <w:tcMar>
                    <w:left w:w="85" w:type="dxa"/>
                    <w:right w:w="85" w:type="dxa"/>
                  </w:tcMar>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27" w:type="dxa"/>
                  <w:vMerge w:val="continue"/>
                  <w:tcMar>
                    <w:left w:w="85" w:type="dxa"/>
                    <w:right w:w="85" w:type="dxa"/>
                  </w:tcMar>
                  <w:vAlign w:val="center"/>
                </w:tcPr>
                <w:p>
                  <w:pPr>
                    <w:pStyle w:val="22"/>
                    <w:rPr>
                      <w:color w:val="auto"/>
                      <w:highlight w:val="none"/>
                    </w:rPr>
                  </w:pPr>
                </w:p>
              </w:tc>
              <w:tc>
                <w:tcPr>
                  <w:tcW w:w="1600" w:type="dxa"/>
                  <w:tcMar>
                    <w:left w:w="85" w:type="dxa"/>
                    <w:right w:w="85" w:type="dxa"/>
                  </w:tcMar>
                  <w:vAlign w:val="center"/>
                </w:tcPr>
                <w:p>
                  <w:pPr>
                    <w:pStyle w:val="22"/>
                    <w:rPr>
                      <w:rFonts w:hint="eastAsia" w:eastAsiaTheme="minorEastAsia"/>
                      <w:color w:val="auto"/>
                      <w:highlight w:val="none"/>
                      <w:lang w:eastAsia="zh-CN"/>
                    </w:rPr>
                  </w:pPr>
                  <w:r>
                    <w:rPr>
                      <w:rFonts w:hint="eastAsia"/>
                      <w:color w:val="auto"/>
                      <w:highlight w:val="none"/>
                      <w:lang w:eastAsia="zh-CN"/>
                    </w:rPr>
                    <w:t>石油类</w:t>
                  </w:r>
                </w:p>
              </w:tc>
              <w:tc>
                <w:tcPr>
                  <w:tcW w:w="1594" w:type="dxa"/>
                  <w:tcMar>
                    <w:left w:w="85" w:type="dxa"/>
                    <w:right w:w="85" w:type="dxa"/>
                  </w:tcMar>
                  <w:vAlign w:val="center"/>
                </w:tcPr>
                <w:p>
                  <w:pPr>
                    <w:pStyle w:val="22"/>
                    <w:rPr>
                      <w:rFonts w:hint="default" w:eastAsiaTheme="minorEastAsia"/>
                      <w:color w:val="auto"/>
                      <w:highlight w:val="none"/>
                      <w:lang w:val="en-US" w:eastAsia="zh-CN"/>
                    </w:rPr>
                  </w:pPr>
                  <w:r>
                    <w:rPr>
                      <w:rFonts w:hint="default" w:ascii="Times New Roman" w:hAnsi="Times New Roman" w:cs="Times New Roman"/>
                      <w:b w:val="0"/>
                      <w:bCs w:val="0"/>
                      <w:color w:val="auto"/>
                      <w:sz w:val="21"/>
                      <w:szCs w:val="21"/>
                      <w:highlight w:val="none"/>
                      <w:lang w:val="en-US" w:eastAsia="zh-CN"/>
                    </w:rPr>
                    <w:t>&lt;0.01</w:t>
                  </w:r>
                </w:p>
              </w:tc>
              <w:tc>
                <w:tcPr>
                  <w:tcW w:w="1621" w:type="dxa"/>
                  <w:tcMar>
                    <w:left w:w="85" w:type="dxa"/>
                    <w:right w:w="85" w:type="dxa"/>
                  </w:tcMar>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0.05</w:t>
                  </w:r>
                </w:p>
              </w:tc>
              <w:tc>
                <w:tcPr>
                  <w:tcW w:w="1031" w:type="dxa"/>
                  <w:tcMar>
                    <w:left w:w="85" w:type="dxa"/>
                    <w:right w:w="85" w:type="dxa"/>
                  </w:tcMar>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color w:val="auto"/>
                      <w:highlight w:val="none"/>
                    </w:rPr>
                    <w:t>mg/L</w:t>
                  </w:r>
                </w:p>
              </w:tc>
              <w:tc>
                <w:tcPr>
                  <w:tcW w:w="1098" w:type="dxa"/>
                  <w:tcMar>
                    <w:left w:w="85" w:type="dxa"/>
                    <w:right w:w="85" w:type="dxa"/>
                  </w:tcMar>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达标</w:t>
                  </w:r>
                </w:p>
              </w:tc>
            </w:tr>
          </w:tbl>
          <w:p>
            <w:pPr>
              <w:pStyle w:val="12"/>
              <w:ind w:firstLine="480"/>
              <w:rPr>
                <w:color w:val="auto"/>
                <w:highlight w:val="none"/>
              </w:rPr>
            </w:pPr>
            <w:r>
              <w:rPr>
                <w:rFonts w:hint="eastAsia"/>
                <w:color w:val="auto"/>
                <w:highlight w:val="none"/>
              </w:rPr>
              <w:t>根据检测结果分析</w:t>
            </w:r>
            <w:r>
              <w:rPr>
                <w:rFonts w:hint="eastAsia"/>
                <w:color w:val="auto"/>
                <w:highlight w:val="none"/>
                <w:lang w:eastAsia="zh-CN"/>
              </w:rPr>
              <w:t>，石油类检测结果符合《地表水环境质量标准》（</w:t>
            </w:r>
            <w:r>
              <w:rPr>
                <w:rFonts w:hint="eastAsia"/>
                <w:color w:val="auto"/>
                <w:highlight w:val="none"/>
                <w:lang w:val="en-US" w:eastAsia="zh-CN"/>
              </w:rPr>
              <w:t>GB 3838-2002</w:t>
            </w:r>
            <w:r>
              <w:rPr>
                <w:rFonts w:hint="eastAsia"/>
                <w:color w:val="auto"/>
                <w:highlight w:val="none"/>
                <w:lang w:eastAsia="zh-CN"/>
              </w:rPr>
              <w:t>）</w:t>
            </w:r>
            <w:r>
              <w:rPr>
                <w:rFonts w:hint="eastAsia"/>
                <w:color w:val="auto"/>
                <w:highlight w:val="none"/>
              </w:rPr>
              <w:t>III类标准值</w:t>
            </w:r>
            <w:r>
              <w:rPr>
                <w:rFonts w:hint="eastAsia"/>
                <w:color w:val="auto"/>
                <w:highlight w:val="none"/>
                <w:lang w:eastAsia="zh-CN"/>
              </w:rPr>
              <w:t>，其余</w:t>
            </w:r>
            <w:r>
              <w:rPr>
                <w:rFonts w:hint="eastAsia"/>
                <w:color w:val="auto"/>
                <w:highlight w:val="none"/>
              </w:rPr>
              <w:t>各项目检测结果符合《地下水质量标准》（GB/T 14848-2017）中的III类标准值。</w:t>
            </w:r>
          </w:p>
          <w:p>
            <w:pPr>
              <w:pStyle w:val="27"/>
              <w:ind w:firstLine="482"/>
              <w:rPr>
                <w:rFonts w:hint="default"/>
                <w:color w:val="auto"/>
                <w:highlight w:val="none"/>
              </w:rPr>
            </w:pPr>
            <w:r>
              <w:rPr>
                <w:color w:val="auto"/>
                <w:highlight w:val="none"/>
              </w:rPr>
              <w:t>5土壤质量现状</w:t>
            </w:r>
          </w:p>
          <w:p>
            <w:pPr>
              <w:pStyle w:val="12"/>
              <w:ind w:firstLine="480"/>
              <w:rPr>
                <w:rFonts w:hint="eastAsia"/>
                <w:color w:val="auto"/>
                <w:highlight w:val="none"/>
              </w:rPr>
            </w:pPr>
            <w:r>
              <w:rPr>
                <w:rFonts w:hint="eastAsia"/>
                <w:color w:val="auto"/>
                <w:highlight w:val="none"/>
              </w:rPr>
              <w:t>辽宁中环祥瑞工程技术有限公司于202</w:t>
            </w:r>
            <w:r>
              <w:rPr>
                <w:rFonts w:hint="eastAsia"/>
                <w:color w:val="auto"/>
                <w:highlight w:val="none"/>
                <w:lang w:val="en-US" w:eastAsia="zh-CN"/>
              </w:rPr>
              <w:t>4</w:t>
            </w:r>
            <w:r>
              <w:rPr>
                <w:rFonts w:hint="eastAsia"/>
                <w:color w:val="auto"/>
                <w:highlight w:val="none"/>
              </w:rPr>
              <w:t>年</w:t>
            </w:r>
            <w:r>
              <w:rPr>
                <w:rFonts w:hint="eastAsia"/>
                <w:color w:val="auto"/>
                <w:highlight w:val="none"/>
                <w:lang w:val="en-US" w:eastAsia="zh-CN"/>
              </w:rPr>
              <w:t>8</w:t>
            </w:r>
            <w:r>
              <w:rPr>
                <w:rFonts w:hint="eastAsia"/>
                <w:color w:val="auto"/>
                <w:highlight w:val="none"/>
              </w:rPr>
              <w:t>月</w:t>
            </w:r>
            <w:r>
              <w:rPr>
                <w:rFonts w:hint="eastAsia"/>
                <w:color w:val="auto"/>
                <w:highlight w:val="none"/>
                <w:lang w:val="en-US" w:eastAsia="zh-CN"/>
              </w:rPr>
              <w:t>19</w:t>
            </w:r>
            <w:r>
              <w:rPr>
                <w:rFonts w:hint="eastAsia"/>
                <w:color w:val="auto"/>
                <w:highlight w:val="none"/>
              </w:rPr>
              <w:t>日对本项目区域进行监测</w:t>
            </w:r>
            <w:r>
              <w:rPr>
                <w:rFonts w:hint="eastAsia"/>
                <w:color w:val="auto"/>
                <w:highlight w:val="none"/>
                <w:lang w:eastAsia="zh-CN"/>
              </w:rPr>
              <w:t>，</w:t>
            </w:r>
            <w:r>
              <w:rPr>
                <w:rFonts w:hint="eastAsia"/>
                <w:color w:val="auto"/>
                <w:highlight w:val="none"/>
              </w:rPr>
              <w:t>检测结果见表</w:t>
            </w:r>
            <w:r>
              <w:rPr>
                <w:rFonts w:hint="eastAsia"/>
                <w:color w:val="auto"/>
                <w:highlight w:val="none"/>
                <w:lang w:val="en-US" w:eastAsia="zh-CN"/>
              </w:rPr>
              <w:t>52</w:t>
            </w:r>
            <w:r>
              <w:rPr>
                <w:rFonts w:hint="eastAsia"/>
                <w:color w:val="auto"/>
                <w:highlight w:val="none"/>
              </w:rPr>
              <w:t>。监测点位图见附图</w:t>
            </w:r>
            <w:r>
              <w:rPr>
                <w:rFonts w:hint="eastAsia"/>
                <w:color w:val="auto"/>
                <w:highlight w:val="none"/>
                <w:lang w:val="en-US" w:eastAsia="zh-CN"/>
              </w:rPr>
              <w:t>7</w:t>
            </w:r>
            <w:r>
              <w:rPr>
                <w:rFonts w:hint="eastAsia"/>
                <w:color w:val="auto"/>
                <w:highlight w:val="none"/>
              </w:rPr>
              <w:t>。</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监测结果</w:t>
            </w:r>
          </w:p>
          <w:tbl>
            <w:tblPr>
              <w:tblStyle w:val="15"/>
              <w:tblW w:w="797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65"/>
              <w:gridCol w:w="1251"/>
              <w:gridCol w:w="1303"/>
              <w:gridCol w:w="1448"/>
              <w:gridCol w:w="1452"/>
              <w:gridCol w:w="14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tblHeader/>
                <w:jc w:val="center"/>
              </w:trPr>
              <w:tc>
                <w:tcPr>
                  <w:tcW w:w="1065" w:type="dxa"/>
                  <w:tcMar>
                    <w:left w:w="85" w:type="dxa"/>
                    <w:right w:w="85" w:type="dxa"/>
                  </w:tcMar>
                  <w:vAlign w:val="center"/>
                </w:tcPr>
                <w:p>
                  <w:pPr>
                    <w:pStyle w:val="25"/>
                    <w:rPr>
                      <w:rFonts w:hint="default"/>
                      <w:color w:val="auto"/>
                      <w:highlight w:val="none"/>
                    </w:rPr>
                  </w:pPr>
                  <w:r>
                    <w:rPr>
                      <w:color w:val="auto"/>
                      <w:highlight w:val="none"/>
                    </w:rPr>
                    <w:t>采样点位</w:t>
                  </w:r>
                </w:p>
              </w:tc>
              <w:tc>
                <w:tcPr>
                  <w:tcW w:w="1251" w:type="dxa"/>
                  <w:tcMar>
                    <w:left w:w="85" w:type="dxa"/>
                    <w:right w:w="85" w:type="dxa"/>
                  </w:tcMar>
                  <w:vAlign w:val="center"/>
                </w:tcPr>
                <w:p>
                  <w:pPr>
                    <w:pStyle w:val="25"/>
                    <w:rPr>
                      <w:rFonts w:hint="default"/>
                      <w:color w:val="auto"/>
                      <w:highlight w:val="none"/>
                    </w:rPr>
                  </w:pPr>
                  <w:r>
                    <w:rPr>
                      <w:color w:val="auto"/>
                      <w:highlight w:val="none"/>
                    </w:rPr>
                    <w:t>检测项目</w:t>
                  </w:r>
                </w:p>
              </w:tc>
              <w:tc>
                <w:tcPr>
                  <w:tcW w:w="1303" w:type="dxa"/>
                  <w:tcMar>
                    <w:left w:w="85" w:type="dxa"/>
                    <w:right w:w="85" w:type="dxa"/>
                  </w:tcMar>
                  <w:vAlign w:val="center"/>
                </w:tcPr>
                <w:p>
                  <w:pPr>
                    <w:pStyle w:val="25"/>
                    <w:rPr>
                      <w:rFonts w:hint="default"/>
                      <w:color w:val="auto"/>
                      <w:highlight w:val="none"/>
                    </w:rPr>
                  </w:pPr>
                  <w:r>
                    <w:rPr>
                      <w:color w:val="auto"/>
                      <w:highlight w:val="none"/>
                    </w:rPr>
                    <w:t>检测结果</w:t>
                  </w:r>
                </w:p>
              </w:tc>
              <w:tc>
                <w:tcPr>
                  <w:tcW w:w="1448" w:type="dxa"/>
                  <w:tcMar>
                    <w:left w:w="85" w:type="dxa"/>
                    <w:right w:w="85" w:type="dxa"/>
                  </w:tcMar>
                  <w:vAlign w:val="center"/>
                </w:tcPr>
                <w:p>
                  <w:pPr>
                    <w:pStyle w:val="25"/>
                    <w:rPr>
                      <w:rFonts w:hint="default"/>
                      <w:color w:val="auto"/>
                      <w:highlight w:val="none"/>
                    </w:rPr>
                  </w:pPr>
                  <w:r>
                    <w:rPr>
                      <w:color w:val="auto"/>
                      <w:highlight w:val="none"/>
                    </w:rPr>
                    <w:t>标准限值</w:t>
                  </w:r>
                </w:p>
              </w:tc>
              <w:tc>
                <w:tcPr>
                  <w:tcW w:w="1452" w:type="dxa"/>
                  <w:tcMar>
                    <w:left w:w="85" w:type="dxa"/>
                    <w:right w:w="85" w:type="dxa"/>
                  </w:tcMar>
                  <w:vAlign w:val="center"/>
                </w:tcPr>
                <w:p>
                  <w:pPr>
                    <w:pStyle w:val="25"/>
                    <w:rPr>
                      <w:rFonts w:hint="default"/>
                      <w:color w:val="auto"/>
                      <w:highlight w:val="none"/>
                    </w:rPr>
                  </w:pPr>
                  <w:r>
                    <w:rPr>
                      <w:color w:val="auto"/>
                      <w:highlight w:val="none"/>
                    </w:rPr>
                    <w:t>单位</w:t>
                  </w:r>
                </w:p>
              </w:tc>
              <w:tc>
                <w:tcPr>
                  <w:tcW w:w="1452" w:type="dxa"/>
                  <w:tcMar>
                    <w:left w:w="85" w:type="dxa"/>
                    <w:right w:w="85" w:type="dxa"/>
                  </w:tcMar>
                  <w:vAlign w:val="center"/>
                </w:tcPr>
                <w:p>
                  <w:pPr>
                    <w:pStyle w:val="25"/>
                    <w:rPr>
                      <w:rFonts w:hint="default"/>
                      <w:color w:val="auto"/>
                      <w:highlight w:val="none"/>
                    </w:rPr>
                  </w:pPr>
                  <w:r>
                    <w:rPr>
                      <w:color w:val="auto"/>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restart"/>
                  <w:tcMar>
                    <w:left w:w="85" w:type="dxa"/>
                    <w:right w:w="85" w:type="dxa"/>
                  </w:tcMar>
                  <w:vAlign w:val="center"/>
                </w:tcPr>
                <w:p>
                  <w:pPr>
                    <w:pStyle w:val="22"/>
                    <w:rPr>
                      <w:rFonts w:hint="eastAsia" w:eastAsiaTheme="minorEastAsia"/>
                      <w:color w:val="auto"/>
                      <w:highlight w:val="none"/>
                      <w:lang w:eastAsia="zh-CN"/>
                    </w:rPr>
                  </w:pPr>
                  <w:r>
                    <w:rPr>
                      <w:rFonts w:hint="eastAsia"/>
                      <w:color w:val="auto"/>
                      <w:highlight w:val="none"/>
                      <w:lang w:eastAsia="zh-CN"/>
                    </w:rPr>
                    <w:t>厂区内</w:t>
                  </w:r>
                  <w:r>
                    <w:rPr>
                      <w:rFonts w:hint="eastAsia"/>
                      <w:color w:val="auto"/>
                      <w:highlight w:val="none"/>
                      <w:lang w:val="en-US" w:eastAsia="zh-CN"/>
                    </w:rPr>
                    <w:t>1点</w:t>
                  </w:r>
                </w:p>
              </w:tc>
              <w:tc>
                <w:tcPr>
                  <w:tcW w:w="1251" w:type="dxa"/>
                  <w:tcMar>
                    <w:left w:w="85" w:type="dxa"/>
                    <w:right w:w="85" w:type="dxa"/>
                  </w:tcMar>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pH</w:t>
                  </w:r>
                </w:p>
              </w:tc>
              <w:tc>
                <w:tcPr>
                  <w:tcW w:w="1303" w:type="dxa"/>
                  <w:tcMar>
                    <w:left w:w="85" w:type="dxa"/>
                    <w:right w:w="85" w:type="dxa"/>
                  </w:tcMar>
                  <w:vAlign w:val="center"/>
                </w:tcPr>
                <w:p>
                  <w:pPr>
                    <w:pStyle w:val="22"/>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7.86</w:t>
                  </w:r>
                </w:p>
              </w:tc>
              <w:tc>
                <w:tcPr>
                  <w:tcW w:w="1448" w:type="dxa"/>
                  <w:tcMar>
                    <w:left w:w="85" w:type="dxa"/>
                    <w:right w:w="85" w:type="dxa"/>
                  </w:tcMar>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c>
                <w:tcPr>
                  <w:tcW w:w="1452" w:type="dxa"/>
                  <w:tcMar>
                    <w:left w:w="85" w:type="dxa"/>
                    <w:right w:w="85" w:type="dxa"/>
                  </w:tcMar>
                  <w:vAlign w:val="center"/>
                </w:tcPr>
                <w:p>
                  <w:pPr>
                    <w:pStyle w:val="2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无量纲</w:t>
                  </w:r>
                </w:p>
              </w:tc>
              <w:tc>
                <w:tcPr>
                  <w:tcW w:w="1452" w:type="dxa"/>
                  <w:tcMar>
                    <w:left w:w="85" w:type="dxa"/>
                    <w:right w:w="85" w:type="dxa"/>
                  </w:tcMar>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tcMar>
                    <w:left w:w="85" w:type="dxa"/>
                    <w:right w:w="85" w:type="dxa"/>
                  </w:tcMar>
                  <w:vAlign w:val="center"/>
                </w:tcPr>
                <w:p>
                  <w:pPr>
                    <w:pStyle w:val="22"/>
                    <w:rPr>
                      <w:rFonts w:hint="eastAsia"/>
                      <w:color w:val="auto"/>
                      <w:highlight w:val="none"/>
                      <w:lang w:eastAsia="zh-CN"/>
                    </w:rPr>
                  </w:pPr>
                </w:p>
              </w:tc>
              <w:tc>
                <w:tcPr>
                  <w:tcW w:w="1251" w:type="dxa"/>
                  <w:shd w:val="clear" w:color="auto" w:fill="auto"/>
                  <w:tcMar>
                    <w:left w:w="85" w:type="dxa"/>
                    <w:right w:w="85" w:type="dxa"/>
                  </w:tcMar>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color w:val="auto"/>
                      <w:highlight w:val="none"/>
                    </w:rPr>
                    <w:t>汞</w:t>
                  </w:r>
                </w:p>
              </w:tc>
              <w:tc>
                <w:tcPr>
                  <w:tcW w:w="1303" w:type="dxa"/>
                  <w:shd w:val="clear" w:color="auto" w:fill="auto"/>
                  <w:tcMar>
                    <w:left w:w="85" w:type="dxa"/>
                    <w:right w:w="85" w:type="dxa"/>
                  </w:tcMar>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0"/>
                      <w:sz w:val="21"/>
                      <w:szCs w:val="21"/>
                      <w:highlight w:val="none"/>
                      <w:lang w:val="en-US" w:eastAsia="zh-CN" w:bidi="ar"/>
                    </w:rPr>
                    <w:t>0.038</w:t>
                  </w:r>
                </w:p>
              </w:tc>
              <w:tc>
                <w:tcPr>
                  <w:tcW w:w="1448" w:type="dxa"/>
                  <w:shd w:val="clear" w:color="auto" w:fill="auto"/>
                  <w:tcMar>
                    <w:left w:w="85" w:type="dxa"/>
                    <w:right w:w="85" w:type="dxa"/>
                  </w:tcMar>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38</w:t>
                  </w:r>
                </w:p>
              </w:tc>
              <w:tc>
                <w:tcPr>
                  <w:tcW w:w="1452" w:type="dxa"/>
                  <w:shd w:val="clear" w:color="auto" w:fill="auto"/>
                  <w:tcMar>
                    <w:left w:w="85" w:type="dxa"/>
                    <w:right w:w="85" w:type="dxa"/>
                  </w:tcMar>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color w:val="auto"/>
                      <w:highlight w:val="none"/>
                    </w:rPr>
                    <w:t>mg/kg</w:t>
                  </w:r>
                </w:p>
              </w:tc>
              <w:tc>
                <w:tcPr>
                  <w:tcW w:w="1452" w:type="dxa"/>
                  <w:shd w:val="clear" w:color="auto" w:fill="auto"/>
                  <w:tcMar>
                    <w:left w:w="85" w:type="dxa"/>
                    <w:right w:w="85" w:type="dxa"/>
                  </w:tcMar>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砷</w:t>
                  </w:r>
                </w:p>
              </w:tc>
              <w:tc>
                <w:tcPr>
                  <w:tcW w:w="1303" w:type="dxa"/>
                  <w:vAlign w:val="center"/>
                </w:tcPr>
                <w:p>
                  <w:pPr>
                    <w:pStyle w:val="22"/>
                    <w:rPr>
                      <w:color w:val="auto"/>
                      <w:highlight w:val="none"/>
                    </w:rPr>
                  </w:pPr>
                  <w:r>
                    <w:rPr>
                      <w:rFonts w:hint="eastAsia" w:cs="Times New Roman"/>
                      <w:color w:val="auto"/>
                      <w:kern w:val="0"/>
                      <w:sz w:val="21"/>
                      <w:szCs w:val="21"/>
                      <w:highlight w:val="none"/>
                      <w:lang w:val="en-US" w:eastAsia="zh-CN" w:bidi="ar"/>
                    </w:rPr>
                    <w:t>0.102</w:t>
                  </w:r>
                </w:p>
              </w:tc>
              <w:tc>
                <w:tcPr>
                  <w:tcW w:w="1448" w:type="dxa"/>
                  <w:vAlign w:val="center"/>
                </w:tcPr>
                <w:p>
                  <w:pPr>
                    <w:pStyle w:val="22"/>
                    <w:rPr>
                      <w:color w:val="auto"/>
                      <w:highlight w:val="none"/>
                    </w:rPr>
                  </w:pPr>
                  <w:r>
                    <w:rPr>
                      <w:rFonts w:hint="eastAsia"/>
                      <w:color w:val="auto"/>
                      <w:highlight w:val="none"/>
                    </w:rPr>
                    <w:t>60</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81"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镉</w:t>
                  </w:r>
                </w:p>
              </w:tc>
              <w:tc>
                <w:tcPr>
                  <w:tcW w:w="1303" w:type="dxa"/>
                  <w:vAlign w:val="center"/>
                </w:tcPr>
                <w:p>
                  <w:pPr>
                    <w:pStyle w:val="22"/>
                    <w:rPr>
                      <w:color w:val="auto"/>
                      <w:highlight w:val="none"/>
                    </w:rPr>
                  </w:pPr>
                  <w:r>
                    <w:rPr>
                      <w:rFonts w:hint="eastAsia" w:cs="Times New Roman"/>
                      <w:color w:val="auto"/>
                      <w:kern w:val="2"/>
                      <w:sz w:val="21"/>
                      <w:szCs w:val="22"/>
                      <w:highlight w:val="none"/>
                      <w:lang w:val="en-US" w:eastAsia="zh-CN" w:bidi="ar-SA"/>
                    </w:rPr>
                    <w:t>0.09</w:t>
                  </w:r>
                </w:p>
              </w:tc>
              <w:tc>
                <w:tcPr>
                  <w:tcW w:w="1448" w:type="dxa"/>
                  <w:vAlign w:val="center"/>
                </w:tcPr>
                <w:p>
                  <w:pPr>
                    <w:pStyle w:val="22"/>
                    <w:rPr>
                      <w:color w:val="auto"/>
                      <w:highlight w:val="none"/>
                    </w:rPr>
                  </w:pPr>
                  <w:r>
                    <w:rPr>
                      <w:rFonts w:hint="eastAsia"/>
                      <w:color w:val="auto"/>
                      <w:highlight w:val="none"/>
                    </w:rPr>
                    <w:t>65</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六价铬</w:t>
                  </w:r>
                </w:p>
              </w:tc>
              <w:tc>
                <w:tcPr>
                  <w:tcW w:w="1303" w:type="dxa"/>
                  <w:vAlign w:val="center"/>
                </w:tcPr>
                <w:p>
                  <w:pPr>
                    <w:pStyle w:val="22"/>
                    <w:rPr>
                      <w:color w:val="auto"/>
                      <w:highlight w:val="none"/>
                    </w:rPr>
                  </w:pPr>
                  <w:r>
                    <w:rPr>
                      <w:rFonts w:hint="eastAsia" w:cs="Times New Roman"/>
                      <w:color w:val="auto"/>
                      <w:kern w:val="0"/>
                      <w:sz w:val="21"/>
                      <w:szCs w:val="21"/>
                      <w:highlight w:val="none"/>
                      <w:lang w:val="en-US" w:eastAsia="zh-CN" w:bidi="ar"/>
                    </w:rPr>
                    <w:t>&lt;0.5</w:t>
                  </w:r>
                </w:p>
              </w:tc>
              <w:tc>
                <w:tcPr>
                  <w:tcW w:w="1448" w:type="dxa"/>
                  <w:vAlign w:val="center"/>
                </w:tcPr>
                <w:p>
                  <w:pPr>
                    <w:pStyle w:val="22"/>
                    <w:rPr>
                      <w:color w:val="auto"/>
                      <w:highlight w:val="none"/>
                    </w:rPr>
                  </w:pPr>
                  <w:r>
                    <w:rPr>
                      <w:rFonts w:hint="eastAsia"/>
                      <w:color w:val="auto"/>
                      <w:highlight w:val="none"/>
                    </w:rPr>
                    <w:t>5.7</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铜</w:t>
                  </w:r>
                </w:p>
              </w:tc>
              <w:tc>
                <w:tcPr>
                  <w:tcW w:w="1303" w:type="dxa"/>
                  <w:vAlign w:val="center"/>
                </w:tcPr>
                <w:p>
                  <w:pPr>
                    <w:pStyle w:val="22"/>
                    <w:rPr>
                      <w:color w:val="auto"/>
                      <w:highlight w:val="none"/>
                    </w:rPr>
                  </w:pPr>
                  <w:r>
                    <w:rPr>
                      <w:rFonts w:hint="eastAsia" w:cs="Times New Roman"/>
                      <w:color w:val="auto"/>
                      <w:kern w:val="0"/>
                      <w:sz w:val="21"/>
                      <w:szCs w:val="21"/>
                      <w:highlight w:val="none"/>
                      <w:lang w:val="en-US" w:eastAsia="zh-CN" w:bidi="ar"/>
                    </w:rPr>
                    <w:t>21</w:t>
                  </w:r>
                </w:p>
              </w:tc>
              <w:tc>
                <w:tcPr>
                  <w:tcW w:w="1448" w:type="dxa"/>
                  <w:vAlign w:val="center"/>
                </w:tcPr>
                <w:p>
                  <w:pPr>
                    <w:pStyle w:val="22"/>
                    <w:rPr>
                      <w:color w:val="auto"/>
                      <w:highlight w:val="none"/>
                    </w:rPr>
                  </w:pPr>
                  <w:r>
                    <w:rPr>
                      <w:rFonts w:hint="eastAsia"/>
                      <w:color w:val="auto"/>
                      <w:highlight w:val="none"/>
                    </w:rPr>
                    <w:t>18000</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镍</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20</w:t>
                  </w:r>
                </w:p>
              </w:tc>
              <w:tc>
                <w:tcPr>
                  <w:tcW w:w="1448" w:type="dxa"/>
                  <w:vAlign w:val="center"/>
                </w:tcPr>
                <w:p>
                  <w:pPr>
                    <w:pStyle w:val="22"/>
                    <w:rPr>
                      <w:color w:val="auto"/>
                      <w:highlight w:val="none"/>
                    </w:rPr>
                  </w:pPr>
                  <w:r>
                    <w:rPr>
                      <w:rFonts w:hint="eastAsia"/>
                      <w:color w:val="auto"/>
                      <w:highlight w:val="none"/>
                    </w:rPr>
                    <w:t>900</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铅</w:t>
                  </w:r>
                </w:p>
              </w:tc>
              <w:tc>
                <w:tcPr>
                  <w:tcW w:w="1303" w:type="dxa"/>
                  <w:vAlign w:val="center"/>
                </w:tcPr>
                <w:p>
                  <w:pPr>
                    <w:pStyle w:val="22"/>
                    <w:rPr>
                      <w:color w:val="auto"/>
                      <w:highlight w:val="none"/>
                    </w:rPr>
                  </w:pPr>
                  <w:r>
                    <w:rPr>
                      <w:rFonts w:hint="eastAsia" w:cs="Times New Roman"/>
                      <w:color w:val="auto"/>
                      <w:kern w:val="0"/>
                      <w:sz w:val="21"/>
                      <w:szCs w:val="21"/>
                      <w:highlight w:val="none"/>
                      <w:lang w:val="en-US" w:eastAsia="zh-CN" w:bidi="ar"/>
                    </w:rPr>
                    <w:t>29</w:t>
                  </w:r>
                </w:p>
              </w:tc>
              <w:tc>
                <w:tcPr>
                  <w:tcW w:w="1448" w:type="dxa"/>
                  <w:vAlign w:val="center"/>
                </w:tcPr>
                <w:p>
                  <w:pPr>
                    <w:pStyle w:val="22"/>
                    <w:rPr>
                      <w:color w:val="auto"/>
                      <w:highlight w:val="none"/>
                    </w:rPr>
                  </w:pPr>
                  <w:r>
                    <w:rPr>
                      <w:rFonts w:hint="eastAsia"/>
                      <w:color w:val="auto"/>
                      <w:highlight w:val="none"/>
                    </w:rPr>
                    <w:t>800</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苯胺</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&lt;2</w:t>
                  </w:r>
                </w:p>
              </w:tc>
              <w:tc>
                <w:tcPr>
                  <w:tcW w:w="1448" w:type="dxa"/>
                  <w:vAlign w:val="center"/>
                </w:tcPr>
                <w:p>
                  <w:pPr>
                    <w:pStyle w:val="22"/>
                    <w:rPr>
                      <w:color w:val="auto"/>
                      <w:highlight w:val="none"/>
                    </w:rPr>
                  </w:pPr>
                  <w:r>
                    <w:rPr>
                      <w:rFonts w:hint="eastAsia"/>
                      <w:color w:val="auto"/>
                      <w:highlight w:val="none"/>
                    </w:rPr>
                    <w:t>260</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252"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氯甲烷</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1.0</w:t>
                  </w:r>
                </w:p>
              </w:tc>
              <w:tc>
                <w:tcPr>
                  <w:tcW w:w="1448" w:type="dxa"/>
                  <w:vAlign w:val="center"/>
                </w:tcPr>
                <w:p>
                  <w:pPr>
                    <w:pStyle w:val="22"/>
                    <w:rPr>
                      <w:color w:val="auto"/>
                      <w:highlight w:val="none"/>
                    </w:rPr>
                  </w:pPr>
                  <w:r>
                    <w:rPr>
                      <w:rFonts w:hint="eastAsia"/>
                      <w:color w:val="auto"/>
                      <w:highlight w:val="none"/>
                    </w:rPr>
                    <w:t>37</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氯乙烯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1.0</w:t>
                  </w:r>
                </w:p>
              </w:tc>
              <w:tc>
                <w:tcPr>
                  <w:tcW w:w="1448" w:type="dxa"/>
                  <w:vAlign w:val="center"/>
                </w:tcPr>
                <w:p>
                  <w:pPr>
                    <w:pStyle w:val="22"/>
                    <w:rPr>
                      <w:color w:val="auto"/>
                      <w:highlight w:val="none"/>
                    </w:rPr>
                  </w:pPr>
                  <w:r>
                    <w:rPr>
                      <w:rFonts w:hint="eastAsia"/>
                      <w:color w:val="auto"/>
                      <w:highlight w:val="none"/>
                    </w:rPr>
                    <w:t>0.43</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1</w:t>
                  </w:r>
                  <w:r>
                    <w:rPr>
                      <w:rFonts w:hint="eastAsia"/>
                      <w:color w:val="auto"/>
                      <w:highlight w:val="none"/>
                      <w:lang w:eastAsia="zh-CN"/>
                    </w:rPr>
                    <w:t>，</w:t>
                  </w:r>
                  <w:r>
                    <w:rPr>
                      <w:color w:val="auto"/>
                      <w:highlight w:val="none"/>
                    </w:rPr>
                    <w:t>1-二氯乙烯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1.0</w:t>
                  </w:r>
                </w:p>
              </w:tc>
              <w:tc>
                <w:tcPr>
                  <w:tcW w:w="1448" w:type="dxa"/>
                  <w:vAlign w:val="center"/>
                </w:tcPr>
                <w:p>
                  <w:pPr>
                    <w:pStyle w:val="22"/>
                    <w:rPr>
                      <w:color w:val="auto"/>
                      <w:highlight w:val="none"/>
                    </w:rPr>
                  </w:pPr>
                  <w:r>
                    <w:rPr>
                      <w:rFonts w:hint="eastAsia"/>
                      <w:color w:val="auto"/>
                      <w:highlight w:val="none"/>
                    </w:rPr>
                    <w:t>66</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二氯甲烷</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1.5</w:t>
                  </w:r>
                </w:p>
              </w:tc>
              <w:tc>
                <w:tcPr>
                  <w:tcW w:w="1448" w:type="dxa"/>
                  <w:vAlign w:val="center"/>
                </w:tcPr>
                <w:p>
                  <w:pPr>
                    <w:pStyle w:val="22"/>
                    <w:rPr>
                      <w:color w:val="auto"/>
                      <w:highlight w:val="none"/>
                    </w:rPr>
                  </w:pPr>
                  <w:r>
                    <w:rPr>
                      <w:rFonts w:hint="eastAsia"/>
                      <w:color w:val="auto"/>
                      <w:highlight w:val="none"/>
                    </w:rPr>
                    <w:t>616</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反-1</w:t>
                  </w:r>
                  <w:r>
                    <w:rPr>
                      <w:rFonts w:hint="eastAsia"/>
                      <w:color w:val="auto"/>
                      <w:highlight w:val="none"/>
                      <w:lang w:eastAsia="zh-CN"/>
                    </w:rPr>
                    <w:t>，</w:t>
                  </w:r>
                  <w:r>
                    <w:rPr>
                      <w:color w:val="auto"/>
                      <w:highlight w:val="none"/>
                    </w:rPr>
                    <w:t>2-二氯乙烯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1.4</w:t>
                  </w:r>
                </w:p>
              </w:tc>
              <w:tc>
                <w:tcPr>
                  <w:tcW w:w="1448" w:type="dxa"/>
                  <w:vAlign w:val="center"/>
                </w:tcPr>
                <w:p>
                  <w:pPr>
                    <w:pStyle w:val="22"/>
                    <w:rPr>
                      <w:color w:val="auto"/>
                      <w:highlight w:val="none"/>
                    </w:rPr>
                  </w:pPr>
                  <w:r>
                    <w:rPr>
                      <w:rFonts w:hint="eastAsia"/>
                      <w:color w:val="auto"/>
                      <w:highlight w:val="none"/>
                    </w:rPr>
                    <w:t>54</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1</w:t>
                  </w:r>
                  <w:r>
                    <w:rPr>
                      <w:rFonts w:hint="eastAsia"/>
                      <w:color w:val="auto"/>
                      <w:highlight w:val="none"/>
                      <w:lang w:eastAsia="zh-CN"/>
                    </w:rPr>
                    <w:t>，</w:t>
                  </w:r>
                  <w:r>
                    <w:rPr>
                      <w:color w:val="auto"/>
                      <w:highlight w:val="none"/>
                    </w:rPr>
                    <w:t>1-二氯乙烷</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1.2</w:t>
                  </w:r>
                </w:p>
              </w:tc>
              <w:tc>
                <w:tcPr>
                  <w:tcW w:w="1448" w:type="dxa"/>
                  <w:vAlign w:val="center"/>
                </w:tcPr>
                <w:p>
                  <w:pPr>
                    <w:pStyle w:val="22"/>
                    <w:rPr>
                      <w:color w:val="auto"/>
                      <w:highlight w:val="none"/>
                    </w:rPr>
                  </w:pPr>
                  <w:r>
                    <w:rPr>
                      <w:rFonts w:hint="eastAsia"/>
                      <w:color w:val="auto"/>
                      <w:highlight w:val="none"/>
                    </w:rPr>
                    <w:t>9</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顺-1</w:t>
                  </w:r>
                  <w:r>
                    <w:rPr>
                      <w:rFonts w:hint="eastAsia"/>
                      <w:color w:val="auto"/>
                      <w:highlight w:val="none"/>
                      <w:lang w:eastAsia="zh-CN"/>
                    </w:rPr>
                    <w:t>，</w:t>
                  </w:r>
                  <w:r>
                    <w:rPr>
                      <w:color w:val="auto"/>
                      <w:highlight w:val="none"/>
                    </w:rPr>
                    <w:t>2-二氯乙烯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1.3</w:t>
                  </w:r>
                </w:p>
              </w:tc>
              <w:tc>
                <w:tcPr>
                  <w:tcW w:w="1448" w:type="dxa"/>
                  <w:vAlign w:val="center"/>
                </w:tcPr>
                <w:p>
                  <w:pPr>
                    <w:pStyle w:val="22"/>
                    <w:rPr>
                      <w:color w:val="auto"/>
                      <w:highlight w:val="none"/>
                    </w:rPr>
                  </w:pPr>
                  <w:r>
                    <w:rPr>
                      <w:rFonts w:hint="eastAsia"/>
                      <w:color w:val="auto"/>
                      <w:highlight w:val="none"/>
                    </w:rPr>
                    <w:t>596</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氯仿</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1.1</w:t>
                  </w:r>
                </w:p>
              </w:tc>
              <w:tc>
                <w:tcPr>
                  <w:tcW w:w="1448" w:type="dxa"/>
                  <w:vAlign w:val="center"/>
                </w:tcPr>
                <w:p>
                  <w:pPr>
                    <w:pStyle w:val="22"/>
                    <w:rPr>
                      <w:color w:val="auto"/>
                      <w:highlight w:val="none"/>
                    </w:rPr>
                  </w:pPr>
                  <w:r>
                    <w:rPr>
                      <w:rFonts w:hint="eastAsia"/>
                      <w:color w:val="auto"/>
                      <w:highlight w:val="none"/>
                    </w:rPr>
                    <w:t>0.9</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1</w:t>
                  </w:r>
                  <w:r>
                    <w:rPr>
                      <w:rFonts w:hint="eastAsia"/>
                      <w:color w:val="auto"/>
                      <w:highlight w:val="none"/>
                      <w:lang w:eastAsia="zh-CN"/>
                    </w:rPr>
                    <w:t>，</w:t>
                  </w:r>
                  <w:r>
                    <w:rPr>
                      <w:color w:val="auto"/>
                      <w:highlight w:val="none"/>
                    </w:rPr>
                    <w:t>1</w:t>
                  </w:r>
                  <w:r>
                    <w:rPr>
                      <w:rFonts w:hint="eastAsia"/>
                      <w:color w:val="auto"/>
                      <w:highlight w:val="none"/>
                      <w:lang w:eastAsia="zh-CN"/>
                    </w:rPr>
                    <w:t>，</w:t>
                  </w:r>
                  <w:r>
                    <w:rPr>
                      <w:color w:val="auto"/>
                      <w:highlight w:val="none"/>
                    </w:rPr>
                    <w:t>1-三氯乙烷</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1.3</w:t>
                  </w:r>
                </w:p>
              </w:tc>
              <w:tc>
                <w:tcPr>
                  <w:tcW w:w="1448" w:type="dxa"/>
                  <w:vAlign w:val="center"/>
                </w:tcPr>
                <w:p>
                  <w:pPr>
                    <w:pStyle w:val="22"/>
                    <w:rPr>
                      <w:color w:val="auto"/>
                      <w:highlight w:val="none"/>
                    </w:rPr>
                  </w:pPr>
                  <w:r>
                    <w:rPr>
                      <w:rFonts w:hint="eastAsia"/>
                      <w:color w:val="auto"/>
                      <w:highlight w:val="none"/>
                    </w:rPr>
                    <w:t>840</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四氯化碳</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1.3</w:t>
                  </w:r>
                </w:p>
              </w:tc>
              <w:tc>
                <w:tcPr>
                  <w:tcW w:w="1448" w:type="dxa"/>
                  <w:vAlign w:val="center"/>
                </w:tcPr>
                <w:p>
                  <w:pPr>
                    <w:pStyle w:val="22"/>
                    <w:rPr>
                      <w:color w:val="auto"/>
                      <w:highlight w:val="none"/>
                    </w:rPr>
                  </w:pPr>
                  <w:r>
                    <w:rPr>
                      <w:rFonts w:hint="eastAsia"/>
                      <w:color w:val="auto"/>
                      <w:highlight w:val="none"/>
                    </w:rPr>
                    <w:t>2.8</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1.9</w:t>
                  </w:r>
                </w:p>
              </w:tc>
              <w:tc>
                <w:tcPr>
                  <w:tcW w:w="1448" w:type="dxa"/>
                  <w:vAlign w:val="center"/>
                </w:tcPr>
                <w:p>
                  <w:pPr>
                    <w:pStyle w:val="22"/>
                    <w:rPr>
                      <w:color w:val="auto"/>
                      <w:highlight w:val="none"/>
                    </w:rPr>
                  </w:pPr>
                  <w:r>
                    <w:rPr>
                      <w:rFonts w:hint="eastAsia"/>
                      <w:color w:val="auto"/>
                      <w:highlight w:val="none"/>
                    </w:rPr>
                    <w:t>4</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1</w:t>
                  </w:r>
                  <w:r>
                    <w:rPr>
                      <w:rFonts w:hint="eastAsia"/>
                      <w:color w:val="auto"/>
                      <w:highlight w:val="none"/>
                      <w:lang w:eastAsia="zh-CN"/>
                    </w:rPr>
                    <w:t>，</w:t>
                  </w:r>
                  <w:r>
                    <w:rPr>
                      <w:color w:val="auto"/>
                      <w:highlight w:val="none"/>
                    </w:rPr>
                    <w:t>2-二氯乙烷</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1.3</w:t>
                  </w:r>
                </w:p>
              </w:tc>
              <w:tc>
                <w:tcPr>
                  <w:tcW w:w="1448" w:type="dxa"/>
                  <w:vAlign w:val="center"/>
                </w:tcPr>
                <w:p>
                  <w:pPr>
                    <w:pStyle w:val="22"/>
                    <w:rPr>
                      <w:color w:val="auto"/>
                      <w:highlight w:val="none"/>
                    </w:rPr>
                  </w:pPr>
                  <w:r>
                    <w:rPr>
                      <w:rFonts w:hint="eastAsia"/>
                      <w:color w:val="auto"/>
                      <w:highlight w:val="none"/>
                    </w:rPr>
                    <w:t>5</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三氯乙烯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1.2</w:t>
                  </w:r>
                </w:p>
              </w:tc>
              <w:tc>
                <w:tcPr>
                  <w:tcW w:w="1448" w:type="dxa"/>
                  <w:vAlign w:val="center"/>
                </w:tcPr>
                <w:p>
                  <w:pPr>
                    <w:pStyle w:val="22"/>
                    <w:rPr>
                      <w:color w:val="auto"/>
                      <w:highlight w:val="none"/>
                    </w:rPr>
                  </w:pPr>
                  <w:r>
                    <w:rPr>
                      <w:rFonts w:hint="eastAsia"/>
                      <w:color w:val="auto"/>
                      <w:highlight w:val="none"/>
                    </w:rPr>
                    <w:t>2.8</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1</w:t>
                  </w:r>
                  <w:r>
                    <w:rPr>
                      <w:rFonts w:hint="eastAsia"/>
                      <w:color w:val="auto"/>
                      <w:highlight w:val="none"/>
                      <w:lang w:eastAsia="zh-CN"/>
                    </w:rPr>
                    <w:t>，</w:t>
                  </w:r>
                  <w:r>
                    <w:rPr>
                      <w:color w:val="auto"/>
                      <w:highlight w:val="none"/>
                    </w:rPr>
                    <w:t>2-二氯丙烷</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1.1</w:t>
                  </w:r>
                </w:p>
              </w:tc>
              <w:tc>
                <w:tcPr>
                  <w:tcW w:w="1448" w:type="dxa"/>
                  <w:vAlign w:val="center"/>
                </w:tcPr>
                <w:p>
                  <w:pPr>
                    <w:pStyle w:val="22"/>
                    <w:tabs>
                      <w:tab w:val="left" w:pos="551"/>
                      <w:tab w:val="center" w:pos="779"/>
                    </w:tabs>
                    <w:jc w:val="center"/>
                    <w:rPr>
                      <w:color w:val="auto"/>
                      <w:highlight w:val="none"/>
                    </w:rPr>
                  </w:pPr>
                  <w:r>
                    <w:rPr>
                      <w:rFonts w:hint="eastAsia"/>
                      <w:color w:val="auto"/>
                      <w:highlight w:val="none"/>
                    </w:rPr>
                    <w:t>5</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甲苯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1.3</w:t>
                  </w:r>
                </w:p>
              </w:tc>
              <w:tc>
                <w:tcPr>
                  <w:tcW w:w="1448" w:type="dxa"/>
                  <w:vAlign w:val="center"/>
                </w:tcPr>
                <w:p>
                  <w:pPr>
                    <w:pStyle w:val="22"/>
                    <w:rPr>
                      <w:color w:val="auto"/>
                      <w:highlight w:val="none"/>
                    </w:rPr>
                  </w:pPr>
                  <w:r>
                    <w:rPr>
                      <w:rFonts w:hint="eastAsia"/>
                      <w:color w:val="auto"/>
                      <w:highlight w:val="none"/>
                    </w:rPr>
                    <w:t>1200</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1</w:t>
                  </w:r>
                  <w:r>
                    <w:rPr>
                      <w:rFonts w:hint="eastAsia"/>
                      <w:color w:val="auto"/>
                      <w:highlight w:val="none"/>
                      <w:lang w:eastAsia="zh-CN"/>
                    </w:rPr>
                    <w:t>，</w:t>
                  </w:r>
                  <w:r>
                    <w:rPr>
                      <w:color w:val="auto"/>
                      <w:highlight w:val="none"/>
                    </w:rPr>
                    <w:t>1</w:t>
                  </w:r>
                  <w:r>
                    <w:rPr>
                      <w:rFonts w:hint="eastAsia"/>
                      <w:color w:val="auto"/>
                      <w:highlight w:val="none"/>
                      <w:lang w:eastAsia="zh-CN"/>
                    </w:rPr>
                    <w:t>，</w:t>
                  </w:r>
                  <w:r>
                    <w:rPr>
                      <w:color w:val="auto"/>
                      <w:highlight w:val="none"/>
                    </w:rPr>
                    <w:t>2-三氯乙烷</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1.2</w:t>
                  </w:r>
                </w:p>
              </w:tc>
              <w:tc>
                <w:tcPr>
                  <w:tcW w:w="1448" w:type="dxa"/>
                  <w:vAlign w:val="center"/>
                </w:tcPr>
                <w:p>
                  <w:pPr>
                    <w:pStyle w:val="22"/>
                    <w:rPr>
                      <w:color w:val="auto"/>
                      <w:highlight w:val="none"/>
                    </w:rPr>
                  </w:pPr>
                  <w:r>
                    <w:rPr>
                      <w:rFonts w:hint="eastAsia"/>
                      <w:color w:val="auto"/>
                      <w:highlight w:val="none"/>
                    </w:rPr>
                    <w:t>2.8</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四氯乙烯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1.4</w:t>
                  </w:r>
                </w:p>
              </w:tc>
              <w:tc>
                <w:tcPr>
                  <w:tcW w:w="1448" w:type="dxa"/>
                  <w:vAlign w:val="center"/>
                </w:tcPr>
                <w:p>
                  <w:pPr>
                    <w:pStyle w:val="22"/>
                    <w:rPr>
                      <w:color w:val="auto"/>
                      <w:highlight w:val="none"/>
                    </w:rPr>
                  </w:pPr>
                  <w:r>
                    <w:rPr>
                      <w:rFonts w:hint="eastAsia"/>
                      <w:color w:val="auto"/>
                      <w:highlight w:val="none"/>
                    </w:rPr>
                    <w:t>53</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氯苯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1.2</w:t>
                  </w:r>
                </w:p>
              </w:tc>
              <w:tc>
                <w:tcPr>
                  <w:tcW w:w="1448" w:type="dxa"/>
                  <w:vAlign w:val="center"/>
                </w:tcPr>
                <w:p>
                  <w:pPr>
                    <w:pStyle w:val="22"/>
                    <w:rPr>
                      <w:color w:val="auto"/>
                      <w:highlight w:val="none"/>
                    </w:rPr>
                  </w:pPr>
                  <w:r>
                    <w:rPr>
                      <w:rFonts w:hint="eastAsia"/>
                      <w:color w:val="auto"/>
                      <w:highlight w:val="none"/>
                    </w:rPr>
                    <w:t>270</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1</w:t>
                  </w:r>
                  <w:r>
                    <w:rPr>
                      <w:rFonts w:hint="eastAsia"/>
                      <w:color w:val="auto"/>
                      <w:highlight w:val="none"/>
                      <w:lang w:eastAsia="zh-CN"/>
                    </w:rPr>
                    <w:t>，</w:t>
                  </w:r>
                  <w:r>
                    <w:rPr>
                      <w:color w:val="auto"/>
                      <w:highlight w:val="none"/>
                    </w:rPr>
                    <w:t>1</w:t>
                  </w:r>
                  <w:r>
                    <w:rPr>
                      <w:rFonts w:hint="eastAsia"/>
                      <w:color w:val="auto"/>
                      <w:highlight w:val="none"/>
                      <w:lang w:eastAsia="zh-CN"/>
                    </w:rPr>
                    <w:t>，</w:t>
                  </w:r>
                  <w:r>
                    <w:rPr>
                      <w:color w:val="auto"/>
                      <w:highlight w:val="none"/>
                    </w:rPr>
                    <w:t>1</w:t>
                  </w:r>
                  <w:r>
                    <w:rPr>
                      <w:rFonts w:hint="eastAsia"/>
                      <w:color w:val="auto"/>
                      <w:highlight w:val="none"/>
                      <w:lang w:eastAsia="zh-CN"/>
                    </w:rPr>
                    <w:t>，</w:t>
                  </w:r>
                  <w:r>
                    <w:rPr>
                      <w:color w:val="auto"/>
                      <w:highlight w:val="none"/>
                    </w:rPr>
                    <w:t>2-四氯乙烷</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1.2</w:t>
                  </w:r>
                </w:p>
              </w:tc>
              <w:tc>
                <w:tcPr>
                  <w:tcW w:w="1448" w:type="dxa"/>
                  <w:vAlign w:val="center"/>
                </w:tcPr>
                <w:p>
                  <w:pPr>
                    <w:pStyle w:val="22"/>
                    <w:rPr>
                      <w:color w:val="auto"/>
                      <w:highlight w:val="none"/>
                    </w:rPr>
                  </w:pPr>
                  <w:r>
                    <w:rPr>
                      <w:rFonts w:hint="eastAsia"/>
                      <w:color w:val="auto"/>
                      <w:highlight w:val="none"/>
                    </w:rPr>
                    <w:t>10</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乙苯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1.2</w:t>
                  </w:r>
                </w:p>
              </w:tc>
              <w:tc>
                <w:tcPr>
                  <w:tcW w:w="1448" w:type="dxa"/>
                  <w:vAlign w:val="center"/>
                </w:tcPr>
                <w:p>
                  <w:pPr>
                    <w:pStyle w:val="22"/>
                    <w:rPr>
                      <w:color w:val="auto"/>
                      <w:highlight w:val="none"/>
                    </w:rPr>
                  </w:pPr>
                  <w:r>
                    <w:rPr>
                      <w:rFonts w:hint="eastAsia"/>
                      <w:color w:val="auto"/>
                      <w:highlight w:val="none"/>
                    </w:rPr>
                    <w:t>28</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间二甲苯+对二 甲苯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1.2</w:t>
                  </w:r>
                </w:p>
              </w:tc>
              <w:tc>
                <w:tcPr>
                  <w:tcW w:w="1448" w:type="dxa"/>
                  <w:vAlign w:val="center"/>
                </w:tcPr>
                <w:p>
                  <w:pPr>
                    <w:pStyle w:val="22"/>
                    <w:rPr>
                      <w:color w:val="auto"/>
                      <w:highlight w:val="none"/>
                    </w:rPr>
                  </w:pPr>
                  <w:r>
                    <w:rPr>
                      <w:rFonts w:hint="eastAsia"/>
                      <w:color w:val="auto"/>
                      <w:highlight w:val="none"/>
                    </w:rPr>
                    <w:t>570</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邻二甲苯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1.2</w:t>
                  </w:r>
                </w:p>
              </w:tc>
              <w:tc>
                <w:tcPr>
                  <w:tcW w:w="1448" w:type="dxa"/>
                  <w:vAlign w:val="center"/>
                </w:tcPr>
                <w:p>
                  <w:pPr>
                    <w:pStyle w:val="22"/>
                    <w:rPr>
                      <w:color w:val="auto"/>
                      <w:highlight w:val="none"/>
                    </w:rPr>
                  </w:pPr>
                  <w:r>
                    <w:rPr>
                      <w:rFonts w:hint="eastAsia"/>
                      <w:color w:val="auto"/>
                      <w:highlight w:val="none"/>
                    </w:rPr>
                    <w:t>640</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苯乙烯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1.1</w:t>
                  </w:r>
                </w:p>
              </w:tc>
              <w:tc>
                <w:tcPr>
                  <w:tcW w:w="1448" w:type="dxa"/>
                  <w:vAlign w:val="center"/>
                </w:tcPr>
                <w:p>
                  <w:pPr>
                    <w:pStyle w:val="22"/>
                    <w:rPr>
                      <w:color w:val="auto"/>
                      <w:highlight w:val="none"/>
                    </w:rPr>
                  </w:pPr>
                  <w:r>
                    <w:rPr>
                      <w:rFonts w:hint="eastAsia"/>
                      <w:color w:val="auto"/>
                      <w:highlight w:val="none"/>
                    </w:rPr>
                    <w:t>1290</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1</w:t>
                  </w:r>
                  <w:r>
                    <w:rPr>
                      <w:rFonts w:hint="eastAsia"/>
                      <w:color w:val="auto"/>
                      <w:highlight w:val="none"/>
                      <w:lang w:eastAsia="zh-CN"/>
                    </w:rPr>
                    <w:t>，</w:t>
                  </w:r>
                  <w:r>
                    <w:rPr>
                      <w:color w:val="auto"/>
                      <w:highlight w:val="none"/>
                    </w:rPr>
                    <w:t>1</w:t>
                  </w:r>
                  <w:r>
                    <w:rPr>
                      <w:rFonts w:hint="eastAsia"/>
                      <w:color w:val="auto"/>
                      <w:highlight w:val="none"/>
                      <w:lang w:eastAsia="zh-CN"/>
                    </w:rPr>
                    <w:t>，</w:t>
                  </w:r>
                  <w:r>
                    <w:rPr>
                      <w:color w:val="auto"/>
                      <w:highlight w:val="none"/>
                    </w:rPr>
                    <w:t>2</w:t>
                  </w:r>
                  <w:r>
                    <w:rPr>
                      <w:rFonts w:hint="eastAsia"/>
                      <w:color w:val="auto"/>
                      <w:highlight w:val="none"/>
                      <w:lang w:eastAsia="zh-CN"/>
                    </w:rPr>
                    <w:t>，</w:t>
                  </w:r>
                  <w:r>
                    <w:rPr>
                      <w:color w:val="auto"/>
                      <w:highlight w:val="none"/>
                    </w:rPr>
                    <w:t>2-四氯乙烷</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1.2</w:t>
                  </w:r>
                </w:p>
              </w:tc>
              <w:tc>
                <w:tcPr>
                  <w:tcW w:w="1448" w:type="dxa"/>
                  <w:vAlign w:val="center"/>
                </w:tcPr>
                <w:p>
                  <w:pPr>
                    <w:pStyle w:val="22"/>
                    <w:rPr>
                      <w:color w:val="auto"/>
                      <w:highlight w:val="none"/>
                    </w:rPr>
                  </w:pPr>
                  <w:r>
                    <w:rPr>
                      <w:rFonts w:hint="eastAsia"/>
                      <w:color w:val="auto"/>
                      <w:highlight w:val="none"/>
                    </w:rPr>
                    <w:t>6.8</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1</w:t>
                  </w:r>
                  <w:r>
                    <w:rPr>
                      <w:rFonts w:hint="eastAsia"/>
                      <w:color w:val="auto"/>
                      <w:highlight w:val="none"/>
                      <w:lang w:eastAsia="zh-CN"/>
                    </w:rPr>
                    <w:t>，</w:t>
                  </w:r>
                  <w:r>
                    <w:rPr>
                      <w:color w:val="auto"/>
                      <w:highlight w:val="none"/>
                    </w:rPr>
                    <w:t>2</w:t>
                  </w:r>
                  <w:r>
                    <w:rPr>
                      <w:rFonts w:hint="eastAsia"/>
                      <w:color w:val="auto"/>
                      <w:highlight w:val="none"/>
                      <w:lang w:eastAsia="zh-CN"/>
                    </w:rPr>
                    <w:t>，</w:t>
                  </w:r>
                  <w:r>
                    <w:rPr>
                      <w:color w:val="auto"/>
                      <w:highlight w:val="none"/>
                    </w:rPr>
                    <w:t>3-三氯丙烷</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1.2</w:t>
                  </w:r>
                </w:p>
              </w:tc>
              <w:tc>
                <w:tcPr>
                  <w:tcW w:w="1448" w:type="dxa"/>
                  <w:vAlign w:val="center"/>
                </w:tcPr>
                <w:p>
                  <w:pPr>
                    <w:pStyle w:val="22"/>
                    <w:rPr>
                      <w:color w:val="auto"/>
                      <w:highlight w:val="none"/>
                    </w:rPr>
                  </w:pPr>
                  <w:r>
                    <w:rPr>
                      <w:rFonts w:hint="eastAsia"/>
                      <w:color w:val="auto"/>
                      <w:highlight w:val="none"/>
                    </w:rPr>
                    <w:t>0.5</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1</w:t>
                  </w:r>
                  <w:r>
                    <w:rPr>
                      <w:rFonts w:hint="eastAsia"/>
                      <w:color w:val="auto"/>
                      <w:highlight w:val="none"/>
                      <w:lang w:eastAsia="zh-CN"/>
                    </w:rPr>
                    <w:t>，</w:t>
                  </w:r>
                  <w:r>
                    <w:rPr>
                      <w:color w:val="auto"/>
                      <w:highlight w:val="none"/>
                    </w:rPr>
                    <w:t>4-二氯苯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1.5</w:t>
                  </w:r>
                </w:p>
              </w:tc>
              <w:tc>
                <w:tcPr>
                  <w:tcW w:w="1448" w:type="dxa"/>
                  <w:vAlign w:val="center"/>
                </w:tcPr>
                <w:p>
                  <w:pPr>
                    <w:pStyle w:val="22"/>
                    <w:rPr>
                      <w:color w:val="auto"/>
                      <w:highlight w:val="none"/>
                    </w:rPr>
                  </w:pPr>
                  <w:r>
                    <w:rPr>
                      <w:rFonts w:hint="eastAsia"/>
                      <w:color w:val="auto"/>
                      <w:highlight w:val="none"/>
                    </w:rPr>
                    <w:t>20</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1</w:t>
                  </w:r>
                  <w:r>
                    <w:rPr>
                      <w:rFonts w:hint="eastAsia"/>
                      <w:color w:val="auto"/>
                      <w:highlight w:val="none"/>
                      <w:lang w:eastAsia="zh-CN"/>
                    </w:rPr>
                    <w:t>，</w:t>
                  </w:r>
                  <w:r>
                    <w:rPr>
                      <w:color w:val="auto"/>
                      <w:highlight w:val="none"/>
                    </w:rPr>
                    <w:t>2-二氯苯</w:t>
                  </w:r>
                </w:p>
              </w:tc>
              <w:tc>
                <w:tcPr>
                  <w:tcW w:w="1303" w:type="dxa"/>
                  <w:vAlign w:val="center"/>
                </w:tcPr>
                <w:p>
                  <w:pPr>
                    <w:pStyle w:val="22"/>
                    <w:rPr>
                      <w:color w:val="auto"/>
                      <w:highlight w:val="none"/>
                    </w:rPr>
                  </w:pPr>
                  <w:r>
                    <w:rPr>
                      <w:rFonts w:hint="eastAsia" w:cs="Times New Roman"/>
                      <w:color w:val="auto"/>
                      <w:sz w:val="21"/>
                      <w:szCs w:val="21"/>
                      <w:highlight w:val="none"/>
                      <w:lang w:val="en-US" w:eastAsia="zh-CN"/>
                    </w:rPr>
                    <w:t>&lt;</w:t>
                  </w:r>
                  <w:r>
                    <w:rPr>
                      <w:rFonts w:hint="default" w:ascii="Times New Roman" w:hAnsi="Times New Roman" w:eastAsia="宋体" w:cs="Times New Roman"/>
                      <w:color w:val="auto"/>
                      <w:sz w:val="21"/>
                      <w:szCs w:val="21"/>
                      <w:highlight w:val="none"/>
                      <w:lang w:val="en-US" w:eastAsia="zh-CN"/>
                    </w:rPr>
                    <w:t>1.5</w:t>
                  </w:r>
                </w:p>
              </w:tc>
              <w:tc>
                <w:tcPr>
                  <w:tcW w:w="1448" w:type="dxa"/>
                  <w:vAlign w:val="center"/>
                </w:tcPr>
                <w:p>
                  <w:pPr>
                    <w:pStyle w:val="22"/>
                    <w:rPr>
                      <w:color w:val="auto"/>
                      <w:highlight w:val="none"/>
                    </w:rPr>
                  </w:pPr>
                  <w:r>
                    <w:rPr>
                      <w:rFonts w:hint="eastAsia"/>
                      <w:color w:val="auto"/>
                      <w:highlight w:val="none"/>
                    </w:rPr>
                    <w:t>560</w:t>
                  </w:r>
                </w:p>
              </w:tc>
              <w:tc>
                <w:tcPr>
                  <w:tcW w:w="1452" w:type="dxa"/>
                  <w:vAlign w:val="center"/>
                </w:tcPr>
                <w:p>
                  <w:pPr>
                    <w:pStyle w:val="22"/>
                    <w:rPr>
                      <w:color w:val="auto"/>
                      <w:highlight w:val="none"/>
                    </w:rPr>
                  </w:pPr>
                  <w:r>
                    <w:rPr>
                      <w:color w:val="auto"/>
                      <w:highlight w:val="none"/>
                    </w:rPr>
                    <w:t>μg/kg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2-氯酚</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&lt;</w:t>
                  </w:r>
                  <w:r>
                    <w:rPr>
                      <w:rFonts w:hint="default" w:ascii="Times New Roman" w:hAnsi="Times New Roman" w:eastAsia="宋体" w:cs="Times New Roman"/>
                      <w:color w:val="auto"/>
                      <w:sz w:val="21"/>
                      <w:szCs w:val="21"/>
                      <w:highlight w:val="none"/>
                      <w:lang w:val="en-US" w:eastAsia="zh-CN"/>
                    </w:rPr>
                    <w:t>0.06</w:t>
                  </w:r>
                </w:p>
              </w:tc>
              <w:tc>
                <w:tcPr>
                  <w:tcW w:w="1448" w:type="dxa"/>
                  <w:vAlign w:val="center"/>
                </w:tcPr>
                <w:p>
                  <w:pPr>
                    <w:pStyle w:val="22"/>
                    <w:rPr>
                      <w:color w:val="auto"/>
                      <w:highlight w:val="none"/>
                    </w:rPr>
                  </w:pPr>
                  <w:r>
                    <w:rPr>
                      <w:rFonts w:hint="eastAsia"/>
                      <w:color w:val="auto"/>
                      <w:highlight w:val="none"/>
                    </w:rPr>
                    <w:t>2256</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硝基苯</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&lt;</w:t>
                  </w:r>
                  <w:r>
                    <w:rPr>
                      <w:rFonts w:hint="default" w:ascii="Times New Roman" w:hAnsi="Times New Roman" w:eastAsia="宋体" w:cs="Times New Roman"/>
                      <w:color w:val="auto"/>
                      <w:sz w:val="21"/>
                      <w:szCs w:val="21"/>
                      <w:highlight w:val="none"/>
                      <w:lang w:val="en-US" w:eastAsia="zh-CN"/>
                    </w:rPr>
                    <w:t>0.09</w:t>
                  </w:r>
                </w:p>
              </w:tc>
              <w:tc>
                <w:tcPr>
                  <w:tcW w:w="1448" w:type="dxa"/>
                  <w:vAlign w:val="center"/>
                </w:tcPr>
                <w:p>
                  <w:pPr>
                    <w:pStyle w:val="22"/>
                    <w:rPr>
                      <w:color w:val="auto"/>
                      <w:highlight w:val="none"/>
                    </w:rPr>
                  </w:pPr>
                  <w:r>
                    <w:rPr>
                      <w:rFonts w:hint="eastAsia"/>
                      <w:color w:val="auto"/>
                      <w:highlight w:val="none"/>
                    </w:rPr>
                    <w:t>76</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萘</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&lt;</w:t>
                  </w:r>
                  <w:r>
                    <w:rPr>
                      <w:rFonts w:hint="default" w:ascii="Times New Roman" w:hAnsi="Times New Roman" w:eastAsia="宋体" w:cs="Times New Roman"/>
                      <w:color w:val="auto"/>
                      <w:sz w:val="21"/>
                      <w:szCs w:val="21"/>
                      <w:highlight w:val="none"/>
                      <w:lang w:val="en-US" w:eastAsia="zh-CN"/>
                    </w:rPr>
                    <w:t>0.09</w:t>
                  </w:r>
                </w:p>
              </w:tc>
              <w:tc>
                <w:tcPr>
                  <w:tcW w:w="1448" w:type="dxa"/>
                  <w:vAlign w:val="center"/>
                </w:tcPr>
                <w:p>
                  <w:pPr>
                    <w:pStyle w:val="22"/>
                    <w:rPr>
                      <w:color w:val="auto"/>
                      <w:highlight w:val="none"/>
                    </w:rPr>
                  </w:pPr>
                  <w:r>
                    <w:rPr>
                      <w:rFonts w:hint="eastAsia"/>
                      <w:color w:val="auto"/>
                      <w:highlight w:val="none"/>
                    </w:rPr>
                    <w:t>70</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苯并[a]蒽</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&lt;</w:t>
                  </w:r>
                  <w:r>
                    <w:rPr>
                      <w:rFonts w:hint="default" w:ascii="Times New Roman" w:hAnsi="Times New Roman" w:eastAsia="宋体" w:cs="Times New Roman"/>
                      <w:color w:val="auto"/>
                      <w:sz w:val="21"/>
                      <w:szCs w:val="21"/>
                      <w:highlight w:val="none"/>
                      <w:lang w:val="en-US" w:eastAsia="zh-CN"/>
                    </w:rPr>
                    <w:t>0.1</w:t>
                  </w:r>
                </w:p>
              </w:tc>
              <w:tc>
                <w:tcPr>
                  <w:tcW w:w="1448" w:type="dxa"/>
                  <w:vAlign w:val="center"/>
                </w:tcPr>
                <w:p>
                  <w:pPr>
                    <w:pStyle w:val="22"/>
                    <w:rPr>
                      <w:color w:val="auto"/>
                      <w:highlight w:val="none"/>
                    </w:rPr>
                  </w:pPr>
                  <w:r>
                    <w:rPr>
                      <w:rFonts w:hint="eastAsia"/>
                      <w:color w:val="auto"/>
                      <w:highlight w:val="none"/>
                    </w:rPr>
                    <w:t>15</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rFonts w:hint="eastAsia"/>
                      <w:color w:val="auto"/>
                      <w:highlight w:val="none"/>
                    </w:rPr>
                    <w:t>䓛</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&lt;</w:t>
                  </w:r>
                  <w:r>
                    <w:rPr>
                      <w:rFonts w:hint="default" w:ascii="Times New Roman" w:hAnsi="Times New Roman" w:eastAsia="宋体" w:cs="Times New Roman"/>
                      <w:color w:val="auto"/>
                      <w:sz w:val="21"/>
                      <w:szCs w:val="21"/>
                      <w:highlight w:val="none"/>
                      <w:lang w:val="en-US" w:eastAsia="zh-CN"/>
                    </w:rPr>
                    <w:t>0.1</w:t>
                  </w:r>
                </w:p>
              </w:tc>
              <w:tc>
                <w:tcPr>
                  <w:tcW w:w="1448" w:type="dxa"/>
                  <w:vAlign w:val="center"/>
                </w:tcPr>
                <w:p>
                  <w:pPr>
                    <w:pStyle w:val="22"/>
                    <w:rPr>
                      <w:color w:val="auto"/>
                      <w:highlight w:val="none"/>
                    </w:rPr>
                  </w:pPr>
                  <w:r>
                    <w:rPr>
                      <w:rFonts w:hint="eastAsia"/>
                      <w:color w:val="auto"/>
                      <w:highlight w:val="none"/>
                    </w:rPr>
                    <w:t>1293</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苯并[b]荧蒽</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&lt;</w:t>
                  </w:r>
                  <w:r>
                    <w:rPr>
                      <w:rFonts w:hint="default" w:ascii="Times New Roman" w:hAnsi="Times New Roman" w:eastAsia="宋体" w:cs="Times New Roman"/>
                      <w:color w:val="auto"/>
                      <w:sz w:val="21"/>
                      <w:szCs w:val="21"/>
                      <w:highlight w:val="none"/>
                      <w:lang w:val="en-US" w:eastAsia="zh-CN"/>
                    </w:rPr>
                    <w:t>0.2</w:t>
                  </w:r>
                </w:p>
              </w:tc>
              <w:tc>
                <w:tcPr>
                  <w:tcW w:w="1448" w:type="dxa"/>
                  <w:vAlign w:val="center"/>
                </w:tcPr>
                <w:p>
                  <w:pPr>
                    <w:pStyle w:val="22"/>
                    <w:rPr>
                      <w:color w:val="auto"/>
                      <w:highlight w:val="none"/>
                    </w:rPr>
                  </w:pPr>
                  <w:r>
                    <w:rPr>
                      <w:rFonts w:hint="eastAsia"/>
                      <w:color w:val="auto"/>
                      <w:highlight w:val="none"/>
                    </w:rPr>
                    <w:t>15</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苯并[k]荧蒽</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&lt;</w:t>
                  </w:r>
                  <w:r>
                    <w:rPr>
                      <w:rFonts w:hint="default" w:ascii="Times New Roman" w:hAnsi="Times New Roman" w:eastAsia="宋体" w:cs="Times New Roman"/>
                      <w:color w:val="auto"/>
                      <w:sz w:val="21"/>
                      <w:szCs w:val="21"/>
                      <w:highlight w:val="none"/>
                      <w:lang w:val="en-US" w:eastAsia="zh-CN"/>
                    </w:rPr>
                    <w:t>0.1</w:t>
                  </w:r>
                </w:p>
              </w:tc>
              <w:tc>
                <w:tcPr>
                  <w:tcW w:w="1448" w:type="dxa"/>
                  <w:vAlign w:val="center"/>
                </w:tcPr>
                <w:p>
                  <w:pPr>
                    <w:pStyle w:val="22"/>
                    <w:rPr>
                      <w:color w:val="auto"/>
                      <w:highlight w:val="none"/>
                    </w:rPr>
                  </w:pPr>
                  <w:r>
                    <w:rPr>
                      <w:rFonts w:hint="eastAsia"/>
                      <w:color w:val="auto"/>
                      <w:highlight w:val="none"/>
                    </w:rPr>
                    <w:t>151</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苯并[a]芘</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&lt;</w:t>
                  </w:r>
                  <w:r>
                    <w:rPr>
                      <w:rFonts w:hint="default" w:ascii="Times New Roman" w:hAnsi="Times New Roman" w:eastAsia="宋体" w:cs="Times New Roman"/>
                      <w:color w:val="auto"/>
                      <w:sz w:val="21"/>
                      <w:szCs w:val="21"/>
                      <w:highlight w:val="none"/>
                      <w:lang w:val="en-US" w:eastAsia="zh-CN"/>
                    </w:rPr>
                    <w:t>0.1</w:t>
                  </w:r>
                </w:p>
              </w:tc>
              <w:tc>
                <w:tcPr>
                  <w:tcW w:w="1448" w:type="dxa"/>
                  <w:vAlign w:val="center"/>
                </w:tcPr>
                <w:p>
                  <w:pPr>
                    <w:pStyle w:val="22"/>
                    <w:rPr>
                      <w:color w:val="auto"/>
                      <w:highlight w:val="none"/>
                    </w:rPr>
                  </w:pPr>
                  <w:r>
                    <w:rPr>
                      <w:rFonts w:hint="eastAsia"/>
                      <w:color w:val="auto"/>
                      <w:highlight w:val="none"/>
                    </w:rPr>
                    <w:t>1.5</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茚并[1</w:t>
                  </w:r>
                  <w:r>
                    <w:rPr>
                      <w:rFonts w:hint="eastAsia"/>
                      <w:color w:val="auto"/>
                      <w:highlight w:val="none"/>
                      <w:lang w:eastAsia="zh-CN"/>
                    </w:rPr>
                    <w:t>，</w:t>
                  </w:r>
                  <w:r>
                    <w:rPr>
                      <w:color w:val="auto"/>
                      <w:highlight w:val="none"/>
                    </w:rPr>
                    <w:t>2</w:t>
                  </w:r>
                  <w:r>
                    <w:rPr>
                      <w:rFonts w:hint="eastAsia"/>
                      <w:color w:val="auto"/>
                      <w:highlight w:val="none"/>
                      <w:lang w:eastAsia="zh-CN"/>
                    </w:rPr>
                    <w:t>，</w:t>
                  </w:r>
                  <w:r>
                    <w:rPr>
                      <w:color w:val="auto"/>
                      <w:highlight w:val="none"/>
                    </w:rPr>
                    <w:t>3-cd]芘</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&lt;</w:t>
                  </w:r>
                  <w:r>
                    <w:rPr>
                      <w:rFonts w:hint="default" w:ascii="Times New Roman" w:hAnsi="Times New Roman" w:eastAsia="宋体" w:cs="Times New Roman"/>
                      <w:color w:val="auto"/>
                      <w:sz w:val="21"/>
                      <w:szCs w:val="21"/>
                      <w:highlight w:val="none"/>
                      <w:lang w:val="en-US" w:eastAsia="zh-CN"/>
                    </w:rPr>
                    <w:t>0.1</w:t>
                  </w:r>
                </w:p>
              </w:tc>
              <w:tc>
                <w:tcPr>
                  <w:tcW w:w="1448" w:type="dxa"/>
                  <w:vAlign w:val="center"/>
                </w:tcPr>
                <w:p>
                  <w:pPr>
                    <w:pStyle w:val="22"/>
                    <w:rPr>
                      <w:color w:val="auto"/>
                      <w:highlight w:val="none"/>
                    </w:rPr>
                  </w:pPr>
                  <w:r>
                    <w:rPr>
                      <w:rFonts w:hint="eastAsia"/>
                      <w:color w:val="auto"/>
                      <w:highlight w:val="none"/>
                    </w:rPr>
                    <w:t>15</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color w:val="auto"/>
                      <w:highlight w:val="none"/>
                    </w:rPr>
                  </w:pPr>
                  <w:r>
                    <w:rPr>
                      <w:color w:val="auto"/>
                      <w:highlight w:val="none"/>
                    </w:rPr>
                    <w:t>二苯并[a</w:t>
                  </w:r>
                  <w:r>
                    <w:rPr>
                      <w:rFonts w:hint="eastAsia"/>
                      <w:color w:val="auto"/>
                      <w:highlight w:val="none"/>
                      <w:lang w:eastAsia="zh-CN"/>
                    </w:rPr>
                    <w:t>，</w:t>
                  </w:r>
                  <w:r>
                    <w:rPr>
                      <w:color w:val="auto"/>
                      <w:highlight w:val="none"/>
                    </w:rPr>
                    <w:t>h]蒽</w:t>
                  </w:r>
                </w:p>
              </w:tc>
              <w:tc>
                <w:tcPr>
                  <w:tcW w:w="1303" w:type="dxa"/>
                  <w:vAlign w:val="center"/>
                </w:tcPr>
                <w:p>
                  <w:pPr>
                    <w:pStyle w:val="22"/>
                    <w:rPr>
                      <w:color w:val="auto"/>
                      <w:highlight w:val="none"/>
                    </w:rPr>
                  </w:pPr>
                  <w:r>
                    <w:rPr>
                      <w:rFonts w:hint="eastAsia" w:cs="Times New Roman"/>
                      <w:color w:val="auto"/>
                      <w:kern w:val="2"/>
                      <w:sz w:val="21"/>
                      <w:szCs w:val="21"/>
                      <w:highlight w:val="none"/>
                      <w:lang w:val="en-US" w:eastAsia="zh-CN" w:bidi="ar-SA"/>
                    </w:rPr>
                    <w:t>&lt;</w:t>
                  </w:r>
                  <w:r>
                    <w:rPr>
                      <w:rFonts w:hint="default" w:ascii="Times New Roman" w:hAnsi="Times New Roman" w:eastAsia="宋体" w:cs="Times New Roman"/>
                      <w:color w:val="auto"/>
                      <w:sz w:val="21"/>
                      <w:szCs w:val="21"/>
                      <w:highlight w:val="none"/>
                      <w:lang w:val="en-US" w:eastAsia="zh-CN"/>
                    </w:rPr>
                    <w:t>0.1</w:t>
                  </w:r>
                </w:p>
              </w:tc>
              <w:tc>
                <w:tcPr>
                  <w:tcW w:w="1448" w:type="dxa"/>
                  <w:vAlign w:val="center"/>
                </w:tcPr>
                <w:p>
                  <w:pPr>
                    <w:pStyle w:val="22"/>
                    <w:rPr>
                      <w:color w:val="auto"/>
                      <w:highlight w:val="none"/>
                    </w:rPr>
                  </w:pPr>
                  <w:r>
                    <w:rPr>
                      <w:rFonts w:hint="eastAsia"/>
                      <w:color w:val="auto"/>
                      <w:highlight w:val="none"/>
                    </w:rPr>
                    <w:t>1.5</w:t>
                  </w:r>
                </w:p>
              </w:tc>
              <w:tc>
                <w:tcPr>
                  <w:tcW w:w="1452" w:type="dxa"/>
                  <w:vAlign w:val="center"/>
                </w:tcPr>
                <w:p>
                  <w:pPr>
                    <w:pStyle w:val="22"/>
                    <w:rPr>
                      <w:color w:val="auto"/>
                      <w:highlight w:val="none"/>
                    </w:rPr>
                  </w:pPr>
                  <w:r>
                    <w:rPr>
                      <w:color w:val="auto"/>
                      <w:highlight w:val="none"/>
                    </w:rPr>
                    <w:t>mg/kg</w:t>
                  </w:r>
                </w:p>
              </w:tc>
              <w:tc>
                <w:tcPr>
                  <w:tcW w:w="1452" w:type="dxa"/>
                  <w:vAlign w:val="center"/>
                </w:tcPr>
                <w:p>
                  <w:pPr>
                    <w:pStyle w:val="22"/>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jc w:val="center"/>
              </w:trPr>
              <w:tc>
                <w:tcPr>
                  <w:tcW w:w="1065" w:type="dxa"/>
                  <w:vMerge w:val="continue"/>
                  <w:vAlign w:val="center"/>
                </w:tcPr>
                <w:p>
                  <w:pPr>
                    <w:pStyle w:val="22"/>
                    <w:rPr>
                      <w:color w:val="auto"/>
                      <w:highlight w:val="none"/>
                    </w:rPr>
                  </w:pPr>
                </w:p>
              </w:tc>
              <w:tc>
                <w:tcPr>
                  <w:tcW w:w="1251" w:type="dxa"/>
                  <w:vAlign w:val="center"/>
                </w:tcPr>
                <w:p>
                  <w:pPr>
                    <w:pStyle w:val="22"/>
                    <w:rPr>
                      <w:rFonts w:hint="eastAsia" w:eastAsiaTheme="minorEastAsia"/>
                      <w:color w:val="auto"/>
                      <w:highlight w:val="none"/>
                      <w:lang w:eastAsia="zh-CN"/>
                    </w:rPr>
                  </w:pPr>
                  <w:r>
                    <w:rPr>
                      <w:rFonts w:hint="eastAsia"/>
                      <w:color w:val="auto"/>
                      <w:highlight w:val="none"/>
                      <w:lang w:eastAsia="zh-CN"/>
                    </w:rPr>
                    <w:t>石油烃</w:t>
                  </w:r>
                </w:p>
              </w:tc>
              <w:tc>
                <w:tcPr>
                  <w:tcW w:w="1303" w:type="dxa"/>
                  <w:vAlign w:val="center"/>
                </w:tcPr>
                <w:p>
                  <w:pPr>
                    <w:pStyle w:val="22"/>
                    <w:rPr>
                      <w:color w:val="auto"/>
                      <w:highlight w:val="none"/>
                    </w:rPr>
                  </w:pPr>
                  <w:r>
                    <w:rPr>
                      <w:rFonts w:hint="eastAsia" w:cs="Times New Roman"/>
                      <w:color w:val="auto"/>
                      <w:kern w:val="0"/>
                      <w:sz w:val="21"/>
                      <w:szCs w:val="21"/>
                      <w:highlight w:val="none"/>
                      <w:lang w:val="en-US" w:eastAsia="zh-CN" w:bidi="ar"/>
                    </w:rPr>
                    <w:t>49</w:t>
                  </w:r>
                </w:p>
              </w:tc>
              <w:tc>
                <w:tcPr>
                  <w:tcW w:w="1448"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4500</w:t>
                  </w:r>
                </w:p>
              </w:tc>
              <w:tc>
                <w:tcPr>
                  <w:tcW w:w="1452" w:type="dxa"/>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color w:val="auto"/>
                      <w:highlight w:val="none"/>
                    </w:rPr>
                    <w:t>mg/kg</w:t>
                  </w:r>
                </w:p>
              </w:tc>
              <w:tc>
                <w:tcPr>
                  <w:tcW w:w="1452"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达标</w:t>
                  </w:r>
                </w:p>
              </w:tc>
            </w:tr>
          </w:tbl>
          <w:p>
            <w:pPr>
              <w:pStyle w:val="12"/>
              <w:ind w:firstLine="480"/>
              <w:rPr>
                <w:color w:val="auto"/>
                <w:highlight w:val="none"/>
              </w:rPr>
            </w:pPr>
            <w:r>
              <w:rPr>
                <w:rFonts w:hint="eastAsia"/>
                <w:color w:val="auto"/>
                <w:highlight w:val="none"/>
              </w:rPr>
              <w:t>根据检测结果分析</w:t>
            </w:r>
            <w:r>
              <w:rPr>
                <w:rFonts w:hint="eastAsia"/>
                <w:color w:val="auto"/>
                <w:highlight w:val="none"/>
                <w:lang w:eastAsia="zh-CN"/>
              </w:rPr>
              <w:t>，</w:t>
            </w:r>
            <w:r>
              <w:rPr>
                <w:rFonts w:hint="eastAsia"/>
                <w:color w:val="auto"/>
                <w:highlight w:val="none"/>
              </w:rPr>
              <w:t>检测结果均符合《土壤环境质量建设用地土壤污染风险管控标准（试行）》（GB36600-2018）表1中二类用地筛选值。</w:t>
            </w:r>
          </w:p>
          <w:p>
            <w:pPr>
              <w:pStyle w:val="27"/>
              <w:ind w:firstLine="482"/>
              <w:rPr>
                <w:rFonts w:hint="default"/>
                <w:color w:val="auto"/>
                <w:highlight w:val="none"/>
              </w:rPr>
            </w:pPr>
            <w:r>
              <w:rPr>
                <w:color w:val="auto"/>
                <w:highlight w:val="none"/>
              </w:rPr>
              <w:t>6生态环境质量现状</w:t>
            </w:r>
          </w:p>
          <w:p>
            <w:pPr>
              <w:pStyle w:val="12"/>
              <w:ind w:firstLine="480"/>
              <w:rPr>
                <w:color w:val="auto"/>
                <w:highlight w:val="none"/>
              </w:rPr>
            </w:pPr>
            <w:r>
              <w:rPr>
                <w:rFonts w:hint="eastAsia"/>
                <w:color w:val="auto"/>
                <w:highlight w:val="none"/>
              </w:rPr>
              <w:t>本项目位于</w:t>
            </w:r>
            <w:r>
              <w:rPr>
                <w:rFonts w:hint="eastAsia"/>
                <w:color w:val="auto"/>
                <w:highlight w:val="none"/>
                <w:lang w:eastAsia="zh-CN"/>
              </w:rPr>
              <w:t>二道沟公司厂区内，</w:t>
            </w:r>
            <w:r>
              <w:rPr>
                <w:rFonts w:hint="eastAsia"/>
                <w:color w:val="auto"/>
                <w:highlight w:val="none"/>
              </w:rPr>
              <w:t>不涉及新增</w:t>
            </w:r>
            <w:r>
              <w:rPr>
                <w:rFonts w:hint="eastAsia"/>
                <w:color w:val="auto"/>
                <w:highlight w:val="none"/>
                <w:lang w:eastAsia="zh-CN"/>
              </w:rPr>
              <w:t>厂区</w:t>
            </w:r>
            <w:r>
              <w:rPr>
                <w:rFonts w:hint="eastAsia"/>
                <w:color w:val="auto"/>
                <w:highlight w:val="none"/>
              </w:rPr>
              <w:t>外用地</w:t>
            </w:r>
            <w:r>
              <w:rPr>
                <w:rFonts w:hint="eastAsia"/>
                <w:color w:val="auto"/>
                <w:highlight w:val="none"/>
                <w:lang w:eastAsia="zh-CN"/>
              </w:rPr>
              <w:t>，不涉及生态环境保护目标</w:t>
            </w:r>
            <w:r>
              <w:rPr>
                <w:rFonts w:hint="eastAsia"/>
                <w:color w:val="auto"/>
                <w:highlight w:val="none"/>
              </w:rPr>
              <w:t>。</w:t>
            </w:r>
          </w:p>
          <w:p>
            <w:pPr>
              <w:pStyle w:val="27"/>
              <w:ind w:firstLine="482"/>
              <w:rPr>
                <w:rFonts w:hint="default"/>
                <w:color w:val="auto"/>
                <w:highlight w:val="none"/>
              </w:rPr>
            </w:pPr>
            <w:r>
              <w:rPr>
                <w:color w:val="auto"/>
                <w:highlight w:val="none"/>
              </w:rPr>
              <w:t>7电磁辐射环境质量现状</w:t>
            </w:r>
          </w:p>
          <w:p>
            <w:pPr>
              <w:pStyle w:val="12"/>
              <w:ind w:firstLine="480"/>
              <w:rPr>
                <w:color w:val="auto"/>
                <w:highlight w:val="none"/>
              </w:rPr>
            </w:pPr>
            <w:r>
              <w:rPr>
                <w:rFonts w:hint="eastAsia"/>
                <w:color w:val="auto"/>
                <w:highlight w:val="none"/>
              </w:rPr>
              <w:t>本项目不属于新建或改建、扩建广播电台、差转台、电视塔台、卫星地球上行站、雷达等电磁辐射类项目</w:t>
            </w:r>
            <w:r>
              <w:rPr>
                <w:rFonts w:hint="eastAsia"/>
                <w:color w:val="auto"/>
                <w:highlight w:val="none"/>
                <w:lang w:eastAsia="zh-CN"/>
              </w:rPr>
              <w:t>，</w:t>
            </w:r>
            <w:r>
              <w:rPr>
                <w:rFonts w:hint="eastAsia"/>
                <w:color w:val="auto"/>
                <w:highlight w:val="none"/>
              </w:rPr>
              <w:t>不涉及电磁辐射</w:t>
            </w:r>
            <w:r>
              <w:rPr>
                <w:rFonts w:hint="eastAsia"/>
                <w:color w:val="auto"/>
                <w:highlight w:val="none"/>
                <w:lang w:eastAsia="zh-CN"/>
              </w:rPr>
              <w:t>，</w:t>
            </w:r>
            <w:r>
              <w:rPr>
                <w:rFonts w:hint="eastAsia"/>
                <w:color w:val="auto"/>
                <w:highlight w:val="none"/>
              </w:rPr>
              <w:t>不需要开展电磁辐射现状监测与评价。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622" w:hRule="atLeast"/>
          <w:jc w:val="center"/>
        </w:trPr>
        <w:tc>
          <w:tcPr>
            <w:tcW w:w="790" w:type="dxa"/>
            <w:vAlign w:val="center"/>
          </w:tcPr>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环境</w:t>
            </w:r>
          </w:p>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保护</w:t>
            </w:r>
          </w:p>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目标</w:t>
            </w:r>
          </w:p>
        </w:tc>
        <w:tc>
          <w:tcPr>
            <w:tcW w:w="8190" w:type="dxa"/>
            <w:vAlign w:val="center"/>
          </w:tcPr>
          <w:p>
            <w:pPr>
              <w:pStyle w:val="27"/>
              <w:ind w:firstLine="482"/>
              <w:rPr>
                <w:rFonts w:hint="default"/>
                <w:color w:val="auto"/>
                <w:highlight w:val="none"/>
              </w:rPr>
            </w:pPr>
            <w:r>
              <w:rPr>
                <w:color w:val="auto"/>
                <w:highlight w:val="none"/>
              </w:rPr>
              <w:t>1大气环境</w:t>
            </w:r>
          </w:p>
          <w:p>
            <w:pPr>
              <w:pStyle w:val="12"/>
              <w:ind w:firstLine="480"/>
              <w:rPr>
                <w:color w:val="auto"/>
                <w:highlight w:val="none"/>
              </w:rPr>
            </w:pPr>
            <w:r>
              <w:rPr>
                <w:rFonts w:hint="eastAsia"/>
                <w:color w:val="auto"/>
                <w:highlight w:val="none"/>
              </w:rPr>
              <w:t>项目厂界外500米范围内大气环境保护目标见</w:t>
            </w:r>
            <w:r>
              <w:rPr>
                <w:rFonts w:hint="eastAsia"/>
                <w:color w:val="auto"/>
                <w:highlight w:val="none"/>
                <w:lang w:eastAsia="zh-CN"/>
              </w:rPr>
              <w:t>表</w:t>
            </w:r>
            <w:r>
              <w:rPr>
                <w:rFonts w:hint="eastAsia"/>
                <w:color w:val="auto"/>
                <w:highlight w:val="none"/>
                <w:lang w:val="en-US" w:eastAsia="zh-CN"/>
              </w:rPr>
              <w:t>55</w:t>
            </w:r>
            <w:r>
              <w:rPr>
                <w:rFonts w:hint="eastAsia"/>
                <w:color w:val="auto"/>
                <w:highlight w:val="none"/>
              </w:rPr>
              <w:t>。</w:t>
            </w:r>
          </w:p>
          <w:p>
            <w:pPr>
              <w:pStyle w:val="27"/>
              <w:ind w:firstLine="482"/>
              <w:rPr>
                <w:rFonts w:hint="default"/>
                <w:color w:val="auto"/>
                <w:highlight w:val="none"/>
              </w:rPr>
            </w:pPr>
            <w:r>
              <w:rPr>
                <w:color w:val="auto"/>
                <w:highlight w:val="none"/>
              </w:rPr>
              <w:t>2声环境</w:t>
            </w:r>
          </w:p>
          <w:p>
            <w:pPr>
              <w:pStyle w:val="12"/>
              <w:ind w:firstLine="480"/>
              <w:rPr>
                <w:color w:val="auto"/>
                <w:highlight w:val="none"/>
              </w:rPr>
            </w:pPr>
            <w:r>
              <w:rPr>
                <w:rFonts w:hint="eastAsia"/>
                <w:color w:val="auto"/>
                <w:highlight w:val="none"/>
              </w:rPr>
              <w:t>项目厂界外50米范围内声环境保护目标见表</w:t>
            </w:r>
            <w:r>
              <w:rPr>
                <w:rFonts w:hint="eastAsia"/>
                <w:color w:val="auto"/>
                <w:highlight w:val="none"/>
                <w:lang w:val="en-US" w:eastAsia="zh-CN"/>
              </w:rPr>
              <w:t>55</w:t>
            </w:r>
            <w:r>
              <w:rPr>
                <w:rFonts w:hint="eastAsia"/>
                <w:color w:val="auto"/>
                <w:highlight w:val="none"/>
              </w:rPr>
              <w:t>。</w:t>
            </w:r>
          </w:p>
          <w:p>
            <w:pPr>
              <w:pStyle w:val="27"/>
              <w:ind w:firstLine="482"/>
              <w:rPr>
                <w:rFonts w:hint="default"/>
                <w:color w:val="auto"/>
                <w:highlight w:val="none"/>
              </w:rPr>
            </w:pPr>
            <w:r>
              <w:rPr>
                <w:color w:val="auto"/>
                <w:highlight w:val="none"/>
              </w:rPr>
              <w:t>3地下水环境</w:t>
            </w:r>
          </w:p>
          <w:p>
            <w:pPr>
              <w:pStyle w:val="12"/>
              <w:ind w:firstLine="480"/>
              <w:rPr>
                <w:color w:val="auto"/>
                <w:highlight w:val="none"/>
              </w:rPr>
            </w:pPr>
            <w:r>
              <w:rPr>
                <w:rFonts w:hint="eastAsia"/>
                <w:color w:val="auto"/>
                <w:highlight w:val="none"/>
              </w:rPr>
              <w:t>厂界外500米范围内地下水环境保护目标见表</w:t>
            </w:r>
            <w:r>
              <w:rPr>
                <w:rFonts w:hint="eastAsia"/>
                <w:color w:val="auto"/>
                <w:highlight w:val="none"/>
                <w:lang w:val="en-US" w:eastAsia="zh-CN"/>
              </w:rPr>
              <w:t>55</w:t>
            </w:r>
            <w:r>
              <w:rPr>
                <w:rFonts w:hint="eastAsia"/>
                <w:color w:val="auto"/>
                <w:highlight w:val="none"/>
              </w:rPr>
              <w:t>。</w:t>
            </w:r>
          </w:p>
          <w:p>
            <w:pPr>
              <w:pStyle w:val="27"/>
              <w:ind w:firstLine="482"/>
              <w:rPr>
                <w:rFonts w:hint="default"/>
                <w:color w:val="auto"/>
                <w:highlight w:val="none"/>
              </w:rPr>
            </w:pPr>
            <w:r>
              <w:rPr>
                <w:color w:val="auto"/>
                <w:highlight w:val="none"/>
              </w:rPr>
              <w:t>4生态环境</w:t>
            </w:r>
          </w:p>
          <w:p>
            <w:pPr>
              <w:pStyle w:val="12"/>
              <w:ind w:firstLine="480"/>
              <w:rPr>
                <w:color w:val="auto"/>
                <w:highlight w:val="none"/>
              </w:rPr>
            </w:pPr>
            <w:r>
              <w:rPr>
                <w:rFonts w:hint="eastAsia"/>
                <w:color w:val="auto"/>
                <w:highlight w:val="none"/>
                <w:lang w:eastAsia="zh-CN"/>
              </w:rPr>
              <w:t>项目利用二道沟公司现有库房进行改造，不新增占地，本</w:t>
            </w:r>
            <w:r>
              <w:rPr>
                <w:rFonts w:hint="eastAsia"/>
                <w:color w:val="auto"/>
                <w:highlight w:val="none"/>
              </w:rPr>
              <w:t>项目用地范围内不含有生态环境保护目标。</w:t>
            </w:r>
          </w:p>
          <w:p>
            <w:pPr>
              <w:pStyle w:val="27"/>
              <w:ind w:firstLine="482"/>
              <w:rPr>
                <w:rFonts w:hint="default"/>
                <w:color w:val="auto"/>
                <w:highlight w:val="none"/>
              </w:rPr>
            </w:pPr>
            <w:r>
              <w:rPr>
                <w:color w:val="auto"/>
                <w:highlight w:val="none"/>
              </w:rPr>
              <w:t>5土壤环境</w:t>
            </w:r>
          </w:p>
          <w:p>
            <w:pPr>
              <w:pStyle w:val="12"/>
              <w:ind w:firstLine="480"/>
              <w:rPr>
                <w:rFonts w:hint="eastAsia"/>
                <w:color w:val="auto"/>
                <w:highlight w:val="none"/>
              </w:rPr>
            </w:pPr>
            <w:r>
              <w:rPr>
                <w:rFonts w:hint="eastAsia"/>
                <w:color w:val="auto"/>
                <w:highlight w:val="none"/>
              </w:rPr>
              <w:t>项目</w:t>
            </w:r>
            <w:r>
              <w:rPr>
                <w:rFonts w:hint="eastAsia"/>
                <w:color w:val="auto"/>
                <w:highlight w:val="none"/>
                <w:lang w:eastAsia="zh-CN"/>
              </w:rPr>
              <w:t>所在区土壤环境执行《土壤环境质量</w:t>
            </w:r>
            <w:r>
              <w:rPr>
                <w:rFonts w:hint="eastAsia"/>
                <w:color w:val="auto"/>
                <w:highlight w:val="none"/>
                <w:lang w:val="en-US" w:eastAsia="zh-CN"/>
              </w:rPr>
              <w:t xml:space="preserve"> 建设用地土壤污染风险管控标准（试行）</w:t>
            </w:r>
            <w:r>
              <w:rPr>
                <w:rFonts w:hint="eastAsia"/>
                <w:color w:val="auto"/>
                <w:highlight w:val="none"/>
                <w:lang w:eastAsia="zh-CN"/>
              </w:rPr>
              <w:t>》（</w:t>
            </w:r>
            <w:r>
              <w:rPr>
                <w:rFonts w:hint="eastAsia"/>
                <w:color w:val="auto"/>
                <w:highlight w:val="none"/>
                <w:lang w:val="en-US" w:eastAsia="zh-CN"/>
              </w:rPr>
              <w:t>GB 3096-2018</w:t>
            </w:r>
            <w:r>
              <w:rPr>
                <w:rFonts w:hint="eastAsia"/>
                <w:color w:val="auto"/>
                <w:highlight w:val="none"/>
                <w:lang w:eastAsia="zh-CN"/>
              </w:rPr>
              <w:t>）中第二类用地筛选值标准</w:t>
            </w:r>
            <w:r>
              <w:rPr>
                <w:rFonts w:hint="eastAsia"/>
                <w:color w:val="auto"/>
                <w:highlight w:val="none"/>
              </w:rPr>
              <w:t>。</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周围环境保护目标</w:t>
            </w:r>
          </w:p>
          <w:tbl>
            <w:tblPr>
              <w:tblStyle w:val="15"/>
              <w:tblW w:w="796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3"/>
              <w:gridCol w:w="800"/>
              <w:gridCol w:w="791"/>
              <w:gridCol w:w="770"/>
              <w:gridCol w:w="657"/>
              <w:gridCol w:w="730"/>
              <w:gridCol w:w="1105"/>
              <w:gridCol w:w="666"/>
              <w:gridCol w:w="868"/>
              <w:gridCol w:w="9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3" w:type="dxa"/>
                  <w:vMerge w:val="restart"/>
                  <w:tcBorders>
                    <w:tl2br w:val="nil"/>
                    <w:tr2bl w:val="nil"/>
                  </w:tcBorders>
                  <w:vAlign w:val="center"/>
                </w:tcPr>
                <w:p>
                  <w:pPr>
                    <w:pStyle w:val="25"/>
                    <w:rPr>
                      <w:rFonts w:hint="default"/>
                      <w:color w:val="auto"/>
                      <w:highlight w:val="none"/>
                    </w:rPr>
                  </w:pPr>
                  <w:r>
                    <w:rPr>
                      <w:rFonts w:hint="default"/>
                      <w:color w:val="auto"/>
                      <w:highlight w:val="none"/>
                    </w:rPr>
                    <w:t>环境要素</w:t>
                  </w:r>
                </w:p>
              </w:tc>
              <w:tc>
                <w:tcPr>
                  <w:tcW w:w="800" w:type="dxa"/>
                  <w:vMerge w:val="restart"/>
                  <w:tcBorders>
                    <w:tl2br w:val="nil"/>
                    <w:tr2bl w:val="nil"/>
                  </w:tcBorders>
                  <w:vAlign w:val="center"/>
                </w:tcPr>
                <w:p>
                  <w:pPr>
                    <w:pStyle w:val="25"/>
                    <w:rPr>
                      <w:rFonts w:hint="default"/>
                      <w:color w:val="auto"/>
                      <w:highlight w:val="none"/>
                    </w:rPr>
                  </w:pPr>
                  <w:r>
                    <w:rPr>
                      <w:color w:val="auto"/>
                      <w:highlight w:val="none"/>
                    </w:rPr>
                    <w:t>名称</w:t>
                  </w:r>
                </w:p>
              </w:tc>
              <w:tc>
                <w:tcPr>
                  <w:tcW w:w="1561" w:type="dxa"/>
                  <w:gridSpan w:val="2"/>
                  <w:tcBorders>
                    <w:tl2br w:val="nil"/>
                    <w:tr2bl w:val="nil"/>
                  </w:tcBorders>
                  <w:vAlign w:val="center"/>
                </w:tcPr>
                <w:p>
                  <w:pPr>
                    <w:pStyle w:val="25"/>
                    <w:rPr>
                      <w:rFonts w:hint="default"/>
                      <w:color w:val="auto"/>
                      <w:highlight w:val="none"/>
                    </w:rPr>
                  </w:pPr>
                  <w:r>
                    <w:rPr>
                      <w:rFonts w:hint="default"/>
                      <w:color w:val="auto"/>
                      <w:highlight w:val="none"/>
                    </w:rPr>
                    <w:t>坐标/m</w:t>
                  </w:r>
                </w:p>
              </w:tc>
              <w:tc>
                <w:tcPr>
                  <w:tcW w:w="657" w:type="dxa"/>
                  <w:vMerge w:val="restart"/>
                  <w:tcBorders>
                    <w:tl2br w:val="nil"/>
                    <w:tr2bl w:val="nil"/>
                  </w:tcBorders>
                  <w:vAlign w:val="center"/>
                </w:tcPr>
                <w:p>
                  <w:pPr>
                    <w:pStyle w:val="25"/>
                    <w:rPr>
                      <w:rFonts w:hint="default"/>
                      <w:color w:val="auto"/>
                      <w:highlight w:val="none"/>
                    </w:rPr>
                  </w:pPr>
                  <w:r>
                    <w:rPr>
                      <w:color w:val="auto"/>
                      <w:highlight w:val="none"/>
                    </w:rPr>
                    <w:t>保护对象</w:t>
                  </w:r>
                </w:p>
              </w:tc>
              <w:tc>
                <w:tcPr>
                  <w:tcW w:w="730" w:type="dxa"/>
                  <w:vMerge w:val="restart"/>
                  <w:tcBorders>
                    <w:tl2br w:val="nil"/>
                    <w:tr2bl w:val="nil"/>
                  </w:tcBorders>
                  <w:vAlign w:val="center"/>
                </w:tcPr>
                <w:p>
                  <w:pPr>
                    <w:pStyle w:val="25"/>
                    <w:rPr>
                      <w:rFonts w:hint="default"/>
                      <w:color w:val="auto"/>
                      <w:highlight w:val="none"/>
                    </w:rPr>
                  </w:pPr>
                  <w:r>
                    <w:rPr>
                      <w:color w:val="auto"/>
                      <w:highlight w:val="none"/>
                    </w:rPr>
                    <w:t>保护内容（人）</w:t>
                  </w:r>
                </w:p>
              </w:tc>
              <w:tc>
                <w:tcPr>
                  <w:tcW w:w="1105" w:type="dxa"/>
                  <w:vMerge w:val="restart"/>
                  <w:tcBorders>
                    <w:tl2br w:val="nil"/>
                    <w:tr2bl w:val="nil"/>
                  </w:tcBorders>
                  <w:vAlign w:val="center"/>
                </w:tcPr>
                <w:p>
                  <w:pPr>
                    <w:pStyle w:val="25"/>
                    <w:rPr>
                      <w:rFonts w:hint="default"/>
                      <w:color w:val="auto"/>
                      <w:highlight w:val="none"/>
                    </w:rPr>
                  </w:pPr>
                  <w:r>
                    <w:rPr>
                      <w:color w:val="auto"/>
                      <w:highlight w:val="none"/>
                    </w:rPr>
                    <w:t>环境功能区</w:t>
                  </w:r>
                </w:p>
              </w:tc>
              <w:tc>
                <w:tcPr>
                  <w:tcW w:w="666" w:type="dxa"/>
                  <w:vMerge w:val="restart"/>
                  <w:tcBorders>
                    <w:tl2br w:val="nil"/>
                    <w:tr2bl w:val="nil"/>
                  </w:tcBorders>
                  <w:vAlign w:val="center"/>
                </w:tcPr>
                <w:p>
                  <w:pPr>
                    <w:pStyle w:val="25"/>
                    <w:rPr>
                      <w:rFonts w:hint="default"/>
                      <w:color w:val="auto"/>
                      <w:highlight w:val="none"/>
                    </w:rPr>
                  </w:pPr>
                  <w:r>
                    <w:rPr>
                      <w:rFonts w:hint="default"/>
                      <w:color w:val="auto"/>
                      <w:highlight w:val="none"/>
                    </w:rPr>
                    <w:t>相对</w:t>
                  </w:r>
                  <w:r>
                    <w:rPr>
                      <w:rFonts w:hint="eastAsia"/>
                      <w:color w:val="auto"/>
                      <w:highlight w:val="none"/>
                      <w:lang w:eastAsia="zh-CN"/>
                    </w:rPr>
                    <w:t>项目</w:t>
                  </w:r>
                  <w:r>
                    <w:rPr>
                      <w:rFonts w:hint="default"/>
                      <w:color w:val="auto"/>
                      <w:highlight w:val="none"/>
                    </w:rPr>
                    <w:t>方位</w:t>
                  </w:r>
                </w:p>
              </w:tc>
              <w:tc>
                <w:tcPr>
                  <w:tcW w:w="868" w:type="dxa"/>
                  <w:vMerge w:val="restart"/>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相对矿区主要生产区边界最近距离</w:t>
                  </w:r>
                  <w:r>
                    <w:rPr>
                      <w:color w:val="auto"/>
                      <w:highlight w:val="none"/>
                    </w:rPr>
                    <w:t>/</w:t>
                  </w:r>
                  <w:r>
                    <w:rPr>
                      <w:rFonts w:hint="default"/>
                      <w:color w:val="auto"/>
                      <w:highlight w:val="none"/>
                    </w:rPr>
                    <w:t>m</w:t>
                  </w:r>
                </w:p>
              </w:tc>
              <w:tc>
                <w:tcPr>
                  <w:tcW w:w="938" w:type="dxa"/>
                  <w:vMerge w:val="restart"/>
                  <w:tcBorders>
                    <w:tl2br w:val="nil"/>
                    <w:tr2bl w:val="nil"/>
                  </w:tcBorders>
                  <w:vAlign w:val="center"/>
                </w:tcPr>
                <w:p>
                  <w:pPr>
                    <w:pStyle w:val="25"/>
                    <w:rPr>
                      <w:rFonts w:hint="default"/>
                      <w:color w:val="auto"/>
                      <w:highlight w:val="none"/>
                    </w:rPr>
                  </w:pPr>
                  <w:r>
                    <w:rPr>
                      <w:color w:val="auto"/>
                      <w:highlight w:val="none"/>
                    </w:rPr>
                    <w:t>相对项目</w:t>
                  </w:r>
                  <w:r>
                    <w:rPr>
                      <w:rFonts w:hint="eastAsia"/>
                      <w:color w:val="auto"/>
                      <w:highlight w:val="none"/>
                      <w:lang w:eastAsia="zh-CN"/>
                    </w:rPr>
                    <w:t>位置</w:t>
                  </w:r>
                  <w:r>
                    <w:rPr>
                      <w:color w:val="auto"/>
                      <w:highlight w:val="none"/>
                    </w:rPr>
                    <w:t>最近</w:t>
                  </w:r>
                  <w:r>
                    <w:rPr>
                      <w:rFonts w:hint="default"/>
                      <w:color w:val="auto"/>
                      <w:highlight w:val="none"/>
                    </w:rPr>
                    <w:t>距离</w:t>
                  </w:r>
                  <w:r>
                    <w:rPr>
                      <w:color w:val="auto"/>
                      <w:highlight w:val="none"/>
                    </w:rPr>
                    <w:t>/</w:t>
                  </w:r>
                  <w:r>
                    <w:rPr>
                      <w:rFonts w:hint="default"/>
                      <w:color w:val="auto"/>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3" w:type="dxa"/>
                  <w:vMerge w:val="continue"/>
                  <w:tcBorders>
                    <w:tl2br w:val="nil"/>
                    <w:tr2bl w:val="nil"/>
                  </w:tcBorders>
                  <w:vAlign w:val="center"/>
                </w:tcPr>
                <w:p>
                  <w:pPr>
                    <w:pStyle w:val="22"/>
                    <w:rPr>
                      <w:color w:val="auto"/>
                      <w:highlight w:val="none"/>
                    </w:rPr>
                  </w:pPr>
                </w:p>
              </w:tc>
              <w:tc>
                <w:tcPr>
                  <w:tcW w:w="800" w:type="dxa"/>
                  <w:vMerge w:val="continue"/>
                  <w:tcBorders>
                    <w:tl2br w:val="nil"/>
                    <w:tr2bl w:val="nil"/>
                  </w:tcBorders>
                  <w:vAlign w:val="center"/>
                </w:tcPr>
                <w:p>
                  <w:pPr>
                    <w:pStyle w:val="22"/>
                    <w:rPr>
                      <w:color w:val="auto"/>
                      <w:highlight w:val="none"/>
                    </w:rPr>
                  </w:pPr>
                </w:p>
              </w:tc>
              <w:tc>
                <w:tcPr>
                  <w:tcW w:w="791" w:type="dxa"/>
                  <w:tcBorders>
                    <w:tl2br w:val="nil"/>
                    <w:tr2bl w:val="nil"/>
                  </w:tcBorders>
                  <w:vAlign w:val="center"/>
                </w:tcPr>
                <w:p>
                  <w:pPr>
                    <w:pStyle w:val="25"/>
                    <w:rPr>
                      <w:rFonts w:hint="default"/>
                      <w:color w:val="auto"/>
                      <w:highlight w:val="none"/>
                    </w:rPr>
                  </w:pPr>
                  <w:r>
                    <w:rPr>
                      <w:rFonts w:hint="default"/>
                      <w:color w:val="auto"/>
                      <w:highlight w:val="none"/>
                    </w:rPr>
                    <w:t>X</w:t>
                  </w:r>
                </w:p>
              </w:tc>
              <w:tc>
                <w:tcPr>
                  <w:tcW w:w="770" w:type="dxa"/>
                  <w:tcBorders>
                    <w:tl2br w:val="nil"/>
                    <w:tr2bl w:val="nil"/>
                  </w:tcBorders>
                  <w:vAlign w:val="center"/>
                </w:tcPr>
                <w:p>
                  <w:pPr>
                    <w:pStyle w:val="25"/>
                    <w:rPr>
                      <w:rFonts w:hint="default"/>
                      <w:color w:val="auto"/>
                      <w:highlight w:val="none"/>
                    </w:rPr>
                  </w:pPr>
                  <w:r>
                    <w:rPr>
                      <w:rFonts w:hint="default"/>
                      <w:color w:val="auto"/>
                      <w:highlight w:val="none"/>
                    </w:rPr>
                    <w:t>Y</w:t>
                  </w:r>
                </w:p>
              </w:tc>
              <w:tc>
                <w:tcPr>
                  <w:tcW w:w="657" w:type="dxa"/>
                  <w:vMerge w:val="continue"/>
                  <w:tcBorders>
                    <w:tl2br w:val="nil"/>
                    <w:tr2bl w:val="nil"/>
                  </w:tcBorders>
                  <w:vAlign w:val="center"/>
                </w:tcPr>
                <w:p>
                  <w:pPr>
                    <w:pStyle w:val="22"/>
                    <w:rPr>
                      <w:color w:val="auto"/>
                      <w:highlight w:val="none"/>
                    </w:rPr>
                  </w:pPr>
                </w:p>
              </w:tc>
              <w:tc>
                <w:tcPr>
                  <w:tcW w:w="730" w:type="dxa"/>
                  <w:vMerge w:val="continue"/>
                  <w:tcBorders>
                    <w:tl2br w:val="nil"/>
                    <w:tr2bl w:val="nil"/>
                  </w:tcBorders>
                  <w:vAlign w:val="center"/>
                </w:tcPr>
                <w:p>
                  <w:pPr>
                    <w:pStyle w:val="22"/>
                    <w:rPr>
                      <w:color w:val="auto"/>
                      <w:highlight w:val="none"/>
                    </w:rPr>
                  </w:pPr>
                </w:p>
              </w:tc>
              <w:tc>
                <w:tcPr>
                  <w:tcW w:w="1105" w:type="dxa"/>
                  <w:vMerge w:val="continue"/>
                  <w:tcBorders>
                    <w:tl2br w:val="nil"/>
                    <w:tr2bl w:val="nil"/>
                  </w:tcBorders>
                  <w:vAlign w:val="center"/>
                </w:tcPr>
                <w:p>
                  <w:pPr>
                    <w:pStyle w:val="22"/>
                    <w:rPr>
                      <w:color w:val="auto"/>
                      <w:highlight w:val="none"/>
                    </w:rPr>
                  </w:pPr>
                </w:p>
              </w:tc>
              <w:tc>
                <w:tcPr>
                  <w:tcW w:w="666" w:type="dxa"/>
                  <w:vMerge w:val="continue"/>
                  <w:tcBorders>
                    <w:tl2br w:val="nil"/>
                    <w:tr2bl w:val="nil"/>
                  </w:tcBorders>
                  <w:vAlign w:val="center"/>
                </w:tcPr>
                <w:p>
                  <w:pPr>
                    <w:pStyle w:val="22"/>
                    <w:rPr>
                      <w:color w:val="auto"/>
                      <w:highlight w:val="none"/>
                    </w:rPr>
                  </w:pPr>
                </w:p>
              </w:tc>
              <w:tc>
                <w:tcPr>
                  <w:tcW w:w="868" w:type="dxa"/>
                  <w:vMerge w:val="continue"/>
                  <w:tcBorders>
                    <w:tl2br w:val="nil"/>
                    <w:tr2bl w:val="nil"/>
                  </w:tcBorders>
                  <w:vAlign w:val="center"/>
                </w:tcPr>
                <w:p>
                  <w:pPr>
                    <w:pStyle w:val="22"/>
                    <w:rPr>
                      <w:color w:val="auto"/>
                      <w:highlight w:val="none"/>
                    </w:rPr>
                  </w:pPr>
                </w:p>
              </w:tc>
              <w:tc>
                <w:tcPr>
                  <w:tcW w:w="938" w:type="dxa"/>
                  <w:vMerge w:val="continue"/>
                  <w:tcBorders>
                    <w:tl2br w:val="nil"/>
                    <w:tr2bl w:val="nil"/>
                  </w:tcBorders>
                  <w:vAlign w:val="center"/>
                </w:tcPr>
                <w:p>
                  <w:pPr>
                    <w:pStyle w:val="22"/>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643" w:type="dxa"/>
                  <w:vMerge w:val="restart"/>
                  <w:tcBorders>
                    <w:tl2br w:val="nil"/>
                    <w:tr2bl w:val="nil"/>
                  </w:tcBorders>
                  <w:vAlign w:val="center"/>
                </w:tcPr>
                <w:p>
                  <w:pPr>
                    <w:pStyle w:val="22"/>
                    <w:rPr>
                      <w:color w:val="auto"/>
                      <w:highlight w:val="none"/>
                    </w:rPr>
                  </w:pPr>
                  <w:r>
                    <w:rPr>
                      <w:color w:val="auto"/>
                      <w:highlight w:val="none"/>
                    </w:rPr>
                    <w:t>大气</w:t>
                  </w:r>
                </w:p>
                <w:p>
                  <w:pPr>
                    <w:pStyle w:val="22"/>
                    <w:rPr>
                      <w:color w:val="auto"/>
                      <w:highlight w:val="none"/>
                    </w:rPr>
                  </w:pPr>
                  <w:r>
                    <w:rPr>
                      <w:color w:val="auto"/>
                      <w:highlight w:val="none"/>
                    </w:rPr>
                    <w:t>环境</w:t>
                  </w:r>
                </w:p>
              </w:tc>
              <w:tc>
                <w:tcPr>
                  <w:tcW w:w="800"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楼上村</w:t>
                  </w:r>
                </w:p>
              </w:tc>
              <w:tc>
                <w:tcPr>
                  <w:tcW w:w="791"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528545.47</w:t>
                  </w:r>
                </w:p>
              </w:tc>
              <w:tc>
                <w:tcPr>
                  <w:tcW w:w="770"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4645405.72</w:t>
                  </w:r>
                </w:p>
              </w:tc>
              <w:tc>
                <w:tcPr>
                  <w:tcW w:w="657"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居民</w:t>
                  </w:r>
                </w:p>
              </w:tc>
              <w:tc>
                <w:tcPr>
                  <w:tcW w:w="730"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112</w:t>
                  </w:r>
                </w:p>
              </w:tc>
              <w:tc>
                <w:tcPr>
                  <w:tcW w:w="1105" w:type="dxa"/>
                  <w:vMerge w:val="restart"/>
                  <w:tcBorders>
                    <w:tl2br w:val="nil"/>
                    <w:tr2bl w:val="nil"/>
                  </w:tcBorders>
                  <w:shd w:val="clear" w:color="auto" w:fill="auto"/>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color w:val="auto"/>
                      <w:highlight w:val="none"/>
                    </w:rPr>
                    <w:t>《环境空气质量标准》（GB3095-2012）二级标准</w:t>
                  </w:r>
                </w:p>
              </w:tc>
              <w:tc>
                <w:tcPr>
                  <w:tcW w:w="666"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南</w:t>
                  </w:r>
                </w:p>
              </w:tc>
              <w:tc>
                <w:tcPr>
                  <w:tcW w:w="868" w:type="dxa"/>
                  <w:tcBorders>
                    <w:tl2br w:val="nil"/>
                    <w:tr2bl w:val="nil"/>
                  </w:tcBorders>
                  <w:shd w:val="clear" w:color="auto" w:fill="auto"/>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15.8</w:t>
                  </w:r>
                </w:p>
              </w:tc>
              <w:tc>
                <w:tcPr>
                  <w:tcW w:w="938"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227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643" w:type="dxa"/>
                  <w:vMerge w:val="continue"/>
                  <w:tcBorders>
                    <w:tl2br w:val="nil"/>
                    <w:tr2bl w:val="nil"/>
                  </w:tcBorders>
                  <w:vAlign w:val="center"/>
                </w:tcPr>
                <w:p>
                  <w:pPr>
                    <w:pStyle w:val="22"/>
                    <w:rPr>
                      <w:color w:val="auto"/>
                      <w:highlight w:val="none"/>
                    </w:rPr>
                  </w:pPr>
                </w:p>
              </w:tc>
              <w:tc>
                <w:tcPr>
                  <w:tcW w:w="800" w:type="dxa"/>
                  <w:tcBorders>
                    <w:tl2br w:val="nil"/>
                    <w:tr2bl w:val="nil"/>
                  </w:tcBorders>
                  <w:shd w:val="clear" w:color="auto" w:fill="auto"/>
                  <w:vAlign w:val="center"/>
                </w:tcPr>
                <w:p>
                  <w:pPr>
                    <w:pStyle w:val="22"/>
                    <w:rPr>
                      <w:rFonts w:hint="eastAsia"/>
                      <w:color w:val="auto"/>
                      <w:highlight w:val="none"/>
                      <w:lang w:eastAsia="zh-CN"/>
                    </w:rPr>
                  </w:pPr>
                  <w:r>
                    <w:rPr>
                      <w:rFonts w:hint="eastAsia"/>
                      <w:color w:val="auto"/>
                      <w:highlight w:val="none"/>
                      <w:lang w:eastAsia="zh-CN"/>
                    </w:rPr>
                    <w:t>公司家属院</w:t>
                  </w:r>
                </w:p>
              </w:tc>
              <w:tc>
                <w:tcPr>
                  <w:tcW w:w="791" w:type="dxa"/>
                  <w:tcBorders>
                    <w:tl2br w:val="nil"/>
                    <w:tr2bl w:val="nil"/>
                  </w:tcBorders>
                  <w:shd w:val="clear" w:color="auto" w:fill="auto"/>
                  <w:vAlign w:val="center"/>
                </w:tcPr>
                <w:p>
                  <w:pPr>
                    <w:pStyle w:val="22"/>
                    <w:rPr>
                      <w:rFonts w:hint="eastAsia"/>
                      <w:color w:val="auto"/>
                      <w:highlight w:val="none"/>
                    </w:rPr>
                  </w:pPr>
                  <w:r>
                    <w:rPr>
                      <w:rFonts w:hint="eastAsia"/>
                      <w:color w:val="auto"/>
                      <w:highlight w:val="none"/>
                    </w:rPr>
                    <w:t>529020.86</w:t>
                  </w:r>
                </w:p>
              </w:tc>
              <w:tc>
                <w:tcPr>
                  <w:tcW w:w="770" w:type="dxa"/>
                  <w:tcBorders>
                    <w:tl2br w:val="nil"/>
                    <w:tr2bl w:val="nil"/>
                  </w:tcBorders>
                  <w:shd w:val="clear" w:color="auto" w:fill="auto"/>
                  <w:vAlign w:val="center"/>
                </w:tcPr>
                <w:p>
                  <w:pPr>
                    <w:pStyle w:val="22"/>
                    <w:rPr>
                      <w:rFonts w:hint="eastAsia"/>
                      <w:color w:val="auto"/>
                      <w:highlight w:val="none"/>
                    </w:rPr>
                  </w:pPr>
                  <w:r>
                    <w:rPr>
                      <w:rFonts w:hint="eastAsia"/>
                      <w:color w:val="auto"/>
                      <w:highlight w:val="none"/>
                    </w:rPr>
                    <w:t>4645497.17</w:t>
                  </w:r>
                </w:p>
              </w:tc>
              <w:tc>
                <w:tcPr>
                  <w:tcW w:w="657" w:type="dxa"/>
                  <w:tcBorders>
                    <w:tl2br w:val="nil"/>
                    <w:tr2bl w:val="nil"/>
                  </w:tcBorders>
                  <w:shd w:val="clear" w:color="auto" w:fill="auto"/>
                  <w:vAlign w:val="center"/>
                </w:tcPr>
                <w:p>
                  <w:pPr>
                    <w:pStyle w:val="22"/>
                    <w:rPr>
                      <w:rFonts w:hint="eastAsia" w:eastAsiaTheme="minorEastAsia"/>
                      <w:color w:val="auto"/>
                      <w:highlight w:val="none"/>
                      <w:lang w:eastAsia="zh-CN"/>
                    </w:rPr>
                  </w:pPr>
                  <w:r>
                    <w:rPr>
                      <w:rFonts w:hint="eastAsia"/>
                      <w:color w:val="auto"/>
                      <w:highlight w:val="none"/>
                      <w:lang w:eastAsia="zh-CN"/>
                    </w:rPr>
                    <w:t>公司员工</w:t>
                  </w:r>
                </w:p>
              </w:tc>
              <w:tc>
                <w:tcPr>
                  <w:tcW w:w="730" w:type="dxa"/>
                  <w:tcBorders>
                    <w:tl2br w:val="nil"/>
                    <w:tr2bl w:val="nil"/>
                  </w:tcBorders>
                  <w:shd w:val="clear" w:color="auto" w:fill="auto"/>
                  <w:vAlign w:val="center"/>
                </w:tcPr>
                <w:p>
                  <w:pPr>
                    <w:pStyle w:val="22"/>
                    <w:rPr>
                      <w:rFonts w:hint="default"/>
                      <w:color w:val="auto"/>
                      <w:highlight w:val="none"/>
                      <w:lang w:val="en-US" w:eastAsia="zh-CN"/>
                    </w:rPr>
                  </w:pPr>
                  <w:r>
                    <w:rPr>
                      <w:rFonts w:hint="eastAsia"/>
                      <w:color w:val="auto"/>
                      <w:highlight w:val="none"/>
                      <w:lang w:val="en-US" w:eastAsia="zh-CN"/>
                    </w:rPr>
                    <w:t>380</w:t>
                  </w:r>
                </w:p>
              </w:tc>
              <w:tc>
                <w:tcPr>
                  <w:tcW w:w="1105" w:type="dxa"/>
                  <w:vMerge w:val="continue"/>
                  <w:tcBorders>
                    <w:tl2br w:val="nil"/>
                    <w:tr2bl w:val="nil"/>
                  </w:tcBorders>
                  <w:shd w:val="clear" w:color="auto" w:fill="auto"/>
                  <w:vAlign w:val="center"/>
                </w:tcPr>
                <w:p>
                  <w:pPr>
                    <w:pStyle w:val="22"/>
                    <w:rPr>
                      <w:color w:val="auto"/>
                      <w:highlight w:val="none"/>
                    </w:rPr>
                  </w:pPr>
                </w:p>
              </w:tc>
              <w:tc>
                <w:tcPr>
                  <w:tcW w:w="666" w:type="dxa"/>
                  <w:tcBorders>
                    <w:tl2br w:val="nil"/>
                    <w:tr2bl w:val="nil"/>
                  </w:tcBorders>
                  <w:shd w:val="clear" w:color="auto" w:fill="auto"/>
                  <w:vAlign w:val="center"/>
                </w:tcPr>
                <w:p>
                  <w:pPr>
                    <w:pStyle w:val="22"/>
                    <w:rPr>
                      <w:rFonts w:hint="eastAsia"/>
                      <w:color w:val="auto"/>
                      <w:highlight w:val="none"/>
                      <w:lang w:eastAsia="zh-CN"/>
                    </w:rPr>
                  </w:pPr>
                  <w:r>
                    <w:rPr>
                      <w:rFonts w:hint="eastAsia"/>
                      <w:color w:val="auto"/>
                      <w:highlight w:val="none"/>
                      <w:lang w:eastAsia="zh-CN"/>
                    </w:rPr>
                    <w:t>东南</w:t>
                  </w:r>
                </w:p>
              </w:tc>
              <w:tc>
                <w:tcPr>
                  <w:tcW w:w="868" w:type="dxa"/>
                  <w:tcBorders>
                    <w:tl2br w:val="nil"/>
                    <w:tr2bl w:val="nil"/>
                  </w:tcBorders>
                  <w:shd w:val="clear" w:color="auto" w:fill="auto"/>
                  <w:vAlign w:val="center"/>
                </w:tcPr>
                <w:p>
                  <w:pPr>
                    <w:pStyle w:val="22"/>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87</w:t>
                  </w:r>
                </w:p>
              </w:tc>
              <w:tc>
                <w:tcPr>
                  <w:tcW w:w="938" w:type="dxa"/>
                  <w:tcBorders>
                    <w:tl2br w:val="nil"/>
                    <w:tr2bl w:val="nil"/>
                  </w:tcBorders>
                  <w:shd w:val="clear" w:color="auto" w:fill="auto"/>
                  <w:vAlign w:val="center"/>
                </w:tcPr>
                <w:p>
                  <w:pPr>
                    <w:pStyle w:val="22"/>
                    <w:rPr>
                      <w:rFonts w:hint="default"/>
                      <w:color w:val="auto"/>
                      <w:highlight w:val="none"/>
                      <w:lang w:val="en-US" w:eastAsia="zh-CN"/>
                    </w:rPr>
                  </w:pPr>
                  <w:r>
                    <w:rPr>
                      <w:rFonts w:hint="eastAsia"/>
                      <w:color w:val="auto"/>
                      <w:highlight w:val="none"/>
                      <w:lang w:val="en-US" w:eastAsia="zh-CN"/>
                    </w:rPr>
                    <w:t>593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643" w:type="dxa"/>
                  <w:vMerge w:val="restart"/>
                  <w:tcBorders>
                    <w:tl2br w:val="nil"/>
                    <w:tr2bl w:val="nil"/>
                  </w:tcBorders>
                  <w:vAlign w:val="center"/>
                </w:tcPr>
                <w:p>
                  <w:pPr>
                    <w:pStyle w:val="22"/>
                    <w:rPr>
                      <w:color w:val="auto"/>
                      <w:highlight w:val="none"/>
                    </w:rPr>
                  </w:pPr>
                  <w:r>
                    <w:rPr>
                      <w:rFonts w:hint="eastAsia"/>
                      <w:color w:val="auto"/>
                      <w:highlight w:val="none"/>
                    </w:rPr>
                    <w:t>地下水</w:t>
                  </w:r>
                </w:p>
              </w:tc>
              <w:tc>
                <w:tcPr>
                  <w:tcW w:w="800" w:type="dxa"/>
                  <w:tcBorders>
                    <w:tl2br w:val="nil"/>
                    <w:tr2bl w:val="nil"/>
                  </w:tcBorders>
                  <w:vAlign w:val="center"/>
                </w:tcPr>
                <w:p>
                  <w:pPr>
                    <w:pStyle w:val="22"/>
                    <w:rPr>
                      <w:color w:val="auto"/>
                      <w:highlight w:val="none"/>
                    </w:rPr>
                  </w:pPr>
                  <w:r>
                    <w:rPr>
                      <w:rFonts w:hint="eastAsia"/>
                      <w:color w:val="auto"/>
                      <w:highlight w:val="none"/>
                      <w:lang w:eastAsia="zh-CN"/>
                    </w:rPr>
                    <w:t>楼上村</w:t>
                  </w:r>
                </w:p>
              </w:tc>
              <w:tc>
                <w:tcPr>
                  <w:tcW w:w="791" w:type="dxa"/>
                  <w:tcBorders>
                    <w:tl2br w:val="nil"/>
                    <w:tr2bl w:val="nil"/>
                  </w:tcBorders>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528545.47</w:t>
                  </w:r>
                </w:p>
              </w:tc>
              <w:tc>
                <w:tcPr>
                  <w:tcW w:w="770" w:type="dxa"/>
                  <w:tcBorders>
                    <w:tl2br w:val="nil"/>
                    <w:tr2bl w:val="nil"/>
                  </w:tcBorders>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4645405.72</w:t>
                  </w:r>
                </w:p>
              </w:tc>
              <w:tc>
                <w:tcPr>
                  <w:tcW w:w="657" w:type="dxa"/>
                  <w:tcBorders>
                    <w:tl2br w:val="nil"/>
                    <w:tr2bl w:val="nil"/>
                  </w:tcBorders>
                  <w:vAlign w:val="center"/>
                </w:tcPr>
                <w:p>
                  <w:pPr>
                    <w:pStyle w:val="22"/>
                    <w:rPr>
                      <w:color w:val="auto"/>
                      <w:highlight w:val="none"/>
                    </w:rPr>
                  </w:pPr>
                  <w:r>
                    <w:rPr>
                      <w:rFonts w:hint="eastAsia"/>
                      <w:color w:val="auto"/>
                      <w:highlight w:val="none"/>
                    </w:rPr>
                    <w:t>居民水井</w:t>
                  </w:r>
                </w:p>
              </w:tc>
              <w:tc>
                <w:tcPr>
                  <w:tcW w:w="730"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112</w:t>
                  </w:r>
                </w:p>
              </w:tc>
              <w:tc>
                <w:tcPr>
                  <w:tcW w:w="1105" w:type="dxa"/>
                  <w:vMerge w:val="restart"/>
                  <w:tcBorders>
                    <w:tl2br w:val="nil"/>
                    <w:tr2bl w:val="nil"/>
                  </w:tcBorders>
                  <w:vAlign w:val="center"/>
                </w:tcPr>
                <w:p>
                  <w:pPr>
                    <w:pStyle w:val="22"/>
                    <w:rPr>
                      <w:color w:val="auto"/>
                      <w:highlight w:val="none"/>
                    </w:rPr>
                  </w:pPr>
                  <w:r>
                    <w:rPr>
                      <w:rFonts w:hint="eastAsia"/>
                      <w:color w:val="auto"/>
                      <w:highlight w:val="none"/>
                    </w:rPr>
                    <w:t>地下水质量标准</w:t>
                  </w:r>
                </w:p>
                <w:p>
                  <w:pPr>
                    <w:pStyle w:val="22"/>
                    <w:rPr>
                      <w:color w:val="auto"/>
                      <w:highlight w:val="none"/>
                    </w:rPr>
                  </w:pPr>
                  <w:r>
                    <w:rPr>
                      <w:rFonts w:hint="eastAsia"/>
                      <w:color w:val="auto"/>
                      <w:highlight w:val="none"/>
                    </w:rPr>
                    <w:t>（GB/T 14848-2017）</w:t>
                  </w:r>
                  <w:r>
                    <w:rPr>
                      <w:rFonts w:hint="default" w:ascii="Times New Roman" w:hAnsi="Times New Roman" w:cs="Times New Roman"/>
                      <w:color w:val="auto"/>
                      <w:highlight w:val="none"/>
                    </w:rPr>
                    <w:t>Ⅲ</w:t>
                  </w:r>
                  <w:r>
                    <w:rPr>
                      <w:rFonts w:hint="eastAsia"/>
                      <w:color w:val="auto"/>
                      <w:highlight w:val="none"/>
                    </w:rPr>
                    <w:t>类</w:t>
                  </w:r>
                </w:p>
              </w:tc>
              <w:tc>
                <w:tcPr>
                  <w:tcW w:w="666" w:type="dxa"/>
                  <w:tcBorders>
                    <w:tl2br w:val="nil"/>
                    <w:tr2bl w:val="nil"/>
                  </w:tcBorders>
                  <w:vAlign w:val="center"/>
                </w:tcPr>
                <w:p>
                  <w:pPr>
                    <w:pStyle w:val="22"/>
                    <w:rPr>
                      <w:color w:val="auto"/>
                      <w:highlight w:val="none"/>
                    </w:rPr>
                  </w:pPr>
                  <w:r>
                    <w:rPr>
                      <w:rFonts w:hint="eastAsia"/>
                      <w:color w:val="auto"/>
                      <w:highlight w:val="none"/>
                      <w:lang w:eastAsia="zh-CN"/>
                    </w:rPr>
                    <w:t>南</w:t>
                  </w:r>
                </w:p>
              </w:tc>
              <w:tc>
                <w:tcPr>
                  <w:tcW w:w="868" w:type="dxa"/>
                  <w:tcBorders>
                    <w:tl2br w:val="nil"/>
                    <w:tr2bl w:val="nil"/>
                  </w:tcBorders>
                  <w:vAlign w:val="center"/>
                </w:tcPr>
                <w:p>
                  <w:pPr>
                    <w:pStyle w:val="22"/>
                    <w:rPr>
                      <w:rFonts w:hint="default"/>
                      <w:color w:val="auto"/>
                      <w:highlight w:val="none"/>
                      <w:lang w:val="en-US" w:eastAsia="zh-CN"/>
                    </w:rPr>
                  </w:pPr>
                  <w:r>
                    <w:rPr>
                      <w:rFonts w:hint="eastAsia"/>
                      <w:color w:val="auto"/>
                      <w:highlight w:val="none"/>
                      <w:lang w:val="en-US" w:eastAsia="zh-CN"/>
                    </w:rPr>
                    <w:t>15.8</w:t>
                  </w:r>
                </w:p>
              </w:tc>
              <w:tc>
                <w:tcPr>
                  <w:tcW w:w="938"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227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643" w:type="dxa"/>
                  <w:vMerge w:val="continue"/>
                  <w:tcBorders>
                    <w:tl2br w:val="nil"/>
                    <w:tr2bl w:val="nil"/>
                  </w:tcBorders>
                  <w:vAlign w:val="center"/>
                </w:tcPr>
                <w:p>
                  <w:pPr>
                    <w:pStyle w:val="22"/>
                    <w:rPr>
                      <w:rFonts w:hint="eastAsia"/>
                      <w:color w:val="auto"/>
                      <w:highlight w:val="none"/>
                    </w:rPr>
                  </w:pPr>
                </w:p>
              </w:tc>
              <w:tc>
                <w:tcPr>
                  <w:tcW w:w="800" w:type="dxa"/>
                  <w:tcBorders>
                    <w:tl2br w:val="nil"/>
                    <w:tr2bl w:val="nil"/>
                  </w:tcBorders>
                  <w:vAlign w:val="center"/>
                </w:tcPr>
                <w:p>
                  <w:pPr>
                    <w:pStyle w:val="22"/>
                    <w:rPr>
                      <w:rFonts w:hint="eastAsia"/>
                      <w:color w:val="auto"/>
                      <w:highlight w:val="none"/>
                      <w:lang w:eastAsia="zh-CN"/>
                    </w:rPr>
                  </w:pPr>
                  <w:r>
                    <w:rPr>
                      <w:rFonts w:hint="eastAsia"/>
                      <w:color w:val="auto"/>
                      <w:highlight w:val="none"/>
                      <w:lang w:eastAsia="zh-CN"/>
                    </w:rPr>
                    <w:t>公司家属院</w:t>
                  </w:r>
                </w:p>
              </w:tc>
              <w:tc>
                <w:tcPr>
                  <w:tcW w:w="791" w:type="dxa"/>
                  <w:tcBorders>
                    <w:tl2br w:val="nil"/>
                    <w:tr2bl w:val="nil"/>
                  </w:tcBorders>
                  <w:vAlign w:val="center"/>
                </w:tcPr>
                <w:p>
                  <w:pPr>
                    <w:pStyle w:val="22"/>
                    <w:ind w:firstLine="0" w:firstLineChars="0"/>
                    <w:rPr>
                      <w:rFonts w:hint="eastAsia"/>
                      <w:color w:val="auto"/>
                      <w:highlight w:val="none"/>
                    </w:rPr>
                  </w:pPr>
                  <w:r>
                    <w:rPr>
                      <w:rFonts w:hint="eastAsia"/>
                      <w:color w:val="auto"/>
                      <w:highlight w:val="none"/>
                    </w:rPr>
                    <w:t>529020.86</w:t>
                  </w:r>
                </w:p>
              </w:tc>
              <w:tc>
                <w:tcPr>
                  <w:tcW w:w="770" w:type="dxa"/>
                  <w:tcBorders>
                    <w:tl2br w:val="nil"/>
                    <w:tr2bl w:val="nil"/>
                  </w:tcBorders>
                  <w:vAlign w:val="center"/>
                </w:tcPr>
                <w:p>
                  <w:pPr>
                    <w:pStyle w:val="22"/>
                    <w:ind w:firstLine="0" w:firstLineChars="0"/>
                    <w:rPr>
                      <w:rFonts w:hint="eastAsia"/>
                      <w:color w:val="auto"/>
                      <w:highlight w:val="none"/>
                    </w:rPr>
                  </w:pPr>
                  <w:r>
                    <w:rPr>
                      <w:rFonts w:hint="eastAsia"/>
                      <w:color w:val="auto"/>
                      <w:highlight w:val="none"/>
                    </w:rPr>
                    <w:t>4645497.17</w:t>
                  </w:r>
                </w:p>
              </w:tc>
              <w:tc>
                <w:tcPr>
                  <w:tcW w:w="657" w:type="dxa"/>
                  <w:tcBorders>
                    <w:tl2br w:val="nil"/>
                    <w:tr2bl w:val="nil"/>
                  </w:tcBorders>
                  <w:vAlign w:val="center"/>
                </w:tcPr>
                <w:p>
                  <w:pPr>
                    <w:pStyle w:val="22"/>
                    <w:rPr>
                      <w:rFonts w:hint="eastAsia"/>
                      <w:color w:val="auto"/>
                      <w:highlight w:val="none"/>
                    </w:rPr>
                  </w:pPr>
                  <w:r>
                    <w:rPr>
                      <w:rFonts w:hint="eastAsia"/>
                      <w:color w:val="auto"/>
                      <w:highlight w:val="none"/>
                      <w:lang w:eastAsia="zh-CN"/>
                    </w:rPr>
                    <w:t>公司员工</w:t>
                  </w:r>
                </w:p>
              </w:tc>
              <w:tc>
                <w:tcPr>
                  <w:tcW w:w="730" w:type="dxa"/>
                  <w:tcBorders>
                    <w:tl2br w:val="nil"/>
                    <w:tr2bl w:val="nil"/>
                  </w:tcBorders>
                  <w:vAlign w:val="center"/>
                </w:tcPr>
                <w:p>
                  <w:pPr>
                    <w:pStyle w:val="22"/>
                    <w:rPr>
                      <w:rFonts w:hint="eastAsia"/>
                      <w:color w:val="auto"/>
                      <w:highlight w:val="none"/>
                      <w:lang w:val="en-US" w:eastAsia="zh-CN"/>
                    </w:rPr>
                  </w:pPr>
                  <w:r>
                    <w:rPr>
                      <w:rFonts w:hint="eastAsia"/>
                      <w:color w:val="auto"/>
                      <w:highlight w:val="none"/>
                      <w:lang w:val="en-US" w:eastAsia="zh-CN"/>
                    </w:rPr>
                    <w:t>380</w:t>
                  </w:r>
                </w:p>
              </w:tc>
              <w:tc>
                <w:tcPr>
                  <w:tcW w:w="1105" w:type="dxa"/>
                  <w:vMerge w:val="continue"/>
                  <w:tcBorders>
                    <w:tl2br w:val="nil"/>
                    <w:tr2bl w:val="nil"/>
                  </w:tcBorders>
                  <w:vAlign w:val="center"/>
                </w:tcPr>
                <w:p>
                  <w:pPr>
                    <w:pStyle w:val="22"/>
                    <w:rPr>
                      <w:rFonts w:hint="eastAsia"/>
                      <w:color w:val="auto"/>
                      <w:highlight w:val="none"/>
                    </w:rPr>
                  </w:pPr>
                </w:p>
              </w:tc>
              <w:tc>
                <w:tcPr>
                  <w:tcW w:w="666" w:type="dxa"/>
                  <w:tcBorders>
                    <w:tl2br w:val="nil"/>
                    <w:tr2bl w:val="nil"/>
                  </w:tcBorders>
                  <w:vAlign w:val="center"/>
                </w:tcPr>
                <w:p>
                  <w:pPr>
                    <w:pStyle w:val="22"/>
                    <w:ind w:firstLine="0" w:firstLineChars="0"/>
                    <w:rPr>
                      <w:rFonts w:hint="eastAsia"/>
                      <w:color w:val="auto"/>
                      <w:highlight w:val="none"/>
                      <w:lang w:eastAsia="zh-CN"/>
                    </w:rPr>
                  </w:pPr>
                  <w:r>
                    <w:rPr>
                      <w:rFonts w:hint="eastAsia"/>
                      <w:color w:val="auto"/>
                      <w:highlight w:val="none"/>
                      <w:lang w:eastAsia="zh-CN"/>
                    </w:rPr>
                    <w:t>东南</w:t>
                  </w:r>
                </w:p>
              </w:tc>
              <w:tc>
                <w:tcPr>
                  <w:tcW w:w="868" w:type="dxa"/>
                  <w:tcBorders>
                    <w:tl2br w:val="nil"/>
                    <w:tr2bl w:val="nil"/>
                  </w:tcBorders>
                  <w:vAlign w:val="center"/>
                </w:tcPr>
                <w:p>
                  <w:pPr>
                    <w:pStyle w:val="22"/>
                    <w:ind w:firstLine="0" w:firstLineChars="0"/>
                    <w:rPr>
                      <w:rFonts w:hint="eastAsia"/>
                      <w:color w:val="auto"/>
                      <w:highlight w:val="none"/>
                      <w:lang w:val="en-US" w:eastAsia="zh-CN"/>
                    </w:rPr>
                  </w:pPr>
                  <w:r>
                    <w:rPr>
                      <w:rFonts w:hint="eastAsia" w:cs="Times New Roman"/>
                      <w:color w:val="auto"/>
                      <w:kern w:val="2"/>
                      <w:sz w:val="21"/>
                      <w:szCs w:val="21"/>
                      <w:highlight w:val="none"/>
                      <w:lang w:val="en-US" w:eastAsia="zh-CN" w:bidi="ar-SA"/>
                    </w:rPr>
                    <w:t>87</w:t>
                  </w:r>
                </w:p>
              </w:tc>
              <w:tc>
                <w:tcPr>
                  <w:tcW w:w="938" w:type="dxa"/>
                  <w:tcBorders>
                    <w:tl2br w:val="nil"/>
                    <w:tr2bl w:val="nil"/>
                  </w:tcBorders>
                  <w:vAlign w:val="center"/>
                </w:tcPr>
                <w:p>
                  <w:pPr>
                    <w:pStyle w:val="22"/>
                    <w:ind w:firstLine="0" w:firstLineChars="0"/>
                    <w:rPr>
                      <w:rFonts w:hint="eastAsia"/>
                      <w:color w:val="auto"/>
                      <w:highlight w:val="none"/>
                      <w:lang w:val="en-US" w:eastAsia="zh-CN"/>
                    </w:rPr>
                  </w:pPr>
                  <w:r>
                    <w:rPr>
                      <w:rFonts w:hint="eastAsia"/>
                      <w:color w:val="auto"/>
                      <w:highlight w:val="none"/>
                      <w:lang w:val="en-US" w:eastAsia="zh-CN"/>
                    </w:rPr>
                    <w:t>593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3" w:type="dxa"/>
                  <w:vMerge w:val="restart"/>
                  <w:tcBorders>
                    <w:tl2br w:val="nil"/>
                    <w:tr2bl w:val="nil"/>
                  </w:tcBorders>
                  <w:vAlign w:val="center"/>
                </w:tcPr>
                <w:p>
                  <w:pPr>
                    <w:pStyle w:val="22"/>
                    <w:rPr>
                      <w:color w:val="auto"/>
                      <w:highlight w:val="none"/>
                    </w:rPr>
                  </w:pPr>
                  <w:r>
                    <w:rPr>
                      <w:rFonts w:hint="eastAsia"/>
                      <w:color w:val="auto"/>
                      <w:highlight w:val="none"/>
                    </w:rPr>
                    <w:t>声环境</w:t>
                  </w:r>
                </w:p>
              </w:tc>
              <w:tc>
                <w:tcPr>
                  <w:tcW w:w="800" w:type="dxa"/>
                  <w:tcBorders>
                    <w:tl2br w:val="nil"/>
                    <w:tr2bl w:val="nil"/>
                  </w:tcBorders>
                  <w:shd w:val="clear" w:color="auto" w:fill="auto"/>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楼上村</w:t>
                  </w:r>
                </w:p>
              </w:tc>
              <w:tc>
                <w:tcPr>
                  <w:tcW w:w="791" w:type="dxa"/>
                  <w:tcBorders>
                    <w:tl2br w:val="nil"/>
                    <w:tr2bl w:val="nil"/>
                  </w:tcBorders>
                  <w:shd w:val="clear" w:color="auto" w:fill="auto"/>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528545.47</w:t>
                  </w:r>
                </w:p>
              </w:tc>
              <w:tc>
                <w:tcPr>
                  <w:tcW w:w="770" w:type="dxa"/>
                  <w:tcBorders>
                    <w:tl2br w:val="nil"/>
                    <w:tr2bl w:val="nil"/>
                  </w:tcBorders>
                  <w:shd w:val="clear" w:color="auto" w:fill="auto"/>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4645405.72</w:t>
                  </w:r>
                </w:p>
              </w:tc>
              <w:tc>
                <w:tcPr>
                  <w:tcW w:w="657" w:type="dxa"/>
                  <w:tcBorders>
                    <w:tl2br w:val="nil"/>
                    <w:tr2bl w:val="nil"/>
                  </w:tcBorders>
                  <w:shd w:val="clear" w:color="auto" w:fill="auto"/>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居民</w:t>
                  </w:r>
                </w:p>
              </w:tc>
              <w:tc>
                <w:tcPr>
                  <w:tcW w:w="730" w:type="dxa"/>
                  <w:tcBorders>
                    <w:tl2br w:val="nil"/>
                    <w:tr2bl w:val="nil"/>
                  </w:tcBorders>
                  <w:shd w:val="clear" w:color="auto" w:fill="auto"/>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112</w:t>
                  </w:r>
                </w:p>
              </w:tc>
              <w:tc>
                <w:tcPr>
                  <w:tcW w:w="1105" w:type="dxa"/>
                  <w:vMerge w:val="restart"/>
                  <w:tcBorders>
                    <w:tl2br w:val="nil"/>
                    <w:tr2bl w:val="nil"/>
                  </w:tcBorders>
                  <w:vAlign w:val="center"/>
                </w:tcPr>
                <w:p>
                  <w:pPr>
                    <w:pStyle w:val="22"/>
                    <w:rPr>
                      <w:color w:val="auto"/>
                      <w:highlight w:val="none"/>
                    </w:rPr>
                  </w:pPr>
                  <w:r>
                    <w:rPr>
                      <w:color w:val="auto"/>
                      <w:highlight w:val="none"/>
                    </w:rPr>
                    <w:t>《声环境质量标准》（GB3096-2008）中</w:t>
                  </w:r>
                  <w:r>
                    <w:rPr>
                      <w:rFonts w:hint="eastAsia"/>
                      <w:color w:val="auto"/>
                      <w:highlight w:val="none"/>
                      <w:lang w:val="en-US" w:eastAsia="zh-CN"/>
                    </w:rPr>
                    <w:t>2</w:t>
                  </w:r>
                  <w:r>
                    <w:rPr>
                      <w:color w:val="auto"/>
                      <w:highlight w:val="none"/>
                    </w:rPr>
                    <w:t>类区标准</w:t>
                  </w:r>
                </w:p>
              </w:tc>
              <w:tc>
                <w:tcPr>
                  <w:tcW w:w="666" w:type="dxa"/>
                  <w:tcBorders>
                    <w:tl2br w:val="nil"/>
                    <w:tr2bl w:val="nil"/>
                  </w:tcBorders>
                  <w:vAlign w:val="center"/>
                </w:tcPr>
                <w:p>
                  <w:pPr>
                    <w:pStyle w:val="22"/>
                    <w:rPr>
                      <w:color w:val="auto"/>
                      <w:highlight w:val="none"/>
                    </w:rPr>
                  </w:pPr>
                  <w:r>
                    <w:rPr>
                      <w:rFonts w:hint="eastAsia"/>
                      <w:color w:val="auto"/>
                      <w:highlight w:val="none"/>
                    </w:rPr>
                    <w:t>-</w:t>
                  </w:r>
                </w:p>
              </w:tc>
              <w:tc>
                <w:tcPr>
                  <w:tcW w:w="868" w:type="dxa"/>
                  <w:tcBorders>
                    <w:tl2br w:val="nil"/>
                    <w:tr2bl w:val="nil"/>
                  </w:tcBorders>
                  <w:vAlign w:val="center"/>
                </w:tcPr>
                <w:p>
                  <w:pPr>
                    <w:pStyle w:val="22"/>
                    <w:rPr>
                      <w:rFonts w:hint="eastAsia"/>
                      <w:color w:val="auto"/>
                      <w:highlight w:val="none"/>
                    </w:rPr>
                  </w:pPr>
                  <w:r>
                    <w:rPr>
                      <w:rFonts w:hint="eastAsia" w:cs="Times New Roman"/>
                      <w:color w:val="auto"/>
                      <w:kern w:val="2"/>
                      <w:sz w:val="21"/>
                      <w:szCs w:val="21"/>
                      <w:highlight w:val="none"/>
                      <w:lang w:val="en-US" w:eastAsia="zh-CN" w:bidi="ar-SA"/>
                    </w:rPr>
                    <w:t>15.8</w:t>
                  </w:r>
                </w:p>
              </w:tc>
              <w:tc>
                <w:tcPr>
                  <w:tcW w:w="938" w:type="dxa"/>
                  <w:tcBorders>
                    <w:tl2br w:val="nil"/>
                    <w:tr2bl w:val="nil"/>
                  </w:tcBorders>
                  <w:vAlign w:val="center"/>
                </w:tcPr>
                <w:p>
                  <w:pPr>
                    <w:pStyle w:val="22"/>
                    <w:rPr>
                      <w:color w:val="auto"/>
                      <w:highlight w:val="none"/>
                    </w:rPr>
                  </w:pPr>
                  <w:r>
                    <w:rPr>
                      <w:rFonts w:hint="eastAsia"/>
                      <w:color w:val="auto"/>
                      <w:highlight w:val="none"/>
                      <w:lang w:val="en-US" w:eastAsia="zh-CN"/>
                    </w:rPr>
                    <w:t>227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3" w:type="dxa"/>
                  <w:vMerge w:val="continue"/>
                  <w:tcBorders>
                    <w:tl2br w:val="nil"/>
                    <w:tr2bl w:val="nil"/>
                  </w:tcBorders>
                  <w:vAlign w:val="center"/>
                </w:tcPr>
                <w:p>
                  <w:pPr>
                    <w:pStyle w:val="22"/>
                    <w:rPr>
                      <w:rFonts w:hint="eastAsia"/>
                      <w:color w:val="auto"/>
                      <w:highlight w:val="none"/>
                    </w:rPr>
                  </w:pPr>
                </w:p>
              </w:tc>
              <w:tc>
                <w:tcPr>
                  <w:tcW w:w="800" w:type="dxa"/>
                  <w:tcBorders>
                    <w:tl2br w:val="nil"/>
                    <w:tr2bl w:val="nil"/>
                  </w:tcBorders>
                  <w:shd w:val="clear" w:color="auto" w:fill="auto"/>
                  <w:vAlign w:val="center"/>
                </w:tcPr>
                <w:p>
                  <w:pPr>
                    <w:pStyle w:val="22"/>
                    <w:rPr>
                      <w:rFonts w:hint="eastAsia"/>
                      <w:color w:val="auto"/>
                      <w:highlight w:val="none"/>
                      <w:lang w:eastAsia="zh-CN"/>
                    </w:rPr>
                  </w:pPr>
                  <w:r>
                    <w:rPr>
                      <w:rFonts w:hint="eastAsia"/>
                      <w:color w:val="auto"/>
                      <w:highlight w:val="none"/>
                      <w:lang w:eastAsia="zh-CN"/>
                    </w:rPr>
                    <w:t>公司家属院</w:t>
                  </w:r>
                </w:p>
              </w:tc>
              <w:tc>
                <w:tcPr>
                  <w:tcW w:w="791" w:type="dxa"/>
                  <w:tcBorders>
                    <w:tl2br w:val="nil"/>
                    <w:tr2bl w:val="nil"/>
                  </w:tcBorders>
                  <w:shd w:val="clear" w:color="auto" w:fill="auto"/>
                  <w:vAlign w:val="center"/>
                </w:tcPr>
                <w:p>
                  <w:pPr>
                    <w:pStyle w:val="22"/>
                    <w:ind w:firstLine="0" w:firstLineChars="0"/>
                    <w:rPr>
                      <w:rFonts w:hint="eastAsia"/>
                      <w:color w:val="auto"/>
                      <w:highlight w:val="none"/>
                    </w:rPr>
                  </w:pPr>
                  <w:r>
                    <w:rPr>
                      <w:rFonts w:hint="eastAsia"/>
                      <w:color w:val="auto"/>
                      <w:highlight w:val="none"/>
                    </w:rPr>
                    <w:t>529020.86</w:t>
                  </w:r>
                </w:p>
              </w:tc>
              <w:tc>
                <w:tcPr>
                  <w:tcW w:w="770" w:type="dxa"/>
                  <w:tcBorders>
                    <w:tl2br w:val="nil"/>
                    <w:tr2bl w:val="nil"/>
                  </w:tcBorders>
                  <w:shd w:val="clear" w:color="auto" w:fill="auto"/>
                  <w:vAlign w:val="center"/>
                </w:tcPr>
                <w:p>
                  <w:pPr>
                    <w:pStyle w:val="22"/>
                    <w:ind w:firstLine="0" w:firstLineChars="0"/>
                    <w:rPr>
                      <w:rFonts w:hint="eastAsia"/>
                      <w:color w:val="auto"/>
                      <w:highlight w:val="none"/>
                    </w:rPr>
                  </w:pPr>
                  <w:r>
                    <w:rPr>
                      <w:rFonts w:hint="eastAsia"/>
                      <w:color w:val="auto"/>
                      <w:highlight w:val="none"/>
                    </w:rPr>
                    <w:t>4645497.17</w:t>
                  </w:r>
                </w:p>
              </w:tc>
              <w:tc>
                <w:tcPr>
                  <w:tcW w:w="657" w:type="dxa"/>
                  <w:tcBorders>
                    <w:tl2br w:val="nil"/>
                    <w:tr2bl w:val="nil"/>
                  </w:tcBorders>
                  <w:shd w:val="clear" w:color="auto" w:fill="auto"/>
                  <w:vAlign w:val="center"/>
                </w:tcPr>
                <w:p>
                  <w:pPr>
                    <w:pStyle w:val="22"/>
                    <w:rPr>
                      <w:rFonts w:hint="eastAsia"/>
                      <w:color w:val="auto"/>
                      <w:highlight w:val="none"/>
                    </w:rPr>
                  </w:pPr>
                  <w:r>
                    <w:rPr>
                      <w:rFonts w:hint="eastAsia"/>
                      <w:color w:val="auto"/>
                      <w:highlight w:val="none"/>
                      <w:lang w:eastAsia="zh-CN"/>
                    </w:rPr>
                    <w:t>公司员工</w:t>
                  </w:r>
                </w:p>
              </w:tc>
              <w:tc>
                <w:tcPr>
                  <w:tcW w:w="730" w:type="dxa"/>
                  <w:tcBorders>
                    <w:tl2br w:val="nil"/>
                    <w:tr2bl w:val="nil"/>
                  </w:tcBorders>
                  <w:shd w:val="clear" w:color="auto" w:fill="auto"/>
                  <w:vAlign w:val="center"/>
                </w:tcPr>
                <w:p>
                  <w:pPr>
                    <w:pStyle w:val="22"/>
                    <w:rPr>
                      <w:rFonts w:hint="eastAsia"/>
                      <w:color w:val="auto"/>
                      <w:highlight w:val="none"/>
                      <w:lang w:val="en-US" w:eastAsia="zh-CN"/>
                    </w:rPr>
                  </w:pPr>
                  <w:r>
                    <w:rPr>
                      <w:rFonts w:hint="eastAsia"/>
                      <w:color w:val="auto"/>
                      <w:highlight w:val="none"/>
                      <w:lang w:val="en-US" w:eastAsia="zh-CN"/>
                    </w:rPr>
                    <w:t>380</w:t>
                  </w:r>
                </w:p>
              </w:tc>
              <w:tc>
                <w:tcPr>
                  <w:tcW w:w="1105" w:type="dxa"/>
                  <w:vMerge w:val="continue"/>
                  <w:tcBorders>
                    <w:tl2br w:val="nil"/>
                    <w:tr2bl w:val="nil"/>
                  </w:tcBorders>
                  <w:vAlign w:val="center"/>
                </w:tcPr>
                <w:p>
                  <w:pPr>
                    <w:pStyle w:val="22"/>
                    <w:rPr>
                      <w:color w:val="auto"/>
                      <w:highlight w:val="none"/>
                    </w:rPr>
                  </w:pPr>
                </w:p>
              </w:tc>
              <w:tc>
                <w:tcPr>
                  <w:tcW w:w="666" w:type="dxa"/>
                  <w:tcBorders>
                    <w:tl2br w:val="nil"/>
                    <w:tr2bl w:val="nil"/>
                  </w:tcBorders>
                  <w:vAlign w:val="center"/>
                </w:tcPr>
                <w:p>
                  <w:pPr>
                    <w:pStyle w:val="22"/>
                    <w:ind w:firstLine="0" w:firstLineChars="0"/>
                    <w:rPr>
                      <w:rFonts w:hint="eastAsia"/>
                      <w:color w:val="auto"/>
                      <w:highlight w:val="none"/>
                    </w:rPr>
                  </w:pPr>
                  <w:r>
                    <w:rPr>
                      <w:rFonts w:hint="eastAsia"/>
                      <w:color w:val="auto"/>
                      <w:highlight w:val="none"/>
                      <w:lang w:eastAsia="zh-CN"/>
                    </w:rPr>
                    <w:t>东南</w:t>
                  </w:r>
                </w:p>
              </w:tc>
              <w:tc>
                <w:tcPr>
                  <w:tcW w:w="868" w:type="dxa"/>
                  <w:tcBorders>
                    <w:tl2br w:val="nil"/>
                    <w:tr2bl w:val="nil"/>
                  </w:tcBorders>
                  <w:vAlign w:val="center"/>
                </w:tcPr>
                <w:p>
                  <w:pPr>
                    <w:pStyle w:val="22"/>
                    <w:ind w:firstLine="0" w:firstLineChars="0"/>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87</w:t>
                  </w:r>
                </w:p>
              </w:tc>
              <w:tc>
                <w:tcPr>
                  <w:tcW w:w="938" w:type="dxa"/>
                  <w:tcBorders>
                    <w:tl2br w:val="nil"/>
                    <w:tr2bl w:val="nil"/>
                  </w:tcBorders>
                  <w:vAlign w:val="center"/>
                </w:tcPr>
                <w:p>
                  <w:pPr>
                    <w:pStyle w:val="22"/>
                    <w:ind w:firstLine="0" w:firstLineChars="0"/>
                    <w:rPr>
                      <w:rFonts w:hint="eastAsia"/>
                      <w:color w:val="auto"/>
                      <w:highlight w:val="none"/>
                      <w:lang w:val="en-US" w:eastAsia="zh-CN"/>
                    </w:rPr>
                  </w:pPr>
                  <w:r>
                    <w:rPr>
                      <w:rFonts w:hint="eastAsia"/>
                      <w:color w:val="auto"/>
                      <w:highlight w:val="none"/>
                      <w:lang w:val="en-US" w:eastAsia="zh-CN"/>
                    </w:rPr>
                    <w:t>593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643" w:type="dxa"/>
                  <w:tcBorders>
                    <w:tl2br w:val="nil"/>
                    <w:tr2bl w:val="nil"/>
                  </w:tcBorders>
                  <w:vAlign w:val="center"/>
                </w:tcPr>
                <w:p>
                  <w:pPr>
                    <w:pStyle w:val="22"/>
                    <w:rPr>
                      <w:color w:val="auto"/>
                      <w:highlight w:val="none"/>
                    </w:rPr>
                  </w:pPr>
                  <w:r>
                    <w:rPr>
                      <w:rFonts w:hint="eastAsia"/>
                      <w:color w:val="auto"/>
                      <w:highlight w:val="none"/>
                    </w:rPr>
                    <w:t>生态环境</w:t>
                  </w:r>
                </w:p>
              </w:tc>
              <w:tc>
                <w:tcPr>
                  <w:tcW w:w="7325" w:type="dxa"/>
                  <w:gridSpan w:val="9"/>
                  <w:tcBorders>
                    <w:tl2br w:val="nil"/>
                    <w:tr2bl w:val="nil"/>
                  </w:tcBorders>
                  <w:vAlign w:val="center"/>
                </w:tcPr>
                <w:p>
                  <w:pPr>
                    <w:pStyle w:val="22"/>
                    <w:rPr>
                      <w:rFonts w:hint="eastAsia"/>
                      <w:color w:val="auto"/>
                      <w:highlight w:val="none"/>
                    </w:rPr>
                  </w:pPr>
                  <w:r>
                    <w:rPr>
                      <w:rFonts w:hint="eastAsia"/>
                      <w:color w:val="auto"/>
                      <w:highlight w:val="none"/>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428" w:hRule="atLeast"/>
                <w:jc w:val="center"/>
              </w:trPr>
              <w:tc>
                <w:tcPr>
                  <w:tcW w:w="643" w:type="dxa"/>
                  <w:tcBorders>
                    <w:tl2br w:val="nil"/>
                    <w:tr2bl w:val="nil"/>
                  </w:tcBorders>
                  <w:vAlign w:val="center"/>
                </w:tcPr>
                <w:p>
                  <w:pPr>
                    <w:pStyle w:val="22"/>
                    <w:rPr>
                      <w:color w:val="auto"/>
                      <w:highlight w:val="none"/>
                    </w:rPr>
                  </w:pPr>
                  <w:r>
                    <w:rPr>
                      <w:rFonts w:hint="eastAsia"/>
                      <w:color w:val="auto"/>
                      <w:highlight w:val="none"/>
                    </w:rPr>
                    <w:t>土壤环境</w:t>
                  </w:r>
                </w:p>
              </w:tc>
              <w:tc>
                <w:tcPr>
                  <w:tcW w:w="3748" w:type="dxa"/>
                  <w:gridSpan w:val="5"/>
                  <w:tcBorders>
                    <w:tl2br w:val="nil"/>
                    <w:tr2bl w:val="nil"/>
                  </w:tcBorders>
                  <w:vAlign w:val="center"/>
                </w:tcPr>
                <w:p>
                  <w:pPr>
                    <w:pStyle w:val="22"/>
                    <w:rPr>
                      <w:color w:val="auto"/>
                      <w:highlight w:val="none"/>
                    </w:rPr>
                  </w:pPr>
                  <w:r>
                    <w:rPr>
                      <w:rFonts w:hint="eastAsia"/>
                      <w:color w:val="auto"/>
                      <w:highlight w:val="none"/>
                    </w:rPr>
                    <w:t>项目厂区所在区域</w:t>
                  </w:r>
                </w:p>
              </w:tc>
              <w:tc>
                <w:tcPr>
                  <w:tcW w:w="1771" w:type="dxa"/>
                  <w:gridSpan w:val="2"/>
                  <w:tcBorders>
                    <w:tl2br w:val="nil"/>
                    <w:tr2bl w:val="nil"/>
                  </w:tcBorders>
                  <w:vAlign w:val="center"/>
                </w:tcPr>
                <w:p>
                  <w:pPr>
                    <w:pStyle w:val="22"/>
                    <w:rPr>
                      <w:color w:val="auto"/>
                      <w:highlight w:val="none"/>
                    </w:rPr>
                  </w:pPr>
                  <w:r>
                    <w:rPr>
                      <w:color w:val="auto"/>
                      <w:highlight w:val="none"/>
                    </w:rPr>
                    <w:t>《</w:t>
                  </w:r>
                  <w:r>
                    <w:rPr>
                      <w:rFonts w:hint="eastAsia"/>
                      <w:color w:val="auto"/>
                      <w:highlight w:val="none"/>
                    </w:rPr>
                    <w:t>土壤环境质量 建设用地土壤污染风险管控标准（试行）</w:t>
                  </w:r>
                  <w:r>
                    <w:rPr>
                      <w:color w:val="auto"/>
                      <w:highlight w:val="none"/>
                    </w:rPr>
                    <w:t>》（GB</w:t>
                  </w:r>
                  <w:r>
                    <w:rPr>
                      <w:rFonts w:hint="eastAsia"/>
                      <w:color w:val="auto"/>
                      <w:highlight w:val="none"/>
                    </w:rPr>
                    <w:t>36600</w:t>
                  </w:r>
                  <w:r>
                    <w:rPr>
                      <w:color w:val="auto"/>
                      <w:highlight w:val="none"/>
                    </w:rPr>
                    <w:t>-2018）中</w:t>
                  </w:r>
                  <w:r>
                    <w:rPr>
                      <w:rFonts w:hint="eastAsia"/>
                      <w:color w:val="auto"/>
                      <w:highlight w:val="none"/>
                    </w:rPr>
                    <w:t>第二类用地筛选值</w:t>
                  </w:r>
                </w:p>
              </w:tc>
              <w:tc>
                <w:tcPr>
                  <w:tcW w:w="868"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c>
                <w:tcPr>
                  <w:tcW w:w="938"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r>
          </w:tbl>
          <w:p>
            <w:pPr>
              <w:pStyle w:val="12"/>
              <w:ind w:firstLine="480"/>
              <w:rPr>
                <w:rFonts w:hint="eastAsia"/>
                <w:color w:val="auto"/>
                <w:highlight w:val="none"/>
              </w:rPr>
            </w:pPr>
            <w:r>
              <w:rPr>
                <w:rFonts w:hint="eastAsia"/>
                <w:color w:val="auto"/>
                <w:highlight w:val="none"/>
              </w:rPr>
              <w:t>项目周围环境保护目标图见附图</w:t>
            </w:r>
            <w:r>
              <w:rPr>
                <w:rFonts w:hint="eastAsia"/>
                <w:color w:val="auto"/>
                <w:highlight w:val="none"/>
                <w:lang w:val="en-US" w:eastAsia="zh-CN"/>
              </w:rPr>
              <w:t>3</w:t>
            </w:r>
            <w:r>
              <w:rPr>
                <w:rFonts w:hint="eastAsia"/>
                <w:color w:val="auto"/>
                <w:highlight w:val="none"/>
              </w:rPr>
              <w:t>。</w:t>
            </w:r>
          </w:p>
          <w:p>
            <w:pPr>
              <w:pStyle w:val="12"/>
              <w:ind w:firstLine="480"/>
              <w:rPr>
                <w:rFonts w:ascii="宋体" w:hAnsi="宋体" w:cs="宋体"/>
                <w:color w:val="auto"/>
                <w:szCs w:val="21"/>
                <w:highlight w:val="none"/>
              </w:rPr>
            </w:pPr>
          </w:p>
          <w:p>
            <w:pPr>
              <w:rPr>
                <w:rFonts w:ascii="宋体" w:hAnsi="宋体" w:cs="宋体"/>
                <w:color w:val="auto"/>
                <w:szCs w:val="21"/>
                <w:highlight w:val="none"/>
              </w:rPr>
            </w:pPr>
          </w:p>
          <w:p>
            <w:pPr>
              <w:rPr>
                <w:rFonts w:ascii="宋体" w:hAnsi="宋体" w:cs="宋体"/>
                <w:color w:val="auto"/>
                <w:szCs w:val="21"/>
                <w:highlight w:val="none"/>
              </w:rPr>
            </w:pPr>
          </w:p>
          <w:p>
            <w:pPr>
              <w:rPr>
                <w:rFonts w:ascii="宋体" w:hAnsi="宋体" w:cs="宋体"/>
                <w:color w:val="auto"/>
                <w:szCs w:val="21"/>
                <w:highlight w:val="none"/>
              </w:rPr>
            </w:pPr>
          </w:p>
          <w:p>
            <w:pPr>
              <w:pStyle w:val="6"/>
              <w:rPr>
                <w:rFonts w:ascii="宋体" w:hAnsi="宋体" w:cs="宋体"/>
                <w:color w:val="auto"/>
                <w:szCs w:val="21"/>
                <w:highlight w:val="none"/>
              </w:rPr>
            </w:pPr>
          </w:p>
          <w:p>
            <w:pPr>
              <w:rPr>
                <w:rFonts w:ascii="宋体" w:hAnsi="宋体" w:cs="宋体"/>
                <w:color w:val="auto"/>
                <w:szCs w:val="21"/>
                <w:highlight w:val="none"/>
              </w:rPr>
            </w:pPr>
          </w:p>
          <w:p>
            <w:pPr>
              <w:rPr>
                <w:color w:val="auto"/>
                <w:highlight w:val="none"/>
              </w:rPr>
            </w:pPr>
          </w:p>
          <w:p>
            <w:pPr>
              <w:rPr>
                <w:rFonts w:ascii="宋体" w:hAnsi="宋体" w:cs="宋体"/>
                <w:color w:val="auto"/>
                <w:szCs w:val="21"/>
                <w:highlight w:val="none"/>
              </w:rPr>
            </w:pPr>
          </w:p>
          <w:p>
            <w:pPr>
              <w:rPr>
                <w:rFonts w:ascii="宋体" w:hAnsi="宋体" w:cs="宋体"/>
                <w:color w:val="auto"/>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711" w:hRule="atLeast"/>
          <w:jc w:val="center"/>
        </w:trPr>
        <w:tc>
          <w:tcPr>
            <w:tcW w:w="790" w:type="dxa"/>
            <w:tcMar>
              <w:left w:w="28" w:type="dxa"/>
              <w:right w:w="28" w:type="dxa"/>
            </w:tcMar>
            <w:vAlign w:val="center"/>
          </w:tcPr>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污染</w:t>
            </w:r>
          </w:p>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物排</w:t>
            </w:r>
          </w:p>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放控</w:t>
            </w:r>
          </w:p>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制标</w:t>
            </w:r>
          </w:p>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准</w:t>
            </w:r>
          </w:p>
        </w:tc>
        <w:tc>
          <w:tcPr>
            <w:tcW w:w="8190" w:type="dxa"/>
            <w:vAlign w:val="center"/>
          </w:tcPr>
          <w:p>
            <w:pPr>
              <w:pStyle w:val="12"/>
              <w:ind w:firstLine="480"/>
              <w:rPr>
                <w:color w:val="auto"/>
                <w:highlight w:val="none"/>
              </w:rPr>
            </w:pPr>
            <w:r>
              <w:rPr>
                <w:rFonts w:hint="eastAsia"/>
                <w:color w:val="auto"/>
                <w:highlight w:val="none"/>
              </w:rPr>
              <w:t>1.施工期</w:t>
            </w:r>
          </w:p>
          <w:p>
            <w:pPr>
              <w:pStyle w:val="12"/>
              <w:ind w:firstLine="480"/>
              <w:rPr>
                <w:color w:val="auto"/>
                <w:highlight w:val="none"/>
              </w:rPr>
            </w:pPr>
            <w:r>
              <w:rPr>
                <w:rFonts w:hint="eastAsia"/>
                <w:color w:val="auto"/>
                <w:highlight w:val="none"/>
              </w:rPr>
              <w:t>（1）噪声：施工期噪声执行《建筑施工场界环境噪声排放标准》（GB12523-2011）[昼间</w:t>
            </w:r>
            <w:r>
              <w:rPr>
                <w:rFonts w:hint="eastAsia"/>
                <w:color w:val="auto"/>
                <w:highlight w:val="none"/>
                <w:lang w:val="en-US" w:eastAsia="zh-CN"/>
              </w:rPr>
              <w:t>70</w:t>
            </w:r>
            <w:r>
              <w:rPr>
                <w:rFonts w:hint="eastAsia"/>
                <w:color w:val="auto"/>
                <w:highlight w:val="none"/>
              </w:rPr>
              <w:t>dB(A)、夜间55dB(A)]。</w:t>
            </w:r>
          </w:p>
          <w:p>
            <w:pPr>
              <w:pStyle w:val="12"/>
              <w:ind w:firstLine="480"/>
              <w:rPr>
                <w:color w:val="auto"/>
                <w:highlight w:val="none"/>
              </w:rPr>
            </w:pPr>
            <w:r>
              <w:rPr>
                <w:rFonts w:hint="eastAsia"/>
                <w:color w:val="auto"/>
                <w:highlight w:val="none"/>
              </w:rPr>
              <w:t>（2）废气：施工期施工场地扬尘及堆料场扬尘为无组织排放</w:t>
            </w:r>
            <w:r>
              <w:rPr>
                <w:rFonts w:hint="eastAsia"/>
                <w:color w:val="auto"/>
                <w:highlight w:val="none"/>
                <w:lang w:eastAsia="zh-CN"/>
              </w:rPr>
              <w:t>，</w:t>
            </w:r>
            <w:r>
              <w:rPr>
                <w:rFonts w:hint="eastAsia"/>
                <w:color w:val="auto"/>
                <w:highlight w:val="none"/>
              </w:rPr>
              <w:t>厂界颗粒物排放浓度执行辽宁省《施工及堆料场地扬尘排放标准》（DB21/2642-2016）（</w:t>
            </w:r>
            <w:r>
              <w:rPr>
                <w:rFonts w:hint="eastAsia"/>
                <w:color w:val="auto"/>
                <w:highlight w:val="none"/>
                <w:lang w:eastAsia="zh-CN"/>
              </w:rPr>
              <w:t>郊区</w:t>
            </w:r>
            <w:r>
              <w:rPr>
                <w:rFonts w:hint="eastAsia"/>
                <w:color w:val="auto"/>
                <w:highlight w:val="none"/>
                <w:lang w:val="en-US" w:eastAsia="zh-CN"/>
              </w:rPr>
              <w:t>1.0</w:t>
            </w:r>
            <w:r>
              <w:rPr>
                <w:rFonts w:hint="eastAsia"/>
                <w:color w:val="auto"/>
                <w:highlight w:val="none"/>
              </w:rPr>
              <w:t>mg/m</w:t>
            </w:r>
            <w:r>
              <w:rPr>
                <w:rFonts w:hint="eastAsia"/>
                <w:color w:val="auto"/>
                <w:highlight w:val="none"/>
                <w:vertAlign w:val="superscript"/>
              </w:rPr>
              <w:t>3</w:t>
            </w:r>
            <w:r>
              <w:rPr>
                <w:rFonts w:hint="eastAsia"/>
                <w:color w:val="auto"/>
                <w:highlight w:val="none"/>
              </w:rPr>
              <w:t>）。</w:t>
            </w:r>
          </w:p>
          <w:p>
            <w:pPr>
              <w:pStyle w:val="12"/>
              <w:ind w:firstLine="480"/>
              <w:rPr>
                <w:color w:val="auto"/>
                <w:highlight w:val="none"/>
              </w:rPr>
            </w:pPr>
            <w:r>
              <w:rPr>
                <w:rFonts w:hint="eastAsia"/>
                <w:color w:val="auto"/>
                <w:highlight w:val="none"/>
              </w:rPr>
              <w:t>2.</w:t>
            </w:r>
            <w:r>
              <w:rPr>
                <w:color w:val="auto"/>
                <w:highlight w:val="none"/>
              </w:rPr>
              <w:t>运营期：</w:t>
            </w:r>
          </w:p>
          <w:p>
            <w:pPr>
              <w:pStyle w:val="12"/>
              <w:ind w:firstLine="480"/>
              <w:rPr>
                <w:color w:val="auto"/>
                <w:highlight w:val="none"/>
              </w:rPr>
            </w:pPr>
            <w:r>
              <w:rPr>
                <w:rFonts w:hint="eastAsia"/>
                <w:color w:val="auto"/>
                <w:highlight w:val="none"/>
              </w:rPr>
              <w:t>（1）</w:t>
            </w:r>
            <w:r>
              <w:rPr>
                <w:color w:val="auto"/>
                <w:highlight w:val="none"/>
              </w:rPr>
              <w:t>废气</w:t>
            </w:r>
          </w:p>
          <w:p>
            <w:pPr>
              <w:pStyle w:val="12"/>
              <w:ind w:firstLine="480"/>
              <w:rPr>
                <w:rFonts w:hint="eastAsia"/>
                <w:color w:val="auto"/>
                <w:highlight w:val="none"/>
                <w:lang w:val="en-US" w:eastAsia="zh-CN"/>
              </w:rPr>
            </w:pPr>
            <w:r>
              <w:rPr>
                <w:rFonts w:hint="eastAsia"/>
                <w:color w:val="auto"/>
                <w:highlight w:val="none"/>
                <w:lang w:eastAsia="zh-CN"/>
              </w:rPr>
              <w:t>非甲烷总烃</w:t>
            </w:r>
            <w:r>
              <w:rPr>
                <w:rFonts w:hint="eastAsia"/>
                <w:color w:val="auto"/>
                <w:highlight w:val="none"/>
                <w:lang w:val="en-US" w:eastAsia="zh-CN"/>
              </w:rPr>
              <w:t>厂界无组织执行</w:t>
            </w:r>
            <w:r>
              <w:rPr>
                <w:rFonts w:hint="eastAsia"/>
                <w:color w:val="auto"/>
                <w:highlight w:val="none"/>
                <w:lang w:eastAsia="zh-CN"/>
              </w:rPr>
              <w:t>《大气污染物综合排放标准》（</w:t>
            </w:r>
            <w:r>
              <w:rPr>
                <w:rFonts w:hint="eastAsia"/>
                <w:color w:val="auto"/>
                <w:highlight w:val="none"/>
                <w:lang w:val="en-US" w:eastAsia="zh-CN"/>
              </w:rPr>
              <w:t>GB 16297-1996</w:t>
            </w:r>
            <w:r>
              <w:rPr>
                <w:rFonts w:hint="eastAsia"/>
                <w:color w:val="auto"/>
                <w:highlight w:val="none"/>
                <w:lang w:eastAsia="zh-CN"/>
              </w:rPr>
              <w:t>）（</w:t>
            </w:r>
            <w:r>
              <w:rPr>
                <w:rFonts w:hint="eastAsia"/>
                <w:color w:val="auto"/>
                <w:highlight w:val="none"/>
                <w:lang w:val="en-US" w:eastAsia="zh-CN"/>
              </w:rPr>
              <w:t>4.0mg/m</w:t>
            </w:r>
            <w:r>
              <w:rPr>
                <w:rFonts w:hint="eastAsia"/>
                <w:color w:val="auto"/>
                <w:highlight w:val="none"/>
                <w:vertAlign w:val="superscript"/>
                <w:lang w:val="en-US" w:eastAsia="zh-CN"/>
              </w:rPr>
              <w:t>3</w:t>
            </w:r>
            <w:r>
              <w:rPr>
                <w:rFonts w:hint="eastAsia"/>
                <w:color w:val="auto"/>
                <w:highlight w:val="none"/>
                <w:lang w:eastAsia="zh-CN"/>
              </w:rPr>
              <w:t>）；厂区内非甲烷总烃无组织排放同时满足《挥发性有机物无组织排放控制标准》（</w:t>
            </w:r>
            <w:r>
              <w:rPr>
                <w:rFonts w:hint="eastAsia"/>
                <w:color w:val="auto"/>
                <w:highlight w:val="none"/>
                <w:lang w:val="en-US" w:eastAsia="zh-CN"/>
              </w:rPr>
              <w:t>GB 37822-2019</w:t>
            </w:r>
            <w:r>
              <w:rPr>
                <w:rFonts w:hint="eastAsia"/>
                <w:color w:val="auto"/>
                <w:highlight w:val="none"/>
                <w:lang w:eastAsia="zh-CN"/>
              </w:rPr>
              <w:t>）表</w:t>
            </w:r>
            <w:r>
              <w:rPr>
                <w:rFonts w:hint="eastAsia"/>
                <w:color w:val="auto"/>
                <w:highlight w:val="none"/>
                <w:lang w:val="en-US" w:eastAsia="zh-CN"/>
              </w:rPr>
              <w:t>A.1中相关标准限值要求（6.0mg/m</w:t>
            </w:r>
            <w:r>
              <w:rPr>
                <w:rFonts w:hint="eastAsia"/>
                <w:color w:val="auto"/>
                <w:highlight w:val="none"/>
                <w:vertAlign w:val="superscript"/>
                <w:lang w:val="en-US" w:eastAsia="zh-CN"/>
              </w:rPr>
              <w:t>3</w:t>
            </w:r>
            <w:r>
              <w:rPr>
                <w:rFonts w:hint="eastAsia"/>
                <w:color w:val="auto"/>
                <w:highlight w:val="none"/>
                <w:lang w:val="en-US" w:eastAsia="zh-CN"/>
              </w:rPr>
              <w:t>，监控点处1h平均浓度值；20mg/m</w:t>
            </w:r>
            <w:r>
              <w:rPr>
                <w:rFonts w:hint="eastAsia"/>
                <w:color w:val="auto"/>
                <w:highlight w:val="none"/>
                <w:vertAlign w:val="superscript"/>
                <w:lang w:val="en-US" w:eastAsia="zh-CN"/>
              </w:rPr>
              <w:t>3</w:t>
            </w:r>
            <w:r>
              <w:rPr>
                <w:rFonts w:hint="eastAsia"/>
                <w:color w:val="auto"/>
                <w:highlight w:val="none"/>
                <w:lang w:val="en-US" w:eastAsia="zh-CN"/>
              </w:rPr>
              <w:t>，监控点处任意一次浓度值）。</w:t>
            </w:r>
          </w:p>
          <w:p>
            <w:pPr>
              <w:pStyle w:val="12"/>
              <w:ind w:firstLine="480"/>
              <w:rPr>
                <w:rFonts w:hint="eastAsia"/>
                <w:color w:val="auto"/>
                <w:highlight w:val="none"/>
                <w:lang w:val="en-US" w:eastAsia="zh-CN"/>
              </w:rPr>
            </w:pPr>
            <w:r>
              <w:rPr>
                <w:rFonts w:hint="eastAsia"/>
                <w:color w:val="auto"/>
                <w:highlight w:val="none"/>
                <w:lang w:val="en-US" w:eastAsia="zh-CN"/>
              </w:rPr>
              <w:t>硫酸雾执行《大气污染物综合排放标准》（GB16297-1996）表2污染物排放限值。</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废气污染物排放执行标准表</w:t>
            </w:r>
          </w:p>
          <w:tbl>
            <w:tblPr>
              <w:tblStyle w:val="15"/>
              <w:tblW w:w="797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7"/>
              <w:gridCol w:w="1115"/>
              <w:gridCol w:w="3018"/>
              <w:gridCol w:w="30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1" w:hRule="atLeast"/>
              </w:trPr>
              <w:tc>
                <w:tcPr>
                  <w:tcW w:w="807" w:type="dxa"/>
                  <w:vAlign w:val="center"/>
                </w:tcPr>
                <w:p>
                  <w:pPr>
                    <w:pStyle w:val="25"/>
                    <w:rPr>
                      <w:rFonts w:hint="default"/>
                      <w:color w:val="auto"/>
                      <w:highlight w:val="none"/>
                    </w:rPr>
                  </w:pPr>
                  <w:r>
                    <w:rPr>
                      <w:rFonts w:hint="default"/>
                      <w:color w:val="auto"/>
                      <w:highlight w:val="none"/>
                    </w:rPr>
                    <w:t>污染源</w:t>
                  </w:r>
                </w:p>
              </w:tc>
              <w:tc>
                <w:tcPr>
                  <w:tcW w:w="1115" w:type="dxa"/>
                  <w:vAlign w:val="center"/>
                </w:tcPr>
                <w:p>
                  <w:pPr>
                    <w:pStyle w:val="25"/>
                    <w:rPr>
                      <w:rFonts w:hint="default"/>
                      <w:color w:val="auto"/>
                      <w:highlight w:val="none"/>
                    </w:rPr>
                  </w:pPr>
                  <w:r>
                    <w:rPr>
                      <w:rFonts w:hint="default"/>
                      <w:color w:val="auto"/>
                      <w:highlight w:val="none"/>
                    </w:rPr>
                    <w:t>污染物</w:t>
                  </w:r>
                </w:p>
              </w:tc>
              <w:tc>
                <w:tcPr>
                  <w:tcW w:w="3018" w:type="dxa"/>
                  <w:vAlign w:val="center"/>
                </w:tcPr>
                <w:p>
                  <w:pPr>
                    <w:pStyle w:val="25"/>
                    <w:rPr>
                      <w:rFonts w:hint="default"/>
                      <w:color w:val="auto"/>
                      <w:highlight w:val="none"/>
                    </w:rPr>
                  </w:pPr>
                  <w:r>
                    <w:rPr>
                      <w:rFonts w:hint="default"/>
                      <w:color w:val="auto"/>
                      <w:highlight w:val="none"/>
                    </w:rPr>
                    <w:t>无组织排放监控浓度限值（mg/m</w:t>
                  </w:r>
                  <w:r>
                    <w:rPr>
                      <w:rFonts w:hint="default"/>
                      <w:color w:val="auto"/>
                      <w:highlight w:val="none"/>
                      <w:vertAlign w:val="superscript"/>
                    </w:rPr>
                    <w:t>3</w:t>
                  </w:r>
                  <w:r>
                    <w:rPr>
                      <w:rFonts w:hint="default"/>
                      <w:color w:val="auto"/>
                      <w:highlight w:val="none"/>
                    </w:rPr>
                    <w:t>）</w:t>
                  </w:r>
                </w:p>
              </w:tc>
              <w:tc>
                <w:tcPr>
                  <w:tcW w:w="3031" w:type="dxa"/>
                  <w:vAlign w:val="center"/>
                </w:tcPr>
                <w:p>
                  <w:pPr>
                    <w:pStyle w:val="25"/>
                    <w:rPr>
                      <w:rFonts w:hint="default"/>
                      <w:color w:val="auto"/>
                      <w:highlight w:val="none"/>
                    </w:rPr>
                  </w:pPr>
                  <w:r>
                    <w:rPr>
                      <w:rFonts w:hint="default"/>
                      <w:color w:val="auto"/>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807" w:type="dxa"/>
                  <w:vMerge w:val="restart"/>
                  <w:vAlign w:val="center"/>
                </w:tcPr>
                <w:p>
                  <w:pPr>
                    <w:pStyle w:val="22"/>
                    <w:rPr>
                      <w:rFonts w:hint="eastAsia" w:eastAsiaTheme="minorEastAsia"/>
                      <w:color w:val="auto"/>
                      <w:highlight w:val="none"/>
                      <w:lang w:eastAsia="zh-CN"/>
                    </w:rPr>
                  </w:pPr>
                  <w:r>
                    <w:rPr>
                      <w:rFonts w:hint="eastAsia"/>
                      <w:color w:val="auto"/>
                      <w:highlight w:val="none"/>
                      <w:lang w:eastAsia="zh-CN"/>
                    </w:rPr>
                    <w:t>危险废物贮存废气</w:t>
                  </w:r>
                </w:p>
              </w:tc>
              <w:tc>
                <w:tcPr>
                  <w:tcW w:w="1115" w:type="dxa"/>
                  <w:vMerge w:val="restart"/>
                  <w:vAlign w:val="center"/>
                </w:tcPr>
                <w:p>
                  <w:pPr>
                    <w:pStyle w:val="22"/>
                    <w:rPr>
                      <w:color w:val="auto"/>
                      <w:highlight w:val="none"/>
                    </w:rPr>
                  </w:pPr>
                  <w:r>
                    <w:rPr>
                      <w:rFonts w:hint="eastAsia"/>
                      <w:color w:val="auto"/>
                      <w:highlight w:val="none"/>
                      <w:lang w:eastAsia="zh-CN"/>
                    </w:rPr>
                    <w:t>非甲烷总烃</w:t>
                  </w:r>
                </w:p>
              </w:tc>
              <w:tc>
                <w:tcPr>
                  <w:tcW w:w="3018" w:type="dxa"/>
                  <w:vAlign w:val="center"/>
                </w:tcPr>
                <w:p>
                  <w:pPr>
                    <w:pStyle w:val="22"/>
                    <w:rPr>
                      <w:color w:val="auto"/>
                      <w:highlight w:val="none"/>
                    </w:rPr>
                  </w:pPr>
                  <w:r>
                    <w:rPr>
                      <w:rFonts w:hint="eastAsia"/>
                      <w:color w:val="auto"/>
                      <w:highlight w:val="none"/>
                      <w:lang w:val="en-US" w:eastAsia="zh-CN"/>
                    </w:rPr>
                    <w:t>4.0</w:t>
                  </w:r>
                </w:p>
              </w:tc>
              <w:tc>
                <w:tcPr>
                  <w:tcW w:w="3031" w:type="dxa"/>
                  <w:vAlign w:val="center"/>
                </w:tcPr>
                <w:p>
                  <w:pPr>
                    <w:pStyle w:val="22"/>
                    <w:rPr>
                      <w:color w:val="auto"/>
                      <w:highlight w:val="none"/>
                    </w:rPr>
                  </w:pPr>
                  <w:r>
                    <w:rPr>
                      <w:rFonts w:hint="eastAsia"/>
                      <w:color w:val="auto"/>
                      <w:highlight w:val="none"/>
                    </w:rPr>
                    <w:t>《大气污染物综合排放标准》（GB16297-1996）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8" w:hRule="atLeast"/>
              </w:trPr>
              <w:tc>
                <w:tcPr>
                  <w:tcW w:w="807" w:type="dxa"/>
                  <w:vMerge w:val="continue"/>
                  <w:vAlign w:val="center"/>
                </w:tcPr>
                <w:p>
                  <w:pPr>
                    <w:pStyle w:val="22"/>
                    <w:rPr>
                      <w:rFonts w:hint="eastAsia"/>
                      <w:color w:val="auto"/>
                      <w:highlight w:val="none"/>
                    </w:rPr>
                  </w:pPr>
                </w:p>
              </w:tc>
              <w:tc>
                <w:tcPr>
                  <w:tcW w:w="1115" w:type="dxa"/>
                  <w:vMerge w:val="continue"/>
                  <w:vAlign w:val="center"/>
                </w:tcPr>
                <w:p>
                  <w:pPr>
                    <w:pStyle w:val="22"/>
                    <w:rPr>
                      <w:rFonts w:hint="eastAsia" w:eastAsiaTheme="minorEastAsia"/>
                      <w:color w:val="auto"/>
                      <w:highlight w:val="none"/>
                      <w:lang w:eastAsia="zh-CN"/>
                    </w:rPr>
                  </w:pPr>
                </w:p>
              </w:tc>
              <w:tc>
                <w:tcPr>
                  <w:tcW w:w="3018"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6.0mg/m</w:t>
                  </w:r>
                  <w:r>
                    <w:rPr>
                      <w:rFonts w:hint="eastAsia"/>
                      <w:color w:val="auto"/>
                      <w:highlight w:val="none"/>
                      <w:vertAlign w:val="superscript"/>
                      <w:lang w:val="en-US" w:eastAsia="zh-CN"/>
                    </w:rPr>
                    <w:t>3</w:t>
                  </w:r>
                  <w:r>
                    <w:rPr>
                      <w:rFonts w:hint="eastAsia"/>
                      <w:color w:val="auto"/>
                      <w:highlight w:val="none"/>
                      <w:lang w:val="en-US" w:eastAsia="zh-CN"/>
                    </w:rPr>
                    <w:t>，监控点处1h平均浓度值；20mg/m</w:t>
                  </w:r>
                  <w:r>
                    <w:rPr>
                      <w:rFonts w:hint="eastAsia"/>
                      <w:color w:val="auto"/>
                      <w:highlight w:val="none"/>
                      <w:vertAlign w:val="superscript"/>
                      <w:lang w:val="en-US" w:eastAsia="zh-CN"/>
                    </w:rPr>
                    <w:t>3</w:t>
                  </w:r>
                  <w:r>
                    <w:rPr>
                      <w:rFonts w:hint="eastAsia"/>
                      <w:color w:val="auto"/>
                      <w:highlight w:val="none"/>
                      <w:lang w:val="en-US" w:eastAsia="zh-CN"/>
                    </w:rPr>
                    <w:t>，监控点处任意一次浓度值</w:t>
                  </w:r>
                </w:p>
              </w:tc>
              <w:tc>
                <w:tcPr>
                  <w:tcW w:w="3031" w:type="dxa"/>
                  <w:vAlign w:val="center"/>
                </w:tcPr>
                <w:p>
                  <w:pPr>
                    <w:pStyle w:val="22"/>
                    <w:rPr>
                      <w:rFonts w:hint="eastAsia"/>
                      <w:color w:val="auto"/>
                      <w:highlight w:val="none"/>
                    </w:rPr>
                  </w:pPr>
                  <w:r>
                    <w:rPr>
                      <w:rFonts w:hint="eastAsia"/>
                      <w:color w:val="auto"/>
                      <w:highlight w:val="none"/>
                      <w:lang w:eastAsia="zh-CN"/>
                    </w:rPr>
                    <w:t>《挥发性有机物无组织排放控制标准》（</w:t>
                  </w:r>
                  <w:r>
                    <w:rPr>
                      <w:rFonts w:hint="eastAsia"/>
                      <w:color w:val="auto"/>
                      <w:highlight w:val="none"/>
                      <w:lang w:val="en-US" w:eastAsia="zh-CN"/>
                    </w:rPr>
                    <w:t>GB 37822-2019</w:t>
                  </w:r>
                  <w:r>
                    <w:rPr>
                      <w:rFonts w:hint="eastAsia"/>
                      <w:color w:val="auto"/>
                      <w:highlight w:val="none"/>
                      <w:lang w:eastAsia="zh-CN"/>
                    </w:rPr>
                    <w:t>）</w:t>
                  </w:r>
                  <w:r>
                    <w:rPr>
                      <w:rFonts w:hint="eastAsia"/>
                      <w:color w:val="auto"/>
                      <w:highlight w:val="none"/>
                      <w:lang w:val="en-US" w:eastAsia="zh-CN"/>
                    </w:rPr>
                    <w:t>厂房外监控点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8" w:hRule="atLeast"/>
              </w:trPr>
              <w:tc>
                <w:tcPr>
                  <w:tcW w:w="807" w:type="dxa"/>
                  <w:vMerge w:val="continue"/>
                  <w:vAlign w:val="center"/>
                </w:tcPr>
                <w:p>
                  <w:pPr>
                    <w:pStyle w:val="22"/>
                    <w:rPr>
                      <w:rFonts w:hint="eastAsia"/>
                      <w:color w:val="auto"/>
                      <w:highlight w:val="none"/>
                    </w:rPr>
                  </w:pPr>
                </w:p>
              </w:tc>
              <w:tc>
                <w:tcPr>
                  <w:tcW w:w="1115" w:type="dxa"/>
                  <w:vAlign w:val="center"/>
                </w:tcPr>
                <w:p>
                  <w:pPr>
                    <w:pStyle w:val="22"/>
                    <w:rPr>
                      <w:rFonts w:hint="eastAsia" w:eastAsiaTheme="minorEastAsia"/>
                      <w:color w:val="auto"/>
                      <w:highlight w:val="none"/>
                      <w:lang w:eastAsia="zh-CN"/>
                    </w:rPr>
                  </w:pPr>
                  <w:r>
                    <w:rPr>
                      <w:rFonts w:hint="eastAsia"/>
                      <w:color w:val="auto"/>
                      <w:highlight w:val="none"/>
                      <w:lang w:eastAsia="zh-CN"/>
                    </w:rPr>
                    <w:t>硫酸雾</w:t>
                  </w:r>
                </w:p>
              </w:tc>
              <w:tc>
                <w:tcPr>
                  <w:tcW w:w="3018" w:type="dxa"/>
                  <w:vAlign w:val="center"/>
                </w:tcPr>
                <w:p>
                  <w:pPr>
                    <w:pStyle w:val="22"/>
                    <w:rPr>
                      <w:rFonts w:hint="eastAsia"/>
                      <w:color w:val="auto"/>
                      <w:highlight w:val="none"/>
                      <w:lang w:val="en-US" w:eastAsia="zh-CN"/>
                    </w:rPr>
                  </w:pPr>
                  <w:r>
                    <w:rPr>
                      <w:rFonts w:hint="eastAsia"/>
                      <w:color w:val="auto"/>
                      <w:highlight w:val="none"/>
                    </w:rPr>
                    <w:t>1.2</w:t>
                  </w:r>
                </w:p>
              </w:tc>
              <w:tc>
                <w:tcPr>
                  <w:tcW w:w="3031" w:type="dxa"/>
                  <w:vAlign w:val="center"/>
                </w:tcPr>
                <w:p>
                  <w:pPr>
                    <w:pStyle w:val="22"/>
                    <w:rPr>
                      <w:rFonts w:hint="eastAsia"/>
                      <w:color w:val="auto"/>
                      <w:highlight w:val="none"/>
                      <w:lang w:eastAsia="zh-CN"/>
                    </w:rPr>
                  </w:pPr>
                  <w:r>
                    <w:rPr>
                      <w:rFonts w:hint="eastAsia"/>
                      <w:color w:val="auto"/>
                      <w:highlight w:val="none"/>
                    </w:rPr>
                    <w:t>《大气污染物综合排放标准》（GB16297-1996）</w:t>
                  </w:r>
                </w:p>
              </w:tc>
            </w:tr>
          </w:tbl>
          <w:p>
            <w:pPr>
              <w:pStyle w:val="12"/>
              <w:ind w:firstLine="480"/>
              <w:rPr>
                <w:color w:val="auto"/>
                <w:highlight w:val="none"/>
              </w:rPr>
            </w:pPr>
            <w:r>
              <w:rPr>
                <w:rFonts w:hint="eastAsia"/>
                <w:color w:val="auto"/>
                <w:highlight w:val="none"/>
              </w:rPr>
              <w:t>（2）</w:t>
            </w:r>
            <w:r>
              <w:rPr>
                <w:color w:val="auto"/>
                <w:highlight w:val="none"/>
              </w:rPr>
              <w:t>噪声</w:t>
            </w:r>
          </w:p>
          <w:p>
            <w:pPr>
              <w:pStyle w:val="12"/>
              <w:ind w:firstLine="480"/>
              <w:rPr>
                <w:color w:val="auto"/>
                <w:highlight w:val="none"/>
              </w:rPr>
            </w:pPr>
            <w:r>
              <w:rPr>
                <w:color w:val="auto"/>
                <w:highlight w:val="none"/>
              </w:rPr>
              <w:t>厂界噪声排放执行</w:t>
            </w:r>
            <w:r>
              <w:rPr>
                <w:rFonts w:hint="eastAsia"/>
                <w:color w:val="auto"/>
                <w:highlight w:val="none"/>
              </w:rPr>
              <w:t>《工业企业厂界环境噪声排放标准》（GB12348-2008）中</w:t>
            </w:r>
            <w:r>
              <w:rPr>
                <w:rFonts w:hint="eastAsia"/>
                <w:color w:val="auto"/>
                <w:highlight w:val="none"/>
                <w:lang w:val="en-US" w:eastAsia="zh-CN"/>
              </w:rPr>
              <w:t>2</w:t>
            </w:r>
            <w:r>
              <w:rPr>
                <w:rFonts w:hint="eastAsia"/>
                <w:color w:val="auto"/>
                <w:highlight w:val="none"/>
              </w:rPr>
              <w:t>类标准[昼间</w:t>
            </w:r>
            <w:r>
              <w:rPr>
                <w:rFonts w:hint="eastAsia"/>
                <w:color w:val="auto"/>
                <w:highlight w:val="none"/>
                <w:lang w:val="en-US" w:eastAsia="zh-CN"/>
              </w:rPr>
              <w:t>60</w:t>
            </w:r>
            <w:r>
              <w:rPr>
                <w:rFonts w:hint="eastAsia"/>
                <w:color w:val="auto"/>
                <w:highlight w:val="none"/>
              </w:rPr>
              <w:t>dB(A)、夜间</w:t>
            </w:r>
            <w:r>
              <w:rPr>
                <w:rFonts w:hint="eastAsia"/>
                <w:color w:val="auto"/>
                <w:highlight w:val="none"/>
                <w:lang w:val="en-US" w:eastAsia="zh-CN"/>
              </w:rPr>
              <w:t>50</w:t>
            </w:r>
            <w:r>
              <w:rPr>
                <w:rFonts w:hint="eastAsia"/>
                <w:color w:val="auto"/>
                <w:highlight w:val="none"/>
              </w:rPr>
              <w:t>dB(A)</w:t>
            </w:r>
            <w:r>
              <w:rPr>
                <w:color w:val="auto"/>
                <w:highlight w:val="none"/>
              </w:rPr>
              <w:t>]。</w:t>
            </w:r>
          </w:p>
          <w:p>
            <w:pPr>
              <w:pStyle w:val="12"/>
              <w:ind w:firstLine="480"/>
              <w:rPr>
                <w:rFonts w:hint="eastAsia" w:eastAsia="宋体"/>
                <w:color w:val="auto"/>
                <w:highlight w:val="none"/>
                <w:lang w:eastAsia="zh-CN"/>
              </w:rPr>
            </w:pPr>
            <w:r>
              <w:rPr>
                <w:rFonts w:hint="eastAsia"/>
                <w:color w:val="auto"/>
                <w:highlight w:val="none"/>
              </w:rPr>
              <w:t>（3）</w:t>
            </w:r>
            <w:r>
              <w:rPr>
                <w:rFonts w:hint="eastAsia"/>
                <w:color w:val="auto"/>
                <w:highlight w:val="none"/>
                <w:lang w:eastAsia="zh-CN"/>
              </w:rPr>
              <w:t>危险废物</w:t>
            </w:r>
          </w:p>
          <w:p>
            <w:pPr>
              <w:pStyle w:val="12"/>
              <w:ind w:firstLine="480"/>
              <w:rPr>
                <w:rFonts w:hint="eastAsia"/>
                <w:color w:val="auto"/>
                <w:highlight w:val="none"/>
              </w:rPr>
            </w:pPr>
            <w:r>
              <w:rPr>
                <w:rFonts w:hint="eastAsia"/>
                <w:color w:val="auto"/>
                <w:highlight w:val="none"/>
              </w:rPr>
              <w:t>危险废物执行《危险废物贮存污染控制标准》（GB18597</w:t>
            </w:r>
            <w:r>
              <w:rPr>
                <w:rFonts w:hint="eastAsia"/>
                <w:color w:val="auto"/>
                <w:highlight w:val="none"/>
                <w:lang w:val="en-US" w:eastAsia="zh-CN"/>
              </w:rPr>
              <w:t>-</w:t>
            </w:r>
            <w:r>
              <w:rPr>
                <w:rFonts w:hint="eastAsia"/>
                <w:color w:val="auto"/>
                <w:highlight w:val="none"/>
              </w:rPr>
              <w:t>2023）。</w:t>
            </w: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941" w:hRule="atLeast"/>
          <w:jc w:val="center"/>
        </w:trPr>
        <w:tc>
          <w:tcPr>
            <w:tcW w:w="790" w:type="dxa"/>
            <w:vAlign w:val="center"/>
          </w:tcPr>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总量</w:t>
            </w:r>
          </w:p>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控制</w:t>
            </w:r>
          </w:p>
          <w:p>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指标</w:t>
            </w:r>
          </w:p>
        </w:tc>
        <w:tc>
          <w:tcPr>
            <w:tcW w:w="8190" w:type="dxa"/>
            <w:vAlign w:val="center"/>
          </w:tcPr>
          <w:p>
            <w:pPr>
              <w:pStyle w:val="12"/>
              <w:ind w:firstLine="480"/>
              <w:rPr>
                <w:color w:val="auto"/>
                <w:highlight w:val="none"/>
              </w:rPr>
            </w:pPr>
            <w:r>
              <w:rPr>
                <w:rFonts w:hint="eastAsia"/>
                <w:color w:val="auto"/>
                <w:highlight w:val="none"/>
              </w:rPr>
              <w:t>根据《辽宁省“十四五”生态环境保护规划》、《朝阳市“十四五”生态环境保护规划》</w:t>
            </w:r>
            <w:r>
              <w:rPr>
                <w:rFonts w:hint="eastAsia"/>
                <w:color w:val="auto"/>
                <w:highlight w:val="none"/>
                <w:lang w:eastAsia="zh-CN"/>
              </w:rPr>
              <w:t>，</w:t>
            </w:r>
            <w:r>
              <w:rPr>
                <w:rFonts w:hint="eastAsia"/>
                <w:color w:val="auto"/>
                <w:highlight w:val="none"/>
              </w:rPr>
              <w:t>“十四五”期间污染物总量控制指标为四项</w:t>
            </w:r>
            <w:r>
              <w:rPr>
                <w:rFonts w:hint="eastAsia"/>
                <w:color w:val="auto"/>
                <w:highlight w:val="none"/>
                <w:lang w:eastAsia="zh-CN"/>
              </w:rPr>
              <w:t>，</w:t>
            </w:r>
            <w:r>
              <w:rPr>
                <w:rFonts w:hint="eastAsia"/>
                <w:color w:val="auto"/>
                <w:highlight w:val="none"/>
              </w:rPr>
              <w:t>大气污染物：氮氧化物、挥发性有机物</w:t>
            </w:r>
            <w:r>
              <w:rPr>
                <w:rFonts w:hint="eastAsia"/>
                <w:color w:val="auto"/>
                <w:highlight w:val="none"/>
                <w:lang w:eastAsia="zh-CN"/>
              </w:rPr>
              <w:t>，</w:t>
            </w:r>
            <w:r>
              <w:rPr>
                <w:rFonts w:hint="eastAsia"/>
                <w:color w:val="auto"/>
                <w:highlight w:val="none"/>
              </w:rPr>
              <w:t>水污染物：化学需氧量、氨氮。</w:t>
            </w:r>
          </w:p>
          <w:p>
            <w:pPr>
              <w:pStyle w:val="12"/>
              <w:ind w:firstLine="480"/>
              <w:rPr>
                <w:color w:val="auto"/>
                <w:highlight w:val="none"/>
              </w:rPr>
            </w:pPr>
            <w:r>
              <w:rPr>
                <w:rFonts w:hint="eastAsia"/>
                <w:color w:val="auto"/>
                <w:highlight w:val="none"/>
              </w:rPr>
              <w:t>结合本项目的具体情况</w:t>
            </w:r>
            <w:r>
              <w:rPr>
                <w:rFonts w:hint="eastAsia"/>
                <w:color w:val="auto"/>
                <w:highlight w:val="none"/>
                <w:lang w:eastAsia="zh-CN"/>
              </w:rPr>
              <w:t>，</w:t>
            </w:r>
            <w:r>
              <w:rPr>
                <w:rFonts w:hint="eastAsia"/>
                <w:color w:val="auto"/>
                <w:highlight w:val="none"/>
              </w:rPr>
              <w:t>本项目总量控制指标为：</w:t>
            </w:r>
          </w:p>
          <w:p>
            <w:pPr>
              <w:pStyle w:val="12"/>
              <w:ind w:firstLine="480"/>
              <w:rPr>
                <w:color w:val="auto"/>
                <w:highlight w:val="none"/>
              </w:rPr>
            </w:pPr>
            <w:r>
              <w:rPr>
                <w:rFonts w:hint="eastAsia"/>
                <w:color w:val="auto"/>
                <w:highlight w:val="none"/>
              </w:rPr>
              <w:t>废气：氮氧化物总量指标为0t/a</w:t>
            </w:r>
            <w:r>
              <w:rPr>
                <w:rFonts w:hint="eastAsia"/>
                <w:color w:val="auto"/>
                <w:highlight w:val="none"/>
                <w:lang w:eastAsia="zh-CN"/>
              </w:rPr>
              <w:t>，</w:t>
            </w:r>
            <w:r>
              <w:rPr>
                <w:rFonts w:hint="eastAsia"/>
                <w:color w:val="auto"/>
                <w:highlight w:val="none"/>
              </w:rPr>
              <w:t>VOCs总量指标为</w:t>
            </w:r>
            <w:r>
              <w:rPr>
                <w:rFonts w:hint="eastAsia"/>
                <w:color w:val="auto"/>
                <w:highlight w:val="none"/>
                <w:lang w:val="en-US" w:eastAsia="zh-CN"/>
              </w:rPr>
              <w:t>0.00696</w:t>
            </w:r>
            <w:r>
              <w:rPr>
                <w:rFonts w:hint="eastAsia"/>
                <w:color w:val="auto"/>
                <w:highlight w:val="none"/>
              </w:rPr>
              <w:t>t/a。</w:t>
            </w:r>
          </w:p>
          <w:p>
            <w:pPr>
              <w:pStyle w:val="12"/>
              <w:ind w:firstLine="480"/>
              <w:rPr>
                <w:color w:val="auto"/>
                <w:highlight w:val="none"/>
              </w:rPr>
            </w:pPr>
            <w:r>
              <w:rPr>
                <w:rFonts w:hint="eastAsia"/>
                <w:color w:val="auto"/>
                <w:highlight w:val="none"/>
              </w:rPr>
              <w:t>废水总量指标为：COD：0t/a</w:t>
            </w:r>
            <w:r>
              <w:rPr>
                <w:rFonts w:hint="eastAsia"/>
                <w:color w:val="auto"/>
                <w:highlight w:val="none"/>
                <w:lang w:eastAsia="zh-CN"/>
              </w:rPr>
              <w:t>，</w:t>
            </w:r>
            <w:r>
              <w:rPr>
                <w:rFonts w:hint="eastAsia"/>
                <w:color w:val="auto"/>
                <w:highlight w:val="none"/>
              </w:rPr>
              <w:t>氨氮：0t/a。</w:t>
            </w: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480"/>
              <w:textAlignment w:val="auto"/>
              <w:rPr>
                <w:color w:val="auto"/>
                <w:highlight w:val="none"/>
              </w:rPr>
            </w:pPr>
          </w:p>
          <w:p>
            <w:pPr>
              <w:pStyle w:val="12"/>
              <w:ind w:firstLine="480"/>
              <w:rPr>
                <w:color w:val="auto"/>
                <w:highlight w:val="none"/>
              </w:rPr>
            </w:pPr>
          </w:p>
        </w:tc>
      </w:tr>
    </w:tbl>
    <w:p>
      <w:pPr>
        <w:jc w:val="center"/>
        <w:outlineLvl w:val="0"/>
        <w:rPr>
          <w:rFonts w:ascii="黑体" w:hAnsi="黑体" w:eastAsia="黑体"/>
          <w:snapToGrid w:val="0"/>
          <w:color w:val="auto"/>
          <w:sz w:val="30"/>
          <w:szCs w:val="30"/>
          <w:highlight w:val="none"/>
        </w:rPr>
      </w:pPr>
      <w:r>
        <w:rPr>
          <w:rFonts w:ascii="黑体" w:hAnsi="黑体" w:eastAsia="黑体"/>
          <w:snapToGrid w:val="0"/>
          <w:color w:val="auto"/>
          <w:sz w:val="36"/>
          <w:szCs w:val="36"/>
          <w:highlight w:val="none"/>
        </w:rPr>
        <w:br w:type="page"/>
      </w:r>
      <w:r>
        <w:rPr>
          <w:rFonts w:hint="eastAsia" w:ascii="黑体" w:hAnsi="黑体" w:eastAsia="黑体"/>
          <w:snapToGrid w:val="0"/>
          <w:color w:val="auto"/>
          <w:sz w:val="30"/>
          <w:szCs w:val="30"/>
          <w:highlight w:val="none"/>
        </w:rPr>
        <w:t>四、主要环境影响和保护措施</w:t>
      </w:r>
    </w:p>
    <w:tbl>
      <w:tblPr>
        <w:tblStyle w:val="15"/>
        <w:tblW w:w="8981"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94"/>
        <w:gridCol w:w="818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503" w:hRule="atLeast"/>
          <w:jc w:val="center"/>
        </w:trPr>
        <w:tc>
          <w:tcPr>
            <w:tcW w:w="794" w:type="dxa"/>
            <w:tcMar>
              <w:left w:w="28" w:type="dxa"/>
              <w:right w:w="28" w:type="dxa"/>
            </w:tcMar>
            <w:vAlign w:val="center"/>
          </w:tcPr>
          <w:p>
            <w:pPr>
              <w:adjustRightInd w:val="0"/>
              <w:snapToGrid w:val="0"/>
              <w:jc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施工</w:t>
            </w:r>
          </w:p>
          <w:p>
            <w:pPr>
              <w:adjustRightInd w:val="0"/>
              <w:snapToGrid w:val="0"/>
              <w:jc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期环</w:t>
            </w:r>
          </w:p>
          <w:p>
            <w:pPr>
              <w:adjustRightInd w:val="0"/>
              <w:snapToGrid w:val="0"/>
              <w:jc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境保</w:t>
            </w:r>
          </w:p>
          <w:p>
            <w:pPr>
              <w:adjustRightInd w:val="0"/>
              <w:snapToGrid w:val="0"/>
              <w:jc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护措</w:t>
            </w:r>
          </w:p>
          <w:p>
            <w:pPr>
              <w:adjustRightInd w:val="0"/>
              <w:snapToGrid w:val="0"/>
              <w:jc w:val="center"/>
              <w:rPr>
                <w:rFonts w:cs="宋体"/>
                <w:bCs/>
                <w:color w:val="auto"/>
                <w:sz w:val="21"/>
                <w:szCs w:val="21"/>
                <w:highlight w:val="none"/>
              </w:rPr>
            </w:pPr>
            <w:r>
              <w:rPr>
                <w:rFonts w:hint="eastAsia" w:ascii="宋体" w:hAnsi="宋体" w:cs="宋体"/>
                <w:color w:val="auto"/>
                <w:kern w:val="0"/>
                <w:szCs w:val="21"/>
                <w:highlight w:val="none"/>
              </w:rPr>
              <w:t>施</w:t>
            </w:r>
          </w:p>
        </w:tc>
        <w:tc>
          <w:tcPr>
            <w:tcW w:w="8187" w:type="dxa"/>
            <w:vAlign w:val="center"/>
          </w:tcPr>
          <w:p>
            <w:pPr>
              <w:pStyle w:val="27"/>
              <w:ind w:firstLine="482"/>
              <w:rPr>
                <w:rFonts w:hint="default"/>
                <w:color w:val="auto"/>
                <w:highlight w:val="none"/>
              </w:rPr>
            </w:pPr>
            <w:r>
              <w:rPr>
                <w:color w:val="auto"/>
                <w:highlight w:val="none"/>
              </w:rPr>
              <w:t>1废气</w:t>
            </w:r>
          </w:p>
          <w:p>
            <w:pPr>
              <w:autoSpaceDE w:val="0"/>
              <w:autoSpaceDN w:val="0"/>
              <w:spacing w:line="360" w:lineRule="auto"/>
              <w:ind w:firstLine="480" w:firstLineChars="200"/>
              <w:rPr>
                <w:rFonts w:hint="eastAsia"/>
                <w:color w:val="auto"/>
                <w:highlight w:val="none"/>
              </w:rPr>
            </w:pPr>
            <w:r>
              <w:rPr>
                <w:rFonts w:hint="eastAsia"/>
                <w:color w:val="auto"/>
                <w:highlight w:val="none"/>
              </w:rPr>
              <w:t>施工期对地面</w:t>
            </w:r>
            <w:r>
              <w:rPr>
                <w:rFonts w:hint="eastAsia"/>
                <w:color w:val="auto"/>
                <w:highlight w:val="none"/>
                <w:lang w:eastAsia="zh-CN"/>
              </w:rPr>
              <w:t>基础施工，厂房结构施工，</w:t>
            </w:r>
            <w:r>
              <w:rPr>
                <w:rFonts w:hint="eastAsia"/>
                <w:color w:val="auto"/>
                <w:highlight w:val="none"/>
              </w:rPr>
              <w:t>导流渠及</w:t>
            </w:r>
            <w:r>
              <w:rPr>
                <w:rFonts w:hint="eastAsia"/>
                <w:color w:val="auto"/>
                <w:highlight w:val="none"/>
                <w:lang w:eastAsia="zh-CN"/>
              </w:rPr>
              <w:t>集液池等</w:t>
            </w:r>
            <w:r>
              <w:rPr>
                <w:rFonts w:hint="eastAsia"/>
                <w:color w:val="auto"/>
                <w:highlight w:val="none"/>
              </w:rPr>
              <w:t>挖掘</w:t>
            </w:r>
            <w:r>
              <w:rPr>
                <w:rFonts w:hint="eastAsia"/>
                <w:color w:val="auto"/>
                <w:highlight w:val="none"/>
                <w:lang w:eastAsia="zh-CN"/>
              </w:rPr>
              <w:t>，地面硬化、防渗、</w:t>
            </w:r>
            <w:r>
              <w:rPr>
                <w:rFonts w:hint="eastAsia"/>
                <w:color w:val="auto"/>
                <w:highlight w:val="none"/>
              </w:rPr>
              <w:t>各类分区</w:t>
            </w:r>
            <w:r>
              <w:rPr>
                <w:rFonts w:hint="eastAsia"/>
                <w:color w:val="auto"/>
                <w:highlight w:val="none"/>
                <w:lang w:eastAsia="zh-CN"/>
              </w:rPr>
              <w:t>隔断</w:t>
            </w:r>
            <w:r>
              <w:rPr>
                <w:rFonts w:hint="eastAsia"/>
                <w:color w:val="auto"/>
                <w:highlight w:val="none"/>
              </w:rPr>
              <w:t>过程中</w:t>
            </w:r>
            <w:r>
              <w:rPr>
                <w:rFonts w:hint="eastAsia"/>
                <w:color w:val="auto"/>
                <w:highlight w:val="none"/>
                <w:lang w:eastAsia="zh-CN"/>
              </w:rPr>
              <w:t>，</w:t>
            </w:r>
            <w:r>
              <w:rPr>
                <w:rFonts w:hint="eastAsia"/>
                <w:color w:val="auto"/>
                <w:highlight w:val="none"/>
              </w:rPr>
              <w:t>存在少量扬尘</w:t>
            </w:r>
            <w:r>
              <w:rPr>
                <w:rFonts w:hint="eastAsia"/>
                <w:color w:val="auto"/>
                <w:highlight w:val="none"/>
                <w:lang w:eastAsia="zh-CN"/>
              </w:rPr>
              <w:t>，其环境保护措施如下：</w:t>
            </w:r>
          </w:p>
          <w:p>
            <w:pPr>
              <w:autoSpaceDE w:val="0"/>
              <w:autoSpaceDN w:val="0"/>
              <w:spacing w:line="360" w:lineRule="auto"/>
              <w:ind w:firstLine="480" w:firstLineChars="200"/>
              <w:rPr>
                <w:rFonts w:hint="eastAsia"/>
                <w:color w:val="auto"/>
                <w:highlight w:val="none"/>
              </w:rPr>
            </w:pPr>
            <w:r>
              <w:rPr>
                <w:rFonts w:hint="eastAsia"/>
                <w:color w:val="auto"/>
                <w:highlight w:val="none"/>
              </w:rPr>
              <w:t>（1）对施工现场进行科学管理</w:t>
            </w:r>
            <w:r>
              <w:rPr>
                <w:rFonts w:hint="eastAsia"/>
                <w:color w:val="auto"/>
                <w:highlight w:val="none"/>
                <w:lang w:eastAsia="zh-CN"/>
              </w:rPr>
              <w:t>，</w:t>
            </w:r>
            <w:r>
              <w:rPr>
                <w:rFonts w:hint="eastAsia"/>
                <w:color w:val="auto"/>
                <w:highlight w:val="none"/>
              </w:rPr>
              <w:t>原材料统一堆放</w:t>
            </w:r>
            <w:r>
              <w:rPr>
                <w:rFonts w:hint="eastAsia"/>
                <w:color w:val="auto"/>
                <w:highlight w:val="none"/>
                <w:lang w:eastAsia="zh-CN"/>
              </w:rPr>
              <w:t>，</w:t>
            </w:r>
            <w:r>
              <w:rPr>
                <w:rFonts w:hint="eastAsia"/>
                <w:color w:val="auto"/>
                <w:highlight w:val="none"/>
              </w:rPr>
              <w:t>尽量减少搬运环节</w:t>
            </w:r>
            <w:r>
              <w:rPr>
                <w:rFonts w:hint="eastAsia"/>
                <w:color w:val="auto"/>
                <w:highlight w:val="none"/>
                <w:lang w:eastAsia="zh-CN"/>
              </w:rPr>
              <w:t>，</w:t>
            </w:r>
            <w:r>
              <w:rPr>
                <w:rFonts w:hint="eastAsia"/>
                <w:color w:val="auto"/>
                <w:highlight w:val="none"/>
              </w:rPr>
              <w:t>搬运时轻举轻放</w:t>
            </w:r>
            <w:r>
              <w:rPr>
                <w:rFonts w:hint="eastAsia"/>
                <w:color w:val="auto"/>
                <w:highlight w:val="none"/>
                <w:lang w:eastAsia="zh-CN"/>
              </w:rPr>
              <w:t>，</w:t>
            </w:r>
            <w:r>
              <w:rPr>
                <w:rFonts w:hint="eastAsia"/>
                <w:color w:val="auto"/>
                <w:highlight w:val="none"/>
              </w:rPr>
              <w:t>防止扬尘；</w:t>
            </w:r>
          </w:p>
          <w:p>
            <w:pPr>
              <w:autoSpaceDE w:val="0"/>
              <w:autoSpaceDN w:val="0"/>
              <w:spacing w:line="360" w:lineRule="auto"/>
              <w:ind w:firstLine="480" w:firstLineChars="200"/>
              <w:rPr>
                <w:rFonts w:hint="eastAsia"/>
                <w:color w:val="auto"/>
                <w:highlight w:val="none"/>
              </w:rPr>
            </w:pPr>
            <w:r>
              <w:rPr>
                <w:rFonts w:hint="eastAsia"/>
                <w:color w:val="auto"/>
                <w:highlight w:val="none"/>
              </w:rPr>
              <w:t>（2）施工现场要设围栏或部分围栏</w:t>
            </w:r>
            <w:r>
              <w:rPr>
                <w:rFonts w:hint="eastAsia"/>
                <w:color w:val="auto"/>
                <w:highlight w:val="none"/>
                <w:lang w:eastAsia="zh-CN"/>
              </w:rPr>
              <w:t>，</w:t>
            </w:r>
            <w:r>
              <w:rPr>
                <w:rFonts w:hint="eastAsia"/>
                <w:color w:val="auto"/>
                <w:highlight w:val="none"/>
              </w:rPr>
              <w:t>减少施工扬尘扩散范围；</w:t>
            </w:r>
          </w:p>
          <w:p>
            <w:pPr>
              <w:autoSpaceDE w:val="0"/>
              <w:autoSpaceDN w:val="0"/>
              <w:spacing w:line="360" w:lineRule="auto"/>
              <w:ind w:firstLine="480" w:firstLineChars="200"/>
              <w:rPr>
                <w:rFonts w:hint="eastAsia"/>
                <w:color w:val="auto"/>
                <w:highlight w:val="none"/>
              </w:rPr>
            </w:pPr>
            <w:r>
              <w:rPr>
                <w:rFonts w:hint="eastAsia"/>
                <w:color w:val="auto"/>
                <w:highlight w:val="none"/>
              </w:rPr>
              <w:t>（3）易产生扬尘的</w:t>
            </w:r>
            <w:r>
              <w:rPr>
                <w:rFonts w:hint="eastAsia"/>
                <w:color w:val="auto"/>
                <w:highlight w:val="none"/>
                <w:lang w:eastAsia="zh-CN"/>
              </w:rPr>
              <w:t>地面挖掘</w:t>
            </w:r>
            <w:r>
              <w:rPr>
                <w:rFonts w:hint="eastAsia"/>
                <w:color w:val="auto"/>
                <w:highlight w:val="none"/>
              </w:rPr>
              <w:t>等施工时</w:t>
            </w:r>
            <w:r>
              <w:rPr>
                <w:rFonts w:hint="eastAsia"/>
                <w:color w:val="auto"/>
                <w:highlight w:val="none"/>
                <w:lang w:eastAsia="zh-CN"/>
              </w:rPr>
              <w:t>，</w:t>
            </w:r>
            <w:r>
              <w:rPr>
                <w:rFonts w:hint="eastAsia"/>
                <w:color w:val="auto"/>
                <w:highlight w:val="none"/>
              </w:rPr>
              <w:t>采取洒水等抑尘措施；</w:t>
            </w:r>
          </w:p>
          <w:p>
            <w:pPr>
              <w:autoSpaceDE w:val="0"/>
              <w:autoSpaceDN w:val="0"/>
              <w:spacing w:line="360" w:lineRule="auto"/>
              <w:ind w:firstLine="480" w:firstLineChars="200"/>
              <w:rPr>
                <w:rFonts w:hint="eastAsia"/>
                <w:color w:val="auto"/>
                <w:highlight w:val="none"/>
              </w:rPr>
            </w:pPr>
            <w:r>
              <w:rPr>
                <w:rFonts w:hint="eastAsia"/>
                <w:color w:val="auto"/>
                <w:highlight w:val="none"/>
              </w:rPr>
              <w:t>（</w:t>
            </w:r>
            <w:r>
              <w:rPr>
                <w:rFonts w:hint="eastAsia"/>
                <w:color w:val="auto"/>
                <w:highlight w:val="none"/>
                <w:lang w:val="en-US" w:eastAsia="zh-CN"/>
              </w:rPr>
              <w:t>4</w:t>
            </w:r>
            <w:r>
              <w:rPr>
                <w:rFonts w:hint="eastAsia"/>
                <w:color w:val="auto"/>
                <w:highlight w:val="none"/>
              </w:rPr>
              <w:t>）对工程材料等易产生扬尘的物料密闭处理。在施工工地内堆放的</w:t>
            </w:r>
            <w:r>
              <w:rPr>
                <w:rFonts w:hint="eastAsia"/>
                <w:color w:val="auto"/>
                <w:highlight w:val="none"/>
                <w:lang w:eastAsia="zh-CN"/>
              </w:rPr>
              <w:t>，</w:t>
            </w:r>
            <w:r>
              <w:rPr>
                <w:rFonts w:hint="eastAsia"/>
                <w:color w:val="auto"/>
                <w:highlight w:val="none"/>
              </w:rPr>
              <w:t>采取覆盖防尘网或者防尘布</w:t>
            </w:r>
            <w:r>
              <w:rPr>
                <w:rFonts w:hint="eastAsia"/>
                <w:color w:val="auto"/>
                <w:highlight w:val="none"/>
                <w:lang w:eastAsia="zh-CN"/>
              </w:rPr>
              <w:t>，</w:t>
            </w:r>
            <w:r>
              <w:rPr>
                <w:rFonts w:hint="eastAsia"/>
                <w:color w:val="auto"/>
                <w:highlight w:val="none"/>
              </w:rPr>
              <w:t>定期采取洒水等措施；</w:t>
            </w:r>
          </w:p>
          <w:p>
            <w:pPr>
              <w:autoSpaceDE w:val="0"/>
              <w:autoSpaceDN w:val="0"/>
              <w:spacing w:line="360" w:lineRule="auto"/>
              <w:ind w:firstLine="480" w:firstLineChars="200"/>
              <w:rPr>
                <w:rFonts w:hint="eastAsia"/>
                <w:color w:val="auto"/>
                <w:highlight w:val="none"/>
              </w:rPr>
            </w:pPr>
            <w:r>
              <w:rPr>
                <w:rFonts w:hint="eastAsia"/>
                <w:color w:val="auto"/>
                <w:highlight w:val="none"/>
              </w:rPr>
              <w:t>（</w:t>
            </w:r>
            <w:r>
              <w:rPr>
                <w:rFonts w:hint="eastAsia"/>
                <w:color w:val="auto"/>
                <w:highlight w:val="none"/>
                <w:lang w:val="en-US" w:eastAsia="zh-CN"/>
              </w:rPr>
              <w:t>5</w:t>
            </w:r>
            <w:r>
              <w:rPr>
                <w:rFonts w:hint="eastAsia"/>
                <w:color w:val="auto"/>
                <w:highlight w:val="none"/>
              </w:rPr>
              <w:t>）运输车辆应使用清洁燃料</w:t>
            </w:r>
            <w:r>
              <w:rPr>
                <w:rFonts w:hint="eastAsia"/>
                <w:color w:val="auto"/>
                <w:highlight w:val="none"/>
                <w:lang w:eastAsia="zh-CN"/>
              </w:rPr>
              <w:t>，</w:t>
            </w:r>
            <w:r>
              <w:rPr>
                <w:rFonts w:hint="eastAsia"/>
                <w:color w:val="auto"/>
                <w:highlight w:val="none"/>
              </w:rPr>
              <w:t>以尽量减少汽车尾气的外排；</w:t>
            </w:r>
          </w:p>
          <w:p>
            <w:pPr>
              <w:autoSpaceDE w:val="0"/>
              <w:autoSpaceDN w:val="0"/>
              <w:spacing w:line="360" w:lineRule="auto"/>
              <w:ind w:firstLine="480" w:firstLineChars="200"/>
              <w:rPr>
                <w:color w:val="auto"/>
                <w:highlight w:val="none"/>
              </w:rPr>
            </w:pPr>
            <w:r>
              <w:rPr>
                <w:rFonts w:hint="eastAsia"/>
                <w:color w:val="auto"/>
                <w:highlight w:val="none"/>
              </w:rPr>
              <w:t>施工过程在厂房内</w:t>
            </w:r>
            <w:r>
              <w:rPr>
                <w:rFonts w:hint="eastAsia"/>
                <w:color w:val="auto"/>
                <w:highlight w:val="none"/>
                <w:lang w:eastAsia="zh-CN"/>
              </w:rPr>
              <w:t>，</w:t>
            </w:r>
            <w:r>
              <w:rPr>
                <w:rFonts w:hint="eastAsia"/>
                <w:color w:val="auto"/>
                <w:highlight w:val="none"/>
              </w:rPr>
              <w:t>扬尘可得到有效控制</w:t>
            </w:r>
            <w:r>
              <w:rPr>
                <w:rFonts w:hint="eastAsia"/>
                <w:color w:val="auto"/>
                <w:highlight w:val="none"/>
                <w:lang w:eastAsia="zh-CN"/>
              </w:rPr>
              <w:t>，</w:t>
            </w:r>
            <w:r>
              <w:rPr>
                <w:rFonts w:hint="eastAsia"/>
                <w:color w:val="auto"/>
                <w:highlight w:val="none"/>
              </w:rPr>
              <w:t>且项目施工期较短</w:t>
            </w:r>
            <w:r>
              <w:rPr>
                <w:rFonts w:hint="eastAsia"/>
                <w:color w:val="auto"/>
                <w:highlight w:val="none"/>
                <w:lang w:eastAsia="zh-CN"/>
              </w:rPr>
              <w:t>，</w:t>
            </w:r>
            <w:r>
              <w:rPr>
                <w:rFonts w:hint="eastAsia"/>
                <w:color w:val="auto"/>
                <w:highlight w:val="none"/>
              </w:rPr>
              <w:t>施工废气对周围环境影响较小。</w:t>
            </w:r>
          </w:p>
          <w:p>
            <w:pPr>
              <w:pStyle w:val="27"/>
              <w:ind w:firstLine="482"/>
              <w:rPr>
                <w:rFonts w:hint="default"/>
                <w:color w:val="auto"/>
                <w:highlight w:val="none"/>
              </w:rPr>
            </w:pPr>
            <w:r>
              <w:rPr>
                <w:color w:val="auto"/>
                <w:highlight w:val="none"/>
              </w:rPr>
              <w:t>2废水</w:t>
            </w:r>
          </w:p>
          <w:p>
            <w:pPr>
              <w:autoSpaceDE w:val="0"/>
              <w:autoSpaceDN w:val="0"/>
              <w:spacing w:line="360" w:lineRule="auto"/>
              <w:ind w:firstLine="480" w:firstLineChars="200"/>
              <w:rPr>
                <w:color w:val="auto"/>
                <w:highlight w:val="none"/>
              </w:rPr>
            </w:pPr>
            <w:r>
              <w:rPr>
                <w:rFonts w:hint="eastAsia"/>
                <w:color w:val="auto"/>
                <w:highlight w:val="none"/>
              </w:rPr>
              <w:t>项目施工期废水主要是施工人员的日常生活污水</w:t>
            </w:r>
            <w:r>
              <w:rPr>
                <w:rFonts w:hint="eastAsia"/>
                <w:color w:val="auto"/>
                <w:highlight w:val="none"/>
                <w:lang w:eastAsia="zh-CN"/>
              </w:rPr>
              <w:t>和施工废水</w:t>
            </w:r>
            <w:r>
              <w:rPr>
                <w:rFonts w:hint="eastAsia"/>
                <w:color w:val="auto"/>
                <w:highlight w:val="none"/>
              </w:rPr>
              <w:t>。</w:t>
            </w:r>
          </w:p>
          <w:p>
            <w:pPr>
              <w:autoSpaceDE w:val="0"/>
              <w:autoSpaceDN w:val="0"/>
              <w:spacing w:line="360" w:lineRule="auto"/>
              <w:ind w:firstLine="480" w:firstLineChars="200"/>
              <w:rPr>
                <w:color w:val="auto"/>
                <w:highlight w:val="none"/>
              </w:rPr>
            </w:pPr>
            <w:r>
              <w:rPr>
                <w:rFonts w:hint="eastAsia"/>
                <w:color w:val="auto"/>
                <w:highlight w:val="none"/>
              </w:rPr>
              <w:t>施工人员生活污水</w:t>
            </w:r>
            <w:r>
              <w:rPr>
                <w:rFonts w:hint="eastAsia"/>
                <w:color w:val="auto"/>
                <w:highlight w:val="none"/>
                <w:lang w:eastAsia="zh-CN"/>
              </w:rPr>
              <w:t>依托厂内生活污水处理设施处理，施工废水经沉淀处理后洒水抑尘。</w:t>
            </w:r>
          </w:p>
          <w:p>
            <w:pPr>
              <w:pStyle w:val="27"/>
              <w:ind w:firstLine="482"/>
              <w:rPr>
                <w:rFonts w:hint="default"/>
                <w:color w:val="auto"/>
                <w:highlight w:val="none"/>
              </w:rPr>
            </w:pPr>
            <w:r>
              <w:rPr>
                <w:color w:val="auto"/>
                <w:highlight w:val="none"/>
              </w:rPr>
              <w:t>3噪声</w:t>
            </w:r>
          </w:p>
          <w:p>
            <w:pPr>
              <w:pStyle w:val="12"/>
              <w:ind w:firstLine="480"/>
              <w:rPr>
                <w:rFonts w:hint="eastAsia" w:eastAsia="宋体"/>
                <w:color w:val="auto"/>
                <w:highlight w:val="none"/>
                <w:lang w:eastAsia="zh-CN"/>
              </w:rPr>
            </w:pPr>
            <w:r>
              <w:rPr>
                <w:rFonts w:hint="eastAsia"/>
                <w:color w:val="auto"/>
                <w:highlight w:val="none"/>
              </w:rPr>
              <w:t>项目施工过程中</w:t>
            </w:r>
            <w:r>
              <w:rPr>
                <w:rFonts w:hint="eastAsia"/>
                <w:color w:val="auto"/>
                <w:highlight w:val="none"/>
                <w:lang w:eastAsia="zh-CN"/>
              </w:rPr>
              <w:t>，</w:t>
            </w:r>
            <w:r>
              <w:rPr>
                <w:rFonts w:hint="eastAsia"/>
                <w:color w:val="auto"/>
                <w:highlight w:val="none"/>
              </w:rPr>
              <w:t>噪声主要为运输车辆噪声、施工作业噪声。</w:t>
            </w:r>
            <w:r>
              <w:rPr>
                <w:rFonts w:hint="eastAsia"/>
                <w:color w:val="auto"/>
                <w:highlight w:val="none"/>
                <w:lang w:eastAsia="zh-CN"/>
              </w:rPr>
              <w:t>施工期噪声环境保护措施如下：</w:t>
            </w:r>
          </w:p>
          <w:p>
            <w:pPr>
              <w:pStyle w:val="12"/>
              <w:ind w:firstLine="480"/>
              <w:rPr>
                <w:rFonts w:hint="eastAsia"/>
                <w:color w:val="auto"/>
                <w:highlight w:val="none"/>
              </w:rPr>
            </w:pPr>
            <w:r>
              <w:rPr>
                <w:rFonts w:hint="eastAsia"/>
                <w:color w:val="auto"/>
                <w:highlight w:val="none"/>
              </w:rPr>
              <w:t>（1）选用低噪声施工机械及设备</w:t>
            </w:r>
            <w:r>
              <w:rPr>
                <w:rFonts w:hint="eastAsia"/>
                <w:color w:val="auto"/>
                <w:highlight w:val="none"/>
                <w:lang w:eastAsia="zh-CN"/>
              </w:rPr>
              <w:t>，</w:t>
            </w:r>
            <w:r>
              <w:rPr>
                <w:rFonts w:hint="eastAsia"/>
                <w:color w:val="auto"/>
                <w:highlight w:val="none"/>
              </w:rPr>
              <w:t>合理布局施工场地</w:t>
            </w:r>
            <w:r>
              <w:rPr>
                <w:rFonts w:hint="eastAsia"/>
                <w:color w:val="auto"/>
                <w:highlight w:val="none"/>
                <w:lang w:eastAsia="zh-CN"/>
              </w:rPr>
              <w:t>，</w:t>
            </w:r>
            <w:r>
              <w:rPr>
                <w:rFonts w:hint="eastAsia"/>
                <w:color w:val="auto"/>
                <w:highlight w:val="none"/>
              </w:rPr>
              <w:t>合理安排施工时间</w:t>
            </w:r>
            <w:r>
              <w:rPr>
                <w:rFonts w:hint="eastAsia"/>
                <w:color w:val="auto"/>
                <w:highlight w:val="none"/>
                <w:lang w:eastAsia="zh-CN"/>
              </w:rPr>
              <w:t>，</w:t>
            </w:r>
            <w:r>
              <w:rPr>
                <w:rFonts w:hint="eastAsia"/>
                <w:color w:val="auto"/>
                <w:highlight w:val="none"/>
              </w:rPr>
              <w:t>夜间禁止施工。</w:t>
            </w:r>
          </w:p>
          <w:p>
            <w:pPr>
              <w:pStyle w:val="12"/>
              <w:ind w:firstLine="480"/>
              <w:rPr>
                <w:rFonts w:hint="eastAsia"/>
                <w:color w:val="auto"/>
                <w:highlight w:val="none"/>
              </w:rPr>
            </w:pPr>
            <w:r>
              <w:rPr>
                <w:rFonts w:hint="eastAsia"/>
                <w:color w:val="auto"/>
                <w:highlight w:val="none"/>
              </w:rPr>
              <w:t>（2）运输车辆出入施工场地要低速行驶</w:t>
            </w:r>
            <w:r>
              <w:rPr>
                <w:rFonts w:hint="eastAsia"/>
                <w:color w:val="auto"/>
                <w:highlight w:val="none"/>
                <w:lang w:eastAsia="zh-CN"/>
              </w:rPr>
              <w:t>，</w:t>
            </w:r>
            <w:r>
              <w:rPr>
                <w:rFonts w:hint="eastAsia"/>
                <w:color w:val="auto"/>
                <w:highlight w:val="none"/>
              </w:rPr>
              <w:t>并合理安排运输路线</w:t>
            </w:r>
            <w:r>
              <w:rPr>
                <w:rFonts w:hint="eastAsia"/>
                <w:color w:val="auto"/>
                <w:highlight w:val="none"/>
                <w:lang w:eastAsia="zh-CN"/>
              </w:rPr>
              <w:t>，</w:t>
            </w:r>
            <w:r>
              <w:rPr>
                <w:rFonts w:hint="eastAsia"/>
                <w:color w:val="auto"/>
                <w:highlight w:val="none"/>
              </w:rPr>
              <w:t>减少对周围居民的影响。</w:t>
            </w:r>
          </w:p>
          <w:p>
            <w:pPr>
              <w:pStyle w:val="12"/>
              <w:ind w:firstLine="480"/>
              <w:rPr>
                <w:rFonts w:hint="eastAsia"/>
                <w:color w:val="auto"/>
                <w:highlight w:val="none"/>
              </w:rPr>
            </w:pPr>
            <w:r>
              <w:rPr>
                <w:rFonts w:hint="eastAsia"/>
                <w:color w:val="auto"/>
                <w:highlight w:val="none"/>
              </w:rPr>
              <w:t>（3）加强施工管理</w:t>
            </w:r>
            <w:r>
              <w:rPr>
                <w:rFonts w:hint="eastAsia"/>
                <w:color w:val="auto"/>
                <w:highlight w:val="none"/>
                <w:lang w:eastAsia="zh-CN"/>
              </w:rPr>
              <w:t>，</w:t>
            </w:r>
            <w:r>
              <w:rPr>
                <w:rFonts w:hint="eastAsia"/>
                <w:color w:val="auto"/>
                <w:highlight w:val="none"/>
              </w:rPr>
              <w:t>严格执行国家规定的《建筑施工场界环境噪声排放标准》（GB12523-2011）</w:t>
            </w:r>
            <w:r>
              <w:rPr>
                <w:rFonts w:hint="eastAsia"/>
                <w:color w:val="auto"/>
                <w:highlight w:val="none"/>
                <w:lang w:eastAsia="zh-CN"/>
              </w:rPr>
              <w:t>，</w:t>
            </w:r>
            <w:r>
              <w:rPr>
                <w:rFonts w:hint="eastAsia"/>
                <w:color w:val="auto"/>
                <w:highlight w:val="none"/>
              </w:rPr>
              <w:t>杜绝高噪声设备夜间施工。通过采取上述措施</w:t>
            </w:r>
            <w:r>
              <w:rPr>
                <w:rFonts w:hint="eastAsia"/>
                <w:color w:val="auto"/>
                <w:highlight w:val="none"/>
                <w:lang w:eastAsia="zh-CN"/>
              </w:rPr>
              <w:t>，</w:t>
            </w:r>
            <w:r>
              <w:rPr>
                <w:rFonts w:hint="eastAsia"/>
                <w:color w:val="auto"/>
                <w:highlight w:val="none"/>
              </w:rPr>
              <w:t>对环境影响很小。</w:t>
            </w:r>
          </w:p>
          <w:p>
            <w:pPr>
              <w:pStyle w:val="12"/>
              <w:ind w:firstLine="480"/>
              <w:rPr>
                <w:rFonts w:hint="eastAsia"/>
                <w:color w:val="auto"/>
                <w:highlight w:val="none"/>
              </w:rPr>
            </w:pPr>
            <w:r>
              <w:rPr>
                <w:rFonts w:hint="eastAsia"/>
                <w:color w:val="auto"/>
                <w:highlight w:val="none"/>
              </w:rPr>
              <w:t>（4）高噪声设备操作设置声屏障</w:t>
            </w:r>
            <w:r>
              <w:rPr>
                <w:rFonts w:hint="eastAsia"/>
                <w:color w:val="auto"/>
                <w:highlight w:val="none"/>
                <w:lang w:eastAsia="zh-CN"/>
              </w:rPr>
              <w:t>，</w:t>
            </w:r>
            <w:r>
              <w:rPr>
                <w:rFonts w:hint="eastAsia"/>
                <w:color w:val="auto"/>
                <w:highlight w:val="none"/>
              </w:rPr>
              <w:t>加强施工管理</w:t>
            </w:r>
            <w:r>
              <w:rPr>
                <w:rFonts w:hint="eastAsia"/>
                <w:color w:val="auto"/>
                <w:highlight w:val="none"/>
                <w:lang w:eastAsia="zh-CN"/>
              </w:rPr>
              <w:t>。</w:t>
            </w:r>
          </w:p>
          <w:p>
            <w:pPr>
              <w:pStyle w:val="12"/>
              <w:ind w:firstLine="480"/>
              <w:rPr>
                <w:color w:val="auto"/>
                <w:highlight w:val="none"/>
              </w:rPr>
            </w:pPr>
            <w:r>
              <w:rPr>
                <w:rFonts w:hint="eastAsia"/>
                <w:color w:val="auto"/>
                <w:highlight w:val="none"/>
              </w:rPr>
              <w:t>项目施工量较小</w:t>
            </w:r>
            <w:r>
              <w:rPr>
                <w:rFonts w:hint="eastAsia"/>
                <w:color w:val="auto"/>
                <w:highlight w:val="none"/>
                <w:lang w:eastAsia="zh-CN"/>
              </w:rPr>
              <w:t>，</w:t>
            </w:r>
            <w:r>
              <w:rPr>
                <w:rFonts w:hint="eastAsia"/>
                <w:color w:val="auto"/>
                <w:highlight w:val="none"/>
              </w:rPr>
              <w:t>通过合理安排施工时间</w:t>
            </w:r>
            <w:r>
              <w:rPr>
                <w:rFonts w:hint="eastAsia"/>
                <w:color w:val="auto"/>
                <w:highlight w:val="none"/>
                <w:lang w:eastAsia="zh-CN"/>
              </w:rPr>
              <w:t>，</w:t>
            </w:r>
            <w:r>
              <w:rPr>
                <w:rFonts w:hint="eastAsia"/>
                <w:color w:val="auto"/>
                <w:highlight w:val="none"/>
              </w:rPr>
              <w:t>选择低噪声的机械设备</w:t>
            </w:r>
            <w:r>
              <w:rPr>
                <w:rFonts w:hint="eastAsia"/>
                <w:color w:val="auto"/>
                <w:highlight w:val="none"/>
                <w:lang w:eastAsia="zh-CN"/>
              </w:rPr>
              <w:t>，</w:t>
            </w:r>
            <w:r>
              <w:rPr>
                <w:rFonts w:hint="eastAsia"/>
                <w:color w:val="auto"/>
                <w:highlight w:val="none"/>
              </w:rPr>
              <w:t>降低车速等措施</w:t>
            </w:r>
            <w:r>
              <w:rPr>
                <w:rFonts w:hint="eastAsia"/>
                <w:color w:val="auto"/>
                <w:highlight w:val="none"/>
                <w:lang w:eastAsia="zh-CN"/>
              </w:rPr>
              <w:t>，</w:t>
            </w:r>
            <w:r>
              <w:rPr>
                <w:rFonts w:hint="eastAsia"/>
                <w:color w:val="auto"/>
                <w:highlight w:val="none"/>
              </w:rPr>
              <w:t>施工期噪声对周边环境影响较小。</w:t>
            </w:r>
          </w:p>
          <w:p>
            <w:pPr>
              <w:pStyle w:val="27"/>
              <w:ind w:firstLine="482"/>
              <w:rPr>
                <w:rFonts w:hint="default"/>
                <w:color w:val="auto"/>
                <w:highlight w:val="none"/>
              </w:rPr>
            </w:pPr>
            <w:r>
              <w:rPr>
                <w:color w:val="auto"/>
                <w:highlight w:val="none"/>
              </w:rPr>
              <w:t>4固废</w:t>
            </w:r>
          </w:p>
          <w:p>
            <w:pPr>
              <w:autoSpaceDE w:val="0"/>
              <w:autoSpaceDN w:val="0"/>
              <w:spacing w:line="360" w:lineRule="auto"/>
              <w:ind w:firstLine="480" w:firstLineChars="200"/>
              <w:rPr>
                <w:color w:val="auto"/>
                <w:highlight w:val="none"/>
              </w:rPr>
            </w:pPr>
            <w:r>
              <w:rPr>
                <w:rFonts w:hint="eastAsia"/>
                <w:color w:val="auto"/>
                <w:highlight w:val="none"/>
              </w:rPr>
              <w:t>项目施工期固体废物包括生活垃圾、建筑垃圾。对施工期产生的固体废物加强管理</w:t>
            </w:r>
            <w:r>
              <w:rPr>
                <w:rFonts w:hint="eastAsia"/>
                <w:color w:val="auto"/>
                <w:highlight w:val="none"/>
                <w:lang w:eastAsia="zh-CN"/>
              </w:rPr>
              <w:t>，</w:t>
            </w:r>
            <w:r>
              <w:rPr>
                <w:rFonts w:hint="eastAsia"/>
                <w:color w:val="auto"/>
                <w:highlight w:val="none"/>
              </w:rPr>
              <w:t>妥善处置。</w:t>
            </w:r>
          </w:p>
          <w:p>
            <w:pPr>
              <w:autoSpaceDE w:val="0"/>
              <w:autoSpaceDN w:val="0"/>
              <w:spacing w:line="360" w:lineRule="auto"/>
              <w:ind w:firstLine="480" w:firstLineChars="200"/>
              <w:rPr>
                <w:color w:val="auto"/>
                <w:highlight w:val="none"/>
              </w:rPr>
            </w:pPr>
            <w:r>
              <w:rPr>
                <w:rFonts w:hint="eastAsia"/>
                <w:color w:val="auto"/>
                <w:highlight w:val="none"/>
              </w:rPr>
              <w:t>①建筑施工中产生的建筑垃圾</w:t>
            </w:r>
            <w:r>
              <w:rPr>
                <w:rFonts w:hint="eastAsia"/>
                <w:color w:val="auto"/>
                <w:highlight w:val="none"/>
                <w:lang w:eastAsia="zh-CN"/>
              </w:rPr>
              <w:t>，</w:t>
            </w:r>
            <w:r>
              <w:rPr>
                <w:rFonts w:hint="eastAsia"/>
                <w:color w:val="auto"/>
                <w:highlight w:val="none"/>
              </w:rPr>
              <w:t>对不能利用的建筑垃圾及时清运至专门的建筑垃圾堆放场地处置</w:t>
            </w:r>
            <w:r>
              <w:rPr>
                <w:rFonts w:hint="eastAsia"/>
                <w:color w:val="auto"/>
                <w:highlight w:val="none"/>
                <w:lang w:eastAsia="zh-CN"/>
              </w:rPr>
              <w:t>，</w:t>
            </w:r>
            <w:r>
              <w:rPr>
                <w:rFonts w:hint="eastAsia"/>
                <w:color w:val="auto"/>
                <w:highlight w:val="none"/>
              </w:rPr>
              <w:t>不得随意处置</w:t>
            </w:r>
            <w:r>
              <w:rPr>
                <w:rFonts w:hint="eastAsia"/>
                <w:color w:val="auto"/>
                <w:highlight w:val="none"/>
                <w:lang w:eastAsia="zh-CN"/>
              </w:rPr>
              <w:t>，</w:t>
            </w:r>
            <w:r>
              <w:rPr>
                <w:rFonts w:hint="eastAsia"/>
                <w:color w:val="auto"/>
                <w:highlight w:val="none"/>
              </w:rPr>
              <w:t>对可再利用的废料</w:t>
            </w:r>
            <w:r>
              <w:rPr>
                <w:rFonts w:hint="eastAsia"/>
                <w:color w:val="auto"/>
                <w:highlight w:val="none"/>
                <w:lang w:eastAsia="zh-CN"/>
              </w:rPr>
              <w:t>，</w:t>
            </w:r>
            <w:r>
              <w:rPr>
                <w:rFonts w:hint="eastAsia"/>
                <w:color w:val="auto"/>
                <w:highlight w:val="none"/>
              </w:rPr>
              <w:t>木材、竹料等</w:t>
            </w:r>
            <w:r>
              <w:rPr>
                <w:rFonts w:hint="eastAsia"/>
                <w:color w:val="auto"/>
                <w:highlight w:val="none"/>
                <w:lang w:eastAsia="zh-CN"/>
              </w:rPr>
              <w:t>，</w:t>
            </w:r>
            <w:r>
              <w:rPr>
                <w:rFonts w:hint="eastAsia"/>
                <w:color w:val="auto"/>
                <w:highlight w:val="none"/>
              </w:rPr>
              <w:t>应进行回收利用</w:t>
            </w:r>
            <w:r>
              <w:rPr>
                <w:rFonts w:hint="eastAsia"/>
                <w:color w:val="auto"/>
                <w:highlight w:val="none"/>
                <w:lang w:eastAsia="zh-CN"/>
              </w:rPr>
              <w:t>，</w:t>
            </w:r>
            <w:r>
              <w:rPr>
                <w:rFonts w:hint="eastAsia"/>
                <w:color w:val="auto"/>
                <w:highlight w:val="none"/>
              </w:rPr>
              <w:t>以节省资源；</w:t>
            </w:r>
          </w:p>
          <w:p>
            <w:pPr>
              <w:pStyle w:val="12"/>
              <w:ind w:firstLine="480"/>
              <w:rPr>
                <w:rFonts w:hint="eastAsia"/>
                <w:color w:val="auto"/>
                <w:highlight w:val="none"/>
              </w:rPr>
            </w:pPr>
            <w:r>
              <w:rPr>
                <w:rFonts w:hint="eastAsia"/>
                <w:color w:val="auto"/>
                <w:highlight w:val="none"/>
              </w:rPr>
              <w:t>②施工工人产生的生活垃圾</w:t>
            </w:r>
            <w:r>
              <w:rPr>
                <w:rFonts w:hint="eastAsia"/>
                <w:color w:val="auto"/>
                <w:highlight w:val="none"/>
                <w:lang w:eastAsia="zh-CN"/>
              </w:rPr>
              <w:t>，</w:t>
            </w:r>
            <w:r>
              <w:rPr>
                <w:rFonts w:hint="eastAsia"/>
                <w:color w:val="auto"/>
                <w:highlight w:val="none"/>
              </w:rPr>
              <w:t>暂存于垃圾桶内</w:t>
            </w:r>
            <w:r>
              <w:rPr>
                <w:rFonts w:hint="eastAsia"/>
                <w:color w:val="auto"/>
                <w:highlight w:val="none"/>
                <w:lang w:eastAsia="zh-CN"/>
              </w:rPr>
              <w:t>，</w:t>
            </w:r>
            <w:r>
              <w:rPr>
                <w:rFonts w:hint="eastAsia"/>
                <w:color w:val="auto"/>
                <w:highlight w:val="none"/>
              </w:rPr>
              <w:t>定期送附近垃圾点</w:t>
            </w:r>
            <w:r>
              <w:rPr>
                <w:rFonts w:hint="eastAsia"/>
                <w:color w:val="auto"/>
                <w:highlight w:val="none"/>
                <w:lang w:eastAsia="zh-CN"/>
              </w:rPr>
              <w:t>，</w:t>
            </w:r>
            <w:r>
              <w:rPr>
                <w:rFonts w:hint="eastAsia"/>
                <w:color w:val="auto"/>
                <w:highlight w:val="none"/>
              </w:rPr>
              <w:t>以避免对周围环境造成影响。</w:t>
            </w:r>
          </w:p>
          <w:p>
            <w:pPr>
              <w:pStyle w:val="12"/>
              <w:ind w:firstLine="480"/>
              <w:rPr>
                <w:rFonts w:hint="eastAsia"/>
                <w:color w:val="auto"/>
                <w:highlight w:val="none"/>
                <w:lang w:eastAsia="zh-CN"/>
              </w:rPr>
            </w:pPr>
            <w:r>
              <w:rPr>
                <w:rFonts w:hint="eastAsia"/>
                <w:color w:val="auto"/>
                <w:highlight w:val="none"/>
                <w:lang w:eastAsia="zh-CN"/>
              </w:rPr>
              <w:t>施工期产生的固体废物均能得到妥善处置。</w:t>
            </w:r>
          </w:p>
          <w:p>
            <w:pPr>
              <w:pStyle w:val="27"/>
              <w:ind w:firstLine="482"/>
              <w:rPr>
                <w:rFonts w:hint="default"/>
                <w:color w:val="auto"/>
                <w:highlight w:val="none"/>
                <w:lang w:val="en-US" w:eastAsia="zh-CN"/>
              </w:rPr>
            </w:pPr>
            <w:r>
              <w:rPr>
                <w:rFonts w:hint="eastAsia"/>
                <w:color w:val="auto"/>
                <w:highlight w:val="none"/>
                <w:lang w:val="en-US" w:eastAsia="zh-CN"/>
              </w:rPr>
              <w:t>5</w:t>
            </w:r>
            <w:r>
              <w:rPr>
                <w:rFonts w:hint="eastAsia" w:ascii="Times New Roman" w:hAnsi="Times New Roman" w:eastAsia="宋体" w:cs="Times New Roman"/>
                <w:color w:val="auto"/>
                <w:highlight w:val="none"/>
                <w:lang w:val="en-US" w:eastAsia="zh-CN"/>
              </w:rPr>
              <w:t>总结</w:t>
            </w:r>
          </w:p>
          <w:p>
            <w:pPr>
              <w:pStyle w:val="12"/>
              <w:ind w:firstLine="480"/>
              <w:rPr>
                <w:rFonts w:hint="eastAsia"/>
                <w:color w:val="auto"/>
                <w:highlight w:val="none"/>
              </w:rPr>
            </w:pPr>
            <w:r>
              <w:rPr>
                <w:rFonts w:hint="eastAsia"/>
                <w:color w:val="auto"/>
                <w:highlight w:val="none"/>
              </w:rPr>
              <w:t>本项目施工期时间较短</w:t>
            </w:r>
            <w:r>
              <w:rPr>
                <w:rFonts w:hint="eastAsia"/>
                <w:color w:val="auto"/>
                <w:highlight w:val="none"/>
                <w:lang w:eastAsia="zh-CN"/>
              </w:rPr>
              <w:t>，且主要施工集中在现有厂房内，采取上述环保措施后废气、废水、噪声、固废</w:t>
            </w:r>
            <w:r>
              <w:rPr>
                <w:rFonts w:hint="eastAsia"/>
                <w:color w:val="auto"/>
                <w:highlight w:val="none"/>
              </w:rPr>
              <w:t>对环境影响较小。</w:t>
            </w:r>
          </w:p>
          <w:p>
            <w:pPr>
              <w:pStyle w:val="12"/>
              <w:ind w:firstLine="480"/>
              <w:rPr>
                <w:rFonts w:hint="eastAsia"/>
                <w:color w:val="auto"/>
                <w:sz w:val="10"/>
                <w:szCs w:val="8"/>
                <w:highlight w:val="none"/>
              </w:rPr>
            </w:pPr>
          </w:p>
          <w:p>
            <w:pPr>
              <w:pStyle w:val="12"/>
              <w:ind w:firstLine="480"/>
              <w:rPr>
                <w:rFonts w:hint="eastAsia"/>
                <w:color w:val="auto"/>
                <w:sz w:val="10"/>
                <w:szCs w:val="8"/>
                <w:highlight w:val="none"/>
              </w:rPr>
            </w:pPr>
          </w:p>
          <w:p>
            <w:pPr>
              <w:pStyle w:val="12"/>
              <w:ind w:firstLine="480"/>
              <w:rPr>
                <w:rFonts w:hint="eastAsia"/>
                <w:color w:val="auto"/>
                <w:sz w:val="10"/>
                <w:szCs w:val="8"/>
                <w:highlight w:val="none"/>
              </w:rPr>
            </w:pPr>
          </w:p>
          <w:p>
            <w:pPr>
              <w:pStyle w:val="12"/>
              <w:ind w:firstLine="480"/>
              <w:rPr>
                <w:rFonts w:hint="eastAsia"/>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rFonts w:hint="eastAsia"/>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rFonts w:hint="eastAsia"/>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rFonts w:hint="eastAsia"/>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color w:val="auto"/>
                <w:sz w:val="10"/>
                <w:szCs w:val="8"/>
                <w:highlight w:val="none"/>
              </w:rPr>
            </w:pPr>
          </w:p>
          <w:p>
            <w:pPr>
              <w:pStyle w:val="12"/>
              <w:ind w:firstLine="480"/>
              <w:rPr>
                <w:rFonts w:hint="eastAsia"/>
                <w:color w:val="auto"/>
                <w:sz w:val="10"/>
                <w:szCs w:val="8"/>
                <w:highlight w:val="none"/>
              </w:rPr>
            </w:pPr>
          </w:p>
          <w:p>
            <w:pPr>
              <w:pStyle w:val="12"/>
              <w:ind w:firstLine="480"/>
              <w:rPr>
                <w:color w:val="auto"/>
                <w:sz w:val="10"/>
                <w:szCs w:val="8"/>
                <w:highlight w:val="none"/>
              </w:rPr>
            </w:pPr>
          </w:p>
          <w:p>
            <w:pPr>
              <w:pStyle w:val="12"/>
              <w:ind w:firstLine="480"/>
              <w:rPr>
                <w:rFonts w:hint="eastAsia"/>
                <w:color w:val="auto"/>
                <w:sz w:val="10"/>
                <w:szCs w:val="8"/>
                <w:highlight w:val="none"/>
              </w:rPr>
            </w:pPr>
          </w:p>
          <w:p>
            <w:pPr>
              <w:rPr>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3006" w:hRule="atLeast"/>
          <w:jc w:val="center"/>
        </w:trPr>
        <w:tc>
          <w:tcPr>
            <w:tcW w:w="794" w:type="dxa"/>
            <w:tcMar>
              <w:left w:w="28" w:type="dxa"/>
              <w:right w:w="28" w:type="dxa"/>
            </w:tcMar>
            <w:vAlign w:val="center"/>
          </w:tcPr>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运营</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期环</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境影</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响和</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保护</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措施</w:t>
            </w:r>
          </w:p>
        </w:tc>
        <w:tc>
          <w:tcPr>
            <w:tcW w:w="8187" w:type="dxa"/>
            <w:vAlign w:val="center"/>
          </w:tcPr>
          <w:p>
            <w:pPr>
              <w:pStyle w:val="27"/>
              <w:ind w:firstLine="482"/>
              <w:rPr>
                <w:rFonts w:hint="default"/>
                <w:color w:val="auto"/>
                <w:highlight w:val="none"/>
              </w:rPr>
            </w:pPr>
            <w:r>
              <w:rPr>
                <w:color w:val="auto"/>
                <w:highlight w:val="none"/>
              </w:rPr>
              <w:t>1废气</w:t>
            </w:r>
          </w:p>
          <w:p>
            <w:pPr>
              <w:pStyle w:val="12"/>
              <w:ind w:firstLine="480"/>
              <w:rPr>
                <w:color w:val="auto"/>
                <w:highlight w:val="none"/>
              </w:rPr>
            </w:pPr>
            <w:r>
              <w:rPr>
                <w:rFonts w:hint="eastAsia"/>
                <w:color w:val="auto"/>
                <w:highlight w:val="none"/>
              </w:rPr>
              <w:t>1.1废气污染物产生情况</w:t>
            </w:r>
          </w:p>
          <w:p>
            <w:pPr>
              <w:pStyle w:val="12"/>
              <w:ind w:firstLine="480"/>
              <w:rPr>
                <w:rFonts w:hint="eastAsia"/>
                <w:color w:val="auto"/>
                <w:highlight w:val="none"/>
              </w:rPr>
            </w:pPr>
            <w:r>
              <w:rPr>
                <w:rFonts w:hint="eastAsia"/>
                <w:color w:val="auto"/>
                <w:highlight w:val="none"/>
              </w:rPr>
              <w:t>本项目运营期主要为贮存</w:t>
            </w:r>
            <w:r>
              <w:rPr>
                <w:rFonts w:hint="eastAsia"/>
                <w:color w:val="auto"/>
                <w:highlight w:val="none"/>
                <w:lang w:eastAsia="zh-CN"/>
              </w:rPr>
              <w:t>废气</w:t>
            </w:r>
            <w:r>
              <w:rPr>
                <w:rFonts w:hint="eastAsia"/>
                <w:color w:val="auto"/>
                <w:highlight w:val="none"/>
              </w:rPr>
              <w:t>。</w:t>
            </w:r>
          </w:p>
          <w:p>
            <w:pPr>
              <w:pStyle w:val="12"/>
              <w:ind w:firstLine="480"/>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）废润滑油、废油漆桶贮存等产生的挥发性有机物废气</w:t>
            </w:r>
          </w:p>
          <w:p>
            <w:pPr>
              <w:pStyle w:val="12"/>
              <w:ind w:firstLine="480"/>
              <w:rPr>
                <w:rFonts w:hint="eastAsia"/>
                <w:color w:val="auto"/>
                <w:highlight w:val="none"/>
                <w:lang w:eastAsia="zh-CN"/>
              </w:rPr>
            </w:pPr>
            <w:r>
              <w:rPr>
                <w:rFonts w:hint="eastAsia"/>
                <w:color w:val="auto"/>
                <w:highlight w:val="none"/>
                <w:lang w:eastAsia="zh-CN"/>
              </w:rPr>
              <w:t>项目存储的废润滑油产生量为</w:t>
            </w:r>
            <w:r>
              <w:rPr>
                <w:rFonts w:hint="eastAsia"/>
                <w:color w:val="auto"/>
                <w:highlight w:val="none"/>
                <w:lang w:val="en-US" w:eastAsia="zh-CN"/>
              </w:rPr>
              <w:t>1.81</w:t>
            </w:r>
            <w:r>
              <w:rPr>
                <w:rFonts w:hint="eastAsia"/>
                <w:color w:val="auto"/>
                <w:highlight w:val="none"/>
                <w:lang w:eastAsia="zh-CN"/>
              </w:rPr>
              <w:t>t/a。废润滑油采用加盖铁桶盛装，非甲烷总烃产生量参照国家标准《散装液态石油产品损耗》（GB11085-1989），辽宁属于C类地区，废润滑油按其他油品，月贮存损耗率为0.01%，本项目按废润滑油最长存储时间12个月计算。本项目废润滑油最大年贮存量为</w:t>
            </w:r>
            <w:r>
              <w:rPr>
                <w:rFonts w:hint="eastAsia"/>
                <w:color w:val="auto"/>
                <w:highlight w:val="none"/>
                <w:lang w:val="en-US" w:eastAsia="zh-CN"/>
              </w:rPr>
              <w:t>0.8</w:t>
            </w:r>
            <w:r>
              <w:rPr>
                <w:rFonts w:hint="eastAsia"/>
                <w:color w:val="auto"/>
                <w:highlight w:val="none"/>
                <w:lang w:eastAsia="zh-CN"/>
              </w:rPr>
              <w:t>t，计算损耗量为0.000</w:t>
            </w:r>
            <w:r>
              <w:rPr>
                <w:rFonts w:hint="eastAsia"/>
                <w:color w:val="auto"/>
                <w:highlight w:val="none"/>
                <w:lang w:val="en-US" w:eastAsia="zh-CN"/>
              </w:rPr>
              <w:t>96</w:t>
            </w:r>
            <w:r>
              <w:rPr>
                <w:rFonts w:hint="eastAsia"/>
                <w:color w:val="auto"/>
                <w:highlight w:val="none"/>
                <w:lang w:eastAsia="zh-CN"/>
              </w:rPr>
              <w:t>t/a，全部按挥发损耗计，则非甲烷总烃的产生量为0.000</w:t>
            </w:r>
            <w:r>
              <w:rPr>
                <w:rFonts w:hint="eastAsia"/>
                <w:color w:val="auto"/>
                <w:highlight w:val="none"/>
                <w:lang w:val="en-US" w:eastAsia="zh-CN"/>
              </w:rPr>
              <w:t>96</w:t>
            </w:r>
            <w:r>
              <w:rPr>
                <w:rFonts w:hint="eastAsia"/>
                <w:color w:val="auto"/>
                <w:highlight w:val="none"/>
                <w:lang w:eastAsia="zh-CN"/>
              </w:rPr>
              <w:t>t/a，产生速率为</w:t>
            </w:r>
            <w:r>
              <w:rPr>
                <w:rFonts w:hint="eastAsia"/>
                <w:color w:val="auto"/>
                <w:highlight w:val="none"/>
                <w:lang w:val="en-US" w:eastAsia="zh-CN"/>
              </w:rPr>
              <w:t>0.0001</w:t>
            </w:r>
            <w:r>
              <w:rPr>
                <w:rFonts w:hint="eastAsia"/>
                <w:color w:val="auto"/>
                <w:highlight w:val="none"/>
                <w:lang w:eastAsia="zh-CN"/>
              </w:rPr>
              <w:t>kg/h。</w:t>
            </w:r>
          </w:p>
          <w:p>
            <w:pPr>
              <w:pStyle w:val="12"/>
              <w:ind w:firstLine="480"/>
              <w:rPr>
                <w:rFonts w:hint="eastAsia"/>
                <w:color w:val="auto"/>
                <w:highlight w:val="none"/>
                <w:lang w:val="en-US" w:eastAsia="zh-CN"/>
              </w:rPr>
            </w:pPr>
            <w:r>
              <w:rPr>
                <w:rFonts w:hint="eastAsia"/>
                <w:color w:val="auto"/>
                <w:highlight w:val="none"/>
                <w:lang w:val="en-US" w:eastAsia="zh-CN"/>
              </w:rPr>
              <w:t>本项目废油漆桶最大贮存量为20个桶，废油漆桶中残留约为0.5L，根据油漆挥发量60%计算，则最大贮存废气产生量约为0.006t/a。综上计算，废润滑油、废油漆桶贮存产生的废气为</w:t>
            </w:r>
            <w:r>
              <w:rPr>
                <w:rFonts w:hint="eastAsia"/>
                <w:color w:val="auto"/>
                <w:highlight w:val="none"/>
                <w:lang w:eastAsia="zh-CN"/>
              </w:rPr>
              <w:t>0.00</w:t>
            </w:r>
            <w:r>
              <w:rPr>
                <w:rFonts w:hint="eastAsia"/>
                <w:color w:val="auto"/>
                <w:highlight w:val="none"/>
                <w:lang w:val="en-US" w:eastAsia="zh-CN"/>
              </w:rPr>
              <w:t>696</w:t>
            </w:r>
            <w:r>
              <w:rPr>
                <w:rFonts w:hint="eastAsia"/>
                <w:color w:val="auto"/>
                <w:highlight w:val="none"/>
                <w:lang w:eastAsia="zh-CN"/>
              </w:rPr>
              <w:t>t/a</w:t>
            </w:r>
            <w:r>
              <w:rPr>
                <w:rFonts w:hint="eastAsia"/>
                <w:color w:val="auto"/>
                <w:highlight w:val="none"/>
                <w:lang w:val="en-US" w:eastAsia="zh-CN"/>
              </w:rPr>
              <w:t>。</w:t>
            </w:r>
          </w:p>
          <w:p>
            <w:pPr>
              <w:pStyle w:val="12"/>
              <w:ind w:firstLine="480"/>
              <w:rPr>
                <w:rFonts w:hint="eastAsia"/>
                <w:bCs/>
                <w:color w:val="auto"/>
                <w:szCs w:val="24"/>
                <w:highlight w:val="none"/>
                <w:lang w:eastAsia="zh-CN"/>
              </w:rPr>
            </w:pPr>
            <w:r>
              <w:rPr>
                <w:rFonts w:hint="eastAsia"/>
                <w:color w:val="auto"/>
                <w:highlight w:val="none"/>
                <w:lang w:val="en-US" w:eastAsia="zh-CN"/>
              </w:rPr>
              <w:t>危险废物贮存点产生的废气经油桶加盖密封。未收集部分</w:t>
            </w:r>
            <w:r>
              <w:rPr>
                <w:rFonts w:hint="eastAsia"/>
                <w:bCs/>
                <w:color w:val="auto"/>
                <w:szCs w:val="24"/>
                <w:highlight w:val="none"/>
              </w:rPr>
              <w:t>主要考虑开关门情况下</w:t>
            </w:r>
            <w:r>
              <w:rPr>
                <w:rFonts w:hint="eastAsia"/>
                <w:bCs/>
                <w:color w:val="auto"/>
                <w:szCs w:val="24"/>
                <w:highlight w:val="none"/>
                <w:lang w:eastAsia="zh-CN"/>
              </w:rPr>
              <w:t>非甲烷总烃</w:t>
            </w:r>
            <w:r>
              <w:rPr>
                <w:rFonts w:hint="eastAsia"/>
                <w:bCs/>
                <w:color w:val="auto"/>
                <w:szCs w:val="24"/>
                <w:highlight w:val="none"/>
              </w:rPr>
              <w:t>的无组织逸散</w:t>
            </w:r>
            <w:r>
              <w:rPr>
                <w:rFonts w:hint="eastAsia"/>
                <w:bCs/>
                <w:color w:val="auto"/>
                <w:szCs w:val="24"/>
                <w:highlight w:val="none"/>
                <w:lang w:eastAsia="zh-CN"/>
              </w:rPr>
              <w:t>入大气中</w:t>
            </w:r>
            <w:r>
              <w:rPr>
                <w:rFonts w:hint="eastAsia"/>
                <w:bCs/>
                <w:color w:val="auto"/>
                <w:szCs w:val="24"/>
                <w:highlight w:val="none"/>
              </w:rPr>
              <w:t>。本项目危废</w:t>
            </w:r>
            <w:r>
              <w:rPr>
                <w:rFonts w:hint="eastAsia"/>
                <w:bCs/>
                <w:color w:val="auto"/>
                <w:szCs w:val="24"/>
                <w:highlight w:val="none"/>
                <w:lang w:eastAsia="zh-CN"/>
              </w:rPr>
              <w:t>点</w:t>
            </w:r>
            <w:r>
              <w:rPr>
                <w:rFonts w:hint="eastAsia"/>
                <w:bCs/>
                <w:color w:val="auto"/>
                <w:szCs w:val="24"/>
                <w:highlight w:val="none"/>
              </w:rPr>
              <w:t>为封闭结构，设置排气</w:t>
            </w:r>
            <w:r>
              <w:rPr>
                <w:rFonts w:hint="eastAsia"/>
                <w:bCs/>
                <w:color w:val="auto"/>
                <w:szCs w:val="24"/>
                <w:highlight w:val="none"/>
                <w:lang w:eastAsia="zh-CN"/>
              </w:rPr>
              <w:t>扇</w:t>
            </w:r>
            <w:r>
              <w:rPr>
                <w:rFonts w:hint="eastAsia"/>
                <w:bCs/>
                <w:color w:val="auto"/>
                <w:szCs w:val="24"/>
                <w:highlight w:val="none"/>
              </w:rPr>
              <w:t>，不设置排气筒，废气以无组织形式排放。</w:t>
            </w:r>
            <w:r>
              <w:rPr>
                <w:rFonts w:hint="eastAsia"/>
                <w:bCs/>
                <w:color w:val="auto"/>
                <w:szCs w:val="24"/>
                <w:highlight w:val="none"/>
                <w:lang w:eastAsia="zh-CN"/>
              </w:rPr>
              <w:t>排气扇风量约</w:t>
            </w:r>
            <w:r>
              <w:rPr>
                <w:rFonts w:hint="eastAsia"/>
                <w:bCs/>
                <w:color w:val="auto"/>
                <w:szCs w:val="24"/>
                <w:highlight w:val="none"/>
              </w:rPr>
              <w:t>为150m</w:t>
            </w:r>
            <w:r>
              <w:rPr>
                <w:rFonts w:hint="eastAsia"/>
                <w:bCs/>
                <w:color w:val="auto"/>
                <w:szCs w:val="24"/>
                <w:highlight w:val="none"/>
                <w:vertAlign w:val="superscript"/>
              </w:rPr>
              <w:t>3</w:t>
            </w:r>
            <w:r>
              <w:rPr>
                <w:rFonts w:hint="eastAsia"/>
                <w:bCs/>
                <w:color w:val="auto"/>
                <w:szCs w:val="24"/>
                <w:highlight w:val="none"/>
              </w:rPr>
              <w:t>/h，通风时间为365d/a，不小于6次/h换气</w:t>
            </w:r>
            <w:r>
              <w:rPr>
                <w:rFonts w:hint="eastAsia"/>
                <w:bCs/>
                <w:color w:val="auto"/>
                <w:szCs w:val="24"/>
                <w:highlight w:val="none"/>
                <w:lang w:eastAsia="zh-CN"/>
              </w:rPr>
              <w:t>。</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rFonts w:hint="eastAsia"/>
                <w:color w:val="auto"/>
                <w:highlight w:val="none"/>
                <w:lang w:eastAsia="zh-CN"/>
              </w:rPr>
              <w:t>废润滑油</w:t>
            </w:r>
            <w:r>
              <w:rPr>
                <w:rFonts w:hint="eastAsia"/>
                <w:color w:val="auto"/>
                <w:highlight w:val="none"/>
              </w:rPr>
              <w:t>、</w:t>
            </w:r>
            <w:r>
              <w:rPr>
                <w:rFonts w:hint="eastAsia"/>
                <w:color w:val="auto"/>
                <w:highlight w:val="none"/>
                <w:lang w:eastAsia="zh-CN"/>
              </w:rPr>
              <w:t>废油桶</w:t>
            </w:r>
            <w:r>
              <w:rPr>
                <w:rFonts w:hint="eastAsia"/>
                <w:color w:val="auto"/>
                <w:highlight w:val="none"/>
              </w:rPr>
              <w:t>等产生的挥发性有机物废气污染物产排情况表</w:t>
            </w:r>
          </w:p>
          <w:tbl>
            <w:tblPr>
              <w:tblStyle w:val="16"/>
              <w:tblW w:w="797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7"/>
              <w:gridCol w:w="797"/>
              <w:gridCol w:w="797"/>
              <w:gridCol w:w="797"/>
              <w:gridCol w:w="797"/>
              <w:gridCol w:w="797"/>
              <w:gridCol w:w="797"/>
              <w:gridCol w:w="797"/>
              <w:gridCol w:w="797"/>
              <w:gridCol w:w="7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6" w:hRule="atLeast"/>
              </w:trPr>
              <w:tc>
                <w:tcPr>
                  <w:tcW w:w="797"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产污环节</w:t>
                  </w:r>
                </w:p>
              </w:tc>
              <w:tc>
                <w:tcPr>
                  <w:tcW w:w="797"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污染物</w:t>
                  </w:r>
                </w:p>
              </w:tc>
              <w:tc>
                <w:tcPr>
                  <w:tcW w:w="797" w:type="dxa"/>
                  <w:tcBorders>
                    <w:tl2br w:val="nil"/>
                    <w:tr2bl w:val="nil"/>
                  </w:tcBorders>
                  <w:vAlign w:val="center"/>
                </w:tcPr>
                <w:p>
                  <w:pPr>
                    <w:pStyle w:val="25"/>
                    <w:bidi w:val="0"/>
                    <w:rPr>
                      <w:rFonts w:hint="default"/>
                      <w:color w:val="auto"/>
                      <w:highlight w:val="none"/>
                      <w:lang w:val="en-US" w:eastAsia="zh-CN"/>
                    </w:rPr>
                  </w:pPr>
                  <w:r>
                    <w:rPr>
                      <w:rFonts w:hint="eastAsia"/>
                      <w:color w:val="auto"/>
                      <w:highlight w:val="none"/>
                      <w:lang w:eastAsia="zh-CN"/>
                    </w:rPr>
                    <w:t>产生量</w:t>
                  </w:r>
                  <w:r>
                    <w:rPr>
                      <w:rFonts w:hint="eastAsia"/>
                      <w:color w:val="auto"/>
                      <w:highlight w:val="none"/>
                      <w:lang w:val="en-US" w:eastAsia="zh-CN"/>
                    </w:rPr>
                    <w:t>t/a</w:t>
                  </w:r>
                </w:p>
              </w:tc>
              <w:tc>
                <w:tcPr>
                  <w:tcW w:w="797" w:type="dxa"/>
                  <w:tcBorders>
                    <w:tl2br w:val="nil"/>
                    <w:tr2bl w:val="nil"/>
                  </w:tcBorders>
                  <w:vAlign w:val="center"/>
                </w:tcPr>
                <w:p>
                  <w:pPr>
                    <w:pStyle w:val="25"/>
                    <w:bidi w:val="0"/>
                    <w:rPr>
                      <w:rFonts w:hint="default"/>
                      <w:color w:val="auto"/>
                      <w:highlight w:val="none"/>
                      <w:lang w:val="en-US" w:eastAsia="zh-CN"/>
                    </w:rPr>
                  </w:pPr>
                  <w:r>
                    <w:rPr>
                      <w:rFonts w:hint="eastAsia"/>
                      <w:color w:val="auto"/>
                      <w:highlight w:val="none"/>
                      <w:lang w:eastAsia="zh-CN"/>
                    </w:rPr>
                    <w:t>产生速率</w:t>
                  </w:r>
                  <w:r>
                    <w:rPr>
                      <w:rFonts w:hint="eastAsia"/>
                      <w:color w:val="auto"/>
                      <w:highlight w:val="none"/>
                      <w:lang w:val="en-US" w:eastAsia="zh-CN"/>
                    </w:rPr>
                    <w:t>kg/h</w:t>
                  </w:r>
                </w:p>
              </w:tc>
              <w:tc>
                <w:tcPr>
                  <w:tcW w:w="797" w:type="dxa"/>
                  <w:tcBorders>
                    <w:tl2br w:val="nil"/>
                    <w:tr2bl w:val="nil"/>
                  </w:tcBorders>
                  <w:vAlign w:val="center"/>
                </w:tcPr>
                <w:p>
                  <w:pPr>
                    <w:pStyle w:val="25"/>
                    <w:bidi w:val="0"/>
                    <w:rPr>
                      <w:rFonts w:hint="default"/>
                      <w:color w:val="auto"/>
                      <w:highlight w:val="none"/>
                      <w:lang w:val="en-US" w:eastAsia="zh-CN"/>
                    </w:rPr>
                  </w:pPr>
                  <w:r>
                    <w:rPr>
                      <w:rFonts w:hint="eastAsia"/>
                      <w:color w:val="auto"/>
                      <w:highlight w:val="none"/>
                      <w:lang w:eastAsia="zh-CN"/>
                    </w:rPr>
                    <w:t>产生浓度</w:t>
                  </w:r>
                  <w:r>
                    <w:rPr>
                      <w:rFonts w:hint="eastAsia"/>
                      <w:color w:val="auto"/>
                      <w:highlight w:val="none"/>
                      <w:lang w:val="en-US" w:eastAsia="zh-CN"/>
                    </w:rPr>
                    <w:t>mg/m</w:t>
                  </w:r>
                  <w:r>
                    <w:rPr>
                      <w:rFonts w:hint="eastAsia"/>
                      <w:color w:val="auto"/>
                      <w:highlight w:val="none"/>
                      <w:vertAlign w:val="superscript"/>
                      <w:lang w:val="en-US" w:eastAsia="zh-CN"/>
                    </w:rPr>
                    <w:t>3</w:t>
                  </w:r>
                </w:p>
              </w:tc>
              <w:tc>
                <w:tcPr>
                  <w:tcW w:w="797" w:type="dxa"/>
                  <w:tcBorders>
                    <w:tl2br w:val="nil"/>
                    <w:tr2bl w:val="nil"/>
                  </w:tcBorders>
                  <w:vAlign w:val="center"/>
                </w:tcPr>
                <w:p>
                  <w:pPr>
                    <w:pStyle w:val="25"/>
                    <w:bidi w:val="0"/>
                    <w:rPr>
                      <w:rFonts w:hint="default"/>
                      <w:color w:val="auto"/>
                      <w:highlight w:val="none"/>
                      <w:lang w:val="en-US" w:eastAsia="zh-CN"/>
                    </w:rPr>
                  </w:pPr>
                  <w:r>
                    <w:rPr>
                      <w:rFonts w:hint="eastAsia"/>
                      <w:color w:val="auto"/>
                      <w:highlight w:val="none"/>
                      <w:lang w:eastAsia="zh-CN"/>
                    </w:rPr>
                    <w:t>排放量</w:t>
                  </w:r>
                  <w:r>
                    <w:rPr>
                      <w:rFonts w:hint="eastAsia"/>
                      <w:color w:val="auto"/>
                      <w:highlight w:val="none"/>
                      <w:lang w:val="en-US" w:eastAsia="zh-CN"/>
                    </w:rPr>
                    <w:t>t/a</w:t>
                  </w:r>
                </w:p>
              </w:tc>
              <w:tc>
                <w:tcPr>
                  <w:tcW w:w="797" w:type="dxa"/>
                  <w:tcBorders>
                    <w:tl2br w:val="nil"/>
                    <w:tr2bl w:val="nil"/>
                  </w:tcBorders>
                  <w:vAlign w:val="center"/>
                </w:tcPr>
                <w:p>
                  <w:pPr>
                    <w:pStyle w:val="25"/>
                    <w:bidi w:val="0"/>
                    <w:rPr>
                      <w:rFonts w:hint="default"/>
                      <w:color w:val="auto"/>
                      <w:highlight w:val="none"/>
                      <w:lang w:val="en-US" w:eastAsia="zh-CN"/>
                    </w:rPr>
                  </w:pPr>
                  <w:r>
                    <w:rPr>
                      <w:rFonts w:hint="eastAsia"/>
                      <w:color w:val="auto"/>
                      <w:highlight w:val="none"/>
                      <w:lang w:val="en-US" w:eastAsia="zh-CN"/>
                    </w:rPr>
                    <w:t>排放速率kg/h</w:t>
                  </w:r>
                </w:p>
              </w:tc>
              <w:tc>
                <w:tcPr>
                  <w:tcW w:w="797" w:type="dxa"/>
                  <w:tcBorders>
                    <w:tl2br w:val="nil"/>
                    <w:tr2bl w:val="nil"/>
                  </w:tcBorders>
                  <w:vAlign w:val="center"/>
                </w:tcPr>
                <w:p>
                  <w:pPr>
                    <w:pStyle w:val="25"/>
                    <w:bidi w:val="0"/>
                    <w:rPr>
                      <w:rFonts w:hint="default"/>
                      <w:color w:val="auto"/>
                      <w:highlight w:val="none"/>
                      <w:lang w:val="en-US" w:eastAsia="zh-CN"/>
                    </w:rPr>
                  </w:pPr>
                  <w:r>
                    <w:rPr>
                      <w:rFonts w:hint="eastAsia"/>
                      <w:color w:val="auto"/>
                      <w:highlight w:val="none"/>
                      <w:lang w:eastAsia="zh-CN"/>
                    </w:rPr>
                    <w:t>排放浓度</w:t>
                  </w:r>
                  <w:r>
                    <w:rPr>
                      <w:rFonts w:hint="eastAsia"/>
                      <w:color w:val="auto"/>
                      <w:highlight w:val="none"/>
                      <w:lang w:val="en-US" w:eastAsia="zh-CN"/>
                    </w:rPr>
                    <w:t>mg/m</w:t>
                  </w:r>
                  <w:r>
                    <w:rPr>
                      <w:rFonts w:hint="eastAsia"/>
                      <w:color w:val="auto"/>
                      <w:highlight w:val="none"/>
                      <w:vertAlign w:val="superscript"/>
                      <w:lang w:val="en-US" w:eastAsia="zh-CN"/>
                    </w:rPr>
                    <w:t>3</w:t>
                  </w:r>
                </w:p>
              </w:tc>
              <w:tc>
                <w:tcPr>
                  <w:tcW w:w="797"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排放位置</w:t>
                  </w:r>
                </w:p>
              </w:tc>
              <w:tc>
                <w:tcPr>
                  <w:tcW w:w="798" w:type="dxa"/>
                  <w:tcBorders>
                    <w:tl2br w:val="nil"/>
                    <w:tr2bl w:val="nil"/>
                  </w:tcBorders>
                  <w:vAlign w:val="center"/>
                </w:tcPr>
                <w:p>
                  <w:pPr>
                    <w:pStyle w:val="25"/>
                    <w:bidi w:val="0"/>
                    <w:rPr>
                      <w:rFonts w:hint="eastAsia"/>
                      <w:color w:val="auto"/>
                      <w:highlight w:val="none"/>
                      <w:lang w:eastAsia="zh-CN"/>
                    </w:rPr>
                  </w:pPr>
                  <w:r>
                    <w:rPr>
                      <w:rFonts w:hint="eastAsia"/>
                      <w:color w:val="auto"/>
                      <w:highlight w:val="none"/>
                      <w:lang w:eastAsia="zh-CN"/>
                    </w:rPr>
                    <w:t>排放形式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97" w:type="dxa"/>
                  <w:tcBorders>
                    <w:tl2br w:val="nil"/>
                    <w:tr2bl w:val="nil"/>
                  </w:tcBorders>
                  <w:vAlign w:val="center"/>
                </w:tcPr>
                <w:p>
                  <w:pPr>
                    <w:pStyle w:val="22"/>
                    <w:bidi w:val="0"/>
                    <w:jc w:val="center"/>
                    <w:rPr>
                      <w:rFonts w:hint="eastAsia" w:eastAsiaTheme="minorEastAsia"/>
                      <w:color w:val="auto"/>
                      <w:highlight w:val="none"/>
                      <w:lang w:eastAsia="zh-CN"/>
                    </w:rPr>
                  </w:pPr>
                  <w:r>
                    <w:rPr>
                      <w:rFonts w:hint="eastAsia"/>
                      <w:color w:val="auto"/>
                      <w:highlight w:val="none"/>
                      <w:lang w:eastAsia="zh-CN"/>
                    </w:rPr>
                    <w:t>贮存废气</w:t>
                  </w:r>
                </w:p>
              </w:tc>
              <w:tc>
                <w:tcPr>
                  <w:tcW w:w="797" w:type="dxa"/>
                  <w:tcBorders>
                    <w:tl2br w:val="nil"/>
                    <w:tr2bl w:val="nil"/>
                  </w:tcBorders>
                  <w:vAlign w:val="center"/>
                </w:tcPr>
                <w:p>
                  <w:pPr>
                    <w:pStyle w:val="22"/>
                    <w:bidi w:val="0"/>
                    <w:jc w:val="center"/>
                    <w:rPr>
                      <w:rFonts w:hint="eastAsia" w:eastAsiaTheme="minorEastAsia"/>
                      <w:color w:val="auto"/>
                      <w:highlight w:val="none"/>
                      <w:lang w:eastAsia="zh-CN"/>
                    </w:rPr>
                  </w:pPr>
                  <w:r>
                    <w:rPr>
                      <w:rFonts w:hint="eastAsia"/>
                      <w:color w:val="auto"/>
                      <w:highlight w:val="none"/>
                      <w:lang w:eastAsia="zh-CN"/>
                    </w:rPr>
                    <w:t>非甲烷总烃</w:t>
                  </w:r>
                </w:p>
              </w:tc>
              <w:tc>
                <w:tcPr>
                  <w:tcW w:w="797" w:type="dxa"/>
                  <w:tcBorders>
                    <w:tl2br w:val="nil"/>
                    <w:tr2bl w:val="nil"/>
                  </w:tcBorders>
                  <w:vAlign w:val="center"/>
                </w:tcPr>
                <w:p>
                  <w:pPr>
                    <w:pStyle w:val="22"/>
                    <w:bidi w:val="0"/>
                    <w:jc w:val="center"/>
                    <w:rPr>
                      <w:rFonts w:hint="default" w:eastAsiaTheme="minorEastAsia"/>
                      <w:color w:val="auto"/>
                      <w:highlight w:val="none"/>
                      <w:lang w:val="en-US" w:eastAsia="zh-CN"/>
                    </w:rPr>
                  </w:pPr>
                  <w:r>
                    <w:rPr>
                      <w:rFonts w:hint="eastAsia"/>
                      <w:color w:val="auto"/>
                      <w:highlight w:val="none"/>
                      <w:lang w:eastAsia="zh-CN"/>
                    </w:rPr>
                    <w:t>0.00</w:t>
                  </w:r>
                  <w:r>
                    <w:rPr>
                      <w:rFonts w:hint="eastAsia"/>
                      <w:color w:val="auto"/>
                      <w:highlight w:val="none"/>
                      <w:lang w:val="en-US" w:eastAsia="zh-CN"/>
                    </w:rPr>
                    <w:t>696</w:t>
                  </w:r>
                </w:p>
              </w:tc>
              <w:tc>
                <w:tcPr>
                  <w:tcW w:w="797" w:type="dxa"/>
                  <w:tcBorders>
                    <w:tl2br w:val="nil"/>
                    <w:tr2bl w:val="nil"/>
                  </w:tcBorders>
                  <w:vAlign w:val="center"/>
                </w:tcPr>
                <w:p>
                  <w:pPr>
                    <w:pStyle w:val="22"/>
                    <w:bidi w:val="0"/>
                    <w:jc w:val="center"/>
                    <w:rPr>
                      <w:rFonts w:hint="default"/>
                      <w:color w:val="auto"/>
                      <w:highlight w:val="none"/>
                      <w:lang w:val="en-US"/>
                    </w:rPr>
                  </w:pPr>
                  <w:r>
                    <w:rPr>
                      <w:rFonts w:hint="eastAsia"/>
                      <w:color w:val="auto"/>
                      <w:highlight w:val="none"/>
                      <w:lang w:val="en-US" w:eastAsia="zh-CN"/>
                    </w:rPr>
                    <w:t>0.0008</w:t>
                  </w:r>
                </w:p>
              </w:tc>
              <w:tc>
                <w:tcPr>
                  <w:tcW w:w="797" w:type="dxa"/>
                  <w:tcBorders>
                    <w:tl2br w:val="nil"/>
                    <w:tr2bl w:val="nil"/>
                  </w:tcBorders>
                  <w:vAlign w:val="center"/>
                </w:tcPr>
                <w:p>
                  <w:pPr>
                    <w:pStyle w:val="22"/>
                    <w:bidi w:val="0"/>
                    <w:jc w:val="center"/>
                    <w:rPr>
                      <w:rFonts w:hint="default" w:eastAsiaTheme="minorEastAsia"/>
                      <w:color w:val="auto"/>
                      <w:highlight w:val="none"/>
                      <w:lang w:val="en-US" w:eastAsia="zh-CN"/>
                    </w:rPr>
                  </w:pPr>
                  <w:r>
                    <w:rPr>
                      <w:rFonts w:hint="eastAsia"/>
                      <w:color w:val="auto"/>
                      <w:highlight w:val="none"/>
                      <w:lang w:val="en-US" w:eastAsia="zh-CN"/>
                    </w:rPr>
                    <w:t>5</w:t>
                  </w:r>
                </w:p>
              </w:tc>
              <w:tc>
                <w:tcPr>
                  <w:tcW w:w="797" w:type="dxa"/>
                  <w:tcBorders>
                    <w:tl2br w:val="nil"/>
                    <w:tr2bl w:val="nil"/>
                  </w:tcBorders>
                  <w:shd w:val="clear" w:color="auto" w:fill="auto"/>
                  <w:vAlign w:val="center"/>
                </w:tcPr>
                <w:p>
                  <w:pPr>
                    <w:pStyle w:val="22"/>
                    <w:bidi w:val="0"/>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0.00</w:t>
                  </w:r>
                  <w:r>
                    <w:rPr>
                      <w:rFonts w:hint="eastAsia"/>
                      <w:color w:val="auto"/>
                      <w:highlight w:val="none"/>
                      <w:lang w:val="en-US" w:eastAsia="zh-CN"/>
                    </w:rPr>
                    <w:t>696</w:t>
                  </w:r>
                </w:p>
              </w:tc>
              <w:tc>
                <w:tcPr>
                  <w:tcW w:w="797" w:type="dxa"/>
                  <w:tcBorders>
                    <w:tl2br w:val="nil"/>
                    <w:tr2bl w:val="nil"/>
                  </w:tcBorders>
                  <w:shd w:val="clear" w:color="auto" w:fill="auto"/>
                  <w:vAlign w:val="center"/>
                </w:tcPr>
                <w:p>
                  <w:pPr>
                    <w:pStyle w:val="22"/>
                    <w:bidi w:val="0"/>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0.0008</w:t>
                  </w:r>
                </w:p>
              </w:tc>
              <w:tc>
                <w:tcPr>
                  <w:tcW w:w="797" w:type="dxa"/>
                  <w:tcBorders>
                    <w:tl2br w:val="nil"/>
                    <w:tr2bl w:val="nil"/>
                  </w:tcBorders>
                  <w:shd w:val="clear" w:color="auto" w:fill="auto"/>
                  <w:vAlign w:val="center"/>
                </w:tcPr>
                <w:p>
                  <w:pPr>
                    <w:pStyle w:val="22"/>
                    <w:bidi w:val="0"/>
                    <w:ind w:firstLine="0" w:firstLineChars="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5</w:t>
                  </w:r>
                </w:p>
              </w:tc>
              <w:tc>
                <w:tcPr>
                  <w:tcW w:w="797" w:type="dxa"/>
                  <w:tcBorders>
                    <w:tl2br w:val="nil"/>
                    <w:tr2bl w:val="nil"/>
                  </w:tcBorders>
                  <w:vAlign w:val="center"/>
                </w:tcPr>
                <w:p>
                  <w:pPr>
                    <w:pStyle w:val="22"/>
                    <w:bidi w:val="0"/>
                    <w:jc w:val="center"/>
                    <w:rPr>
                      <w:rFonts w:hint="eastAsia" w:eastAsiaTheme="minorEastAsia"/>
                      <w:color w:val="auto"/>
                      <w:highlight w:val="none"/>
                      <w:lang w:eastAsia="zh-CN"/>
                    </w:rPr>
                  </w:pPr>
                  <w:r>
                    <w:rPr>
                      <w:rFonts w:hint="eastAsia"/>
                      <w:color w:val="auto"/>
                      <w:highlight w:val="none"/>
                      <w:lang w:eastAsia="zh-CN"/>
                    </w:rPr>
                    <w:t>排风扇</w:t>
                  </w:r>
                </w:p>
              </w:tc>
              <w:tc>
                <w:tcPr>
                  <w:tcW w:w="798" w:type="dxa"/>
                  <w:tcBorders>
                    <w:tl2br w:val="nil"/>
                    <w:tr2bl w:val="nil"/>
                  </w:tcBorders>
                  <w:vAlign w:val="center"/>
                </w:tcPr>
                <w:p>
                  <w:pPr>
                    <w:pStyle w:val="22"/>
                    <w:bidi w:val="0"/>
                    <w:jc w:val="center"/>
                    <w:rPr>
                      <w:rFonts w:hint="eastAsia" w:eastAsiaTheme="minorEastAsia"/>
                      <w:color w:val="auto"/>
                      <w:highlight w:val="none"/>
                      <w:lang w:eastAsia="zh-CN"/>
                    </w:rPr>
                  </w:pPr>
                  <w:r>
                    <w:rPr>
                      <w:rFonts w:hint="eastAsia"/>
                      <w:color w:val="auto"/>
                      <w:highlight w:val="none"/>
                      <w:lang w:eastAsia="zh-CN"/>
                    </w:rPr>
                    <w:t>无组织</w:t>
                  </w:r>
                </w:p>
              </w:tc>
            </w:tr>
          </w:tbl>
          <w:p>
            <w:pPr>
              <w:pStyle w:val="12"/>
              <w:ind w:firstLine="480"/>
              <w:rPr>
                <w:color w:val="auto"/>
                <w:highlight w:val="none"/>
              </w:rPr>
            </w:pPr>
            <w:r>
              <w:rPr>
                <w:rFonts w:hint="eastAsia"/>
                <w:color w:val="auto"/>
                <w:highlight w:val="none"/>
              </w:rPr>
              <w:t>1.2无组织排放情况</w:t>
            </w:r>
          </w:p>
          <w:p>
            <w:pPr>
              <w:pStyle w:val="12"/>
              <w:ind w:firstLine="480"/>
              <w:rPr>
                <w:rFonts w:hint="default" w:eastAsia="宋体"/>
                <w:color w:val="auto"/>
                <w:highlight w:val="none"/>
                <w:lang w:val="en-US" w:eastAsia="zh-CN"/>
              </w:rPr>
            </w:pPr>
            <w:r>
              <w:rPr>
                <w:rFonts w:hint="eastAsia"/>
                <w:color w:val="auto"/>
                <w:highlight w:val="none"/>
              </w:rPr>
              <w:t>本项目无组织排放废气主要</w:t>
            </w:r>
            <w:r>
              <w:rPr>
                <w:rFonts w:hint="eastAsia"/>
                <w:color w:val="auto"/>
                <w:highlight w:val="none"/>
                <w:lang w:eastAsia="zh-CN"/>
              </w:rPr>
              <w:t>贮存废润滑油等危险废物产生的废气</w:t>
            </w:r>
            <w:r>
              <w:rPr>
                <w:rFonts w:hint="eastAsia"/>
                <w:color w:val="auto"/>
                <w:highlight w:val="none"/>
                <w:lang w:val="en-US" w:eastAsia="zh-CN"/>
              </w:rPr>
              <w:t>0.00696t/a。</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 xml:space="preserve"> </w:t>
            </w:r>
            <w:r>
              <w:rPr>
                <w:rFonts w:hint="eastAsia"/>
                <w:color w:val="auto"/>
                <w:highlight w:val="none"/>
              </w:rPr>
              <w:t>本项目</w:t>
            </w:r>
            <w:r>
              <w:rPr>
                <w:color w:val="auto"/>
                <w:highlight w:val="none"/>
              </w:rPr>
              <w:t>主要废气污染源参数一览表</w:t>
            </w:r>
            <w:r>
              <w:rPr>
                <w:rFonts w:hint="eastAsia"/>
                <w:color w:val="auto"/>
                <w:highlight w:val="none"/>
              </w:rPr>
              <w:t>（</w:t>
            </w:r>
            <w:r>
              <w:rPr>
                <w:color w:val="auto"/>
                <w:highlight w:val="none"/>
              </w:rPr>
              <w:t>矩形面源</w:t>
            </w:r>
            <w:r>
              <w:rPr>
                <w:rFonts w:hint="eastAsia"/>
                <w:color w:val="auto"/>
                <w:highlight w:val="none"/>
              </w:rPr>
              <w:t>）</w:t>
            </w:r>
          </w:p>
          <w:tbl>
            <w:tblPr>
              <w:tblStyle w:val="15"/>
              <w:tblW w:w="796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982"/>
              <w:gridCol w:w="1215"/>
              <w:gridCol w:w="813"/>
              <w:gridCol w:w="813"/>
              <w:gridCol w:w="813"/>
              <w:gridCol w:w="1119"/>
              <w:gridCol w:w="10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7" w:hRule="atLeast"/>
                <w:jc w:val="center"/>
              </w:trPr>
              <w:tc>
                <w:tcPr>
                  <w:tcW w:w="1157" w:type="dxa"/>
                  <w:vMerge w:val="restart"/>
                  <w:tcBorders>
                    <w:tl2br w:val="nil"/>
                    <w:tr2bl w:val="nil"/>
                  </w:tcBorders>
                  <w:vAlign w:val="center"/>
                </w:tcPr>
                <w:p>
                  <w:pPr>
                    <w:pStyle w:val="25"/>
                    <w:rPr>
                      <w:rFonts w:hint="default"/>
                      <w:color w:val="auto"/>
                      <w:highlight w:val="none"/>
                    </w:rPr>
                  </w:pPr>
                  <w:r>
                    <w:rPr>
                      <w:rFonts w:hint="default"/>
                      <w:color w:val="auto"/>
                      <w:highlight w:val="none"/>
                    </w:rPr>
                    <w:t>污染源名称</w:t>
                  </w:r>
                </w:p>
              </w:tc>
              <w:tc>
                <w:tcPr>
                  <w:tcW w:w="2197" w:type="dxa"/>
                  <w:gridSpan w:val="2"/>
                  <w:tcBorders>
                    <w:tl2br w:val="nil"/>
                    <w:tr2bl w:val="nil"/>
                  </w:tcBorders>
                  <w:vAlign w:val="center"/>
                </w:tcPr>
                <w:p>
                  <w:pPr>
                    <w:pStyle w:val="25"/>
                    <w:rPr>
                      <w:rFonts w:hint="default"/>
                      <w:color w:val="auto"/>
                      <w:highlight w:val="none"/>
                    </w:rPr>
                  </w:pPr>
                  <w:r>
                    <w:rPr>
                      <w:rFonts w:hint="default"/>
                      <w:color w:val="auto"/>
                      <w:highlight w:val="none"/>
                    </w:rPr>
                    <w:t>坐标</w:t>
                  </w:r>
                  <w:r>
                    <w:rPr>
                      <w:color w:val="auto"/>
                      <w:highlight w:val="none"/>
                    </w:rPr>
                    <w:t>/m</w:t>
                  </w:r>
                </w:p>
              </w:tc>
              <w:tc>
                <w:tcPr>
                  <w:tcW w:w="2439" w:type="dxa"/>
                  <w:gridSpan w:val="3"/>
                  <w:tcBorders>
                    <w:tl2br w:val="nil"/>
                    <w:tr2bl w:val="nil"/>
                  </w:tcBorders>
                  <w:vAlign w:val="center"/>
                </w:tcPr>
                <w:p>
                  <w:pPr>
                    <w:pStyle w:val="25"/>
                    <w:rPr>
                      <w:rFonts w:hint="default"/>
                      <w:color w:val="auto"/>
                      <w:highlight w:val="none"/>
                    </w:rPr>
                  </w:pPr>
                  <w:r>
                    <w:rPr>
                      <w:rFonts w:hint="default"/>
                      <w:color w:val="auto"/>
                      <w:highlight w:val="none"/>
                    </w:rPr>
                    <w:t>矩形面源</w:t>
                  </w:r>
                </w:p>
              </w:tc>
              <w:tc>
                <w:tcPr>
                  <w:tcW w:w="1119" w:type="dxa"/>
                  <w:tcBorders>
                    <w:tl2br w:val="nil"/>
                    <w:tr2bl w:val="nil"/>
                  </w:tcBorders>
                  <w:vAlign w:val="center"/>
                </w:tcPr>
                <w:p>
                  <w:pPr>
                    <w:pStyle w:val="25"/>
                    <w:rPr>
                      <w:rFonts w:hint="default"/>
                      <w:color w:val="auto"/>
                      <w:highlight w:val="none"/>
                    </w:rPr>
                  </w:pPr>
                  <w:r>
                    <w:rPr>
                      <w:rFonts w:hint="default"/>
                      <w:color w:val="auto"/>
                      <w:highlight w:val="none"/>
                    </w:rPr>
                    <w:t>污染物排放速率</w:t>
                  </w:r>
                  <w:r>
                    <w:rPr>
                      <w:color w:val="auto"/>
                      <w:highlight w:val="none"/>
                    </w:rPr>
                    <w:t>（</w:t>
                  </w:r>
                  <w:r>
                    <w:rPr>
                      <w:rFonts w:hint="default"/>
                      <w:color w:val="auto"/>
                      <w:highlight w:val="none"/>
                    </w:rPr>
                    <w:t>kg/h)</w:t>
                  </w:r>
                </w:p>
              </w:tc>
              <w:tc>
                <w:tcPr>
                  <w:tcW w:w="1056" w:type="dxa"/>
                  <w:tcBorders>
                    <w:tl2br w:val="nil"/>
                    <w:tr2bl w:val="nil"/>
                  </w:tcBorders>
                  <w:vAlign w:val="center"/>
                </w:tcPr>
                <w:p>
                  <w:pPr>
                    <w:pStyle w:val="25"/>
                    <w:rPr>
                      <w:rFonts w:hint="default"/>
                      <w:color w:val="auto"/>
                      <w:highlight w:val="none"/>
                    </w:rPr>
                  </w:pPr>
                  <w:r>
                    <w:rPr>
                      <w:color w:val="auto"/>
                      <w:highlight w:val="none"/>
                    </w:rPr>
                    <w:t>污染物排放量（t/a）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3" w:hRule="atLeast"/>
                <w:jc w:val="center"/>
              </w:trPr>
              <w:tc>
                <w:tcPr>
                  <w:tcW w:w="1157" w:type="dxa"/>
                  <w:vMerge w:val="continue"/>
                  <w:tcBorders>
                    <w:tl2br w:val="nil"/>
                    <w:tr2bl w:val="nil"/>
                  </w:tcBorders>
                  <w:vAlign w:val="center"/>
                </w:tcPr>
                <w:p>
                  <w:pPr>
                    <w:pStyle w:val="25"/>
                    <w:rPr>
                      <w:rFonts w:hint="default"/>
                      <w:color w:val="auto"/>
                      <w:highlight w:val="none"/>
                    </w:rPr>
                  </w:pPr>
                </w:p>
              </w:tc>
              <w:tc>
                <w:tcPr>
                  <w:tcW w:w="982" w:type="dxa"/>
                  <w:tcBorders>
                    <w:tl2br w:val="nil"/>
                    <w:tr2bl w:val="nil"/>
                  </w:tcBorders>
                  <w:vAlign w:val="center"/>
                </w:tcPr>
                <w:p>
                  <w:pPr>
                    <w:pStyle w:val="25"/>
                    <w:rPr>
                      <w:rFonts w:hint="eastAsia" w:eastAsiaTheme="minorEastAsia"/>
                      <w:color w:val="auto"/>
                      <w:highlight w:val="none"/>
                      <w:lang w:val="en-US" w:eastAsia="zh-CN"/>
                    </w:rPr>
                  </w:pPr>
                  <w:r>
                    <w:rPr>
                      <w:rFonts w:hint="eastAsia"/>
                      <w:color w:val="auto"/>
                      <w:highlight w:val="none"/>
                      <w:lang w:val="en-US" w:eastAsia="zh-CN"/>
                    </w:rPr>
                    <w:t>X</w:t>
                  </w:r>
                </w:p>
              </w:tc>
              <w:tc>
                <w:tcPr>
                  <w:tcW w:w="1215" w:type="dxa"/>
                  <w:tcBorders>
                    <w:tl2br w:val="nil"/>
                    <w:tr2bl w:val="nil"/>
                  </w:tcBorders>
                  <w:vAlign w:val="center"/>
                </w:tcPr>
                <w:p>
                  <w:pPr>
                    <w:pStyle w:val="25"/>
                    <w:rPr>
                      <w:rFonts w:hint="eastAsia" w:eastAsiaTheme="minorEastAsia"/>
                      <w:color w:val="auto"/>
                      <w:highlight w:val="none"/>
                      <w:lang w:val="en-US" w:eastAsia="zh-CN"/>
                    </w:rPr>
                  </w:pPr>
                  <w:r>
                    <w:rPr>
                      <w:rFonts w:hint="eastAsia"/>
                      <w:color w:val="auto"/>
                      <w:highlight w:val="none"/>
                      <w:lang w:val="en-US" w:eastAsia="zh-CN"/>
                    </w:rPr>
                    <w:t>Y</w:t>
                  </w:r>
                </w:p>
              </w:tc>
              <w:tc>
                <w:tcPr>
                  <w:tcW w:w="813" w:type="dxa"/>
                  <w:tcBorders>
                    <w:tl2br w:val="nil"/>
                    <w:tr2bl w:val="nil"/>
                  </w:tcBorders>
                  <w:vAlign w:val="center"/>
                </w:tcPr>
                <w:p>
                  <w:pPr>
                    <w:pStyle w:val="25"/>
                    <w:rPr>
                      <w:rFonts w:hint="eastAsia" w:eastAsiaTheme="minorEastAsia"/>
                      <w:color w:val="auto"/>
                      <w:highlight w:val="none"/>
                      <w:lang w:eastAsia="zh-CN"/>
                    </w:rPr>
                  </w:pPr>
                  <w:r>
                    <w:rPr>
                      <w:rFonts w:hint="default"/>
                      <w:color w:val="auto"/>
                      <w:highlight w:val="none"/>
                    </w:rPr>
                    <w:t>长度</w:t>
                  </w:r>
                  <w:r>
                    <w:rPr>
                      <w:rFonts w:hint="eastAsia"/>
                      <w:color w:val="auto"/>
                      <w:highlight w:val="none"/>
                      <w:lang w:eastAsia="zh-CN"/>
                    </w:rPr>
                    <w:t>（</w:t>
                  </w:r>
                  <w:r>
                    <w:rPr>
                      <w:rFonts w:hint="eastAsia"/>
                      <w:color w:val="auto"/>
                      <w:highlight w:val="none"/>
                      <w:lang w:val="en-US" w:eastAsia="zh-CN"/>
                    </w:rPr>
                    <w:t>m</w:t>
                  </w:r>
                  <w:r>
                    <w:rPr>
                      <w:rFonts w:hint="eastAsia"/>
                      <w:color w:val="auto"/>
                      <w:highlight w:val="none"/>
                      <w:lang w:eastAsia="zh-CN"/>
                    </w:rPr>
                    <w:t>）</w:t>
                  </w:r>
                </w:p>
              </w:tc>
              <w:tc>
                <w:tcPr>
                  <w:tcW w:w="813" w:type="dxa"/>
                  <w:tcBorders>
                    <w:tl2br w:val="nil"/>
                    <w:tr2bl w:val="nil"/>
                  </w:tcBorders>
                  <w:vAlign w:val="center"/>
                </w:tcPr>
                <w:p>
                  <w:pPr>
                    <w:pStyle w:val="25"/>
                    <w:rPr>
                      <w:rFonts w:hint="default"/>
                      <w:color w:val="auto"/>
                      <w:highlight w:val="none"/>
                    </w:rPr>
                  </w:pPr>
                  <w:r>
                    <w:rPr>
                      <w:rFonts w:hint="default"/>
                      <w:color w:val="auto"/>
                      <w:highlight w:val="none"/>
                    </w:rPr>
                    <w:t>宽度</w:t>
                  </w:r>
                  <w:r>
                    <w:rPr>
                      <w:rFonts w:hint="eastAsia"/>
                      <w:color w:val="auto"/>
                      <w:highlight w:val="none"/>
                      <w:lang w:eastAsia="zh-CN"/>
                    </w:rPr>
                    <w:t>（</w:t>
                  </w:r>
                  <w:r>
                    <w:rPr>
                      <w:rFonts w:hint="eastAsia"/>
                      <w:color w:val="auto"/>
                      <w:highlight w:val="none"/>
                      <w:lang w:val="en-US" w:eastAsia="zh-CN"/>
                    </w:rPr>
                    <w:t>m</w:t>
                  </w:r>
                  <w:r>
                    <w:rPr>
                      <w:rFonts w:hint="eastAsia"/>
                      <w:color w:val="auto"/>
                      <w:highlight w:val="none"/>
                      <w:lang w:eastAsia="zh-CN"/>
                    </w:rPr>
                    <w:t>）</w:t>
                  </w:r>
                </w:p>
              </w:tc>
              <w:tc>
                <w:tcPr>
                  <w:tcW w:w="813" w:type="dxa"/>
                  <w:tcBorders>
                    <w:tl2br w:val="nil"/>
                    <w:tr2bl w:val="nil"/>
                  </w:tcBorders>
                  <w:vAlign w:val="center"/>
                </w:tcPr>
                <w:p>
                  <w:pPr>
                    <w:pStyle w:val="25"/>
                    <w:rPr>
                      <w:rFonts w:hint="default"/>
                      <w:color w:val="auto"/>
                      <w:highlight w:val="none"/>
                    </w:rPr>
                  </w:pPr>
                  <w:r>
                    <w:rPr>
                      <w:rFonts w:hint="default"/>
                      <w:color w:val="auto"/>
                      <w:highlight w:val="none"/>
                    </w:rPr>
                    <w:t>有效高度</w:t>
                  </w:r>
                  <w:r>
                    <w:rPr>
                      <w:rFonts w:hint="eastAsia"/>
                      <w:color w:val="auto"/>
                      <w:highlight w:val="none"/>
                      <w:lang w:eastAsia="zh-CN"/>
                    </w:rPr>
                    <w:t>（</w:t>
                  </w:r>
                  <w:r>
                    <w:rPr>
                      <w:rFonts w:hint="eastAsia"/>
                      <w:color w:val="auto"/>
                      <w:highlight w:val="none"/>
                      <w:lang w:val="en-US" w:eastAsia="zh-CN"/>
                    </w:rPr>
                    <w:t>m</w:t>
                  </w:r>
                  <w:r>
                    <w:rPr>
                      <w:rFonts w:hint="eastAsia"/>
                      <w:color w:val="auto"/>
                      <w:highlight w:val="none"/>
                      <w:lang w:eastAsia="zh-CN"/>
                    </w:rPr>
                    <w:t>）</w:t>
                  </w:r>
                </w:p>
              </w:tc>
              <w:tc>
                <w:tcPr>
                  <w:tcW w:w="1119"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非甲烷总烃</w:t>
                  </w:r>
                </w:p>
              </w:tc>
              <w:tc>
                <w:tcPr>
                  <w:tcW w:w="1056" w:type="dxa"/>
                  <w:tcBorders>
                    <w:tl2br w:val="nil"/>
                    <w:tr2bl w:val="nil"/>
                  </w:tcBorders>
                  <w:vAlign w:val="center"/>
                </w:tcPr>
                <w:p>
                  <w:pPr>
                    <w:pStyle w:val="25"/>
                    <w:rPr>
                      <w:color w:val="auto"/>
                      <w:highlight w:val="none"/>
                    </w:rPr>
                  </w:pPr>
                  <w:r>
                    <w:rPr>
                      <w:rFonts w:hint="eastAsia"/>
                      <w:color w:val="auto"/>
                      <w:highlight w:val="none"/>
                      <w:lang w:eastAsia="zh-CN"/>
                    </w:rPr>
                    <w:t>非甲烷总烃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157"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危险废物贮存点</w:t>
                  </w:r>
                </w:p>
              </w:tc>
              <w:tc>
                <w:tcPr>
                  <w:tcW w:w="982" w:type="dxa"/>
                  <w:tcBorders>
                    <w:tl2br w:val="nil"/>
                    <w:tr2bl w:val="nil"/>
                  </w:tcBorders>
                  <w:vAlign w:val="center"/>
                </w:tcPr>
                <w:p>
                  <w:pPr>
                    <w:pStyle w:val="22"/>
                    <w:rPr>
                      <w:color w:val="auto"/>
                      <w:highlight w:val="none"/>
                    </w:rPr>
                  </w:pPr>
                  <w:r>
                    <w:rPr>
                      <w:rFonts w:hint="eastAsia"/>
                      <w:color w:val="auto"/>
                      <w:highlight w:val="none"/>
                    </w:rPr>
                    <w:t>528437.62</w:t>
                  </w:r>
                </w:p>
              </w:tc>
              <w:tc>
                <w:tcPr>
                  <w:tcW w:w="1215" w:type="dxa"/>
                  <w:tcBorders>
                    <w:tl2br w:val="nil"/>
                    <w:tr2bl w:val="nil"/>
                  </w:tcBorders>
                  <w:vAlign w:val="center"/>
                </w:tcPr>
                <w:p>
                  <w:pPr>
                    <w:pStyle w:val="22"/>
                    <w:rPr>
                      <w:color w:val="auto"/>
                      <w:highlight w:val="none"/>
                    </w:rPr>
                  </w:pPr>
                  <w:bookmarkStart w:id="5" w:name="OLE_LINK5"/>
                  <w:r>
                    <w:rPr>
                      <w:rFonts w:hint="eastAsia"/>
                      <w:color w:val="auto"/>
                      <w:highlight w:val="none"/>
                    </w:rPr>
                    <w:t>4645703.99</w:t>
                  </w:r>
                  <w:bookmarkEnd w:id="5"/>
                </w:p>
              </w:tc>
              <w:tc>
                <w:tcPr>
                  <w:tcW w:w="813"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12.4</w:t>
                  </w:r>
                </w:p>
              </w:tc>
              <w:tc>
                <w:tcPr>
                  <w:tcW w:w="813"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9.8</w:t>
                  </w:r>
                </w:p>
              </w:tc>
              <w:tc>
                <w:tcPr>
                  <w:tcW w:w="813"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4</w:t>
                  </w:r>
                </w:p>
              </w:tc>
              <w:tc>
                <w:tcPr>
                  <w:tcW w:w="1119"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0.0008</w:t>
                  </w:r>
                </w:p>
              </w:tc>
              <w:tc>
                <w:tcPr>
                  <w:tcW w:w="1056" w:type="dxa"/>
                  <w:tcBorders>
                    <w:tl2br w:val="nil"/>
                    <w:tr2bl w:val="nil"/>
                  </w:tcBorders>
                  <w:vAlign w:val="center"/>
                </w:tcPr>
                <w:p>
                  <w:pPr>
                    <w:pStyle w:val="22"/>
                    <w:rPr>
                      <w:rFonts w:hint="default" w:eastAsiaTheme="minorEastAsia"/>
                      <w:color w:val="auto"/>
                      <w:highlight w:val="none"/>
                      <w:vertAlign w:val="superscript"/>
                      <w:lang w:val="en-US" w:eastAsia="zh-CN"/>
                    </w:rPr>
                  </w:pPr>
                  <w:r>
                    <w:rPr>
                      <w:rFonts w:hint="eastAsia"/>
                      <w:color w:val="auto"/>
                      <w:highlight w:val="none"/>
                      <w:lang w:val="en-US" w:eastAsia="zh-CN"/>
                    </w:rPr>
                    <w:t>0.00696</w:t>
                  </w:r>
                </w:p>
              </w:tc>
            </w:tr>
          </w:tbl>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项目矩形面源参数表</w:t>
            </w:r>
          </w:p>
          <w:tbl>
            <w:tblPr>
              <w:tblStyle w:val="15"/>
              <w:tblW w:w="779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99"/>
              <w:gridCol w:w="871"/>
              <w:gridCol w:w="1267"/>
              <w:gridCol w:w="37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1" w:hRule="atLeast"/>
                <w:jc w:val="center"/>
              </w:trPr>
              <w:tc>
                <w:tcPr>
                  <w:tcW w:w="4037" w:type="dxa"/>
                  <w:gridSpan w:val="3"/>
                  <w:tcBorders>
                    <w:tl2br w:val="nil"/>
                    <w:tr2bl w:val="nil"/>
                  </w:tcBorders>
                  <w:shd w:val="clear" w:color="auto" w:fill="auto"/>
                  <w:vAlign w:val="center"/>
                </w:tcPr>
                <w:p>
                  <w:pPr>
                    <w:pStyle w:val="25"/>
                    <w:rPr>
                      <w:rFonts w:hint="default"/>
                      <w:color w:val="auto"/>
                      <w:highlight w:val="none"/>
                    </w:rPr>
                  </w:pPr>
                  <w:r>
                    <w:rPr>
                      <w:color w:val="auto"/>
                      <w:highlight w:val="none"/>
                    </w:rPr>
                    <w:t>编号</w:t>
                  </w:r>
                </w:p>
              </w:tc>
              <w:tc>
                <w:tcPr>
                  <w:tcW w:w="3762" w:type="dxa"/>
                  <w:tcBorders>
                    <w:tl2br w:val="nil"/>
                    <w:tr2bl w:val="nil"/>
                  </w:tcBorders>
                  <w:shd w:val="clear" w:color="auto" w:fill="auto"/>
                  <w:vAlign w:val="center"/>
                </w:tcPr>
                <w:p>
                  <w:pPr>
                    <w:pStyle w:val="22"/>
                    <w:rPr>
                      <w:color w:val="auto"/>
                      <w:highlight w:val="none"/>
                    </w:rPr>
                  </w:pPr>
                  <w:r>
                    <w:rPr>
                      <w:rFonts w:hint="eastAsia"/>
                      <w:color w:val="auto"/>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4037" w:type="dxa"/>
                  <w:gridSpan w:val="3"/>
                  <w:tcBorders>
                    <w:tl2br w:val="nil"/>
                    <w:tr2bl w:val="nil"/>
                  </w:tcBorders>
                  <w:shd w:val="clear" w:color="auto" w:fill="auto"/>
                  <w:vAlign w:val="center"/>
                </w:tcPr>
                <w:p>
                  <w:pPr>
                    <w:pStyle w:val="25"/>
                    <w:rPr>
                      <w:rFonts w:hint="default"/>
                      <w:color w:val="auto"/>
                      <w:highlight w:val="none"/>
                    </w:rPr>
                  </w:pPr>
                  <w:r>
                    <w:rPr>
                      <w:color w:val="auto"/>
                      <w:highlight w:val="none"/>
                    </w:rPr>
                    <w:t>名称</w:t>
                  </w:r>
                </w:p>
              </w:tc>
              <w:tc>
                <w:tcPr>
                  <w:tcW w:w="3762" w:type="dxa"/>
                  <w:tcBorders>
                    <w:tl2br w:val="nil"/>
                    <w:tr2bl w:val="nil"/>
                  </w:tcBorders>
                  <w:shd w:val="clear" w:color="auto" w:fill="auto"/>
                  <w:vAlign w:val="center"/>
                </w:tcPr>
                <w:p>
                  <w:pPr>
                    <w:pStyle w:val="22"/>
                    <w:rPr>
                      <w:rFonts w:hint="eastAsia" w:eastAsiaTheme="minorEastAsia"/>
                      <w:color w:val="auto"/>
                      <w:highlight w:val="none"/>
                      <w:lang w:eastAsia="zh-CN"/>
                    </w:rPr>
                  </w:pPr>
                  <w:r>
                    <w:rPr>
                      <w:rFonts w:hint="eastAsia"/>
                      <w:color w:val="auto"/>
                      <w:highlight w:val="none"/>
                      <w:lang w:eastAsia="zh-CN"/>
                    </w:rPr>
                    <w:t>危险废物贮存点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50" w:hRule="atLeast"/>
                <w:jc w:val="center"/>
              </w:trPr>
              <w:tc>
                <w:tcPr>
                  <w:tcW w:w="2770" w:type="dxa"/>
                  <w:gridSpan w:val="2"/>
                  <w:vMerge w:val="restart"/>
                  <w:tcBorders>
                    <w:tl2br w:val="nil"/>
                    <w:tr2bl w:val="nil"/>
                  </w:tcBorders>
                  <w:shd w:val="clear" w:color="auto" w:fill="auto"/>
                  <w:vAlign w:val="center"/>
                </w:tcPr>
                <w:p>
                  <w:pPr>
                    <w:pStyle w:val="25"/>
                    <w:rPr>
                      <w:rFonts w:hint="default"/>
                      <w:color w:val="auto"/>
                      <w:highlight w:val="none"/>
                    </w:rPr>
                  </w:pPr>
                  <w:r>
                    <w:rPr>
                      <w:color w:val="auto"/>
                      <w:highlight w:val="none"/>
                    </w:rPr>
                    <w:t>面源起点坐标/m</w:t>
                  </w:r>
                </w:p>
              </w:tc>
              <w:tc>
                <w:tcPr>
                  <w:tcW w:w="1267" w:type="dxa"/>
                  <w:tcBorders>
                    <w:tl2br w:val="nil"/>
                    <w:tr2bl w:val="nil"/>
                  </w:tcBorders>
                  <w:shd w:val="clear" w:color="auto" w:fill="auto"/>
                  <w:vAlign w:val="center"/>
                </w:tcPr>
                <w:p>
                  <w:pPr>
                    <w:pStyle w:val="25"/>
                    <w:rPr>
                      <w:rFonts w:hint="default"/>
                      <w:color w:val="auto"/>
                      <w:highlight w:val="none"/>
                    </w:rPr>
                  </w:pPr>
                  <w:r>
                    <w:rPr>
                      <w:color w:val="auto"/>
                      <w:highlight w:val="none"/>
                    </w:rPr>
                    <w:t>X</w:t>
                  </w:r>
                </w:p>
              </w:tc>
              <w:tc>
                <w:tcPr>
                  <w:tcW w:w="3762" w:type="dxa"/>
                  <w:tcBorders>
                    <w:tl2br w:val="nil"/>
                    <w:tr2bl w:val="nil"/>
                  </w:tcBorders>
                  <w:shd w:val="clear" w:color="auto" w:fill="auto"/>
                  <w:vAlign w:val="center"/>
                </w:tcPr>
                <w:p>
                  <w:pPr>
                    <w:pStyle w:val="22"/>
                    <w:rPr>
                      <w:b/>
                      <w:bCs/>
                      <w:color w:val="auto"/>
                      <w:highlight w:val="none"/>
                    </w:rPr>
                  </w:pPr>
                  <w:r>
                    <w:rPr>
                      <w:rFonts w:hint="eastAsia"/>
                      <w:color w:val="auto"/>
                      <w:highlight w:val="none"/>
                    </w:rPr>
                    <w:t>528437.62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50" w:hRule="atLeast"/>
                <w:jc w:val="center"/>
              </w:trPr>
              <w:tc>
                <w:tcPr>
                  <w:tcW w:w="2770" w:type="dxa"/>
                  <w:gridSpan w:val="2"/>
                  <w:vMerge w:val="continue"/>
                  <w:tcBorders>
                    <w:tl2br w:val="nil"/>
                    <w:tr2bl w:val="nil"/>
                  </w:tcBorders>
                  <w:shd w:val="clear" w:color="auto" w:fill="auto"/>
                  <w:vAlign w:val="center"/>
                </w:tcPr>
                <w:p>
                  <w:pPr>
                    <w:pStyle w:val="25"/>
                    <w:rPr>
                      <w:rFonts w:hint="default"/>
                      <w:color w:val="auto"/>
                      <w:highlight w:val="none"/>
                    </w:rPr>
                  </w:pPr>
                </w:p>
              </w:tc>
              <w:tc>
                <w:tcPr>
                  <w:tcW w:w="1267" w:type="dxa"/>
                  <w:tcBorders>
                    <w:tl2br w:val="nil"/>
                    <w:tr2bl w:val="nil"/>
                  </w:tcBorders>
                  <w:shd w:val="clear" w:color="auto" w:fill="auto"/>
                  <w:vAlign w:val="center"/>
                </w:tcPr>
                <w:p>
                  <w:pPr>
                    <w:pStyle w:val="25"/>
                    <w:rPr>
                      <w:rFonts w:hint="default"/>
                      <w:color w:val="auto"/>
                      <w:highlight w:val="none"/>
                    </w:rPr>
                  </w:pPr>
                  <w:r>
                    <w:rPr>
                      <w:color w:val="auto"/>
                      <w:highlight w:val="none"/>
                    </w:rPr>
                    <w:t>Y</w:t>
                  </w:r>
                </w:p>
              </w:tc>
              <w:tc>
                <w:tcPr>
                  <w:tcW w:w="3762" w:type="dxa"/>
                  <w:tcBorders>
                    <w:tl2br w:val="nil"/>
                    <w:tr2bl w:val="nil"/>
                  </w:tcBorders>
                  <w:shd w:val="clear" w:color="auto" w:fill="auto"/>
                  <w:vAlign w:val="center"/>
                </w:tcPr>
                <w:p>
                  <w:pPr>
                    <w:pStyle w:val="22"/>
                    <w:rPr>
                      <w:color w:val="auto"/>
                      <w:highlight w:val="none"/>
                    </w:rPr>
                  </w:pPr>
                  <w:r>
                    <w:rPr>
                      <w:rFonts w:hint="eastAsia"/>
                      <w:color w:val="auto"/>
                      <w:highlight w:val="none"/>
                    </w:rPr>
                    <w:t>4645703.99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4037" w:type="dxa"/>
                  <w:gridSpan w:val="3"/>
                  <w:tcBorders>
                    <w:tl2br w:val="nil"/>
                    <w:tr2bl w:val="nil"/>
                  </w:tcBorders>
                  <w:shd w:val="clear" w:color="auto" w:fill="auto"/>
                  <w:vAlign w:val="center"/>
                </w:tcPr>
                <w:p>
                  <w:pPr>
                    <w:pStyle w:val="25"/>
                    <w:rPr>
                      <w:rFonts w:hint="default"/>
                      <w:color w:val="auto"/>
                      <w:highlight w:val="none"/>
                    </w:rPr>
                  </w:pPr>
                  <w:r>
                    <w:rPr>
                      <w:color w:val="auto"/>
                      <w:highlight w:val="none"/>
                    </w:rPr>
                    <w:t>面源海拔高度m</w:t>
                  </w:r>
                </w:p>
              </w:tc>
              <w:tc>
                <w:tcPr>
                  <w:tcW w:w="3762" w:type="dxa"/>
                  <w:tcBorders>
                    <w:tl2br w:val="nil"/>
                    <w:tr2bl w:val="nil"/>
                  </w:tcBorders>
                  <w:shd w:val="clear" w:color="auto" w:fill="auto"/>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570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4037" w:type="dxa"/>
                  <w:gridSpan w:val="3"/>
                  <w:tcBorders>
                    <w:tl2br w:val="nil"/>
                    <w:tr2bl w:val="nil"/>
                  </w:tcBorders>
                  <w:shd w:val="clear" w:color="auto" w:fill="auto"/>
                  <w:vAlign w:val="center"/>
                </w:tcPr>
                <w:p>
                  <w:pPr>
                    <w:pStyle w:val="25"/>
                    <w:rPr>
                      <w:rFonts w:hint="default"/>
                      <w:color w:val="auto"/>
                      <w:highlight w:val="none"/>
                    </w:rPr>
                  </w:pPr>
                  <w:r>
                    <w:rPr>
                      <w:color w:val="auto"/>
                      <w:highlight w:val="none"/>
                    </w:rPr>
                    <w:t>面源长度m</w:t>
                  </w:r>
                </w:p>
              </w:tc>
              <w:tc>
                <w:tcPr>
                  <w:tcW w:w="3762" w:type="dxa"/>
                  <w:tcBorders>
                    <w:tl2br w:val="nil"/>
                    <w:tr2bl w:val="nil"/>
                  </w:tcBorders>
                  <w:shd w:val="clear" w:color="auto" w:fill="auto"/>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12.4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4037" w:type="dxa"/>
                  <w:gridSpan w:val="3"/>
                  <w:tcBorders>
                    <w:tl2br w:val="nil"/>
                    <w:tr2bl w:val="nil"/>
                  </w:tcBorders>
                  <w:shd w:val="clear" w:color="auto" w:fill="auto"/>
                  <w:vAlign w:val="center"/>
                </w:tcPr>
                <w:p>
                  <w:pPr>
                    <w:pStyle w:val="25"/>
                    <w:rPr>
                      <w:rFonts w:hint="default"/>
                      <w:color w:val="auto"/>
                      <w:highlight w:val="none"/>
                    </w:rPr>
                  </w:pPr>
                  <w:r>
                    <w:rPr>
                      <w:color w:val="auto"/>
                      <w:highlight w:val="none"/>
                    </w:rPr>
                    <w:t>面源宽度m</w:t>
                  </w:r>
                </w:p>
              </w:tc>
              <w:tc>
                <w:tcPr>
                  <w:tcW w:w="3762" w:type="dxa"/>
                  <w:tcBorders>
                    <w:tl2br w:val="nil"/>
                    <w:tr2bl w:val="nil"/>
                  </w:tcBorders>
                  <w:shd w:val="clear" w:color="auto" w:fill="auto"/>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4037" w:type="dxa"/>
                  <w:gridSpan w:val="3"/>
                  <w:tcBorders>
                    <w:tl2br w:val="nil"/>
                    <w:tr2bl w:val="nil"/>
                  </w:tcBorders>
                  <w:shd w:val="clear" w:color="auto" w:fill="auto"/>
                  <w:vAlign w:val="center"/>
                </w:tcPr>
                <w:p>
                  <w:pPr>
                    <w:pStyle w:val="25"/>
                    <w:rPr>
                      <w:rFonts w:hint="default"/>
                      <w:color w:val="auto"/>
                      <w:highlight w:val="none"/>
                    </w:rPr>
                  </w:pPr>
                  <w:r>
                    <w:rPr>
                      <w:color w:val="auto"/>
                      <w:highlight w:val="none"/>
                    </w:rPr>
                    <w:t>面源有效排放高度m</w:t>
                  </w:r>
                </w:p>
              </w:tc>
              <w:tc>
                <w:tcPr>
                  <w:tcW w:w="3762" w:type="dxa"/>
                  <w:tcBorders>
                    <w:tl2br w:val="nil"/>
                    <w:tr2bl w:val="nil"/>
                  </w:tcBorders>
                  <w:shd w:val="clear" w:color="auto" w:fill="auto"/>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4037" w:type="dxa"/>
                  <w:gridSpan w:val="3"/>
                  <w:tcBorders>
                    <w:tl2br w:val="nil"/>
                    <w:tr2bl w:val="nil"/>
                  </w:tcBorders>
                  <w:shd w:val="clear" w:color="auto" w:fill="auto"/>
                  <w:vAlign w:val="center"/>
                </w:tcPr>
                <w:p>
                  <w:pPr>
                    <w:pStyle w:val="25"/>
                    <w:rPr>
                      <w:rFonts w:hint="default"/>
                      <w:color w:val="auto"/>
                      <w:highlight w:val="none"/>
                    </w:rPr>
                  </w:pPr>
                  <w:r>
                    <w:rPr>
                      <w:color w:val="auto"/>
                      <w:highlight w:val="none"/>
                    </w:rPr>
                    <w:t>年排放小时数h</w:t>
                  </w:r>
                </w:p>
              </w:tc>
              <w:tc>
                <w:tcPr>
                  <w:tcW w:w="3762" w:type="dxa"/>
                  <w:tcBorders>
                    <w:tl2br w:val="nil"/>
                    <w:tr2bl w:val="nil"/>
                  </w:tcBorders>
                  <w:shd w:val="clear" w:color="auto" w:fill="auto"/>
                  <w:vAlign w:val="center"/>
                </w:tcPr>
                <w:p>
                  <w:pPr>
                    <w:pStyle w:val="22"/>
                    <w:rPr>
                      <w:color w:val="auto"/>
                      <w:highlight w:val="none"/>
                    </w:rPr>
                  </w:pPr>
                  <w:r>
                    <w:rPr>
                      <w:rFonts w:hint="eastAsia"/>
                      <w:color w:val="auto"/>
                      <w:highlight w:val="none"/>
                    </w:rPr>
                    <w:t>8760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4037" w:type="dxa"/>
                  <w:gridSpan w:val="3"/>
                  <w:tcBorders>
                    <w:tl2br w:val="nil"/>
                    <w:tr2bl w:val="nil"/>
                  </w:tcBorders>
                  <w:shd w:val="clear" w:color="auto" w:fill="auto"/>
                  <w:vAlign w:val="center"/>
                </w:tcPr>
                <w:p>
                  <w:pPr>
                    <w:pStyle w:val="25"/>
                    <w:rPr>
                      <w:rFonts w:hint="default"/>
                      <w:color w:val="auto"/>
                      <w:highlight w:val="none"/>
                    </w:rPr>
                  </w:pPr>
                  <w:r>
                    <w:rPr>
                      <w:color w:val="auto"/>
                      <w:highlight w:val="none"/>
                    </w:rPr>
                    <w:t>排放工况</w:t>
                  </w:r>
                </w:p>
              </w:tc>
              <w:tc>
                <w:tcPr>
                  <w:tcW w:w="3762" w:type="dxa"/>
                  <w:tcBorders>
                    <w:tl2br w:val="nil"/>
                    <w:tr2bl w:val="nil"/>
                  </w:tcBorders>
                  <w:shd w:val="clear" w:color="auto" w:fill="auto"/>
                  <w:vAlign w:val="center"/>
                </w:tcPr>
                <w:p>
                  <w:pPr>
                    <w:pStyle w:val="22"/>
                    <w:rPr>
                      <w:color w:val="auto"/>
                      <w:highlight w:val="none"/>
                    </w:rPr>
                  </w:pPr>
                  <w:r>
                    <w:rPr>
                      <w:color w:val="auto"/>
                      <w:highlight w:val="none"/>
                    </w:rPr>
                    <w:t>正常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899" w:type="dxa"/>
                  <w:tcBorders>
                    <w:tl2br w:val="nil"/>
                    <w:tr2bl w:val="nil"/>
                  </w:tcBorders>
                  <w:shd w:val="clear" w:color="auto" w:fill="auto"/>
                  <w:vAlign w:val="center"/>
                </w:tcPr>
                <w:p>
                  <w:pPr>
                    <w:pStyle w:val="25"/>
                    <w:rPr>
                      <w:rFonts w:hint="default"/>
                      <w:color w:val="auto"/>
                      <w:highlight w:val="none"/>
                    </w:rPr>
                  </w:pPr>
                  <w:r>
                    <w:rPr>
                      <w:color w:val="auto"/>
                      <w:highlight w:val="none"/>
                    </w:rPr>
                    <w:t>污染物排放速率kg/h</w:t>
                  </w:r>
                </w:p>
              </w:tc>
              <w:tc>
                <w:tcPr>
                  <w:tcW w:w="2138" w:type="dxa"/>
                  <w:gridSpan w:val="2"/>
                  <w:tcBorders>
                    <w:tl2br w:val="nil"/>
                    <w:tr2bl w:val="nil"/>
                  </w:tcBorders>
                  <w:shd w:val="clear" w:color="auto" w:fill="auto"/>
                  <w:vAlign w:val="center"/>
                </w:tcPr>
                <w:p>
                  <w:pPr>
                    <w:pStyle w:val="25"/>
                    <w:rPr>
                      <w:rFonts w:hint="default" w:ascii="Times New Roman" w:hAnsi="Times New Roman" w:cs="Times New Roman" w:eastAsiaTheme="minorEastAsia"/>
                      <w:b/>
                      <w:color w:val="auto"/>
                      <w:kern w:val="2"/>
                      <w:sz w:val="21"/>
                      <w:szCs w:val="21"/>
                      <w:highlight w:val="none"/>
                      <w:lang w:val="en-US" w:eastAsia="zh-CN" w:bidi="ar-SA"/>
                    </w:rPr>
                  </w:pPr>
                  <w:r>
                    <w:rPr>
                      <w:rFonts w:hint="eastAsia"/>
                      <w:color w:val="auto"/>
                      <w:highlight w:val="none"/>
                      <w:lang w:eastAsia="zh-CN"/>
                    </w:rPr>
                    <w:t>非甲烷总烃</w:t>
                  </w:r>
                </w:p>
              </w:tc>
              <w:tc>
                <w:tcPr>
                  <w:tcW w:w="3762" w:type="dxa"/>
                  <w:tcBorders>
                    <w:tl2br w:val="nil"/>
                    <w:tr2bl w:val="nil"/>
                  </w:tcBorders>
                  <w:shd w:val="clear" w:color="auto" w:fill="auto"/>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0.0008</w:t>
                  </w:r>
                </w:p>
              </w:tc>
            </w:tr>
          </w:tbl>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 xml:space="preserve"> </w:t>
            </w:r>
            <w:r>
              <w:rPr>
                <w:rFonts w:hint="eastAsia"/>
                <w:color w:val="auto"/>
                <w:highlight w:val="none"/>
              </w:rPr>
              <w:t>本项目无组织</w:t>
            </w:r>
            <w:r>
              <w:rPr>
                <w:color w:val="auto"/>
                <w:highlight w:val="none"/>
              </w:rPr>
              <w:t>废气</w:t>
            </w:r>
            <w:r>
              <w:rPr>
                <w:rFonts w:hint="eastAsia"/>
                <w:color w:val="auto"/>
                <w:highlight w:val="none"/>
              </w:rPr>
              <w:t>预测</w:t>
            </w:r>
            <w:r>
              <w:rPr>
                <w:color w:val="auto"/>
                <w:highlight w:val="none"/>
              </w:rPr>
              <w:t>结果一览表</w:t>
            </w:r>
          </w:p>
          <w:tbl>
            <w:tblPr>
              <w:tblStyle w:val="15"/>
              <w:tblW w:w="7969"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3551"/>
              <w:gridCol w:w="441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04" w:hRule="atLeast"/>
                <w:jc w:val="center"/>
              </w:trPr>
              <w:tc>
                <w:tcPr>
                  <w:tcW w:w="3551" w:type="dxa"/>
                  <w:vAlign w:val="center"/>
                </w:tcPr>
                <w:p>
                  <w:pPr>
                    <w:pStyle w:val="25"/>
                    <w:rPr>
                      <w:rFonts w:hint="default"/>
                      <w:color w:val="auto"/>
                      <w:highlight w:val="none"/>
                    </w:rPr>
                  </w:pPr>
                  <w:r>
                    <w:rPr>
                      <w:color w:val="auto"/>
                      <w:highlight w:val="none"/>
                    </w:rPr>
                    <w:t>名称</w:t>
                  </w:r>
                </w:p>
              </w:tc>
              <w:tc>
                <w:tcPr>
                  <w:tcW w:w="4418" w:type="dxa"/>
                  <w:vAlign w:val="center"/>
                </w:tcPr>
                <w:p>
                  <w:pPr>
                    <w:pStyle w:val="25"/>
                    <w:rPr>
                      <w:rFonts w:hint="eastAsia" w:eastAsiaTheme="minorEastAsia"/>
                      <w:color w:val="auto"/>
                      <w:highlight w:val="none"/>
                      <w:lang w:eastAsia="zh-CN"/>
                    </w:rPr>
                  </w:pPr>
                  <w:r>
                    <w:rPr>
                      <w:rFonts w:hint="eastAsia"/>
                      <w:color w:val="auto"/>
                      <w:highlight w:val="none"/>
                      <w:lang w:eastAsia="zh-CN"/>
                    </w:rPr>
                    <w:t>非甲烷总烃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3551" w:type="dxa"/>
                  <w:vAlign w:val="center"/>
                </w:tcPr>
                <w:p>
                  <w:pPr>
                    <w:pStyle w:val="22"/>
                    <w:rPr>
                      <w:color w:val="auto"/>
                      <w:highlight w:val="none"/>
                    </w:rPr>
                  </w:pPr>
                  <w:r>
                    <w:rPr>
                      <w:color w:val="auto"/>
                      <w:highlight w:val="none"/>
                    </w:rPr>
                    <w:t>西厂界（μg/m</w:t>
                  </w:r>
                  <w:r>
                    <w:rPr>
                      <w:rFonts w:hint="eastAsia"/>
                      <w:color w:val="auto"/>
                      <w:highlight w:val="none"/>
                      <w:vertAlign w:val="superscript"/>
                    </w:rPr>
                    <w:t>3</w:t>
                  </w:r>
                  <w:r>
                    <w:rPr>
                      <w:color w:val="auto"/>
                      <w:highlight w:val="none"/>
                    </w:rPr>
                    <w:t>）</w:t>
                  </w:r>
                </w:p>
              </w:tc>
              <w:tc>
                <w:tcPr>
                  <w:tcW w:w="4418" w:type="dxa"/>
                  <w:shd w:val="clear" w:color="auto" w:fill="auto"/>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0.1895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3551" w:type="dxa"/>
                  <w:vAlign w:val="center"/>
                </w:tcPr>
                <w:p>
                  <w:pPr>
                    <w:pStyle w:val="22"/>
                    <w:rPr>
                      <w:color w:val="auto"/>
                      <w:highlight w:val="none"/>
                    </w:rPr>
                  </w:pPr>
                  <w:r>
                    <w:rPr>
                      <w:color w:val="auto"/>
                      <w:highlight w:val="none"/>
                    </w:rPr>
                    <w:t>东厂界（μg/m</w:t>
                  </w:r>
                  <w:r>
                    <w:rPr>
                      <w:rFonts w:hint="eastAsia"/>
                      <w:color w:val="auto"/>
                      <w:highlight w:val="none"/>
                      <w:vertAlign w:val="superscript"/>
                    </w:rPr>
                    <w:t>3</w:t>
                  </w:r>
                  <w:r>
                    <w:rPr>
                      <w:color w:val="auto"/>
                      <w:highlight w:val="none"/>
                    </w:rPr>
                    <w:t>）</w:t>
                  </w:r>
                </w:p>
              </w:tc>
              <w:tc>
                <w:tcPr>
                  <w:tcW w:w="4418" w:type="dxa"/>
                  <w:shd w:val="clear" w:color="auto" w:fill="auto"/>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0.2050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20" w:hRule="atLeast"/>
                <w:jc w:val="center"/>
              </w:trPr>
              <w:tc>
                <w:tcPr>
                  <w:tcW w:w="3551" w:type="dxa"/>
                  <w:vAlign w:val="center"/>
                </w:tcPr>
                <w:p>
                  <w:pPr>
                    <w:pStyle w:val="22"/>
                    <w:rPr>
                      <w:color w:val="auto"/>
                      <w:highlight w:val="none"/>
                    </w:rPr>
                  </w:pPr>
                  <w:r>
                    <w:rPr>
                      <w:color w:val="auto"/>
                      <w:highlight w:val="none"/>
                    </w:rPr>
                    <w:t>北厂界（μg/m</w:t>
                  </w:r>
                  <w:r>
                    <w:rPr>
                      <w:rFonts w:hint="eastAsia"/>
                      <w:color w:val="auto"/>
                      <w:highlight w:val="none"/>
                      <w:vertAlign w:val="superscript"/>
                    </w:rPr>
                    <w:t>3</w:t>
                  </w:r>
                  <w:r>
                    <w:rPr>
                      <w:color w:val="auto"/>
                      <w:highlight w:val="none"/>
                    </w:rPr>
                    <w:t>）</w:t>
                  </w:r>
                </w:p>
              </w:tc>
              <w:tc>
                <w:tcPr>
                  <w:tcW w:w="4418" w:type="dxa"/>
                  <w:shd w:val="clear" w:color="auto" w:fill="auto"/>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0.5092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54" w:hRule="atLeast"/>
                <w:jc w:val="center"/>
              </w:trPr>
              <w:tc>
                <w:tcPr>
                  <w:tcW w:w="3551" w:type="dxa"/>
                  <w:vAlign w:val="center"/>
                </w:tcPr>
                <w:p>
                  <w:pPr>
                    <w:pStyle w:val="22"/>
                    <w:rPr>
                      <w:color w:val="auto"/>
                      <w:highlight w:val="none"/>
                    </w:rPr>
                  </w:pPr>
                  <w:r>
                    <w:rPr>
                      <w:color w:val="auto"/>
                      <w:highlight w:val="none"/>
                    </w:rPr>
                    <w:t>南厂界（μg/m</w:t>
                  </w:r>
                  <w:r>
                    <w:rPr>
                      <w:rFonts w:hint="eastAsia"/>
                      <w:color w:val="auto"/>
                      <w:highlight w:val="none"/>
                      <w:vertAlign w:val="superscript"/>
                    </w:rPr>
                    <w:t>3</w:t>
                  </w:r>
                  <w:r>
                    <w:rPr>
                      <w:color w:val="auto"/>
                      <w:highlight w:val="none"/>
                    </w:rPr>
                    <w:t>）</w:t>
                  </w:r>
                </w:p>
              </w:tc>
              <w:tc>
                <w:tcPr>
                  <w:tcW w:w="4418" w:type="dxa"/>
                  <w:shd w:val="clear" w:color="auto" w:fill="auto"/>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0.4172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72" w:hRule="atLeast"/>
                <w:jc w:val="center"/>
              </w:trPr>
              <w:tc>
                <w:tcPr>
                  <w:tcW w:w="3551" w:type="dxa"/>
                  <w:vAlign w:val="center"/>
                </w:tcPr>
                <w:p>
                  <w:pPr>
                    <w:pStyle w:val="22"/>
                    <w:rPr>
                      <w:color w:val="auto"/>
                      <w:highlight w:val="none"/>
                    </w:rPr>
                  </w:pPr>
                  <w:r>
                    <w:rPr>
                      <w:color w:val="auto"/>
                      <w:highlight w:val="none"/>
                    </w:rPr>
                    <w:t>标准值</w:t>
                  </w:r>
                </w:p>
              </w:tc>
              <w:tc>
                <w:tcPr>
                  <w:tcW w:w="4418" w:type="dxa"/>
                  <w:vAlign w:val="center"/>
                </w:tcPr>
                <w:p>
                  <w:pPr>
                    <w:pStyle w:val="22"/>
                    <w:rPr>
                      <w:rFonts w:hint="eastAsia"/>
                      <w:color w:val="auto"/>
                      <w:highlight w:val="none"/>
                    </w:rPr>
                  </w:pPr>
                  <w:r>
                    <w:rPr>
                      <w:rFonts w:hint="eastAsia"/>
                      <w:color w:val="auto"/>
                      <w:highlight w:val="none"/>
                      <w:lang w:val="en-US" w:eastAsia="zh-CN"/>
                    </w:rPr>
                    <w:t>4.0</w:t>
                  </w:r>
                  <w:r>
                    <w:rPr>
                      <w:color w:val="auto"/>
                      <w:highlight w:val="none"/>
                    </w:rPr>
                    <w:t>mg/m</w:t>
                  </w:r>
                  <w:r>
                    <w:rPr>
                      <w:color w:val="auto"/>
                      <w:highlight w:val="none"/>
                      <w:vertAlign w:val="superscript"/>
                    </w:rPr>
                    <w:t>3</w:t>
                  </w:r>
                  <w:r>
                    <w:rPr>
                      <w:rFonts w:hint="eastAsia"/>
                      <w:color w:val="auto"/>
                      <w:highlight w:val="none"/>
                    </w:rPr>
                    <w:t>（=</w:t>
                  </w:r>
                  <w:r>
                    <w:rPr>
                      <w:rFonts w:hint="eastAsia"/>
                      <w:color w:val="auto"/>
                      <w:highlight w:val="none"/>
                      <w:lang w:val="en-US" w:eastAsia="zh-CN"/>
                    </w:rPr>
                    <w:t>4000</w:t>
                  </w:r>
                  <w:r>
                    <w:rPr>
                      <w:color w:val="auto"/>
                      <w:highlight w:val="none"/>
                    </w:rPr>
                    <w:t>μg/m</w:t>
                  </w:r>
                  <w:r>
                    <w:rPr>
                      <w:rFonts w:hint="eastAsia"/>
                      <w:color w:val="auto"/>
                      <w:highlight w:val="none"/>
                      <w:vertAlign w:val="superscript"/>
                    </w:rPr>
                    <w:t>3</w:t>
                  </w: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8" w:hRule="atLeast"/>
                <w:jc w:val="center"/>
              </w:trPr>
              <w:tc>
                <w:tcPr>
                  <w:tcW w:w="3551" w:type="dxa"/>
                  <w:vAlign w:val="center"/>
                </w:tcPr>
                <w:p>
                  <w:pPr>
                    <w:pStyle w:val="22"/>
                    <w:rPr>
                      <w:rFonts w:hint="eastAsia" w:eastAsiaTheme="minorEastAsia"/>
                      <w:color w:val="auto"/>
                      <w:highlight w:val="none"/>
                      <w:lang w:eastAsia="zh-CN"/>
                    </w:rPr>
                  </w:pPr>
                  <w:r>
                    <w:rPr>
                      <w:rFonts w:hint="eastAsia"/>
                      <w:color w:val="auto"/>
                      <w:highlight w:val="none"/>
                      <w:lang w:eastAsia="zh-CN"/>
                    </w:rPr>
                    <w:t>厂房外</w:t>
                  </w:r>
                  <w:r>
                    <w:rPr>
                      <w:color w:val="auto"/>
                      <w:highlight w:val="none"/>
                    </w:rPr>
                    <w:t>（μg/m</w:t>
                  </w:r>
                  <w:r>
                    <w:rPr>
                      <w:rFonts w:hint="eastAsia"/>
                      <w:color w:val="auto"/>
                      <w:highlight w:val="none"/>
                      <w:vertAlign w:val="superscript"/>
                    </w:rPr>
                    <w:t>3</w:t>
                  </w:r>
                  <w:r>
                    <w:rPr>
                      <w:color w:val="auto"/>
                      <w:highlight w:val="none"/>
                    </w:rPr>
                    <w:t>）</w:t>
                  </w:r>
                </w:p>
              </w:tc>
              <w:tc>
                <w:tcPr>
                  <w:tcW w:w="4418" w:type="dxa"/>
                  <w:vAlign w:val="center"/>
                </w:tcPr>
                <w:p>
                  <w:pPr>
                    <w:pStyle w:val="22"/>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1.8498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0" w:hRule="atLeast"/>
                <w:jc w:val="center"/>
              </w:trPr>
              <w:tc>
                <w:tcPr>
                  <w:tcW w:w="3551" w:type="dxa"/>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标准值</w:t>
                  </w:r>
                </w:p>
              </w:tc>
              <w:tc>
                <w:tcPr>
                  <w:tcW w:w="4418" w:type="dxa"/>
                  <w:vAlign w:val="center"/>
                </w:tcPr>
                <w:p>
                  <w:pPr>
                    <w:pStyle w:val="22"/>
                    <w:rPr>
                      <w:rFonts w:hint="default"/>
                      <w:color w:val="auto"/>
                      <w:highlight w:val="none"/>
                      <w:lang w:val="en-US" w:eastAsia="zh-CN"/>
                    </w:rPr>
                  </w:pPr>
                  <w:r>
                    <w:rPr>
                      <w:rFonts w:hint="eastAsia"/>
                      <w:color w:val="auto"/>
                      <w:highlight w:val="none"/>
                      <w:lang w:val="en-US" w:eastAsia="zh-CN"/>
                    </w:rPr>
                    <w:t>6.0</w:t>
                  </w:r>
                  <w:r>
                    <w:rPr>
                      <w:color w:val="auto"/>
                      <w:highlight w:val="none"/>
                    </w:rPr>
                    <w:t>mg/m</w:t>
                  </w:r>
                  <w:r>
                    <w:rPr>
                      <w:color w:val="auto"/>
                      <w:highlight w:val="none"/>
                      <w:vertAlign w:val="superscript"/>
                    </w:rPr>
                    <w:t>3</w:t>
                  </w:r>
                  <w:r>
                    <w:rPr>
                      <w:rFonts w:hint="eastAsia"/>
                      <w:color w:val="auto"/>
                      <w:highlight w:val="none"/>
                    </w:rPr>
                    <w:t>（=</w:t>
                  </w:r>
                  <w:r>
                    <w:rPr>
                      <w:rFonts w:hint="eastAsia"/>
                      <w:color w:val="auto"/>
                      <w:highlight w:val="none"/>
                      <w:lang w:val="en-US" w:eastAsia="zh-CN"/>
                    </w:rPr>
                    <w:t>6000</w:t>
                  </w:r>
                  <w:r>
                    <w:rPr>
                      <w:color w:val="auto"/>
                      <w:highlight w:val="none"/>
                    </w:rPr>
                    <w:t>μg/m</w:t>
                  </w:r>
                  <w:r>
                    <w:rPr>
                      <w:rFonts w:hint="eastAsia"/>
                      <w:color w:val="auto"/>
                      <w:highlight w:val="none"/>
                      <w:vertAlign w:val="superscript"/>
                    </w:rPr>
                    <w:t>3</w:t>
                  </w:r>
                  <w:r>
                    <w:rPr>
                      <w:rFonts w:hint="eastAsia"/>
                      <w:color w:val="auto"/>
                      <w:highlight w:val="none"/>
                    </w:rPr>
                    <w:t>）</w:t>
                  </w:r>
                  <w:r>
                    <w:rPr>
                      <w:rFonts w:hint="eastAsia"/>
                      <w:color w:val="auto"/>
                      <w:highlight w:val="none"/>
                      <w:lang w:val="en-US" w:eastAsia="zh-CN"/>
                    </w:rPr>
                    <w:t>；20mg/m</w:t>
                  </w:r>
                  <w:r>
                    <w:rPr>
                      <w:rFonts w:hint="eastAsia"/>
                      <w:color w:val="auto"/>
                      <w:highlight w:val="none"/>
                      <w:vertAlign w:val="superscript"/>
                      <w:lang w:val="en-US" w:eastAsia="zh-CN"/>
                    </w:rPr>
                    <w:t>3</w:t>
                  </w:r>
                  <w:r>
                    <w:rPr>
                      <w:rFonts w:hint="eastAsia"/>
                      <w:color w:val="auto"/>
                      <w:highlight w:val="none"/>
                    </w:rPr>
                    <w:t>（=</w:t>
                  </w:r>
                  <w:r>
                    <w:rPr>
                      <w:rFonts w:hint="eastAsia"/>
                      <w:color w:val="auto"/>
                      <w:highlight w:val="none"/>
                      <w:lang w:val="en-US" w:eastAsia="zh-CN"/>
                    </w:rPr>
                    <w:t>20000</w:t>
                  </w:r>
                  <w:r>
                    <w:rPr>
                      <w:color w:val="auto"/>
                      <w:highlight w:val="none"/>
                    </w:rPr>
                    <w:t>μg/m</w:t>
                  </w:r>
                  <w:r>
                    <w:rPr>
                      <w:rFonts w:hint="eastAsia"/>
                      <w:color w:val="auto"/>
                      <w:highlight w:val="none"/>
                      <w:vertAlign w:val="superscript"/>
                    </w:rPr>
                    <w:t>3</w:t>
                  </w:r>
                  <w:r>
                    <w:rPr>
                      <w:rFonts w:hint="eastAsia"/>
                      <w:color w:val="auto"/>
                      <w:highlight w:val="none"/>
                    </w:rPr>
                    <w:t>）</w:t>
                  </w:r>
                </w:p>
              </w:tc>
            </w:tr>
          </w:tbl>
          <w:p>
            <w:pPr>
              <w:pStyle w:val="12"/>
              <w:ind w:firstLine="480"/>
              <w:rPr>
                <w:rFonts w:hint="eastAsia"/>
                <w:color w:val="auto"/>
                <w:highlight w:val="none"/>
                <w:lang w:eastAsia="zh-CN"/>
              </w:rPr>
            </w:pPr>
            <w:r>
              <w:rPr>
                <w:color w:val="auto"/>
                <w:highlight w:val="none"/>
              </w:rPr>
              <w:t>由表可见</w:t>
            </w:r>
            <w:r>
              <w:rPr>
                <w:rFonts w:hint="eastAsia"/>
                <w:color w:val="auto"/>
                <w:highlight w:val="none"/>
                <w:lang w:eastAsia="zh-CN"/>
              </w:rPr>
              <w:t>，厂界外非甲烷总烃满足</w:t>
            </w:r>
            <w:r>
              <w:rPr>
                <w:rFonts w:hint="eastAsia"/>
                <w:color w:val="auto"/>
                <w:highlight w:val="none"/>
              </w:rPr>
              <w:t>《大气污染物综合排放标准》（GB16297-1996）</w:t>
            </w:r>
            <w:r>
              <w:rPr>
                <w:rFonts w:hint="eastAsia"/>
                <w:color w:val="auto"/>
                <w:highlight w:val="none"/>
                <w:lang w:eastAsia="zh-CN"/>
              </w:rPr>
              <w:t>，</w:t>
            </w:r>
            <w:r>
              <w:rPr>
                <w:color w:val="auto"/>
                <w:highlight w:val="none"/>
              </w:rPr>
              <w:t>无组织排放</w:t>
            </w:r>
            <w:r>
              <w:rPr>
                <w:rFonts w:hint="eastAsia"/>
                <w:color w:val="auto"/>
                <w:highlight w:val="none"/>
                <w:lang w:val="en-US" w:eastAsia="zh-CN"/>
              </w:rPr>
              <w:t>4.0</w:t>
            </w:r>
            <w:r>
              <w:rPr>
                <w:color w:val="auto"/>
                <w:highlight w:val="none"/>
              </w:rPr>
              <w:t>mg/m</w:t>
            </w:r>
            <w:r>
              <w:rPr>
                <w:color w:val="auto"/>
                <w:highlight w:val="none"/>
                <w:vertAlign w:val="superscript"/>
              </w:rPr>
              <w:t>3</w:t>
            </w:r>
            <w:r>
              <w:rPr>
                <w:color w:val="auto"/>
                <w:highlight w:val="none"/>
              </w:rPr>
              <w:t>标准</w:t>
            </w:r>
            <w:r>
              <w:rPr>
                <w:rFonts w:hint="eastAsia"/>
                <w:color w:val="auto"/>
                <w:highlight w:val="none"/>
                <w:lang w:eastAsia="zh-CN"/>
              </w:rPr>
              <w:t>；厂房外非甲烷总烃满足《挥发性有机物无组织排放控制标准》（GB 37822-2019）</w:t>
            </w:r>
            <w:r>
              <w:rPr>
                <w:rFonts w:hint="eastAsia"/>
                <w:color w:val="auto"/>
                <w:highlight w:val="none"/>
                <w:lang w:val="en-US" w:eastAsia="zh-CN"/>
              </w:rPr>
              <w:t>6.0</w:t>
            </w:r>
            <w:r>
              <w:rPr>
                <w:color w:val="auto"/>
                <w:highlight w:val="none"/>
              </w:rPr>
              <w:t>mg/m</w:t>
            </w:r>
            <w:r>
              <w:rPr>
                <w:color w:val="auto"/>
                <w:highlight w:val="none"/>
                <w:vertAlign w:val="superscript"/>
              </w:rPr>
              <w:t>3</w:t>
            </w:r>
            <w:r>
              <w:rPr>
                <w:rFonts w:hint="eastAsia"/>
                <w:color w:val="auto"/>
                <w:highlight w:val="none"/>
                <w:lang w:val="en-US" w:eastAsia="zh-CN"/>
              </w:rPr>
              <w:t>，监控点处1h平均浓度值；20mg/m</w:t>
            </w:r>
            <w:r>
              <w:rPr>
                <w:rFonts w:hint="eastAsia"/>
                <w:color w:val="auto"/>
                <w:highlight w:val="none"/>
                <w:vertAlign w:val="superscript"/>
                <w:lang w:val="en-US" w:eastAsia="zh-CN"/>
              </w:rPr>
              <w:t>3</w:t>
            </w:r>
            <w:r>
              <w:rPr>
                <w:rFonts w:hint="eastAsia"/>
                <w:color w:val="auto"/>
                <w:highlight w:val="none"/>
                <w:lang w:val="en-US" w:eastAsia="zh-CN"/>
              </w:rPr>
              <w:t>，监控点处任意一次浓度值</w:t>
            </w:r>
            <w:r>
              <w:rPr>
                <w:rFonts w:hint="eastAsia"/>
                <w:color w:val="auto"/>
                <w:highlight w:val="none"/>
                <w:lang w:eastAsia="zh-CN"/>
              </w:rPr>
              <w:t>。</w:t>
            </w:r>
          </w:p>
          <w:p>
            <w:pPr>
              <w:pStyle w:val="9"/>
              <w:rPr>
                <w:color w:val="auto"/>
                <w:highlight w:val="none"/>
              </w:rPr>
            </w:pPr>
          </w:p>
        </w:tc>
      </w:tr>
    </w:tbl>
    <w:p>
      <w:pPr>
        <w:adjustRightInd w:val="0"/>
        <w:snapToGrid w:val="0"/>
        <w:spacing w:line="360" w:lineRule="auto"/>
        <w:rPr>
          <w:rFonts w:ascii="宋体" w:cs="宋体"/>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tbl>
      <w:tblPr>
        <w:tblStyle w:val="15"/>
        <w:tblW w:w="14419"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360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221" w:hRule="atLeast"/>
          <w:jc w:val="center"/>
        </w:trPr>
        <w:tc>
          <w:tcPr>
            <w:tcW w:w="816" w:type="dxa"/>
            <w:tcMar>
              <w:left w:w="28" w:type="dxa"/>
              <w:right w:w="28" w:type="dxa"/>
            </w:tcMar>
            <w:vAlign w:val="center"/>
          </w:tcPr>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运营</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期环</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境影</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响和</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保护</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措施</w:t>
            </w:r>
          </w:p>
        </w:tc>
        <w:tc>
          <w:tcPr>
            <w:tcW w:w="13603" w:type="dxa"/>
            <w:vAlign w:val="center"/>
          </w:tcPr>
          <w:p>
            <w:pPr>
              <w:pStyle w:val="12"/>
              <w:ind w:firstLine="480"/>
              <w:rPr>
                <w:color w:val="auto"/>
                <w:highlight w:val="none"/>
              </w:rPr>
            </w:pPr>
            <w:r>
              <w:rPr>
                <w:rFonts w:hint="eastAsia"/>
                <w:color w:val="auto"/>
                <w:highlight w:val="none"/>
              </w:rPr>
              <w:t>1.3污染物排放情况</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污染物产排情况表</w:t>
            </w:r>
          </w:p>
          <w:tbl>
            <w:tblPr>
              <w:tblStyle w:val="15"/>
              <w:tblW w:w="1320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6"/>
              <w:gridCol w:w="729"/>
              <w:gridCol w:w="888"/>
              <w:gridCol w:w="1109"/>
              <w:gridCol w:w="1133"/>
              <w:gridCol w:w="679"/>
              <w:gridCol w:w="956"/>
              <w:gridCol w:w="695"/>
              <w:gridCol w:w="948"/>
              <w:gridCol w:w="1117"/>
              <w:gridCol w:w="1133"/>
              <w:gridCol w:w="1297"/>
              <w:gridCol w:w="930"/>
              <w:gridCol w:w="7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7" w:hRule="atLeast"/>
                <w:jc w:val="center"/>
              </w:trPr>
              <w:tc>
                <w:tcPr>
                  <w:tcW w:w="796" w:type="dxa"/>
                  <w:vMerge w:val="restart"/>
                  <w:vAlign w:val="center"/>
                </w:tcPr>
                <w:p>
                  <w:pPr>
                    <w:pStyle w:val="25"/>
                    <w:rPr>
                      <w:rFonts w:hint="default"/>
                      <w:color w:val="auto"/>
                      <w:highlight w:val="none"/>
                    </w:rPr>
                  </w:pPr>
                  <w:r>
                    <w:rPr>
                      <w:color w:val="auto"/>
                      <w:highlight w:val="none"/>
                    </w:rPr>
                    <w:t>产污环节</w:t>
                  </w:r>
                </w:p>
              </w:tc>
              <w:tc>
                <w:tcPr>
                  <w:tcW w:w="729" w:type="dxa"/>
                  <w:vMerge w:val="restart"/>
                  <w:vAlign w:val="center"/>
                </w:tcPr>
                <w:p>
                  <w:pPr>
                    <w:pStyle w:val="25"/>
                    <w:rPr>
                      <w:rFonts w:hint="default"/>
                      <w:color w:val="auto"/>
                      <w:highlight w:val="none"/>
                    </w:rPr>
                  </w:pPr>
                  <w:r>
                    <w:rPr>
                      <w:color w:val="auto"/>
                      <w:highlight w:val="none"/>
                    </w:rPr>
                    <w:t>污染物种类</w:t>
                  </w:r>
                </w:p>
              </w:tc>
              <w:tc>
                <w:tcPr>
                  <w:tcW w:w="888" w:type="dxa"/>
                  <w:vMerge w:val="restart"/>
                  <w:vAlign w:val="center"/>
                </w:tcPr>
                <w:p>
                  <w:pPr>
                    <w:pStyle w:val="25"/>
                    <w:rPr>
                      <w:rFonts w:hint="default"/>
                      <w:color w:val="auto"/>
                      <w:highlight w:val="none"/>
                    </w:rPr>
                  </w:pPr>
                  <w:r>
                    <w:rPr>
                      <w:color w:val="auto"/>
                      <w:highlight w:val="none"/>
                    </w:rPr>
                    <w:t>污染物产生量（t/a）</w:t>
                  </w:r>
                </w:p>
              </w:tc>
              <w:tc>
                <w:tcPr>
                  <w:tcW w:w="1109" w:type="dxa"/>
                  <w:vMerge w:val="restart"/>
                  <w:vAlign w:val="center"/>
                </w:tcPr>
                <w:p>
                  <w:pPr>
                    <w:pStyle w:val="25"/>
                    <w:rPr>
                      <w:rFonts w:hint="default"/>
                      <w:color w:val="auto"/>
                      <w:highlight w:val="none"/>
                    </w:rPr>
                  </w:pPr>
                  <w:r>
                    <w:rPr>
                      <w:color w:val="auto"/>
                      <w:highlight w:val="none"/>
                    </w:rPr>
                    <w:t>污染物产生速率（kg/h）</w:t>
                  </w:r>
                </w:p>
              </w:tc>
              <w:tc>
                <w:tcPr>
                  <w:tcW w:w="1133" w:type="dxa"/>
                  <w:vMerge w:val="restart"/>
                  <w:vAlign w:val="center"/>
                </w:tcPr>
                <w:p>
                  <w:pPr>
                    <w:pStyle w:val="25"/>
                    <w:rPr>
                      <w:rFonts w:hint="default"/>
                      <w:color w:val="auto"/>
                      <w:highlight w:val="none"/>
                    </w:rPr>
                  </w:pPr>
                  <w:r>
                    <w:rPr>
                      <w:color w:val="auto"/>
                      <w:highlight w:val="none"/>
                    </w:rPr>
                    <w:t>污染物产生浓度（mg/m</w:t>
                  </w:r>
                  <w:r>
                    <w:rPr>
                      <w:color w:val="auto"/>
                      <w:highlight w:val="none"/>
                      <w:vertAlign w:val="superscript"/>
                    </w:rPr>
                    <w:t>3</w:t>
                  </w:r>
                  <w:r>
                    <w:rPr>
                      <w:color w:val="auto"/>
                      <w:highlight w:val="none"/>
                    </w:rPr>
                    <w:t>）</w:t>
                  </w:r>
                </w:p>
              </w:tc>
              <w:tc>
                <w:tcPr>
                  <w:tcW w:w="679" w:type="dxa"/>
                  <w:vMerge w:val="restart"/>
                  <w:vAlign w:val="center"/>
                </w:tcPr>
                <w:p>
                  <w:pPr>
                    <w:pStyle w:val="25"/>
                    <w:rPr>
                      <w:rFonts w:hint="default"/>
                      <w:color w:val="auto"/>
                      <w:highlight w:val="none"/>
                    </w:rPr>
                  </w:pPr>
                  <w:r>
                    <w:rPr>
                      <w:color w:val="auto"/>
                      <w:highlight w:val="none"/>
                    </w:rPr>
                    <w:t>排放形式</w:t>
                  </w:r>
                </w:p>
              </w:tc>
              <w:tc>
                <w:tcPr>
                  <w:tcW w:w="3716" w:type="dxa"/>
                  <w:gridSpan w:val="4"/>
                  <w:vAlign w:val="center"/>
                </w:tcPr>
                <w:p>
                  <w:pPr>
                    <w:pStyle w:val="25"/>
                    <w:rPr>
                      <w:rFonts w:hint="default"/>
                      <w:color w:val="auto"/>
                      <w:highlight w:val="none"/>
                    </w:rPr>
                  </w:pPr>
                  <w:r>
                    <w:rPr>
                      <w:color w:val="auto"/>
                      <w:highlight w:val="none"/>
                    </w:rPr>
                    <w:t>治理设施</w:t>
                  </w:r>
                </w:p>
              </w:tc>
              <w:tc>
                <w:tcPr>
                  <w:tcW w:w="1133" w:type="dxa"/>
                  <w:vMerge w:val="restart"/>
                  <w:vAlign w:val="center"/>
                </w:tcPr>
                <w:p>
                  <w:pPr>
                    <w:pStyle w:val="25"/>
                    <w:rPr>
                      <w:rFonts w:hint="default"/>
                      <w:color w:val="auto"/>
                      <w:highlight w:val="none"/>
                    </w:rPr>
                  </w:pPr>
                  <w:r>
                    <w:rPr>
                      <w:color w:val="auto"/>
                      <w:highlight w:val="none"/>
                    </w:rPr>
                    <w:t>污染物排放速率（kg/h）</w:t>
                  </w:r>
                </w:p>
              </w:tc>
              <w:tc>
                <w:tcPr>
                  <w:tcW w:w="1297" w:type="dxa"/>
                  <w:vMerge w:val="restart"/>
                  <w:vAlign w:val="center"/>
                </w:tcPr>
                <w:p>
                  <w:pPr>
                    <w:pStyle w:val="25"/>
                    <w:rPr>
                      <w:rFonts w:hint="default"/>
                      <w:color w:val="auto"/>
                      <w:highlight w:val="none"/>
                    </w:rPr>
                  </w:pPr>
                  <w:r>
                    <w:rPr>
                      <w:color w:val="auto"/>
                      <w:highlight w:val="none"/>
                    </w:rPr>
                    <w:t>污染物排放浓度（mg/m</w:t>
                  </w:r>
                  <w:r>
                    <w:rPr>
                      <w:color w:val="auto"/>
                      <w:highlight w:val="none"/>
                      <w:vertAlign w:val="superscript"/>
                    </w:rPr>
                    <w:t>3</w:t>
                  </w:r>
                  <w:r>
                    <w:rPr>
                      <w:color w:val="auto"/>
                      <w:highlight w:val="none"/>
                    </w:rPr>
                    <w:t>）</w:t>
                  </w:r>
                </w:p>
              </w:tc>
              <w:tc>
                <w:tcPr>
                  <w:tcW w:w="930" w:type="dxa"/>
                  <w:vMerge w:val="restart"/>
                  <w:vAlign w:val="center"/>
                </w:tcPr>
                <w:p>
                  <w:pPr>
                    <w:pStyle w:val="25"/>
                    <w:rPr>
                      <w:rFonts w:hint="default"/>
                      <w:color w:val="auto"/>
                      <w:highlight w:val="none"/>
                    </w:rPr>
                  </w:pPr>
                  <w:r>
                    <w:rPr>
                      <w:color w:val="auto"/>
                      <w:highlight w:val="none"/>
                    </w:rPr>
                    <w:t>污染物排放量（t/a）</w:t>
                  </w:r>
                </w:p>
              </w:tc>
              <w:tc>
                <w:tcPr>
                  <w:tcW w:w="798" w:type="dxa"/>
                  <w:vMerge w:val="restart"/>
                  <w:vAlign w:val="center"/>
                </w:tcPr>
                <w:p>
                  <w:pPr>
                    <w:pStyle w:val="25"/>
                    <w:rPr>
                      <w:rFonts w:hint="default"/>
                      <w:color w:val="auto"/>
                      <w:highlight w:val="none"/>
                    </w:rPr>
                  </w:pPr>
                  <w:r>
                    <w:rPr>
                      <w:color w:val="auto"/>
                      <w:highlight w:val="none"/>
                    </w:rPr>
                    <w:t>排放口编号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4" w:hRule="atLeast"/>
                <w:jc w:val="center"/>
              </w:trPr>
              <w:tc>
                <w:tcPr>
                  <w:tcW w:w="796" w:type="dxa"/>
                  <w:vMerge w:val="continue"/>
                  <w:vAlign w:val="center"/>
                </w:tcPr>
                <w:p>
                  <w:pPr>
                    <w:pStyle w:val="22"/>
                    <w:rPr>
                      <w:color w:val="auto"/>
                      <w:highlight w:val="none"/>
                    </w:rPr>
                  </w:pPr>
                </w:p>
              </w:tc>
              <w:tc>
                <w:tcPr>
                  <w:tcW w:w="729" w:type="dxa"/>
                  <w:vMerge w:val="continue"/>
                  <w:vAlign w:val="center"/>
                </w:tcPr>
                <w:p>
                  <w:pPr>
                    <w:pStyle w:val="22"/>
                    <w:rPr>
                      <w:color w:val="auto"/>
                      <w:highlight w:val="none"/>
                    </w:rPr>
                  </w:pPr>
                </w:p>
              </w:tc>
              <w:tc>
                <w:tcPr>
                  <w:tcW w:w="888" w:type="dxa"/>
                  <w:vMerge w:val="continue"/>
                  <w:vAlign w:val="center"/>
                </w:tcPr>
                <w:p>
                  <w:pPr>
                    <w:pStyle w:val="22"/>
                    <w:rPr>
                      <w:color w:val="auto"/>
                      <w:highlight w:val="none"/>
                    </w:rPr>
                  </w:pPr>
                </w:p>
              </w:tc>
              <w:tc>
                <w:tcPr>
                  <w:tcW w:w="1109" w:type="dxa"/>
                  <w:vMerge w:val="continue"/>
                  <w:vAlign w:val="center"/>
                </w:tcPr>
                <w:p>
                  <w:pPr>
                    <w:pStyle w:val="22"/>
                    <w:rPr>
                      <w:color w:val="auto"/>
                      <w:highlight w:val="none"/>
                    </w:rPr>
                  </w:pPr>
                </w:p>
              </w:tc>
              <w:tc>
                <w:tcPr>
                  <w:tcW w:w="1133" w:type="dxa"/>
                  <w:vMerge w:val="continue"/>
                  <w:vAlign w:val="center"/>
                </w:tcPr>
                <w:p>
                  <w:pPr>
                    <w:pStyle w:val="22"/>
                    <w:rPr>
                      <w:color w:val="auto"/>
                      <w:highlight w:val="none"/>
                    </w:rPr>
                  </w:pPr>
                </w:p>
              </w:tc>
              <w:tc>
                <w:tcPr>
                  <w:tcW w:w="679" w:type="dxa"/>
                  <w:vMerge w:val="continue"/>
                  <w:vAlign w:val="center"/>
                </w:tcPr>
                <w:p>
                  <w:pPr>
                    <w:pStyle w:val="22"/>
                    <w:rPr>
                      <w:color w:val="auto"/>
                      <w:highlight w:val="none"/>
                    </w:rPr>
                  </w:pPr>
                </w:p>
              </w:tc>
              <w:tc>
                <w:tcPr>
                  <w:tcW w:w="956" w:type="dxa"/>
                  <w:vAlign w:val="center"/>
                </w:tcPr>
                <w:p>
                  <w:pPr>
                    <w:pStyle w:val="25"/>
                    <w:rPr>
                      <w:rFonts w:hint="default"/>
                      <w:color w:val="auto"/>
                      <w:highlight w:val="none"/>
                    </w:rPr>
                  </w:pPr>
                  <w:r>
                    <w:rPr>
                      <w:color w:val="auto"/>
                      <w:highlight w:val="none"/>
                    </w:rPr>
                    <w:t>治理措施</w:t>
                  </w:r>
                </w:p>
              </w:tc>
              <w:tc>
                <w:tcPr>
                  <w:tcW w:w="695" w:type="dxa"/>
                  <w:vAlign w:val="center"/>
                </w:tcPr>
                <w:p>
                  <w:pPr>
                    <w:pStyle w:val="25"/>
                    <w:rPr>
                      <w:rFonts w:hint="default"/>
                      <w:color w:val="auto"/>
                      <w:highlight w:val="none"/>
                    </w:rPr>
                  </w:pPr>
                  <w:r>
                    <w:rPr>
                      <w:color w:val="auto"/>
                      <w:highlight w:val="none"/>
                    </w:rPr>
                    <w:t>收集效率（%）</w:t>
                  </w:r>
                </w:p>
              </w:tc>
              <w:tc>
                <w:tcPr>
                  <w:tcW w:w="948" w:type="dxa"/>
                  <w:vAlign w:val="center"/>
                </w:tcPr>
                <w:p>
                  <w:pPr>
                    <w:pStyle w:val="25"/>
                    <w:rPr>
                      <w:rFonts w:hint="default"/>
                      <w:color w:val="auto"/>
                      <w:highlight w:val="none"/>
                    </w:rPr>
                  </w:pPr>
                  <w:r>
                    <w:rPr>
                      <w:color w:val="auto"/>
                      <w:highlight w:val="none"/>
                    </w:rPr>
                    <w:t>治理工艺去除率（%）</w:t>
                  </w:r>
                </w:p>
              </w:tc>
              <w:tc>
                <w:tcPr>
                  <w:tcW w:w="1117" w:type="dxa"/>
                  <w:vAlign w:val="center"/>
                </w:tcPr>
                <w:p>
                  <w:pPr>
                    <w:pStyle w:val="25"/>
                    <w:rPr>
                      <w:rFonts w:hint="default"/>
                      <w:color w:val="auto"/>
                      <w:highlight w:val="none"/>
                    </w:rPr>
                  </w:pPr>
                  <w:r>
                    <w:rPr>
                      <w:color w:val="auto"/>
                      <w:highlight w:val="none"/>
                    </w:rPr>
                    <w:t>是否为可行技术</w:t>
                  </w:r>
                </w:p>
              </w:tc>
              <w:tc>
                <w:tcPr>
                  <w:tcW w:w="1133" w:type="dxa"/>
                  <w:vMerge w:val="continue"/>
                  <w:vAlign w:val="center"/>
                </w:tcPr>
                <w:p>
                  <w:pPr>
                    <w:pStyle w:val="25"/>
                    <w:rPr>
                      <w:rFonts w:hint="default"/>
                      <w:color w:val="auto"/>
                      <w:highlight w:val="none"/>
                    </w:rPr>
                  </w:pPr>
                </w:p>
              </w:tc>
              <w:tc>
                <w:tcPr>
                  <w:tcW w:w="1297" w:type="dxa"/>
                  <w:vMerge w:val="continue"/>
                  <w:vAlign w:val="center"/>
                </w:tcPr>
                <w:p>
                  <w:pPr>
                    <w:pStyle w:val="25"/>
                    <w:rPr>
                      <w:rFonts w:hint="default"/>
                      <w:color w:val="auto"/>
                      <w:highlight w:val="none"/>
                    </w:rPr>
                  </w:pPr>
                </w:p>
              </w:tc>
              <w:tc>
                <w:tcPr>
                  <w:tcW w:w="930" w:type="dxa"/>
                  <w:vMerge w:val="continue"/>
                  <w:vAlign w:val="center"/>
                </w:tcPr>
                <w:p>
                  <w:pPr>
                    <w:pStyle w:val="25"/>
                    <w:rPr>
                      <w:rFonts w:hint="default"/>
                      <w:color w:val="auto"/>
                      <w:highlight w:val="none"/>
                    </w:rPr>
                  </w:pPr>
                </w:p>
              </w:tc>
              <w:tc>
                <w:tcPr>
                  <w:tcW w:w="798" w:type="dxa"/>
                  <w:vMerge w:val="continue"/>
                  <w:vAlign w:val="center"/>
                </w:tcPr>
                <w:p>
                  <w:pPr>
                    <w:pStyle w:val="25"/>
                    <w:rPr>
                      <w:rFonts w:hint="default"/>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4" w:hRule="atLeast"/>
                <w:jc w:val="center"/>
              </w:trPr>
              <w:tc>
                <w:tcPr>
                  <w:tcW w:w="796" w:type="dxa"/>
                  <w:vAlign w:val="center"/>
                </w:tcPr>
                <w:p>
                  <w:pPr>
                    <w:pStyle w:val="22"/>
                    <w:rPr>
                      <w:rFonts w:hint="eastAsia" w:eastAsiaTheme="minorEastAsia"/>
                      <w:color w:val="auto"/>
                      <w:highlight w:val="none"/>
                      <w:lang w:eastAsia="zh-CN"/>
                    </w:rPr>
                  </w:pPr>
                  <w:r>
                    <w:rPr>
                      <w:rFonts w:hint="eastAsia"/>
                      <w:color w:val="auto"/>
                      <w:highlight w:val="none"/>
                      <w:lang w:eastAsia="zh-CN"/>
                    </w:rPr>
                    <w:t>贮存废气</w:t>
                  </w:r>
                </w:p>
              </w:tc>
              <w:tc>
                <w:tcPr>
                  <w:tcW w:w="729" w:type="dxa"/>
                  <w:vAlign w:val="center"/>
                </w:tcPr>
                <w:p>
                  <w:pPr>
                    <w:pStyle w:val="22"/>
                    <w:rPr>
                      <w:rFonts w:hint="eastAsia" w:eastAsiaTheme="minorEastAsia"/>
                      <w:color w:val="auto"/>
                      <w:highlight w:val="none"/>
                      <w:lang w:eastAsia="zh-CN"/>
                    </w:rPr>
                  </w:pPr>
                  <w:r>
                    <w:rPr>
                      <w:rFonts w:hint="eastAsia"/>
                      <w:color w:val="auto"/>
                      <w:highlight w:val="none"/>
                      <w:lang w:eastAsia="zh-CN"/>
                    </w:rPr>
                    <w:t>非甲烷总烃</w:t>
                  </w:r>
                </w:p>
              </w:tc>
              <w:tc>
                <w:tcPr>
                  <w:tcW w:w="888" w:type="dxa"/>
                  <w:shd w:val="clear" w:color="auto" w:fill="auto"/>
                  <w:vAlign w:val="center"/>
                </w:tcPr>
                <w:p>
                  <w:pPr>
                    <w:pStyle w:val="22"/>
                    <w:bidi w:val="0"/>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0.00</w:t>
                  </w:r>
                  <w:r>
                    <w:rPr>
                      <w:rFonts w:hint="eastAsia"/>
                      <w:color w:val="auto"/>
                      <w:highlight w:val="none"/>
                      <w:lang w:val="en-US" w:eastAsia="zh-CN"/>
                    </w:rPr>
                    <w:t>696</w:t>
                  </w:r>
                </w:p>
              </w:tc>
              <w:tc>
                <w:tcPr>
                  <w:tcW w:w="1109" w:type="dxa"/>
                  <w:shd w:val="clear" w:color="auto" w:fill="auto"/>
                  <w:vAlign w:val="center"/>
                </w:tcPr>
                <w:p>
                  <w:pPr>
                    <w:pStyle w:val="22"/>
                    <w:bidi w:val="0"/>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0.0008</w:t>
                  </w:r>
                </w:p>
              </w:tc>
              <w:tc>
                <w:tcPr>
                  <w:tcW w:w="1133" w:type="dxa"/>
                  <w:vAlign w:val="center"/>
                </w:tcPr>
                <w:p>
                  <w:pPr>
                    <w:pStyle w:val="22"/>
                    <w:bidi w:val="0"/>
                    <w:ind w:firstLine="0" w:firstLineChars="0"/>
                    <w:jc w:val="center"/>
                    <w:rPr>
                      <w:rFonts w:hint="default" w:eastAsiaTheme="minorEastAsia"/>
                      <w:color w:val="auto"/>
                      <w:highlight w:val="none"/>
                      <w:lang w:val="en-US" w:eastAsia="zh-CN"/>
                    </w:rPr>
                  </w:pPr>
                  <w:r>
                    <w:rPr>
                      <w:rFonts w:hint="eastAsia"/>
                      <w:color w:val="auto"/>
                      <w:highlight w:val="none"/>
                      <w:lang w:val="en-US" w:eastAsia="zh-CN"/>
                    </w:rPr>
                    <w:t>5</w:t>
                  </w:r>
                </w:p>
              </w:tc>
              <w:tc>
                <w:tcPr>
                  <w:tcW w:w="679"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无组织</w:t>
                  </w:r>
                </w:p>
              </w:tc>
              <w:tc>
                <w:tcPr>
                  <w:tcW w:w="956"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加盖贮存</w:t>
                  </w:r>
                </w:p>
              </w:tc>
              <w:tc>
                <w:tcPr>
                  <w:tcW w:w="695"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w:t>
                  </w:r>
                </w:p>
              </w:tc>
              <w:tc>
                <w:tcPr>
                  <w:tcW w:w="948" w:type="dxa"/>
                  <w:shd w:val="clear" w:color="auto" w:fill="auto"/>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w:t>
                  </w:r>
                </w:p>
              </w:tc>
              <w:tc>
                <w:tcPr>
                  <w:tcW w:w="1117"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133" w:type="dxa"/>
                  <w:shd w:val="clear" w:color="auto" w:fill="auto"/>
                  <w:vAlign w:val="center"/>
                </w:tcPr>
                <w:p>
                  <w:pPr>
                    <w:pStyle w:val="22"/>
                    <w:bidi w:val="0"/>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0.0008</w:t>
                  </w:r>
                </w:p>
              </w:tc>
              <w:tc>
                <w:tcPr>
                  <w:tcW w:w="1297" w:type="dxa"/>
                  <w:shd w:val="clear" w:color="auto" w:fill="auto"/>
                  <w:vAlign w:val="center"/>
                </w:tcPr>
                <w:p>
                  <w:pPr>
                    <w:pStyle w:val="22"/>
                    <w:bidi w:val="0"/>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5</w:t>
                  </w:r>
                </w:p>
              </w:tc>
              <w:tc>
                <w:tcPr>
                  <w:tcW w:w="930" w:type="dxa"/>
                  <w:shd w:val="clear" w:color="auto" w:fill="auto"/>
                  <w:vAlign w:val="center"/>
                </w:tcPr>
                <w:p>
                  <w:pPr>
                    <w:pStyle w:val="22"/>
                    <w:bidi w:val="0"/>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0.00</w:t>
                  </w:r>
                  <w:r>
                    <w:rPr>
                      <w:rFonts w:hint="eastAsia"/>
                      <w:color w:val="auto"/>
                      <w:highlight w:val="none"/>
                      <w:lang w:val="en-US" w:eastAsia="zh-CN"/>
                    </w:rPr>
                    <w:t>696</w:t>
                  </w:r>
                </w:p>
              </w:tc>
              <w:tc>
                <w:tcPr>
                  <w:tcW w:w="798" w:type="dxa"/>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r>
          </w:tbl>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 xml:space="preserve">  </w:t>
            </w:r>
            <w:r>
              <w:rPr>
                <w:rFonts w:hint="eastAsia"/>
                <w:color w:val="auto"/>
                <w:highlight w:val="none"/>
              </w:rPr>
              <w:t>无组织废气排放基本情况</w:t>
            </w:r>
            <w:r>
              <w:rPr>
                <w:color w:val="auto"/>
                <w:highlight w:val="none"/>
              </w:rPr>
              <w:t>表</w:t>
            </w:r>
          </w:p>
          <w:tbl>
            <w:tblPr>
              <w:tblStyle w:val="15"/>
              <w:tblW w:w="1329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4"/>
              <w:gridCol w:w="1435"/>
              <w:gridCol w:w="1400"/>
              <w:gridCol w:w="1286"/>
              <w:gridCol w:w="1052"/>
              <w:gridCol w:w="1569"/>
              <w:gridCol w:w="1545"/>
              <w:gridCol w:w="1075"/>
              <w:gridCol w:w="1106"/>
              <w:gridCol w:w="1098"/>
              <w:gridCol w:w="7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64" w:type="dxa"/>
                  <w:vMerge w:val="restart"/>
                  <w:tcBorders>
                    <w:tl2br w:val="nil"/>
                    <w:tr2bl w:val="nil"/>
                  </w:tcBorders>
                  <w:vAlign w:val="center"/>
                </w:tcPr>
                <w:p>
                  <w:pPr>
                    <w:pStyle w:val="25"/>
                    <w:rPr>
                      <w:rFonts w:hint="default"/>
                      <w:color w:val="auto"/>
                      <w:highlight w:val="none"/>
                    </w:rPr>
                  </w:pPr>
                  <w:r>
                    <w:rPr>
                      <w:color w:val="auto"/>
                      <w:highlight w:val="none"/>
                    </w:rPr>
                    <w:t>污染源名称</w:t>
                  </w:r>
                </w:p>
              </w:tc>
              <w:tc>
                <w:tcPr>
                  <w:tcW w:w="2835" w:type="dxa"/>
                  <w:gridSpan w:val="2"/>
                  <w:tcBorders>
                    <w:tl2br w:val="nil"/>
                    <w:tr2bl w:val="nil"/>
                  </w:tcBorders>
                  <w:vAlign w:val="center"/>
                </w:tcPr>
                <w:p>
                  <w:pPr>
                    <w:pStyle w:val="25"/>
                    <w:rPr>
                      <w:rFonts w:hint="eastAsia" w:eastAsiaTheme="minorEastAsia"/>
                      <w:color w:val="auto"/>
                      <w:highlight w:val="none"/>
                      <w:lang w:eastAsia="zh-CN"/>
                    </w:rPr>
                  </w:pPr>
                  <w:r>
                    <w:rPr>
                      <w:color w:val="auto"/>
                      <w:highlight w:val="none"/>
                    </w:rPr>
                    <w:t>左下角坐标</w:t>
                  </w:r>
                  <w:r>
                    <w:rPr>
                      <w:rFonts w:hint="eastAsia"/>
                      <w:color w:val="auto"/>
                      <w:highlight w:val="none"/>
                      <w:lang w:eastAsia="zh-CN"/>
                    </w:rPr>
                    <w:t>（</w:t>
                  </w:r>
                  <w:r>
                    <w:rPr>
                      <w:rFonts w:hint="eastAsia"/>
                      <w:color w:val="auto"/>
                      <w:highlight w:val="none"/>
                      <w:lang w:val="en-US" w:eastAsia="zh-CN"/>
                    </w:rPr>
                    <w:t>°</w:t>
                  </w:r>
                  <w:r>
                    <w:rPr>
                      <w:rFonts w:hint="eastAsia"/>
                      <w:color w:val="auto"/>
                      <w:highlight w:val="none"/>
                      <w:lang w:eastAsia="zh-CN"/>
                    </w:rPr>
                    <w:t>）</w:t>
                  </w:r>
                </w:p>
              </w:tc>
              <w:tc>
                <w:tcPr>
                  <w:tcW w:w="3907" w:type="dxa"/>
                  <w:gridSpan w:val="3"/>
                  <w:tcBorders>
                    <w:tl2br w:val="nil"/>
                    <w:tr2bl w:val="nil"/>
                  </w:tcBorders>
                  <w:vAlign w:val="center"/>
                </w:tcPr>
                <w:p>
                  <w:pPr>
                    <w:pStyle w:val="25"/>
                    <w:rPr>
                      <w:rFonts w:hint="default"/>
                      <w:color w:val="auto"/>
                      <w:highlight w:val="none"/>
                    </w:rPr>
                  </w:pPr>
                  <w:r>
                    <w:rPr>
                      <w:color w:val="auto"/>
                      <w:highlight w:val="none"/>
                    </w:rPr>
                    <w:t>矩形面源</w:t>
                  </w:r>
                </w:p>
              </w:tc>
              <w:tc>
                <w:tcPr>
                  <w:tcW w:w="1545" w:type="dxa"/>
                  <w:vMerge w:val="restart"/>
                  <w:tcBorders>
                    <w:tl2br w:val="nil"/>
                    <w:tr2bl w:val="nil"/>
                  </w:tcBorders>
                  <w:vAlign w:val="center"/>
                </w:tcPr>
                <w:p>
                  <w:pPr>
                    <w:pStyle w:val="25"/>
                    <w:rPr>
                      <w:rFonts w:hint="default"/>
                      <w:color w:val="auto"/>
                      <w:highlight w:val="none"/>
                    </w:rPr>
                  </w:pPr>
                  <w:r>
                    <w:rPr>
                      <w:color w:val="auto"/>
                      <w:highlight w:val="none"/>
                    </w:rPr>
                    <w:t>污染物</w:t>
                  </w:r>
                </w:p>
              </w:tc>
              <w:tc>
                <w:tcPr>
                  <w:tcW w:w="1075" w:type="dxa"/>
                  <w:vMerge w:val="restart"/>
                  <w:tcBorders>
                    <w:tl2br w:val="nil"/>
                    <w:tr2bl w:val="nil"/>
                  </w:tcBorders>
                  <w:vAlign w:val="center"/>
                </w:tcPr>
                <w:p>
                  <w:pPr>
                    <w:pStyle w:val="25"/>
                    <w:rPr>
                      <w:rFonts w:hint="default"/>
                      <w:color w:val="auto"/>
                      <w:highlight w:val="none"/>
                    </w:rPr>
                  </w:pPr>
                  <w:r>
                    <w:rPr>
                      <w:color w:val="auto"/>
                      <w:highlight w:val="none"/>
                    </w:rPr>
                    <w:t>排放速率kg/h</w:t>
                  </w:r>
                </w:p>
              </w:tc>
              <w:tc>
                <w:tcPr>
                  <w:tcW w:w="1106" w:type="dxa"/>
                  <w:vMerge w:val="restart"/>
                  <w:tcBorders>
                    <w:tl2br w:val="nil"/>
                    <w:tr2bl w:val="nil"/>
                  </w:tcBorders>
                  <w:vAlign w:val="center"/>
                </w:tcPr>
                <w:p>
                  <w:pPr>
                    <w:pStyle w:val="25"/>
                    <w:rPr>
                      <w:rFonts w:hint="default"/>
                      <w:color w:val="auto"/>
                      <w:highlight w:val="none"/>
                    </w:rPr>
                  </w:pPr>
                  <w:r>
                    <w:rPr>
                      <w:color w:val="auto"/>
                      <w:highlight w:val="none"/>
                    </w:rPr>
                    <w:t>排放量</w:t>
                  </w:r>
                </w:p>
                <w:p>
                  <w:pPr>
                    <w:pStyle w:val="25"/>
                    <w:rPr>
                      <w:rFonts w:hint="default"/>
                      <w:color w:val="auto"/>
                      <w:highlight w:val="none"/>
                    </w:rPr>
                  </w:pPr>
                  <w:r>
                    <w:rPr>
                      <w:color w:val="auto"/>
                      <w:highlight w:val="none"/>
                    </w:rPr>
                    <w:t>t/a</w:t>
                  </w:r>
                </w:p>
              </w:tc>
              <w:tc>
                <w:tcPr>
                  <w:tcW w:w="1098" w:type="dxa"/>
                  <w:vMerge w:val="restart"/>
                  <w:tcBorders>
                    <w:tl2br w:val="nil"/>
                    <w:tr2bl w:val="nil"/>
                  </w:tcBorders>
                  <w:vAlign w:val="center"/>
                </w:tcPr>
                <w:p>
                  <w:pPr>
                    <w:pStyle w:val="25"/>
                    <w:rPr>
                      <w:rFonts w:hint="default"/>
                      <w:color w:val="auto"/>
                      <w:highlight w:val="none"/>
                    </w:rPr>
                  </w:pPr>
                  <w:r>
                    <w:rPr>
                      <w:color w:val="auto"/>
                      <w:highlight w:val="none"/>
                    </w:rPr>
                    <w:t>排放标准mg/m</w:t>
                  </w:r>
                  <w:r>
                    <w:rPr>
                      <w:color w:val="auto"/>
                      <w:highlight w:val="none"/>
                      <w:vertAlign w:val="superscript"/>
                    </w:rPr>
                    <w:t>3</w:t>
                  </w:r>
                </w:p>
              </w:tc>
              <w:tc>
                <w:tcPr>
                  <w:tcW w:w="769" w:type="dxa"/>
                  <w:vMerge w:val="restart"/>
                  <w:tcBorders>
                    <w:tl2br w:val="nil"/>
                    <w:tr2bl w:val="nil"/>
                  </w:tcBorders>
                  <w:vAlign w:val="center"/>
                </w:tcPr>
                <w:p>
                  <w:pPr>
                    <w:pStyle w:val="25"/>
                    <w:rPr>
                      <w:rFonts w:hint="default"/>
                      <w:color w:val="auto"/>
                      <w:highlight w:val="none"/>
                    </w:rPr>
                  </w:pPr>
                  <w:r>
                    <w:rPr>
                      <w:color w:val="auto"/>
                      <w:highlight w:val="none"/>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964" w:type="dxa"/>
                  <w:vMerge w:val="continue"/>
                  <w:tcBorders>
                    <w:tl2br w:val="nil"/>
                    <w:tr2bl w:val="nil"/>
                  </w:tcBorders>
                  <w:vAlign w:val="center"/>
                </w:tcPr>
                <w:p>
                  <w:pPr>
                    <w:pStyle w:val="22"/>
                    <w:rPr>
                      <w:color w:val="auto"/>
                      <w:highlight w:val="none"/>
                    </w:rPr>
                  </w:pPr>
                </w:p>
              </w:tc>
              <w:tc>
                <w:tcPr>
                  <w:tcW w:w="1435" w:type="dxa"/>
                  <w:tcBorders>
                    <w:tl2br w:val="nil"/>
                    <w:tr2bl w:val="nil"/>
                  </w:tcBorders>
                  <w:vAlign w:val="center"/>
                </w:tcPr>
                <w:p>
                  <w:pPr>
                    <w:pStyle w:val="25"/>
                    <w:rPr>
                      <w:rFonts w:hint="default"/>
                      <w:color w:val="auto"/>
                      <w:highlight w:val="none"/>
                    </w:rPr>
                  </w:pPr>
                  <w:r>
                    <w:rPr>
                      <w:color w:val="auto"/>
                      <w:highlight w:val="none"/>
                    </w:rPr>
                    <w:t>经度</w:t>
                  </w:r>
                </w:p>
              </w:tc>
              <w:tc>
                <w:tcPr>
                  <w:tcW w:w="1400" w:type="dxa"/>
                  <w:tcBorders>
                    <w:tl2br w:val="nil"/>
                    <w:tr2bl w:val="nil"/>
                  </w:tcBorders>
                  <w:vAlign w:val="center"/>
                </w:tcPr>
                <w:p>
                  <w:pPr>
                    <w:pStyle w:val="25"/>
                    <w:rPr>
                      <w:rFonts w:hint="default"/>
                      <w:color w:val="auto"/>
                      <w:highlight w:val="none"/>
                    </w:rPr>
                  </w:pPr>
                  <w:r>
                    <w:rPr>
                      <w:color w:val="auto"/>
                      <w:highlight w:val="none"/>
                    </w:rPr>
                    <w:t>经度</w:t>
                  </w:r>
                </w:p>
              </w:tc>
              <w:tc>
                <w:tcPr>
                  <w:tcW w:w="1286" w:type="dxa"/>
                  <w:tcBorders>
                    <w:tl2br w:val="nil"/>
                    <w:tr2bl w:val="nil"/>
                  </w:tcBorders>
                  <w:vAlign w:val="center"/>
                </w:tcPr>
                <w:p>
                  <w:pPr>
                    <w:pStyle w:val="25"/>
                    <w:rPr>
                      <w:rFonts w:hint="default"/>
                      <w:color w:val="auto"/>
                      <w:highlight w:val="none"/>
                    </w:rPr>
                  </w:pPr>
                  <w:r>
                    <w:rPr>
                      <w:color w:val="auto"/>
                      <w:highlight w:val="none"/>
                    </w:rPr>
                    <w:t>长度m</w:t>
                  </w:r>
                </w:p>
              </w:tc>
              <w:tc>
                <w:tcPr>
                  <w:tcW w:w="1052" w:type="dxa"/>
                  <w:tcBorders>
                    <w:tl2br w:val="nil"/>
                    <w:tr2bl w:val="nil"/>
                  </w:tcBorders>
                  <w:vAlign w:val="center"/>
                </w:tcPr>
                <w:p>
                  <w:pPr>
                    <w:pStyle w:val="25"/>
                    <w:rPr>
                      <w:rFonts w:hint="default"/>
                      <w:color w:val="auto"/>
                      <w:highlight w:val="none"/>
                    </w:rPr>
                  </w:pPr>
                  <w:r>
                    <w:rPr>
                      <w:color w:val="auto"/>
                      <w:highlight w:val="none"/>
                    </w:rPr>
                    <w:t>宽度m</w:t>
                  </w:r>
                </w:p>
              </w:tc>
              <w:tc>
                <w:tcPr>
                  <w:tcW w:w="1569" w:type="dxa"/>
                  <w:tcBorders>
                    <w:tl2br w:val="nil"/>
                    <w:tr2bl w:val="nil"/>
                  </w:tcBorders>
                  <w:vAlign w:val="center"/>
                </w:tcPr>
                <w:p>
                  <w:pPr>
                    <w:pStyle w:val="25"/>
                    <w:rPr>
                      <w:rFonts w:hint="default"/>
                      <w:color w:val="auto"/>
                      <w:highlight w:val="none"/>
                    </w:rPr>
                  </w:pPr>
                  <w:r>
                    <w:rPr>
                      <w:color w:val="auto"/>
                      <w:highlight w:val="none"/>
                    </w:rPr>
                    <w:t>有效高度m</w:t>
                  </w:r>
                </w:p>
              </w:tc>
              <w:tc>
                <w:tcPr>
                  <w:tcW w:w="1545" w:type="dxa"/>
                  <w:vMerge w:val="continue"/>
                  <w:tcBorders>
                    <w:tl2br w:val="nil"/>
                    <w:tr2bl w:val="nil"/>
                  </w:tcBorders>
                  <w:vAlign w:val="center"/>
                </w:tcPr>
                <w:p>
                  <w:pPr>
                    <w:pStyle w:val="22"/>
                    <w:rPr>
                      <w:color w:val="auto"/>
                      <w:highlight w:val="none"/>
                    </w:rPr>
                  </w:pPr>
                </w:p>
              </w:tc>
              <w:tc>
                <w:tcPr>
                  <w:tcW w:w="1075" w:type="dxa"/>
                  <w:vMerge w:val="continue"/>
                  <w:tcBorders>
                    <w:tl2br w:val="nil"/>
                    <w:tr2bl w:val="nil"/>
                  </w:tcBorders>
                  <w:vAlign w:val="center"/>
                </w:tcPr>
                <w:p>
                  <w:pPr>
                    <w:pStyle w:val="22"/>
                    <w:rPr>
                      <w:color w:val="auto"/>
                      <w:highlight w:val="none"/>
                    </w:rPr>
                  </w:pPr>
                </w:p>
              </w:tc>
              <w:tc>
                <w:tcPr>
                  <w:tcW w:w="1106" w:type="dxa"/>
                  <w:vMerge w:val="continue"/>
                  <w:tcBorders>
                    <w:tl2br w:val="nil"/>
                    <w:tr2bl w:val="nil"/>
                  </w:tcBorders>
                  <w:vAlign w:val="center"/>
                </w:tcPr>
                <w:p>
                  <w:pPr>
                    <w:pStyle w:val="22"/>
                    <w:rPr>
                      <w:color w:val="auto"/>
                      <w:highlight w:val="none"/>
                    </w:rPr>
                  </w:pPr>
                </w:p>
              </w:tc>
              <w:tc>
                <w:tcPr>
                  <w:tcW w:w="1098" w:type="dxa"/>
                  <w:vMerge w:val="continue"/>
                  <w:tcBorders>
                    <w:tl2br w:val="nil"/>
                    <w:tr2bl w:val="nil"/>
                  </w:tcBorders>
                  <w:vAlign w:val="center"/>
                </w:tcPr>
                <w:p>
                  <w:pPr>
                    <w:pStyle w:val="22"/>
                    <w:rPr>
                      <w:color w:val="auto"/>
                      <w:highlight w:val="none"/>
                    </w:rPr>
                  </w:pPr>
                </w:p>
              </w:tc>
              <w:tc>
                <w:tcPr>
                  <w:tcW w:w="769" w:type="dxa"/>
                  <w:vMerge w:val="continue"/>
                  <w:tcBorders>
                    <w:tl2br w:val="nil"/>
                    <w:tr2bl w:val="nil"/>
                  </w:tcBorders>
                  <w:vAlign w:val="center"/>
                </w:tcPr>
                <w:p>
                  <w:pPr>
                    <w:pStyle w:val="22"/>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964"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危险废物贮存点</w:t>
                  </w:r>
                </w:p>
              </w:tc>
              <w:tc>
                <w:tcPr>
                  <w:tcW w:w="1435" w:type="dxa"/>
                  <w:tcBorders>
                    <w:tl2br w:val="nil"/>
                    <w:tr2bl w:val="nil"/>
                  </w:tcBorders>
                  <w:shd w:val="clear" w:color="auto" w:fill="auto"/>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120.34875428</w:t>
                  </w:r>
                </w:p>
              </w:tc>
              <w:tc>
                <w:tcPr>
                  <w:tcW w:w="1400" w:type="dxa"/>
                  <w:tcBorders>
                    <w:tl2br w:val="nil"/>
                    <w:tr2bl w:val="nil"/>
                  </w:tcBorders>
                  <w:shd w:val="clear" w:color="auto" w:fill="auto"/>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41.94832897</w:t>
                  </w:r>
                </w:p>
              </w:tc>
              <w:tc>
                <w:tcPr>
                  <w:tcW w:w="1286"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12.4</w:t>
                  </w:r>
                </w:p>
              </w:tc>
              <w:tc>
                <w:tcPr>
                  <w:tcW w:w="1052"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9.8</w:t>
                  </w:r>
                </w:p>
              </w:tc>
              <w:tc>
                <w:tcPr>
                  <w:tcW w:w="1569"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4</w:t>
                  </w:r>
                </w:p>
              </w:tc>
              <w:tc>
                <w:tcPr>
                  <w:tcW w:w="1545" w:type="dxa"/>
                  <w:tcBorders>
                    <w:tl2br w:val="nil"/>
                    <w:tr2bl w:val="nil"/>
                  </w:tcBorders>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非甲烷总烃</w:t>
                  </w:r>
                </w:p>
              </w:tc>
              <w:tc>
                <w:tcPr>
                  <w:tcW w:w="1075" w:type="dxa"/>
                  <w:tcBorders>
                    <w:tl2br w:val="nil"/>
                    <w:tr2bl w:val="nil"/>
                  </w:tcBorders>
                  <w:vAlign w:val="center"/>
                </w:tcPr>
                <w:p>
                  <w:pPr>
                    <w:pStyle w:val="22"/>
                    <w:bidi w:val="0"/>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0.0008</w:t>
                  </w:r>
                </w:p>
              </w:tc>
              <w:tc>
                <w:tcPr>
                  <w:tcW w:w="1106" w:type="dxa"/>
                  <w:tcBorders>
                    <w:tl2br w:val="nil"/>
                    <w:tr2bl w:val="nil"/>
                  </w:tcBorders>
                  <w:vAlign w:val="center"/>
                </w:tcPr>
                <w:p>
                  <w:pPr>
                    <w:pStyle w:val="22"/>
                    <w:bidi w:val="0"/>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c>
                <w:tcPr>
                  <w:tcW w:w="1098" w:type="dxa"/>
                  <w:tcBorders>
                    <w:tl2br w:val="nil"/>
                    <w:tr2bl w:val="nil"/>
                  </w:tcBorders>
                  <w:vAlign w:val="center"/>
                </w:tcPr>
                <w:p>
                  <w:pPr>
                    <w:pStyle w:val="22"/>
                    <w:rPr>
                      <w:rFonts w:hint="eastAsia"/>
                      <w:color w:val="auto"/>
                      <w:highlight w:val="none"/>
                      <w:lang w:val="en-US" w:eastAsia="zh-CN"/>
                    </w:rPr>
                  </w:pPr>
                  <w:r>
                    <w:rPr>
                      <w:rFonts w:hint="eastAsia"/>
                      <w:color w:val="auto"/>
                      <w:highlight w:val="none"/>
                      <w:lang w:val="en-US" w:eastAsia="zh-CN"/>
                    </w:rPr>
                    <w:t>4.0（厂界）</w:t>
                  </w:r>
                </w:p>
                <w:p>
                  <w:pPr>
                    <w:pStyle w:val="22"/>
                    <w:rPr>
                      <w:rFonts w:hint="default"/>
                      <w:color w:val="auto"/>
                      <w:highlight w:val="none"/>
                      <w:lang w:val="en-US" w:eastAsia="zh-CN"/>
                    </w:rPr>
                  </w:pPr>
                  <w:r>
                    <w:rPr>
                      <w:rFonts w:hint="eastAsia"/>
                      <w:color w:val="auto"/>
                      <w:highlight w:val="none"/>
                      <w:lang w:val="en-US" w:eastAsia="zh-CN"/>
                    </w:rPr>
                    <w:t>6.0/20（厂房外）</w:t>
                  </w:r>
                </w:p>
              </w:tc>
              <w:tc>
                <w:tcPr>
                  <w:tcW w:w="769" w:type="dxa"/>
                  <w:tcBorders>
                    <w:tl2br w:val="nil"/>
                    <w:tr2bl w:val="nil"/>
                  </w:tcBorders>
                  <w:vAlign w:val="center"/>
                </w:tcPr>
                <w:p>
                  <w:pPr>
                    <w:pStyle w:val="22"/>
                    <w:rPr>
                      <w:color w:val="auto"/>
                      <w:highlight w:val="none"/>
                    </w:rPr>
                  </w:pPr>
                  <w:r>
                    <w:rPr>
                      <w:rFonts w:hint="eastAsia"/>
                      <w:color w:val="auto"/>
                      <w:highlight w:val="none"/>
                    </w:rPr>
                    <w:t>达标</w:t>
                  </w:r>
                </w:p>
              </w:tc>
            </w:tr>
          </w:tbl>
          <w:p>
            <w:pPr>
              <w:rPr>
                <w:color w:val="auto"/>
                <w:highlight w:val="none"/>
              </w:rPr>
            </w:pPr>
          </w:p>
          <w:p>
            <w:pPr>
              <w:pStyle w:val="9"/>
              <w:rPr>
                <w:color w:val="auto"/>
                <w:highlight w:val="none"/>
              </w:rPr>
            </w:pPr>
          </w:p>
          <w:p>
            <w:pPr>
              <w:rPr>
                <w:color w:val="auto"/>
                <w:highlight w:val="none"/>
              </w:rPr>
            </w:pPr>
          </w:p>
          <w:p>
            <w:pPr>
              <w:pStyle w:val="9"/>
              <w:rPr>
                <w:color w:val="auto"/>
                <w:highlight w:val="none"/>
              </w:rPr>
            </w:pPr>
          </w:p>
          <w:p>
            <w:pPr>
              <w:rPr>
                <w:color w:val="auto"/>
                <w:highlight w:val="none"/>
              </w:rPr>
            </w:pPr>
          </w:p>
          <w:p>
            <w:pPr>
              <w:pStyle w:val="9"/>
              <w:rPr>
                <w:color w:val="auto"/>
                <w:highlight w:val="none"/>
              </w:rPr>
            </w:pPr>
          </w:p>
          <w:p>
            <w:pPr>
              <w:rPr>
                <w:color w:val="auto"/>
                <w:highlight w:val="none"/>
              </w:rPr>
            </w:pPr>
          </w:p>
          <w:p>
            <w:pPr>
              <w:pStyle w:val="9"/>
              <w:rPr>
                <w:color w:val="auto"/>
                <w:highlight w:val="none"/>
              </w:rPr>
            </w:pPr>
          </w:p>
          <w:p>
            <w:pPr>
              <w:rPr>
                <w:color w:val="auto"/>
                <w:highlight w:val="none"/>
              </w:rPr>
            </w:pPr>
          </w:p>
          <w:p>
            <w:pPr>
              <w:pStyle w:val="9"/>
              <w:rPr>
                <w:color w:val="auto"/>
                <w:highlight w:val="none"/>
              </w:rPr>
            </w:pPr>
          </w:p>
          <w:p>
            <w:pPr>
              <w:rPr>
                <w:color w:val="auto"/>
                <w:highlight w:val="none"/>
              </w:rPr>
            </w:pPr>
          </w:p>
          <w:p>
            <w:pPr>
              <w:pStyle w:val="9"/>
              <w:rPr>
                <w:color w:val="auto"/>
                <w:highlight w:val="none"/>
              </w:rPr>
            </w:pPr>
          </w:p>
          <w:p>
            <w:pPr>
              <w:rPr>
                <w:color w:val="auto"/>
                <w:highlight w:val="none"/>
              </w:rPr>
            </w:pPr>
          </w:p>
          <w:p>
            <w:pPr>
              <w:pStyle w:val="9"/>
              <w:rPr>
                <w:color w:val="auto"/>
                <w:highlight w:val="none"/>
              </w:rPr>
            </w:pPr>
          </w:p>
          <w:p>
            <w:pPr>
              <w:rPr>
                <w:color w:val="auto"/>
                <w:highlight w:val="none"/>
              </w:rPr>
            </w:pPr>
          </w:p>
          <w:p>
            <w:pPr>
              <w:pStyle w:val="9"/>
              <w:rPr>
                <w:color w:val="auto"/>
                <w:highlight w:val="none"/>
              </w:rPr>
            </w:pPr>
          </w:p>
          <w:p>
            <w:pPr>
              <w:rPr>
                <w:color w:val="auto"/>
                <w:highlight w:val="none"/>
              </w:rPr>
            </w:pPr>
          </w:p>
          <w:p>
            <w:pPr>
              <w:rPr>
                <w:color w:val="auto"/>
                <w:highlight w:val="none"/>
              </w:rPr>
            </w:pPr>
          </w:p>
        </w:tc>
      </w:tr>
    </w:tbl>
    <w:p>
      <w:pPr>
        <w:rPr>
          <w:color w:val="auto"/>
          <w:highlight w:val="none"/>
        </w:rPr>
        <w:sectPr>
          <w:pgSz w:w="16840" w:h="11907"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tbl>
      <w:tblPr>
        <w:tblStyle w:val="15"/>
        <w:tblW w:w="8979"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23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810" w:hRule="atLeast"/>
          <w:jc w:val="center"/>
        </w:trPr>
        <w:tc>
          <w:tcPr>
            <w:tcW w:w="746" w:type="dxa"/>
            <w:tcMar>
              <w:left w:w="28" w:type="dxa"/>
              <w:right w:w="28" w:type="dxa"/>
            </w:tcMar>
            <w:vAlign w:val="center"/>
          </w:tcPr>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运营</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期环</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境影</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响和</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保护</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措施</w:t>
            </w:r>
          </w:p>
        </w:tc>
        <w:tc>
          <w:tcPr>
            <w:tcW w:w="8233" w:type="dxa"/>
            <w:vAlign w:val="center"/>
          </w:tcPr>
          <w:p>
            <w:pPr>
              <w:pStyle w:val="12"/>
              <w:ind w:firstLine="480"/>
              <w:rPr>
                <w:color w:val="auto"/>
                <w:highlight w:val="none"/>
              </w:rPr>
            </w:pPr>
            <w:r>
              <w:rPr>
                <w:rFonts w:hint="eastAsia"/>
                <w:color w:val="auto"/>
                <w:highlight w:val="none"/>
              </w:rPr>
              <w:t>1.4大气污染防治措施可行性分析</w:t>
            </w:r>
          </w:p>
          <w:p>
            <w:pPr>
              <w:pStyle w:val="12"/>
              <w:ind w:firstLine="480"/>
              <w:rPr>
                <w:rFonts w:hint="eastAsia" w:ascii="Times New Roman" w:hAnsi="Times New Roman" w:cs="Times New Roman"/>
                <w:color w:val="auto"/>
                <w:highlight w:val="none"/>
                <w:lang w:eastAsia="zh-CN"/>
              </w:rPr>
            </w:pPr>
            <w:r>
              <w:rPr>
                <w:rFonts w:hint="eastAsia"/>
                <w:color w:val="auto"/>
                <w:highlight w:val="none"/>
                <w:lang w:eastAsia="zh-CN"/>
              </w:rPr>
              <w:t>本项目危险废物贮存点挥发性有机物主要来源于贮存废润滑油、废油桶（含有残留废油）、废油漆桶产生废气，贮存过程中产生挥发性有机物通过加盖密封贮存从而减少废气产生，并在危险废物贮存点设置排风扇，经预测挥发性有机物可达标排放</w:t>
            </w:r>
            <w:r>
              <w:rPr>
                <w:rFonts w:hint="eastAsia" w:ascii="Times New Roman" w:hAnsi="Times New Roman" w:cs="Times New Roman"/>
                <w:color w:val="auto"/>
                <w:highlight w:val="none"/>
                <w:lang w:eastAsia="zh-CN"/>
              </w:rPr>
              <w:t>。操作灵活，</w:t>
            </w:r>
            <w:r>
              <w:rPr>
                <w:rFonts w:hint="eastAsia" w:cs="Times New Roman"/>
                <w:color w:val="auto"/>
                <w:highlight w:val="none"/>
                <w:lang w:eastAsia="zh-CN"/>
              </w:rPr>
              <w:t>可达标排放</w:t>
            </w:r>
            <w:r>
              <w:rPr>
                <w:rFonts w:hint="eastAsia" w:ascii="Times New Roman" w:hAnsi="Times New Roman" w:cs="Times New Roman"/>
                <w:color w:val="auto"/>
                <w:highlight w:val="none"/>
                <w:lang w:eastAsia="zh-CN"/>
              </w:rPr>
              <w:t>，因此</w:t>
            </w:r>
            <w:r>
              <w:rPr>
                <w:rFonts w:hint="eastAsia" w:cs="Times New Roman"/>
                <w:color w:val="auto"/>
                <w:highlight w:val="none"/>
                <w:lang w:eastAsia="zh-CN"/>
              </w:rPr>
              <w:t>污染防治措施</w:t>
            </w:r>
            <w:r>
              <w:rPr>
                <w:rFonts w:hint="eastAsia" w:ascii="Times New Roman" w:hAnsi="Times New Roman" w:cs="Times New Roman"/>
                <w:color w:val="auto"/>
                <w:highlight w:val="none"/>
                <w:lang w:eastAsia="zh-CN"/>
              </w:rPr>
              <w:t>可行。</w:t>
            </w:r>
          </w:p>
          <w:p>
            <w:pPr>
              <w:pStyle w:val="12"/>
              <w:ind w:firstLine="480"/>
              <w:rPr>
                <w:color w:val="auto"/>
                <w:highlight w:val="none"/>
              </w:rPr>
            </w:pPr>
            <w:r>
              <w:rPr>
                <w:rFonts w:hint="eastAsia"/>
                <w:color w:val="auto"/>
                <w:highlight w:val="none"/>
              </w:rPr>
              <w:t>1.5监测计划</w:t>
            </w:r>
          </w:p>
          <w:p>
            <w:pPr>
              <w:pStyle w:val="12"/>
              <w:ind w:firstLine="480"/>
              <w:rPr>
                <w:rFonts w:hint="eastAsia"/>
                <w:color w:val="auto"/>
                <w:highlight w:val="none"/>
              </w:rPr>
            </w:pPr>
            <w:r>
              <w:rPr>
                <w:rFonts w:hint="eastAsia"/>
                <w:color w:val="auto"/>
                <w:highlight w:val="none"/>
              </w:rPr>
              <w:t>参照《排污单位自行监测技术指南 总则》（HJ 819-2017）、《排污许可证申请与核发技术规范 总则》（HJ942-2018）、《排污单位自行监测技术指南 工业固体废物和危险废物治理》（HJ1250-2022）要求</w:t>
            </w:r>
            <w:r>
              <w:rPr>
                <w:rFonts w:hint="eastAsia"/>
                <w:color w:val="auto"/>
                <w:highlight w:val="none"/>
                <w:lang w:eastAsia="zh-CN"/>
              </w:rPr>
              <w:t>，</w:t>
            </w:r>
            <w:r>
              <w:rPr>
                <w:rFonts w:hint="eastAsia"/>
                <w:color w:val="auto"/>
                <w:highlight w:val="none"/>
              </w:rPr>
              <w:t>制定监测计划。</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项目废气污染物监测计划一览表</w:t>
            </w:r>
          </w:p>
          <w:tbl>
            <w:tblPr>
              <w:tblStyle w:val="16"/>
              <w:tblW w:w="801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2"/>
              <w:gridCol w:w="1497"/>
              <w:gridCol w:w="1670"/>
              <w:gridCol w:w="2672"/>
              <w:gridCol w:w="13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52" w:type="dxa"/>
                  <w:tcBorders>
                    <w:tl2br w:val="nil"/>
                    <w:tr2bl w:val="nil"/>
                  </w:tcBorders>
                  <w:vAlign w:val="center"/>
                </w:tcPr>
                <w:p>
                  <w:pPr>
                    <w:pStyle w:val="25"/>
                    <w:rPr>
                      <w:rFonts w:hint="default"/>
                      <w:color w:val="auto"/>
                      <w:highlight w:val="none"/>
                    </w:rPr>
                  </w:pPr>
                  <w:r>
                    <w:rPr>
                      <w:color w:val="auto"/>
                      <w:highlight w:val="none"/>
                    </w:rPr>
                    <w:t>类别</w:t>
                  </w:r>
                </w:p>
              </w:tc>
              <w:tc>
                <w:tcPr>
                  <w:tcW w:w="1497" w:type="dxa"/>
                  <w:tcBorders>
                    <w:tl2br w:val="nil"/>
                    <w:tr2bl w:val="nil"/>
                  </w:tcBorders>
                  <w:vAlign w:val="center"/>
                </w:tcPr>
                <w:p>
                  <w:pPr>
                    <w:pStyle w:val="25"/>
                    <w:rPr>
                      <w:rFonts w:hint="default"/>
                      <w:color w:val="auto"/>
                      <w:highlight w:val="none"/>
                    </w:rPr>
                  </w:pPr>
                  <w:r>
                    <w:rPr>
                      <w:color w:val="auto"/>
                      <w:highlight w:val="none"/>
                    </w:rPr>
                    <w:t>监测位置</w:t>
                  </w:r>
                </w:p>
              </w:tc>
              <w:tc>
                <w:tcPr>
                  <w:tcW w:w="1670" w:type="dxa"/>
                  <w:tcBorders>
                    <w:tl2br w:val="nil"/>
                    <w:tr2bl w:val="nil"/>
                  </w:tcBorders>
                  <w:vAlign w:val="center"/>
                </w:tcPr>
                <w:p>
                  <w:pPr>
                    <w:pStyle w:val="25"/>
                    <w:rPr>
                      <w:rFonts w:hint="default"/>
                      <w:color w:val="auto"/>
                      <w:highlight w:val="none"/>
                    </w:rPr>
                  </w:pPr>
                  <w:r>
                    <w:rPr>
                      <w:color w:val="auto"/>
                      <w:highlight w:val="none"/>
                    </w:rPr>
                    <w:t>监测项目</w:t>
                  </w:r>
                </w:p>
              </w:tc>
              <w:tc>
                <w:tcPr>
                  <w:tcW w:w="2672" w:type="dxa"/>
                  <w:tcBorders>
                    <w:tl2br w:val="nil"/>
                    <w:tr2bl w:val="nil"/>
                  </w:tcBorders>
                  <w:vAlign w:val="center"/>
                </w:tcPr>
                <w:p>
                  <w:pPr>
                    <w:pStyle w:val="25"/>
                    <w:rPr>
                      <w:rFonts w:hint="default"/>
                      <w:color w:val="auto"/>
                      <w:highlight w:val="none"/>
                    </w:rPr>
                  </w:pPr>
                  <w:r>
                    <w:rPr>
                      <w:color w:val="auto"/>
                      <w:highlight w:val="none"/>
                    </w:rPr>
                    <w:t>执行标准</w:t>
                  </w:r>
                </w:p>
              </w:tc>
              <w:tc>
                <w:tcPr>
                  <w:tcW w:w="1326" w:type="dxa"/>
                  <w:tcBorders>
                    <w:tl2br w:val="nil"/>
                    <w:tr2bl w:val="nil"/>
                  </w:tcBorders>
                  <w:vAlign w:val="center"/>
                </w:tcPr>
                <w:p>
                  <w:pPr>
                    <w:pStyle w:val="25"/>
                    <w:rPr>
                      <w:rFonts w:hint="default"/>
                      <w:color w:val="auto"/>
                      <w:highlight w:val="none"/>
                    </w:rPr>
                  </w:pPr>
                  <w:r>
                    <w:rPr>
                      <w:color w:val="auto"/>
                      <w:highlight w:val="none"/>
                    </w:rPr>
                    <w:t>检测频率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852" w:type="dxa"/>
                  <w:vMerge w:val="restart"/>
                  <w:tcBorders>
                    <w:tl2br w:val="nil"/>
                    <w:tr2bl w:val="nil"/>
                  </w:tcBorders>
                  <w:vAlign w:val="center"/>
                </w:tcPr>
                <w:p>
                  <w:pPr>
                    <w:pStyle w:val="22"/>
                    <w:rPr>
                      <w:color w:val="auto"/>
                      <w:highlight w:val="none"/>
                    </w:rPr>
                  </w:pPr>
                  <w:r>
                    <w:rPr>
                      <w:rFonts w:hint="eastAsia"/>
                      <w:color w:val="auto"/>
                      <w:highlight w:val="none"/>
                    </w:rPr>
                    <w:t>废气</w:t>
                  </w:r>
                </w:p>
              </w:tc>
              <w:tc>
                <w:tcPr>
                  <w:tcW w:w="1497"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厂界</w:t>
                  </w:r>
                </w:p>
              </w:tc>
              <w:tc>
                <w:tcPr>
                  <w:tcW w:w="1670"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非甲烷总烃</w:t>
                  </w:r>
                </w:p>
              </w:tc>
              <w:tc>
                <w:tcPr>
                  <w:tcW w:w="2672" w:type="dxa"/>
                  <w:tcBorders>
                    <w:tl2br w:val="nil"/>
                    <w:tr2bl w:val="nil"/>
                  </w:tcBorders>
                  <w:vAlign w:val="center"/>
                </w:tcPr>
                <w:p>
                  <w:pPr>
                    <w:pStyle w:val="22"/>
                    <w:rPr>
                      <w:color w:val="auto"/>
                      <w:highlight w:val="none"/>
                    </w:rPr>
                  </w:pPr>
                  <w:r>
                    <w:rPr>
                      <w:rFonts w:hint="eastAsia"/>
                      <w:color w:val="auto"/>
                      <w:highlight w:val="none"/>
                    </w:rPr>
                    <w:t>《大气污染物综合排放标准》（GB16297-1996）</w:t>
                  </w:r>
                </w:p>
              </w:tc>
              <w:tc>
                <w:tcPr>
                  <w:tcW w:w="1326" w:type="dxa"/>
                  <w:tcBorders>
                    <w:tl2br w:val="nil"/>
                    <w:tr2bl w:val="nil"/>
                  </w:tcBorders>
                  <w:vAlign w:val="center"/>
                </w:tcPr>
                <w:p>
                  <w:pPr>
                    <w:pStyle w:val="22"/>
                    <w:rPr>
                      <w:color w:val="auto"/>
                      <w:highlight w:val="none"/>
                    </w:rPr>
                  </w:pPr>
                  <w:r>
                    <w:rPr>
                      <w:rFonts w:hint="eastAsia"/>
                      <w:color w:val="auto"/>
                      <w:highlight w:val="none"/>
                    </w:rPr>
                    <w:t>1次/半年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52" w:type="dxa"/>
                  <w:vMerge w:val="continue"/>
                  <w:tcBorders>
                    <w:tl2br w:val="nil"/>
                    <w:tr2bl w:val="nil"/>
                  </w:tcBorders>
                  <w:vAlign w:val="center"/>
                </w:tcPr>
                <w:p>
                  <w:pPr>
                    <w:pStyle w:val="22"/>
                    <w:rPr>
                      <w:color w:val="auto"/>
                      <w:highlight w:val="none"/>
                    </w:rPr>
                  </w:pPr>
                </w:p>
              </w:tc>
              <w:tc>
                <w:tcPr>
                  <w:tcW w:w="1497"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厂房</w:t>
                  </w:r>
                  <w:r>
                    <w:rPr>
                      <w:rFonts w:hint="eastAsia"/>
                      <w:color w:val="auto"/>
                      <w:highlight w:val="none"/>
                    </w:rPr>
                    <w:t>外</w:t>
                  </w:r>
                </w:p>
              </w:tc>
              <w:tc>
                <w:tcPr>
                  <w:tcW w:w="1670" w:type="dxa"/>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非甲烷总烃</w:t>
                  </w:r>
                </w:p>
              </w:tc>
              <w:tc>
                <w:tcPr>
                  <w:tcW w:w="2672" w:type="dxa"/>
                  <w:tcBorders>
                    <w:tl2br w:val="nil"/>
                    <w:tr2bl w:val="nil"/>
                  </w:tcBorders>
                  <w:vAlign w:val="center"/>
                </w:tcPr>
                <w:p>
                  <w:pPr>
                    <w:pStyle w:val="22"/>
                    <w:rPr>
                      <w:color w:val="auto"/>
                      <w:highlight w:val="none"/>
                    </w:rPr>
                  </w:pPr>
                  <w:r>
                    <w:rPr>
                      <w:rFonts w:hint="eastAsia"/>
                      <w:color w:val="auto"/>
                      <w:highlight w:val="none"/>
                    </w:rPr>
                    <w:t>《挥发性有机物无组织排放控制标准》（GB 37822-2019）厂房外监控点</w:t>
                  </w:r>
                </w:p>
              </w:tc>
              <w:tc>
                <w:tcPr>
                  <w:tcW w:w="1326" w:type="dxa"/>
                  <w:tcBorders>
                    <w:tl2br w:val="nil"/>
                    <w:tr2bl w:val="nil"/>
                  </w:tcBorders>
                  <w:vAlign w:val="center"/>
                </w:tcPr>
                <w:p>
                  <w:pPr>
                    <w:pStyle w:val="22"/>
                    <w:rPr>
                      <w:rFonts w:hint="eastAsia"/>
                      <w:color w:val="auto"/>
                      <w:highlight w:val="none"/>
                    </w:rPr>
                  </w:pPr>
                  <w:r>
                    <w:rPr>
                      <w:rFonts w:hint="eastAsia"/>
                      <w:color w:val="auto"/>
                      <w:highlight w:val="none"/>
                    </w:rPr>
                    <w:t>1次/年</w:t>
                  </w:r>
                </w:p>
              </w:tc>
            </w:tr>
          </w:tbl>
          <w:p>
            <w:pPr>
              <w:pStyle w:val="12"/>
              <w:ind w:firstLine="480"/>
              <w:rPr>
                <w:color w:val="auto"/>
                <w:kern w:val="2"/>
                <w:highlight w:val="none"/>
              </w:rPr>
            </w:pPr>
            <w:r>
              <w:rPr>
                <w:rFonts w:hint="eastAsia"/>
                <w:color w:val="auto"/>
                <w:kern w:val="2"/>
                <w:highlight w:val="none"/>
              </w:rPr>
              <w:t>1.6非正常工况排放情况</w:t>
            </w:r>
          </w:p>
          <w:p>
            <w:pPr>
              <w:pStyle w:val="12"/>
              <w:ind w:firstLine="480"/>
              <w:rPr>
                <w:color w:val="auto"/>
                <w:kern w:val="2"/>
                <w:highlight w:val="none"/>
              </w:rPr>
            </w:pPr>
            <w:r>
              <w:rPr>
                <w:color w:val="auto"/>
                <w:kern w:val="2"/>
                <w:highlight w:val="none"/>
              </w:rPr>
              <w:t>非正常工况是指污染物控制措施出现问题等因素引起的</w:t>
            </w:r>
            <w:r>
              <w:rPr>
                <w:rFonts w:hint="eastAsia"/>
                <w:color w:val="auto"/>
                <w:kern w:val="2"/>
                <w:highlight w:val="none"/>
                <w:lang w:eastAsia="zh-CN"/>
              </w:rPr>
              <w:t>污染物排放量</w:t>
            </w:r>
            <w:r>
              <w:rPr>
                <w:color w:val="auto"/>
                <w:kern w:val="2"/>
                <w:highlight w:val="none"/>
              </w:rPr>
              <w:t>高于设计值</w:t>
            </w:r>
            <w:r>
              <w:rPr>
                <w:rFonts w:hint="eastAsia"/>
                <w:color w:val="auto"/>
                <w:kern w:val="2"/>
                <w:highlight w:val="none"/>
                <w:lang w:eastAsia="zh-CN"/>
              </w:rPr>
              <w:t>，</w:t>
            </w:r>
            <w:r>
              <w:rPr>
                <w:color w:val="auto"/>
                <w:kern w:val="2"/>
                <w:highlight w:val="none"/>
              </w:rPr>
              <w:t>如：</w:t>
            </w:r>
            <w:r>
              <w:rPr>
                <w:rFonts w:hint="eastAsia"/>
                <w:color w:val="auto"/>
                <w:kern w:val="2"/>
                <w:highlight w:val="none"/>
              </w:rPr>
              <w:t>废气处理设施故障、处理效率0%</w:t>
            </w:r>
            <w:r>
              <w:rPr>
                <w:color w:val="auto"/>
                <w:kern w:val="2"/>
                <w:highlight w:val="none"/>
              </w:rPr>
              <w:t>等情况。</w:t>
            </w:r>
          </w:p>
          <w:p>
            <w:pPr>
              <w:pStyle w:val="12"/>
              <w:ind w:firstLine="480"/>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rPr>
              <w:t>废铅蓄电池的贮存</w:t>
            </w:r>
          </w:p>
          <w:p>
            <w:pPr>
              <w:pStyle w:val="12"/>
              <w:ind w:firstLine="480"/>
              <w:rPr>
                <w:rFonts w:hint="eastAsia"/>
                <w:color w:val="auto"/>
                <w:highlight w:val="none"/>
                <w:lang w:eastAsia="zh-CN"/>
              </w:rPr>
            </w:pPr>
            <w:r>
              <w:rPr>
                <w:rFonts w:hint="eastAsia"/>
                <w:color w:val="auto"/>
                <w:highlight w:val="none"/>
              </w:rPr>
              <w:t>本项目贮存的废电池为</w:t>
            </w:r>
            <w:r>
              <w:rPr>
                <w:rFonts w:hint="eastAsia"/>
                <w:color w:val="auto"/>
                <w:highlight w:val="none"/>
                <w:lang w:eastAsia="zh-CN"/>
              </w:rPr>
              <w:t>设备</w:t>
            </w:r>
            <w:r>
              <w:rPr>
                <w:rFonts w:hint="eastAsia"/>
                <w:color w:val="auto"/>
                <w:highlight w:val="none"/>
              </w:rPr>
              <w:t>故障时产生的废铅蓄电池，</w:t>
            </w:r>
            <w:r>
              <w:rPr>
                <w:rFonts w:hint="eastAsia"/>
                <w:color w:val="auto"/>
                <w:highlight w:val="none"/>
                <w:lang w:eastAsia="zh-CN"/>
              </w:rPr>
              <w:t>项目产生废电池</w:t>
            </w:r>
            <w:r>
              <w:rPr>
                <w:rFonts w:hint="eastAsia"/>
                <w:color w:val="auto"/>
                <w:highlight w:val="none"/>
              </w:rPr>
              <w:t>在</w:t>
            </w:r>
            <w:r>
              <w:rPr>
                <w:rFonts w:hint="eastAsia"/>
                <w:color w:val="auto"/>
                <w:highlight w:val="none"/>
                <w:lang w:eastAsia="zh-CN"/>
              </w:rPr>
              <w:t>厂区</w:t>
            </w:r>
            <w:r>
              <w:rPr>
                <w:rFonts w:hint="eastAsia"/>
                <w:color w:val="auto"/>
                <w:highlight w:val="none"/>
              </w:rPr>
              <w:t>内更换、周转</w:t>
            </w:r>
            <w:r>
              <w:rPr>
                <w:rFonts w:hint="eastAsia"/>
                <w:color w:val="auto"/>
                <w:highlight w:val="none"/>
                <w:lang w:eastAsia="zh-CN"/>
              </w:rPr>
              <w:t>，产生</w:t>
            </w:r>
            <w:r>
              <w:rPr>
                <w:rFonts w:hint="eastAsia"/>
                <w:color w:val="auto"/>
                <w:highlight w:val="none"/>
              </w:rPr>
              <w:t>过程中加强防护，贮存时要求将电极用绝缘胶带包裹，</w:t>
            </w:r>
            <w:r>
              <w:rPr>
                <w:rFonts w:hint="eastAsia"/>
                <w:color w:val="auto"/>
                <w:highlight w:val="none"/>
                <w:lang w:eastAsia="zh-CN"/>
              </w:rPr>
              <w:t>且采用耐酸耐腐蚀箱周转，</w:t>
            </w:r>
            <w:r>
              <w:rPr>
                <w:rFonts w:hint="eastAsia"/>
                <w:color w:val="auto"/>
                <w:highlight w:val="none"/>
              </w:rPr>
              <w:t>避免电池在</w:t>
            </w:r>
            <w:r>
              <w:rPr>
                <w:rFonts w:hint="eastAsia"/>
                <w:color w:val="auto"/>
                <w:highlight w:val="none"/>
                <w:lang w:eastAsia="zh-CN"/>
              </w:rPr>
              <w:t>厂区</w:t>
            </w:r>
            <w:r>
              <w:rPr>
                <w:rFonts w:hint="eastAsia"/>
                <w:color w:val="auto"/>
                <w:highlight w:val="none"/>
              </w:rPr>
              <w:t>内周转和贮存过程中发生泄漏。一般情况下，更换的废铅蓄电池为完好无破损状态，且本项目不对其进行拆解</w:t>
            </w:r>
            <w:r>
              <w:rPr>
                <w:rFonts w:hint="eastAsia"/>
                <w:color w:val="auto"/>
                <w:highlight w:val="none"/>
                <w:lang w:eastAsia="zh-CN"/>
              </w:rPr>
              <w:t>。</w:t>
            </w:r>
          </w:p>
          <w:p>
            <w:pPr>
              <w:pStyle w:val="12"/>
              <w:ind w:firstLine="480"/>
              <w:rPr>
                <w:rFonts w:hint="eastAsia"/>
                <w:color w:val="auto"/>
                <w:highlight w:val="none"/>
              </w:rPr>
            </w:pPr>
            <w:r>
              <w:rPr>
                <w:rFonts w:hint="eastAsia"/>
                <w:color w:val="auto"/>
                <w:highlight w:val="none"/>
              </w:rPr>
              <w:t>在事故状态下，可能会发生废铅蓄电池</w:t>
            </w:r>
            <w:r>
              <w:rPr>
                <w:rFonts w:hint="eastAsia"/>
                <w:color w:val="auto"/>
                <w:highlight w:val="none"/>
                <w:lang w:eastAsia="zh-CN"/>
              </w:rPr>
              <w:t>破损，造成</w:t>
            </w:r>
            <w:r>
              <w:rPr>
                <w:rFonts w:hint="eastAsia"/>
                <w:color w:val="auto"/>
                <w:highlight w:val="none"/>
              </w:rPr>
              <w:t>废铅蓄电池中的硫酸（电解液）泄漏，</w:t>
            </w:r>
            <w:r>
              <w:rPr>
                <w:rFonts w:hint="eastAsia"/>
                <w:color w:val="auto"/>
                <w:highlight w:val="none"/>
                <w:lang w:eastAsia="zh-CN"/>
              </w:rPr>
              <w:t>破损电池采用塑料薄膜包装后，</w:t>
            </w:r>
            <w:r>
              <w:rPr>
                <w:rFonts w:hint="eastAsia"/>
                <w:color w:val="auto"/>
                <w:highlight w:val="none"/>
              </w:rPr>
              <w:t>拟将其放入耐酸耐腐蚀箱，加盖密闭，并放置于防腐防渗漏托盘内贮存，</w:t>
            </w:r>
            <w:r>
              <w:rPr>
                <w:rFonts w:hint="eastAsia"/>
                <w:color w:val="auto"/>
                <w:highlight w:val="none"/>
                <w:lang w:eastAsia="zh-CN"/>
              </w:rPr>
              <w:t>泄漏电解液收集至</w:t>
            </w:r>
            <w:r>
              <w:rPr>
                <w:rFonts w:hint="eastAsia"/>
                <w:color w:val="auto"/>
                <w:highlight w:val="none"/>
              </w:rPr>
              <w:t>耐酸耐腐蚀箱，加盖密闭，并放置于防腐防渗漏托盘内贮存，</w:t>
            </w:r>
            <w:r>
              <w:rPr>
                <w:rFonts w:hint="eastAsia"/>
                <w:color w:val="auto"/>
                <w:highlight w:val="none"/>
                <w:lang w:eastAsia="zh-CN"/>
              </w:rPr>
              <w:t>本项目贮存废铅蓄电池量较小，仅在事故状态下才有少量</w:t>
            </w:r>
            <w:r>
              <w:rPr>
                <w:rFonts w:hint="eastAsia"/>
                <w:color w:val="auto"/>
                <w:highlight w:val="none"/>
              </w:rPr>
              <w:t>硫酸雾</w:t>
            </w:r>
            <w:r>
              <w:rPr>
                <w:rFonts w:hint="eastAsia"/>
                <w:color w:val="auto"/>
                <w:highlight w:val="none"/>
                <w:lang w:eastAsia="zh-CN"/>
              </w:rPr>
              <w:t>挥发</w:t>
            </w:r>
            <w:r>
              <w:rPr>
                <w:rFonts w:hint="eastAsia"/>
                <w:color w:val="auto"/>
                <w:highlight w:val="none"/>
              </w:rPr>
              <w:t>。预计铅酸蓄电池发生泄漏概率为1‰，</w:t>
            </w:r>
            <w:r>
              <w:rPr>
                <w:rFonts w:hint="eastAsia"/>
                <w:bCs/>
                <w:color w:val="auto"/>
                <w:szCs w:val="24"/>
                <w:highlight w:val="none"/>
              </w:rPr>
              <w:t>按单个电池最大重量</w:t>
            </w:r>
            <w:r>
              <w:rPr>
                <w:rFonts w:hint="eastAsia"/>
                <w:bCs/>
                <w:color w:val="auto"/>
                <w:szCs w:val="24"/>
                <w:highlight w:val="none"/>
                <w:lang w:val="en-US" w:eastAsia="zh-CN"/>
              </w:rPr>
              <w:t>22</w:t>
            </w:r>
            <w:r>
              <w:rPr>
                <w:rFonts w:hint="eastAsia"/>
                <w:bCs/>
                <w:color w:val="auto"/>
                <w:szCs w:val="24"/>
                <w:highlight w:val="none"/>
              </w:rPr>
              <w:t>kg计算，其中铅蓄电池中电解液含量约为10%，</w:t>
            </w:r>
            <w:r>
              <w:rPr>
                <w:rFonts w:hint="eastAsia"/>
                <w:color w:val="auto"/>
                <w:highlight w:val="none"/>
              </w:rPr>
              <w:t>则电解液为</w:t>
            </w:r>
            <w:r>
              <w:rPr>
                <w:rFonts w:hint="eastAsia"/>
                <w:color w:val="auto"/>
                <w:highlight w:val="none"/>
                <w:lang w:val="en-US" w:eastAsia="zh-CN"/>
              </w:rPr>
              <w:t>2.2</w:t>
            </w:r>
            <w:r>
              <w:rPr>
                <w:rFonts w:hint="eastAsia"/>
                <w:color w:val="auto"/>
                <w:highlight w:val="none"/>
              </w:rPr>
              <w:t>kg，电解液年最大泄漏量约</w:t>
            </w:r>
            <w:r>
              <w:rPr>
                <w:rFonts w:hint="eastAsia"/>
                <w:color w:val="auto"/>
                <w:highlight w:val="none"/>
                <w:lang w:val="en-US" w:eastAsia="zh-CN"/>
              </w:rPr>
              <w:t>0.0044</w:t>
            </w:r>
            <w:r>
              <w:rPr>
                <w:rFonts w:hint="eastAsia"/>
                <w:color w:val="auto"/>
                <w:highlight w:val="none"/>
              </w:rPr>
              <w:t>t/a。其中电解液中硫酸含量为40%。酸雾挥发量参照《环境统计册》中推荐的酸雾统计公式，</w:t>
            </w:r>
            <w:r>
              <w:rPr>
                <w:rFonts w:hint="eastAsia"/>
                <w:bCs/>
                <w:color w:val="auto"/>
                <w:szCs w:val="24"/>
                <w:highlight w:val="none"/>
              </w:rPr>
              <w:t>则纯硫酸雾挥发量为</w:t>
            </w:r>
            <w:r>
              <w:rPr>
                <w:rFonts w:hint="eastAsia"/>
                <w:bCs/>
                <w:color w:val="auto"/>
                <w:szCs w:val="24"/>
                <w:highlight w:val="none"/>
                <w:lang w:val="en-US" w:eastAsia="zh-CN"/>
              </w:rPr>
              <w:t>0.0029</w:t>
            </w:r>
            <w:r>
              <w:rPr>
                <w:rFonts w:hint="eastAsia"/>
                <w:bCs/>
                <w:color w:val="auto"/>
                <w:szCs w:val="24"/>
                <w:highlight w:val="none"/>
              </w:rPr>
              <w:t>t/a。</w:t>
            </w:r>
          </w:p>
          <w:p>
            <w:pPr>
              <w:pStyle w:val="12"/>
              <w:ind w:firstLine="480"/>
              <w:rPr>
                <w:color w:val="auto"/>
                <w:kern w:val="2"/>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）废润滑油贮存废气废气治理设施故障</w:t>
            </w:r>
          </w:p>
          <w:p>
            <w:pPr>
              <w:pStyle w:val="12"/>
              <w:ind w:firstLine="480"/>
              <w:rPr>
                <w:color w:val="auto"/>
                <w:kern w:val="2"/>
                <w:highlight w:val="none"/>
              </w:rPr>
            </w:pPr>
            <w:r>
              <w:rPr>
                <w:rFonts w:hint="eastAsia"/>
                <w:color w:val="auto"/>
                <w:highlight w:val="none"/>
                <w:lang w:eastAsia="zh-CN"/>
              </w:rPr>
              <w:t>废润滑油贮存废气通过采用加盖铁桶盛装，由于废油桶未加盖及加盖不严，可能造成贮存废气挥发。</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工程非正常废气污染物排放情况一览表</w:t>
            </w:r>
          </w:p>
          <w:tbl>
            <w:tblPr>
              <w:tblStyle w:val="15"/>
              <w:tblW w:w="8014"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542"/>
              <w:gridCol w:w="1268"/>
              <w:gridCol w:w="1523"/>
              <w:gridCol w:w="1576"/>
              <w:gridCol w:w="1100"/>
              <w:gridCol w:w="100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2" w:hRule="atLeast"/>
              </w:trPr>
              <w:tc>
                <w:tcPr>
                  <w:tcW w:w="1542" w:type="dxa"/>
                  <w:vAlign w:val="center"/>
                </w:tcPr>
                <w:p>
                  <w:pPr>
                    <w:pStyle w:val="25"/>
                    <w:rPr>
                      <w:rFonts w:hint="default"/>
                      <w:color w:val="auto"/>
                      <w:highlight w:val="none"/>
                    </w:rPr>
                  </w:pPr>
                  <w:r>
                    <w:rPr>
                      <w:rFonts w:hint="default"/>
                      <w:color w:val="auto"/>
                      <w:highlight w:val="none"/>
                    </w:rPr>
                    <w:t>非正常排放原因</w:t>
                  </w:r>
                </w:p>
              </w:tc>
              <w:tc>
                <w:tcPr>
                  <w:tcW w:w="1268" w:type="dxa"/>
                  <w:vAlign w:val="center"/>
                </w:tcPr>
                <w:p>
                  <w:pPr>
                    <w:pStyle w:val="25"/>
                    <w:rPr>
                      <w:rFonts w:hint="default"/>
                      <w:color w:val="auto"/>
                      <w:highlight w:val="none"/>
                    </w:rPr>
                  </w:pPr>
                  <w:r>
                    <w:rPr>
                      <w:rFonts w:hint="default"/>
                      <w:color w:val="auto"/>
                      <w:highlight w:val="none"/>
                    </w:rPr>
                    <w:t>污染物</w:t>
                  </w:r>
                </w:p>
              </w:tc>
              <w:tc>
                <w:tcPr>
                  <w:tcW w:w="1523" w:type="dxa"/>
                  <w:vAlign w:val="center"/>
                </w:tcPr>
                <w:p>
                  <w:pPr>
                    <w:pStyle w:val="25"/>
                    <w:rPr>
                      <w:rFonts w:hint="default"/>
                      <w:color w:val="auto"/>
                      <w:highlight w:val="none"/>
                    </w:rPr>
                  </w:pPr>
                  <w:r>
                    <w:rPr>
                      <w:rFonts w:hint="default"/>
                      <w:color w:val="auto"/>
                      <w:highlight w:val="none"/>
                    </w:rPr>
                    <w:t>非正常排放速率kg/h</w:t>
                  </w:r>
                </w:p>
              </w:tc>
              <w:tc>
                <w:tcPr>
                  <w:tcW w:w="1576" w:type="dxa"/>
                  <w:vAlign w:val="center"/>
                </w:tcPr>
                <w:p>
                  <w:pPr>
                    <w:pStyle w:val="25"/>
                    <w:rPr>
                      <w:rFonts w:hint="default"/>
                      <w:color w:val="auto"/>
                      <w:highlight w:val="none"/>
                    </w:rPr>
                  </w:pPr>
                  <w:r>
                    <w:rPr>
                      <w:rFonts w:hint="default"/>
                      <w:color w:val="auto"/>
                      <w:highlight w:val="none"/>
                    </w:rPr>
                    <w:t>非正常排放</w:t>
                  </w:r>
                  <w:r>
                    <w:rPr>
                      <w:color w:val="auto"/>
                      <w:highlight w:val="none"/>
                    </w:rPr>
                    <w:t>浓度</w:t>
                  </w:r>
                  <w:r>
                    <w:rPr>
                      <w:rFonts w:hint="default"/>
                      <w:color w:val="auto"/>
                      <w:highlight w:val="none"/>
                    </w:rPr>
                    <w:t>mg/m</w:t>
                  </w:r>
                  <w:r>
                    <w:rPr>
                      <w:rFonts w:hint="default"/>
                      <w:color w:val="auto"/>
                      <w:highlight w:val="none"/>
                      <w:vertAlign w:val="superscript"/>
                    </w:rPr>
                    <w:t>3</w:t>
                  </w:r>
                </w:p>
              </w:tc>
              <w:tc>
                <w:tcPr>
                  <w:tcW w:w="1100" w:type="dxa"/>
                  <w:vAlign w:val="center"/>
                </w:tcPr>
                <w:p>
                  <w:pPr>
                    <w:pStyle w:val="25"/>
                    <w:rPr>
                      <w:rFonts w:hint="default"/>
                      <w:color w:val="auto"/>
                      <w:highlight w:val="none"/>
                    </w:rPr>
                  </w:pPr>
                  <w:r>
                    <w:rPr>
                      <w:rFonts w:hint="default"/>
                      <w:color w:val="auto"/>
                      <w:highlight w:val="none"/>
                    </w:rPr>
                    <w:t>单次持续时间/h</w:t>
                  </w:r>
                </w:p>
              </w:tc>
              <w:tc>
                <w:tcPr>
                  <w:tcW w:w="1005" w:type="dxa"/>
                  <w:vAlign w:val="center"/>
                </w:tcPr>
                <w:p>
                  <w:pPr>
                    <w:pStyle w:val="25"/>
                    <w:rPr>
                      <w:rFonts w:hint="default"/>
                      <w:color w:val="auto"/>
                      <w:highlight w:val="none"/>
                    </w:rPr>
                  </w:pPr>
                  <w:r>
                    <w:rPr>
                      <w:color w:val="auto"/>
                      <w:highlight w:val="none"/>
                    </w:rPr>
                    <w:t>排放次数</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538" w:hRule="atLeast"/>
              </w:trPr>
              <w:tc>
                <w:tcPr>
                  <w:tcW w:w="1542"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废铅蓄电池破损</w:t>
                  </w:r>
                </w:p>
              </w:tc>
              <w:tc>
                <w:tcPr>
                  <w:tcW w:w="1268"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硫酸雾</w:t>
                  </w:r>
                </w:p>
              </w:tc>
              <w:tc>
                <w:tcPr>
                  <w:tcW w:w="1523" w:type="dxa"/>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0.0003</w:t>
                  </w:r>
                </w:p>
              </w:tc>
              <w:tc>
                <w:tcPr>
                  <w:tcW w:w="1576" w:type="dxa"/>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2.2</w:t>
                  </w:r>
                </w:p>
              </w:tc>
              <w:tc>
                <w:tcPr>
                  <w:tcW w:w="1100" w:type="dxa"/>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8760</w:t>
                  </w:r>
                </w:p>
              </w:tc>
              <w:tc>
                <w:tcPr>
                  <w:tcW w:w="1005" w:type="dxa"/>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538" w:hRule="atLeast"/>
              </w:trPr>
              <w:tc>
                <w:tcPr>
                  <w:tcW w:w="1542"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废油桶密封不严</w:t>
                  </w:r>
                </w:p>
              </w:tc>
              <w:tc>
                <w:tcPr>
                  <w:tcW w:w="1268"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非甲烷总烃</w:t>
                  </w:r>
                </w:p>
              </w:tc>
              <w:tc>
                <w:tcPr>
                  <w:tcW w:w="1523" w:type="dxa"/>
                  <w:shd w:val="clear" w:color="auto" w:fill="auto"/>
                  <w:vAlign w:val="center"/>
                </w:tcPr>
                <w:p>
                  <w:pPr>
                    <w:pStyle w:val="22"/>
                    <w:bidi w:val="0"/>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0.0008</w:t>
                  </w:r>
                </w:p>
              </w:tc>
              <w:tc>
                <w:tcPr>
                  <w:tcW w:w="1576" w:type="dxa"/>
                  <w:shd w:val="clear" w:color="auto" w:fill="auto"/>
                  <w:vAlign w:val="center"/>
                </w:tcPr>
                <w:p>
                  <w:pPr>
                    <w:pStyle w:val="22"/>
                    <w:bidi w:val="0"/>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c>
                <w:tcPr>
                  <w:tcW w:w="1100"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0.1</w:t>
                  </w:r>
                </w:p>
              </w:tc>
              <w:tc>
                <w:tcPr>
                  <w:tcW w:w="1005"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2</w:t>
                  </w:r>
                </w:p>
              </w:tc>
            </w:tr>
          </w:tbl>
          <w:p>
            <w:pPr>
              <w:pStyle w:val="12"/>
              <w:ind w:firstLine="480"/>
              <w:rPr>
                <w:color w:val="auto"/>
                <w:kern w:val="2"/>
                <w:highlight w:val="none"/>
              </w:rPr>
            </w:pPr>
            <w:r>
              <w:rPr>
                <w:rFonts w:hint="eastAsia"/>
                <w:color w:val="auto"/>
                <w:kern w:val="2"/>
                <w:highlight w:val="none"/>
              </w:rPr>
              <w:t>为保证项目无故障运行</w:t>
            </w:r>
            <w:r>
              <w:rPr>
                <w:rFonts w:hint="eastAsia"/>
                <w:color w:val="auto"/>
                <w:kern w:val="2"/>
                <w:highlight w:val="none"/>
                <w:lang w:eastAsia="zh-CN"/>
              </w:rPr>
              <w:t>，通过使用专用收集工具，轻拿轻放，避免碰撞，规范包装，减少挤压，定期对贮存包装材料进行检查，减少危险废物收集过程中事故的产生</w:t>
            </w:r>
            <w:r>
              <w:rPr>
                <w:rFonts w:hint="eastAsia"/>
                <w:color w:val="auto"/>
                <w:kern w:val="2"/>
                <w:highlight w:val="none"/>
              </w:rPr>
              <w:t>。</w:t>
            </w:r>
          </w:p>
          <w:p>
            <w:pPr>
              <w:pStyle w:val="12"/>
              <w:ind w:firstLine="480"/>
              <w:rPr>
                <w:color w:val="auto"/>
                <w:kern w:val="2"/>
                <w:highlight w:val="none"/>
              </w:rPr>
            </w:pPr>
            <w:r>
              <w:rPr>
                <w:rFonts w:hint="eastAsia"/>
                <w:color w:val="auto"/>
                <w:kern w:val="2"/>
                <w:highlight w:val="none"/>
              </w:rPr>
              <w:t>1.7防护距离</w:t>
            </w:r>
          </w:p>
          <w:p>
            <w:pPr>
              <w:pStyle w:val="12"/>
              <w:ind w:firstLine="480"/>
              <w:rPr>
                <w:color w:val="auto"/>
                <w:kern w:val="2"/>
                <w:highlight w:val="none"/>
              </w:rPr>
            </w:pPr>
            <w:r>
              <w:rPr>
                <w:rFonts w:hint="eastAsia"/>
                <w:color w:val="auto"/>
                <w:kern w:val="2"/>
                <w:highlight w:val="none"/>
              </w:rPr>
              <w:t>（1）大气防护距离</w:t>
            </w:r>
          </w:p>
          <w:p>
            <w:pPr>
              <w:pStyle w:val="12"/>
              <w:ind w:firstLine="480"/>
              <w:rPr>
                <w:color w:val="auto"/>
                <w:kern w:val="2"/>
                <w:highlight w:val="none"/>
              </w:rPr>
            </w:pPr>
            <w:r>
              <w:rPr>
                <w:rFonts w:hint="eastAsia"/>
                <w:color w:val="auto"/>
                <w:kern w:val="2"/>
                <w:highlight w:val="none"/>
              </w:rPr>
              <w:t>《环境影响评价技术导则 大气环境》（HJ2.2-2018）</w:t>
            </w:r>
            <w:r>
              <w:rPr>
                <w:rFonts w:hint="eastAsia"/>
                <w:color w:val="auto"/>
                <w:kern w:val="2"/>
                <w:highlight w:val="none"/>
                <w:lang w:eastAsia="zh-CN"/>
              </w:rPr>
              <w:t>；</w:t>
            </w:r>
            <w:r>
              <w:rPr>
                <w:rFonts w:hint="eastAsia"/>
                <w:color w:val="auto"/>
                <w:kern w:val="2"/>
                <w:highlight w:val="none"/>
              </w:rPr>
              <w:t>对于项目厂界浓度满足大气污染物厂界浓度限值</w:t>
            </w:r>
            <w:r>
              <w:rPr>
                <w:rFonts w:hint="eastAsia"/>
                <w:color w:val="auto"/>
                <w:kern w:val="2"/>
                <w:highlight w:val="none"/>
                <w:lang w:eastAsia="zh-CN"/>
              </w:rPr>
              <w:t>，</w:t>
            </w:r>
            <w:r>
              <w:rPr>
                <w:rFonts w:hint="eastAsia"/>
                <w:color w:val="auto"/>
                <w:kern w:val="2"/>
                <w:highlight w:val="none"/>
              </w:rPr>
              <w:t>但厂界外大气污染物短期贡献浓度超过环境质量浓度限值的</w:t>
            </w:r>
            <w:r>
              <w:rPr>
                <w:rFonts w:hint="eastAsia"/>
                <w:color w:val="auto"/>
                <w:kern w:val="2"/>
                <w:highlight w:val="none"/>
                <w:lang w:eastAsia="zh-CN"/>
              </w:rPr>
              <w:t>，</w:t>
            </w:r>
            <w:r>
              <w:rPr>
                <w:rFonts w:hint="eastAsia"/>
                <w:color w:val="auto"/>
                <w:kern w:val="2"/>
                <w:highlight w:val="none"/>
              </w:rPr>
              <w:t>可以自厂界向外设置一定范围的大气环境防护区域</w:t>
            </w:r>
            <w:r>
              <w:rPr>
                <w:rFonts w:hint="eastAsia"/>
                <w:color w:val="auto"/>
                <w:kern w:val="2"/>
                <w:highlight w:val="none"/>
                <w:lang w:eastAsia="zh-CN"/>
              </w:rPr>
              <w:t>，</w:t>
            </w:r>
            <w:r>
              <w:rPr>
                <w:rFonts w:hint="eastAsia"/>
                <w:color w:val="auto"/>
                <w:kern w:val="2"/>
                <w:highlight w:val="none"/>
              </w:rPr>
              <w:t>确保大气环境保护区域外污染物贡献浓度满足环境质量标准。</w:t>
            </w:r>
          </w:p>
          <w:p>
            <w:pPr>
              <w:pStyle w:val="12"/>
              <w:ind w:firstLine="480"/>
              <w:rPr>
                <w:rFonts w:hint="eastAsia" w:ascii="Times New Roman" w:hAnsi="Times New Roman" w:eastAsia="宋体" w:cs="Times New Roman"/>
                <w:color w:val="auto"/>
                <w:kern w:val="2"/>
                <w:highlight w:val="none"/>
              </w:rPr>
            </w:pPr>
            <w:r>
              <w:rPr>
                <w:rFonts w:hint="eastAsia"/>
                <w:color w:val="auto"/>
                <w:kern w:val="2"/>
                <w:highlight w:val="none"/>
              </w:rPr>
              <w:t>根据估算模型预测AERSCREEN计算结果</w:t>
            </w:r>
            <w:r>
              <w:rPr>
                <w:rFonts w:hint="eastAsia"/>
                <w:color w:val="auto"/>
                <w:kern w:val="2"/>
                <w:highlight w:val="none"/>
                <w:lang w:eastAsia="zh-CN"/>
              </w:rPr>
              <w:t>，</w:t>
            </w:r>
            <w:r>
              <w:rPr>
                <w:rFonts w:hint="eastAsia"/>
                <w:color w:val="auto"/>
                <w:kern w:val="2"/>
                <w:highlight w:val="none"/>
              </w:rPr>
              <w:t>拟建项目厂界外各污染物浓度其占标率低于10%</w:t>
            </w:r>
            <w:r>
              <w:rPr>
                <w:rFonts w:hint="eastAsia"/>
                <w:color w:val="auto"/>
                <w:kern w:val="2"/>
                <w:highlight w:val="none"/>
                <w:lang w:eastAsia="zh-CN"/>
              </w:rPr>
              <w:t>，</w:t>
            </w:r>
            <w:r>
              <w:rPr>
                <w:rFonts w:hint="eastAsia"/>
                <w:color w:val="auto"/>
                <w:kern w:val="2"/>
                <w:highlight w:val="none"/>
              </w:rPr>
              <w:t>厂界外无</w:t>
            </w:r>
            <w:r>
              <w:rPr>
                <w:rFonts w:hint="eastAsia" w:ascii="Times New Roman" w:hAnsi="Times New Roman" w:eastAsia="宋体" w:cs="Times New Roman"/>
                <w:color w:val="auto"/>
                <w:kern w:val="2"/>
                <w:highlight w:val="none"/>
              </w:rPr>
              <w:t>超标区。</w:t>
            </w:r>
          </w:p>
          <w:p>
            <w:pPr>
              <w:pStyle w:val="12"/>
              <w:ind w:firstLine="480"/>
              <w:rPr>
                <w:rFonts w:hint="eastAsia" w:ascii="Times New Roman" w:hAnsi="Times New Roman" w:eastAsia="宋体" w:cs="Times New Roman"/>
                <w:color w:val="auto"/>
                <w:kern w:val="2"/>
                <w:highlight w:val="none"/>
              </w:rPr>
            </w:pPr>
            <w:r>
              <w:rPr>
                <w:rFonts w:hint="eastAsia" w:ascii="Times New Roman" w:hAnsi="Times New Roman" w:eastAsia="宋体" w:cs="Times New Roman"/>
                <w:color w:val="auto"/>
                <w:kern w:val="2"/>
                <w:highlight w:val="none"/>
              </w:rPr>
              <w:t>对于本项目厂界浓度满足大气污染物厂界浓</w:t>
            </w:r>
            <w:r>
              <w:rPr>
                <w:rFonts w:hint="eastAsia" w:ascii="Times New Roman" w:hAnsi="Times New Roman" w:eastAsia="宋体" w:cs="Times New Roman"/>
                <w:color w:val="auto"/>
                <w:kern w:val="2"/>
                <w:highlight w:val="none"/>
                <w:lang w:val="en-US" w:eastAsia="zh-CN"/>
              </w:rPr>
              <w:t>度限值，无需设置大气环境防护区。因此，本项目无需设置大气环境防护距离</w:t>
            </w:r>
            <w:r>
              <w:rPr>
                <w:rFonts w:hint="eastAsia" w:ascii="Times New Roman" w:hAnsi="Times New Roman" w:eastAsia="宋体" w:cs="Times New Roman"/>
                <w:color w:val="auto"/>
                <w:kern w:val="2"/>
                <w:highlight w:val="none"/>
              </w:rPr>
              <w:t>。</w:t>
            </w:r>
          </w:p>
          <w:p>
            <w:pPr>
              <w:pStyle w:val="12"/>
              <w:ind w:firstLine="480"/>
              <w:rPr>
                <w:color w:val="auto"/>
                <w:kern w:val="2"/>
                <w:highlight w:val="none"/>
              </w:rPr>
            </w:pPr>
            <w:r>
              <w:rPr>
                <w:rFonts w:hint="eastAsia"/>
                <w:color w:val="auto"/>
                <w:kern w:val="2"/>
                <w:highlight w:val="none"/>
              </w:rPr>
              <w:t>1.8小结</w:t>
            </w:r>
          </w:p>
          <w:p>
            <w:pPr>
              <w:pStyle w:val="12"/>
              <w:ind w:firstLine="480"/>
              <w:rPr>
                <w:color w:val="auto"/>
                <w:kern w:val="2"/>
                <w:highlight w:val="none"/>
              </w:rPr>
            </w:pPr>
            <w:r>
              <w:rPr>
                <w:rFonts w:hint="eastAsia"/>
                <w:color w:val="auto"/>
                <w:kern w:val="2"/>
                <w:highlight w:val="none"/>
              </w:rPr>
              <w:t>根据朝阳市生态环境局公布的朝阳市202</w:t>
            </w:r>
            <w:r>
              <w:rPr>
                <w:rFonts w:hint="eastAsia"/>
                <w:color w:val="auto"/>
                <w:kern w:val="2"/>
                <w:highlight w:val="none"/>
                <w:lang w:val="en-US" w:eastAsia="zh-CN"/>
              </w:rPr>
              <w:t>3</w:t>
            </w:r>
            <w:r>
              <w:rPr>
                <w:rFonts w:hint="eastAsia"/>
                <w:color w:val="auto"/>
                <w:kern w:val="2"/>
                <w:highlight w:val="none"/>
              </w:rPr>
              <w:t>年空气质量状况及补充监测结果可知</w:t>
            </w:r>
            <w:r>
              <w:rPr>
                <w:rFonts w:hint="eastAsia"/>
                <w:color w:val="auto"/>
                <w:kern w:val="2"/>
                <w:highlight w:val="none"/>
                <w:lang w:eastAsia="zh-CN"/>
              </w:rPr>
              <w:t>，</w:t>
            </w:r>
            <w:r>
              <w:rPr>
                <w:rFonts w:hint="eastAsia"/>
                <w:color w:val="auto"/>
                <w:kern w:val="2"/>
                <w:highlight w:val="none"/>
              </w:rPr>
              <w:t>项目所在区域环境空气质量良好</w:t>
            </w:r>
            <w:r>
              <w:rPr>
                <w:rFonts w:hint="eastAsia"/>
                <w:color w:val="auto"/>
                <w:kern w:val="2"/>
                <w:highlight w:val="none"/>
                <w:lang w:eastAsia="zh-CN"/>
              </w:rPr>
              <w:t>，</w:t>
            </w:r>
            <w:r>
              <w:rPr>
                <w:rFonts w:hint="eastAsia"/>
                <w:color w:val="auto"/>
                <w:kern w:val="2"/>
                <w:highlight w:val="none"/>
              </w:rPr>
              <w:t>大气环境质量现状达标。</w:t>
            </w:r>
          </w:p>
          <w:p>
            <w:pPr>
              <w:pStyle w:val="12"/>
              <w:ind w:firstLine="480"/>
              <w:rPr>
                <w:color w:val="auto"/>
                <w:kern w:val="2"/>
                <w:highlight w:val="none"/>
              </w:rPr>
            </w:pPr>
            <w:r>
              <w:rPr>
                <w:rFonts w:hint="eastAsia"/>
                <w:color w:val="auto"/>
                <w:kern w:val="2"/>
                <w:highlight w:val="none"/>
              </w:rPr>
              <w:t>通过计算与预测</w:t>
            </w:r>
            <w:r>
              <w:rPr>
                <w:rFonts w:hint="eastAsia"/>
                <w:color w:val="auto"/>
                <w:kern w:val="2"/>
                <w:highlight w:val="none"/>
                <w:lang w:eastAsia="zh-CN"/>
              </w:rPr>
              <w:t>，</w:t>
            </w:r>
            <w:r>
              <w:rPr>
                <w:rFonts w:hint="eastAsia"/>
                <w:color w:val="auto"/>
                <w:kern w:val="2"/>
                <w:highlight w:val="none"/>
              </w:rPr>
              <w:t>生产过程中产生的废气经过设置的污染防治措施分别处理后</w:t>
            </w:r>
            <w:r>
              <w:rPr>
                <w:rFonts w:hint="eastAsia"/>
                <w:color w:val="auto"/>
                <w:kern w:val="2"/>
                <w:highlight w:val="none"/>
                <w:lang w:eastAsia="zh-CN"/>
              </w:rPr>
              <w:t>，</w:t>
            </w:r>
            <w:r>
              <w:rPr>
                <w:rFonts w:hint="eastAsia"/>
                <w:color w:val="auto"/>
                <w:kern w:val="2"/>
                <w:highlight w:val="none"/>
              </w:rPr>
              <w:t>无组织废气均能实现达标排放</w:t>
            </w:r>
            <w:r>
              <w:rPr>
                <w:rFonts w:hint="eastAsia"/>
                <w:color w:val="auto"/>
                <w:kern w:val="2"/>
                <w:highlight w:val="none"/>
                <w:lang w:eastAsia="zh-CN"/>
              </w:rPr>
              <w:t>，</w:t>
            </w:r>
            <w:r>
              <w:rPr>
                <w:rFonts w:hint="eastAsia"/>
                <w:color w:val="auto"/>
                <w:kern w:val="2"/>
                <w:highlight w:val="none"/>
              </w:rPr>
              <w:t>对大气环境保护目标及周围环境空气无明显影响。</w:t>
            </w:r>
          </w:p>
          <w:p>
            <w:pPr>
              <w:pStyle w:val="12"/>
              <w:ind w:firstLine="480"/>
              <w:rPr>
                <w:color w:val="auto"/>
                <w:kern w:val="2"/>
                <w:highlight w:val="none"/>
              </w:rPr>
            </w:pPr>
            <w:r>
              <w:rPr>
                <w:rFonts w:hint="eastAsia"/>
                <w:color w:val="auto"/>
                <w:kern w:val="2"/>
                <w:highlight w:val="none"/>
              </w:rPr>
              <w:t>综上所述</w:t>
            </w:r>
            <w:r>
              <w:rPr>
                <w:rFonts w:hint="eastAsia"/>
                <w:color w:val="auto"/>
                <w:kern w:val="2"/>
                <w:highlight w:val="none"/>
                <w:lang w:eastAsia="zh-CN"/>
              </w:rPr>
              <w:t>，</w:t>
            </w:r>
            <w:r>
              <w:rPr>
                <w:rFonts w:hint="eastAsia"/>
                <w:color w:val="auto"/>
                <w:kern w:val="2"/>
                <w:highlight w:val="none"/>
              </w:rPr>
              <w:t>项目投入运营后产生的废气对环境空气影响较小。</w:t>
            </w:r>
          </w:p>
          <w:p>
            <w:pPr>
              <w:pStyle w:val="27"/>
              <w:ind w:firstLine="482"/>
              <w:rPr>
                <w:rFonts w:hint="default"/>
                <w:color w:val="auto"/>
                <w:highlight w:val="none"/>
              </w:rPr>
            </w:pPr>
            <w:r>
              <w:rPr>
                <w:color w:val="auto"/>
                <w:highlight w:val="none"/>
              </w:rPr>
              <w:t>2废水</w:t>
            </w:r>
          </w:p>
          <w:p>
            <w:pPr>
              <w:pStyle w:val="12"/>
              <w:ind w:firstLine="480"/>
              <w:rPr>
                <w:color w:val="auto"/>
                <w:highlight w:val="none"/>
              </w:rPr>
            </w:pPr>
            <w:r>
              <w:rPr>
                <w:rFonts w:hint="eastAsia"/>
                <w:color w:val="auto"/>
                <w:highlight w:val="none"/>
              </w:rPr>
              <w:t>2.1排水</w:t>
            </w:r>
          </w:p>
          <w:p>
            <w:pPr>
              <w:pStyle w:val="12"/>
              <w:ind w:firstLine="480"/>
              <w:rPr>
                <w:color w:val="auto"/>
                <w:highlight w:val="none"/>
              </w:rPr>
            </w:pPr>
            <w:r>
              <w:rPr>
                <w:rFonts w:hint="eastAsia"/>
                <w:color w:val="auto"/>
                <w:highlight w:val="none"/>
              </w:rPr>
              <w:t>（1）生活污水</w:t>
            </w:r>
          </w:p>
          <w:p>
            <w:pPr>
              <w:pStyle w:val="12"/>
              <w:ind w:firstLine="480"/>
              <w:rPr>
                <w:rFonts w:hint="eastAsia"/>
                <w:color w:val="auto"/>
                <w:szCs w:val="24"/>
                <w:highlight w:val="none"/>
                <w:lang w:eastAsia="zh-CN"/>
              </w:rPr>
            </w:pPr>
            <w:r>
              <w:rPr>
                <w:rFonts w:hint="eastAsia"/>
                <w:color w:val="auto"/>
                <w:szCs w:val="24"/>
                <w:highlight w:val="none"/>
                <w:lang w:eastAsia="zh-CN"/>
              </w:rPr>
              <w:t>本项目不新增生活污水。</w:t>
            </w:r>
          </w:p>
          <w:p>
            <w:pPr>
              <w:pStyle w:val="12"/>
              <w:ind w:firstLine="480"/>
              <w:rPr>
                <w:rFonts w:hint="eastAsia"/>
                <w:color w:val="auto"/>
                <w:szCs w:val="24"/>
                <w:highlight w:val="none"/>
                <w:lang w:eastAsia="zh-CN"/>
              </w:rPr>
            </w:pPr>
            <w:r>
              <w:rPr>
                <w:rFonts w:hint="eastAsia"/>
                <w:color w:val="auto"/>
                <w:szCs w:val="24"/>
                <w:highlight w:val="none"/>
                <w:lang w:eastAsia="zh-CN"/>
              </w:rPr>
              <w:t>（2）生产废水</w:t>
            </w:r>
          </w:p>
          <w:p>
            <w:pPr>
              <w:pStyle w:val="12"/>
              <w:ind w:firstLine="480"/>
              <w:rPr>
                <w:color w:val="auto"/>
                <w:highlight w:val="none"/>
              </w:rPr>
            </w:pPr>
            <w:r>
              <w:rPr>
                <w:rFonts w:hint="eastAsia"/>
                <w:color w:val="auto"/>
                <w:szCs w:val="24"/>
                <w:highlight w:val="none"/>
                <w:lang w:eastAsia="zh-CN"/>
              </w:rPr>
              <w:t>不新增生产废水</w:t>
            </w:r>
            <w:r>
              <w:rPr>
                <w:rFonts w:hint="eastAsia"/>
                <w:color w:val="auto"/>
                <w:highlight w:val="none"/>
              </w:rPr>
              <w:t>。</w:t>
            </w:r>
          </w:p>
          <w:p>
            <w:pPr>
              <w:pStyle w:val="12"/>
              <w:ind w:firstLine="480"/>
              <w:rPr>
                <w:color w:val="auto"/>
                <w:highlight w:val="none"/>
              </w:rPr>
            </w:pPr>
            <w:r>
              <w:rPr>
                <w:rFonts w:hint="eastAsia"/>
                <w:color w:val="auto"/>
                <w:highlight w:val="none"/>
              </w:rPr>
              <w:t>2.</w:t>
            </w:r>
            <w:r>
              <w:rPr>
                <w:rFonts w:hint="eastAsia"/>
                <w:color w:val="auto"/>
                <w:highlight w:val="none"/>
                <w:lang w:val="en-US" w:eastAsia="zh-CN"/>
              </w:rPr>
              <w:t>2</w:t>
            </w:r>
            <w:r>
              <w:rPr>
                <w:rFonts w:hint="eastAsia"/>
                <w:color w:val="auto"/>
                <w:highlight w:val="none"/>
              </w:rPr>
              <w:t>小结</w:t>
            </w:r>
          </w:p>
          <w:p>
            <w:pPr>
              <w:pStyle w:val="12"/>
              <w:ind w:firstLine="480"/>
              <w:rPr>
                <w:rFonts w:hint="eastAsia"/>
                <w:color w:val="auto"/>
                <w:highlight w:val="none"/>
              </w:rPr>
            </w:pPr>
            <w:r>
              <w:rPr>
                <w:rFonts w:hint="eastAsia"/>
                <w:color w:val="auto"/>
                <w:highlight w:val="none"/>
              </w:rPr>
              <w:t>本项目</w:t>
            </w:r>
            <w:r>
              <w:rPr>
                <w:rFonts w:hint="eastAsia"/>
                <w:color w:val="auto"/>
                <w:highlight w:val="none"/>
                <w:lang w:eastAsia="zh-CN"/>
              </w:rPr>
              <w:t>生活污水均</w:t>
            </w:r>
            <w:r>
              <w:rPr>
                <w:rFonts w:hint="eastAsia"/>
                <w:color w:val="auto"/>
                <w:highlight w:val="none"/>
              </w:rPr>
              <w:t>能得到妥善处理</w:t>
            </w:r>
            <w:r>
              <w:rPr>
                <w:rFonts w:hint="eastAsia"/>
                <w:color w:val="auto"/>
                <w:highlight w:val="none"/>
                <w:lang w:eastAsia="zh-CN"/>
              </w:rPr>
              <w:t>，</w:t>
            </w:r>
            <w:r>
              <w:rPr>
                <w:rFonts w:hint="eastAsia"/>
                <w:color w:val="auto"/>
                <w:highlight w:val="none"/>
              </w:rPr>
              <w:t>对水环境影响较小。</w:t>
            </w:r>
          </w:p>
          <w:p>
            <w:pPr>
              <w:pStyle w:val="27"/>
              <w:ind w:firstLine="482"/>
              <w:rPr>
                <w:rFonts w:hint="default"/>
                <w:color w:val="auto"/>
                <w:highlight w:val="none"/>
              </w:rPr>
            </w:pPr>
            <w:r>
              <w:rPr>
                <w:rFonts w:hint="default"/>
                <w:color w:val="auto"/>
                <w:highlight w:val="none"/>
              </w:rPr>
              <w:t>3噪声</w:t>
            </w:r>
          </w:p>
          <w:p>
            <w:pPr>
              <w:pStyle w:val="12"/>
              <w:ind w:firstLine="480"/>
              <w:rPr>
                <w:color w:val="auto"/>
                <w:highlight w:val="none"/>
              </w:rPr>
            </w:pPr>
            <w:r>
              <w:rPr>
                <w:rFonts w:hint="eastAsia"/>
                <w:color w:val="auto"/>
                <w:highlight w:val="none"/>
              </w:rPr>
              <w:t>3.1</w:t>
            </w:r>
            <w:r>
              <w:rPr>
                <w:color w:val="auto"/>
                <w:highlight w:val="none"/>
              </w:rPr>
              <w:t>源强</w:t>
            </w:r>
            <w:r>
              <w:rPr>
                <w:rFonts w:hint="eastAsia"/>
                <w:color w:val="auto"/>
                <w:highlight w:val="none"/>
              </w:rPr>
              <w:t>核算及污染防治措施</w:t>
            </w:r>
          </w:p>
          <w:p>
            <w:pPr>
              <w:pStyle w:val="12"/>
              <w:ind w:firstLine="480"/>
              <w:rPr>
                <w:color w:val="auto"/>
                <w:highlight w:val="none"/>
              </w:rPr>
            </w:pPr>
            <w:r>
              <w:rPr>
                <w:rFonts w:hint="eastAsia"/>
                <w:color w:val="auto"/>
                <w:highlight w:val="none"/>
              </w:rPr>
              <w:t>运营过程产生的噪声主要为运输车辆、装卸作业过程操作噪声</w:t>
            </w:r>
            <w:r>
              <w:rPr>
                <w:rFonts w:hint="eastAsia"/>
                <w:color w:val="auto"/>
                <w:highlight w:val="none"/>
                <w:lang w:eastAsia="zh-CN"/>
              </w:rPr>
              <w:t>，源强取值参照《环境噪声与振动控制工程技术导则》（</w:t>
            </w:r>
            <w:r>
              <w:rPr>
                <w:rFonts w:hint="eastAsia"/>
                <w:color w:val="auto"/>
                <w:highlight w:val="none"/>
                <w:lang w:val="en-US" w:eastAsia="zh-CN"/>
              </w:rPr>
              <w:t>HJ 2034-2013</w:t>
            </w:r>
            <w:r>
              <w:rPr>
                <w:rFonts w:hint="eastAsia"/>
                <w:color w:val="auto"/>
                <w:highlight w:val="none"/>
                <w:lang w:eastAsia="zh-CN"/>
              </w:rPr>
              <w:t>）《噪声控制工程》（高洪武），</w:t>
            </w:r>
            <w:r>
              <w:rPr>
                <w:rFonts w:hint="eastAsia"/>
                <w:color w:val="auto"/>
                <w:highlight w:val="none"/>
              </w:rPr>
              <w:t>其源强在</w:t>
            </w:r>
            <w:r>
              <w:rPr>
                <w:rFonts w:hint="eastAsia"/>
                <w:color w:val="auto"/>
                <w:highlight w:val="none"/>
                <w:lang w:val="en-US" w:eastAsia="zh-CN"/>
              </w:rPr>
              <w:t>80</w:t>
            </w:r>
            <w:r>
              <w:rPr>
                <w:rFonts w:hint="eastAsia"/>
                <w:color w:val="auto"/>
                <w:highlight w:val="none"/>
              </w:rPr>
              <w:t>dB（A）左右。</w:t>
            </w:r>
          </w:p>
          <w:p>
            <w:pPr>
              <w:pStyle w:val="12"/>
              <w:ind w:firstLine="480"/>
              <w:rPr>
                <w:color w:val="auto"/>
                <w:highlight w:val="none"/>
              </w:rPr>
            </w:pPr>
            <w:r>
              <w:rPr>
                <w:rFonts w:hint="eastAsia"/>
                <w:color w:val="auto"/>
                <w:highlight w:val="none"/>
              </w:rPr>
              <w:t>为了使厂界能够符合《工业企业厂界环境噪声排放标准》（GB12348-2008）</w:t>
            </w:r>
            <w:r>
              <w:rPr>
                <w:rFonts w:hint="eastAsia"/>
                <w:color w:val="auto"/>
                <w:highlight w:val="none"/>
                <w:lang w:val="en-US" w:eastAsia="zh-CN"/>
              </w:rPr>
              <w:t>2</w:t>
            </w:r>
            <w:r>
              <w:rPr>
                <w:rFonts w:hint="eastAsia"/>
                <w:color w:val="auto"/>
                <w:highlight w:val="none"/>
              </w:rPr>
              <w:t>类标准的要求</w:t>
            </w:r>
            <w:r>
              <w:rPr>
                <w:rFonts w:hint="eastAsia"/>
                <w:color w:val="auto"/>
                <w:highlight w:val="none"/>
                <w:lang w:eastAsia="zh-CN"/>
              </w:rPr>
              <w:t>，</w:t>
            </w:r>
            <w:r>
              <w:rPr>
                <w:rFonts w:hint="eastAsia"/>
                <w:color w:val="auto"/>
                <w:highlight w:val="none"/>
              </w:rPr>
              <w:t>减少对周围环境的影响</w:t>
            </w:r>
            <w:r>
              <w:rPr>
                <w:rFonts w:hint="eastAsia"/>
                <w:color w:val="auto"/>
                <w:highlight w:val="none"/>
                <w:lang w:eastAsia="zh-CN"/>
              </w:rPr>
              <w:t>，</w:t>
            </w:r>
            <w:r>
              <w:rPr>
                <w:rFonts w:hint="eastAsia"/>
                <w:color w:val="auto"/>
                <w:highlight w:val="none"/>
              </w:rPr>
              <w:t>本工程针对以上噪声源情况</w:t>
            </w:r>
            <w:r>
              <w:rPr>
                <w:rFonts w:hint="eastAsia"/>
                <w:color w:val="auto"/>
                <w:highlight w:val="none"/>
                <w:lang w:eastAsia="zh-CN"/>
              </w:rPr>
              <w:t>，</w:t>
            </w:r>
            <w:r>
              <w:rPr>
                <w:rFonts w:hint="eastAsia"/>
                <w:color w:val="auto"/>
                <w:highlight w:val="none"/>
              </w:rPr>
              <w:t>采取了以下控制措施：</w:t>
            </w:r>
          </w:p>
          <w:p>
            <w:pPr>
              <w:pStyle w:val="12"/>
              <w:ind w:firstLine="480"/>
              <w:rPr>
                <w:color w:val="auto"/>
                <w:highlight w:val="none"/>
              </w:rPr>
            </w:pPr>
            <w:r>
              <w:rPr>
                <w:rFonts w:hint="eastAsia"/>
                <w:color w:val="auto"/>
                <w:highlight w:val="none"/>
              </w:rPr>
              <w:t>①在设备选型上</w:t>
            </w:r>
            <w:r>
              <w:rPr>
                <w:rFonts w:hint="eastAsia"/>
                <w:color w:val="auto"/>
                <w:highlight w:val="none"/>
                <w:lang w:eastAsia="zh-CN"/>
              </w:rPr>
              <w:t>，</w:t>
            </w:r>
            <w:r>
              <w:rPr>
                <w:rFonts w:hint="eastAsia"/>
                <w:color w:val="auto"/>
                <w:highlight w:val="none"/>
              </w:rPr>
              <w:t>首先选用装备先进的低噪音设备</w:t>
            </w:r>
            <w:r>
              <w:rPr>
                <w:rFonts w:hint="eastAsia"/>
                <w:color w:val="auto"/>
                <w:highlight w:val="none"/>
                <w:lang w:eastAsia="zh-CN"/>
              </w:rPr>
              <w:t>，</w:t>
            </w:r>
            <w:r>
              <w:rPr>
                <w:rFonts w:hint="eastAsia"/>
                <w:color w:val="auto"/>
                <w:highlight w:val="none"/>
              </w:rPr>
              <w:t>并采取适当的降噪措施</w:t>
            </w:r>
            <w:r>
              <w:rPr>
                <w:rFonts w:hint="eastAsia"/>
                <w:color w:val="auto"/>
                <w:highlight w:val="none"/>
                <w:lang w:eastAsia="zh-CN"/>
              </w:rPr>
              <w:t>，</w:t>
            </w:r>
            <w:r>
              <w:rPr>
                <w:rFonts w:hint="eastAsia"/>
                <w:color w:val="auto"/>
                <w:highlight w:val="none"/>
              </w:rPr>
              <w:t>如机组基础设置衬垫</w:t>
            </w:r>
            <w:r>
              <w:rPr>
                <w:rFonts w:hint="eastAsia"/>
                <w:color w:val="auto"/>
                <w:highlight w:val="none"/>
                <w:lang w:eastAsia="zh-CN"/>
              </w:rPr>
              <w:t>，</w:t>
            </w:r>
            <w:r>
              <w:rPr>
                <w:rFonts w:hint="eastAsia"/>
                <w:color w:val="auto"/>
                <w:highlight w:val="none"/>
              </w:rPr>
              <w:t>使之与建筑结构隔开。</w:t>
            </w:r>
          </w:p>
          <w:p>
            <w:pPr>
              <w:pStyle w:val="12"/>
              <w:ind w:firstLine="480"/>
              <w:rPr>
                <w:color w:val="auto"/>
                <w:highlight w:val="none"/>
              </w:rPr>
            </w:pPr>
            <w:r>
              <w:rPr>
                <w:rFonts w:hint="eastAsia"/>
                <w:color w:val="auto"/>
                <w:highlight w:val="none"/>
              </w:rPr>
              <w:t>②</w:t>
            </w:r>
            <w:r>
              <w:rPr>
                <w:rFonts w:hint="eastAsia" w:ascii="宋体" w:hAnsi="宋体" w:cs="宋体"/>
                <w:color w:val="auto"/>
                <w:highlight w:val="none"/>
              </w:rPr>
              <w:t>在厂区内减少鸣笛、低速行驶</w:t>
            </w:r>
            <w:r>
              <w:rPr>
                <w:rFonts w:hint="eastAsia" w:ascii="宋体" w:hAnsi="宋体" w:cs="宋体"/>
                <w:color w:val="auto"/>
                <w:highlight w:val="none"/>
                <w:lang w:eastAsia="zh-CN"/>
              </w:rPr>
              <w:t>，</w:t>
            </w:r>
            <w:r>
              <w:rPr>
                <w:rFonts w:hint="eastAsia" w:ascii="宋体" w:hAnsi="宋体" w:cs="宋体"/>
                <w:color w:val="auto"/>
                <w:highlight w:val="none"/>
              </w:rPr>
              <w:t>在装卸区作业时处于熄火状态。</w:t>
            </w:r>
          </w:p>
          <w:p>
            <w:pPr>
              <w:pStyle w:val="12"/>
              <w:ind w:firstLine="480"/>
              <w:rPr>
                <w:color w:val="auto"/>
                <w:highlight w:val="none"/>
              </w:rPr>
            </w:pPr>
            <w:r>
              <w:rPr>
                <w:rFonts w:hint="eastAsia"/>
                <w:color w:val="auto"/>
                <w:highlight w:val="none"/>
              </w:rPr>
              <w:t>3.2</w:t>
            </w:r>
            <w:r>
              <w:rPr>
                <w:color w:val="auto"/>
                <w:highlight w:val="none"/>
              </w:rPr>
              <w:t>预测</w:t>
            </w:r>
          </w:p>
          <w:p>
            <w:pPr>
              <w:pStyle w:val="12"/>
              <w:ind w:firstLine="480"/>
              <w:rPr>
                <w:color w:val="auto"/>
                <w:highlight w:val="none"/>
              </w:rPr>
            </w:pPr>
            <w:r>
              <w:rPr>
                <w:rFonts w:hint="eastAsia"/>
                <w:color w:val="auto"/>
                <w:highlight w:val="none"/>
              </w:rPr>
              <w:t>在声源传播过程中</w:t>
            </w:r>
            <w:r>
              <w:rPr>
                <w:rFonts w:hint="eastAsia"/>
                <w:color w:val="auto"/>
                <w:highlight w:val="none"/>
                <w:lang w:eastAsia="zh-CN"/>
              </w:rPr>
              <w:t>，</w:t>
            </w:r>
            <w:r>
              <w:rPr>
                <w:rFonts w:hint="eastAsia"/>
                <w:color w:val="auto"/>
                <w:highlight w:val="none"/>
              </w:rPr>
              <w:t>噪声受到厂房的吸收和屏蔽</w:t>
            </w:r>
            <w:r>
              <w:rPr>
                <w:rFonts w:hint="eastAsia"/>
                <w:color w:val="auto"/>
                <w:highlight w:val="none"/>
                <w:lang w:eastAsia="zh-CN"/>
              </w:rPr>
              <w:t>，</w:t>
            </w:r>
            <w:r>
              <w:rPr>
                <w:rFonts w:hint="eastAsia"/>
                <w:color w:val="auto"/>
                <w:highlight w:val="none"/>
              </w:rPr>
              <w:t>经过距离衰减和空气吸收后</w:t>
            </w:r>
            <w:r>
              <w:rPr>
                <w:rFonts w:hint="eastAsia"/>
                <w:color w:val="auto"/>
                <w:highlight w:val="none"/>
                <w:lang w:eastAsia="zh-CN"/>
              </w:rPr>
              <w:t>，</w:t>
            </w:r>
            <w:r>
              <w:rPr>
                <w:rFonts w:hint="eastAsia"/>
                <w:color w:val="auto"/>
                <w:highlight w:val="none"/>
              </w:rPr>
              <w:t>到达受声点</w:t>
            </w:r>
            <w:r>
              <w:rPr>
                <w:rFonts w:hint="eastAsia"/>
                <w:color w:val="auto"/>
                <w:highlight w:val="none"/>
                <w:lang w:eastAsia="zh-CN"/>
              </w:rPr>
              <w:t>，</w:t>
            </w:r>
            <w:r>
              <w:rPr>
                <w:rFonts w:hint="eastAsia"/>
                <w:color w:val="auto"/>
                <w:highlight w:val="none"/>
              </w:rPr>
              <w:t>选择《环境影响评价技术导则 声环境》（HJ2.4-2021）中附录</w:t>
            </w:r>
            <w:r>
              <w:rPr>
                <w:rFonts w:hint="eastAsia"/>
                <w:color w:val="auto"/>
                <w:highlight w:val="none"/>
                <w:lang w:val="en-US" w:eastAsia="zh-CN"/>
              </w:rPr>
              <w:t>A</w:t>
            </w:r>
            <w:r>
              <w:rPr>
                <w:rFonts w:hint="eastAsia"/>
                <w:color w:val="auto"/>
                <w:highlight w:val="none"/>
              </w:rPr>
              <w:t>工业噪声预测计算模型</w:t>
            </w:r>
            <w:r>
              <w:rPr>
                <w:rFonts w:hint="eastAsia"/>
                <w:color w:val="auto"/>
                <w:highlight w:val="none"/>
                <w:lang w:eastAsia="zh-CN"/>
              </w:rPr>
              <w:t>，</w:t>
            </w:r>
            <w:r>
              <w:rPr>
                <w:rFonts w:hint="eastAsia"/>
                <w:color w:val="auto"/>
                <w:highlight w:val="none"/>
              </w:rPr>
              <w:t>对影响值进行预测：</w:t>
            </w:r>
          </w:p>
          <w:p>
            <w:pPr>
              <w:pStyle w:val="12"/>
              <w:ind w:firstLine="480"/>
              <w:rPr>
                <w:rFonts w:hint="eastAsia" w:eastAsia="宋体"/>
                <w:color w:val="auto"/>
                <w:highlight w:val="none"/>
                <w:lang w:eastAsia="zh-CN"/>
              </w:rPr>
            </w:pPr>
            <w:r>
              <w:rPr>
                <w:rFonts w:hint="eastAsia"/>
                <w:color w:val="auto"/>
                <w:highlight w:val="none"/>
              </w:rPr>
              <w:t>在环境影响评价中，应根据声源声功率级或参考位置处的声压级、户外声传播衰减，计算预测点的声级，分别按式（A.1）或式（A.2）计算</w:t>
            </w:r>
            <w:r>
              <w:rPr>
                <w:rFonts w:hint="eastAsia"/>
                <w:color w:val="auto"/>
                <w:highlight w:val="none"/>
                <w:lang w:eastAsia="zh-CN"/>
              </w:rPr>
              <w:t>。</w:t>
            </w:r>
          </w:p>
          <w:p>
            <w:pPr>
              <w:pStyle w:val="12"/>
              <w:ind w:firstLine="480"/>
              <w:jc w:val="right"/>
              <w:rPr>
                <w:rFonts w:hint="default" w:eastAsia="宋体"/>
                <w:color w:val="auto"/>
                <w:highlight w:val="none"/>
                <w:lang w:val="en-US" w:eastAsia="zh-CN"/>
              </w:rPr>
            </w:pPr>
            <w:r>
              <w:rPr>
                <w:rFonts w:hint="eastAsia"/>
                <w:color w:val="auto"/>
                <w:highlight w:val="none"/>
                <w:lang w:val="en-US" w:eastAsia="zh-CN"/>
              </w:rPr>
              <w:t>Lp（r）=Lw+Dc-（Adiv+Aatm+Agr+Abar+Amisc）      （A.1）</w:t>
            </w:r>
          </w:p>
          <w:p>
            <w:pPr>
              <w:pStyle w:val="12"/>
              <w:ind w:firstLine="480"/>
              <w:rPr>
                <w:rFonts w:hint="eastAsia" w:eastAsia="宋体"/>
                <w:color w:val="auto"/>
                <w:highlight w:val="none"/>
                <w:lang w:eastAsia="zh-CN"/>
              </w:rPr>
            </w:pPr>
            <w:r>
              <w:rPr>
                <w:rFonts w:hint="eastAsia"/>
                <w:color w:val="auto"/>
                <w:highlight w:val="none"/>
              </w:rPr>
              <w:t>式中：Lp(r)——预测点处声压级，dB</w:t>
            </w:r>
            <w:r>
              <w:rPr>
                <w:rFonts w:hint="eastAsia"/>
                <w:color w:val="auto"/>
                <w:highlight w:val="none"/>
                <w:lang w:eastAsia="zh-CN"/>
              </w:rPr>
              <w:t>；</w:t>
            </w:r>
          </w:p>
          <w:p>
            <w:pPr>
              <w:pStyle w:val="12"/>
              <w:ind w:firstLine="480"/>
              <w:rPr>
                <w:rFonts w:hint="eastAsia"/>
                <w:color w:val="auto"/>
                <w:highlight w:val="none"/>
              </w:rPr>
            </w:pPr>
            <w:r>
              <w:rPr>
                <w:rFonts w:hint="eastAsia"/>
                <w:color w:val="auto"/>
                <w:highlight w:val="none"/>
              </w:rPr>
              <w:t>Lw——由点声源产生的声功率级（A计权或倍频带），dB；</w:t>
            </w:r>
          </w:p>
          <w:p>
            <w:pPr>
              <w:pStyle w:val="12"/>
              <w:ind w:firstLine="480"/>
              <w:rPr>
                <w:rFonts w:hint="eastAsia"/>
                <w:color w:val="auto"/>
                <w:highlight w:val="none"/>
              </w:rPr>
            </w:pPr>
            <w:r>
              <w:rPr>
                <w:rFonts w:hint="eastAsia"/>
                <w:color w:val="auto"/>
                <w:highlight w:val="none"/>
              </w:rPr>
              <w:t>DC——指向性校正，它描述点声源的等效连续声压级与产生声功率级Lw 的全向点声源在规定方向的声级的偏差程度，dB；</w:t>
            </w:r>
          </w:p>
          <w:p>
            <w:pPr>
              <w:pStyle w:val="12"/>
              <w:ind w:firstLine="480"/>
              <w:rPr>
                <w:rFonts w:hint="eastAsia"/>
                <w:color w:val="auto"/>
                <w:highlight w:val="none"/>
              </w:rPr>
            </w:pPr>
            <w:r>
              <w:rPr>
                <w:rFonts w:hint="eastAsia"/>
                <w:color w:val="auto"/>
                <w:highlight w:val="none"/>
              </w:rPr>
              <w:t>Adiv——几何发散引起的衰减，dB；</w:t>
            </w:r>
          </w:p>
          <w:p>
            <w:pPr>
              <w:pStyle w:val="12"/>
              <w:ind w:firstLine="480"/>
              <w:rPr>
                <w:rFonts w:hint="eastAsia"/>
                <w:color w:val="auto"/>
                <w:highlight w:val="none"/>
              </w:rPr>
            </w:pPr>
            <w:r>
              <w:rPr>
                <w:rFonts w:hint="eastAsia"/>
                <w:color w:val="auto"/>
                <w:highlight w:val="none"/>
              </w:rPr>
              <w:t>Aatm——大气吸收引起的衰减，dB；</w:t>
            </w:r>
          </w:p>
          <w:p>
            <w:pPr>
              <w:pStyle w:val="12"/>
              <w:ind w:firstLine="480"/>
              <w:rPr>
                <w:rFonts w:hint="eastAsia"/>
                <w:color w:val="auto"/>
                <w:highlight w:val="none"/>
              </w:rPr>
            </w:pPr>
            <w:r>
              <w:rPr>
                <w:rFonts w:hint="eastAsia"/>
                <w:color w:val="auto"/>
                <w:highlight w:val="none"/>
              </w:rPr>
              <w:t>Agr——地面效应引起的衰减，dB；</w:t>
            </w:r>
          </w:p>
          <w:p>
            <w:pPr>
              <w:pStyle w:val="12"/>
              <w:ind w:firstLine="480"/>
              <w:rPr>
                <w:rFonts w:hint="eastAsia"/>
                <w:color w:val="auto"/>
                <w:highlight w:val="none"/>
              </w:rPr>
            </w:pPr>
            <w:r>
              <w:rPr>
                <w:rFonts w:hint="eastAsia"/>
                <w:color w:val="auto"/>
                <w:highlight w:val="none"/>
              </w:rPr>
              <w:t>Abar——障碍物屏蔽引起的衰减，dB；</w:t>
            </w:r>
          </w:p>
          <w:p>
            <w:pPr>
              <w:pStyle w:val="12"/>
              <w:ind w:firstLine="480"/>
              <w:rPr>
                <w:color w:val="auto"/>
                <w:highlight w:val="none"/>
              </w:rPr>
            </w:pPr>
            <w:r>
              <w:rPr>
                <w:rFonts w:hint="eastAsia"/>
                <w:color w:val="auto"/>
                <w:highlight w:val="none"/>
              </w:rPr>
              <w:t>Amisc——其他多方面效应引起的衰减，dB。</w:t>
            </w:r>
          </w:p>
          <w:p>
            <w:pPr>
              <w:pStyle w:val="12"/>
              <w:ind w:firstLine="480"/>
              <w:jc w:val="right"/>
              <w:rPr>
                <w:rFonts w:hint="eastAsia" w:eastAsia="宋体"/>
                <w:color w:val="auto"/>
                <w:highlight w:val="none"/>
                <w:lang w:eastAsia="zh-CN"/>
              </w:rPr>
            </w:pPr>
            <w:r>
              <w:rPr>
                <w:rFonts w:hint="eastAsia"/>
                <w:color w:val="auto"/>
                <w:highlight w:val="none"/>
              </w:rPr>
              <w:t>Lp(r)＝Lp(r</w:t>
            </w:r>
            <w:r>
              <w:rPr>
                <w:rFonts w:hint="eastAsia"/>
                <w:color w:val="auto"/>
                <w:highlight w:val="none"/>
                <w:vertAlign w:val="subscript"/>
              </w:rPr>
              <w:t>0</w:t>
            </w:r>
            <w:r>
              <w:rPr>
                <w:rFonts w:hint="eastAsia"/>
                <w:color w:val="auto"/>
                <w:highlight w:val="none"/>
              </w:rPr>
              <w:t>)+DC－(Adiv＋Aatm＋Agr＋Abar＋Amisc)</w:t>
            </w:r>
            <w:r>
              <w:rPr>
                <w:rFonts w:hint="eastAsia"/>
                <w:color w:val="auto"/>
                <w:highlight w:val="none"/>
                <w:lang w:val="en-US" w:eastAsia="zh-CN"/>
              </w:rPr>
              <w:t xml:space="preserve">       </w:t>
            </w:r>
            <w:r>
              <w:rPr>
                <w:rFonts w:hint="eastAsia"/>
                <w:color w:val="auto"/>
                <w:highlight w:val="none"/>
                <w:lang w:eastAsia="zh-CN"/>
              </w:rPr>
              <w:t>（</w:t>
            </w:r>
            <w:r>
              <w:rPr>
                <w:rFonts w:hint="eastAsia"/>
                <w:color w:val="auto"/>
                <w:highlight w:val="none"/>
                <w:lang w:val="en-US" w:eastAsia="zh-CN"/>
              </w:rPr>
              <w:t>A.2</w:t>
            </w:r>
            <w:r>
              <w:rPr>
                <w:rFonts w:hint="eastAsia"/>
                <w:color w:val="auto"/>
                <w:highlight w:val="none"/>
                <w:lang w:eastAsia="zh-CN"/>
              </w:rPr>
              <w:t>）</w:t>
            </w:r>
          </w:p>
          <w:p>
            <w:pPr>
              <w:pStyle w:val="12"/>
              <w:ind w:firstLine="480"/>
              <w:rPr>
                <w:rFonts w:hint="eastAsia"/>
                <w:color w:val="auto"/>
                <w:highlight w:val="none"/>
              </w:rPr>
            </w:pPr>
            <w:r>
              <w:rPr>
                <w:rFonts w:hint="eastAsia"/>
                <w:color w:val="auto"/>
                <w:highlight w:val="none"/>
              </w:rPr>
              <w:t>式中：Lp(r)——预测点处声压级，dB；</w:t>
            </w:r>
          </w:p>
          <w:p>
            <w:pPr>
              <w:pStyle w:val="12"/>
              <w:ind w:firstLine="480"/>
              <w:rPr>
                <w:rFonts w:hint="eastAsia"/>
                <w:color w:val="auto"/>
                <w:highlight w:val="none"/>
              </w:rPr>
            </w:pPr>
            <w:r>
              <w:rPr>
                <w:rFonts w:hint="eastAsia"/>
                <w:color w:val="auto"/>
                <w:highlight w:val="none"/>
              </w:rPr>
              <w:t>Lp(r</w:t>
            </w:r>
            <w:r>
              <w:rPr>
                <w:rFonts w:hint="eastAsia"/>
                <w:color w:val="auto"/>
                <w:highlight w:val="none"/>
                <w:vertAlign w:val="subscript"/>
              </w:rPr>
              <w:t>0</w:t>
            </w:r>
            <w:r>
              <w:rPr>
                <w:rFonts w:hint="eastAsia"/>
                <w:color w:val="auto"/>
                <w:highlight w:val="none"/>
              </w:rPr>
              <w:t>)——参考位置r</w:t>
            </w:r>
            <w:r>
              <w:rPr>
                <w:rFonts w:hint="eastAsia"/>
                <w:color w:val="auto"/>
                <w:highlight w:val="none"/>
                <w:vertAlign w:val="subscript"/>
              </w:rPr>
              <w:t>0</w:t>
            </w:r>
            <w:r>
              <w:rPr>
                <w:rFonts w:hint="eastAsia"/>
                <w:color w:val="auto"/>
                <w:highlight w:val="none"/>
              </w:rPr>
              <w:t>处的声压级，dB；</w:t>
            </w:r>
          </w:p>
          <w:p>
            <w:pPr>
              <w:pStyle w:val="12"/>
              <w:ind w:firstLine="480"/>
              <w:rPr>
                <w:rFonts w:hint="eastAsia"/>
                <w:color w:val="auto"/>
                <w:highlight w:val="none"/>
              </w:rPr>
            </w:pPr>
            <w:r>
              <w:rPr>
                <w:rFonts w:hint="eastAsia"/>
                <w:color w:val="auto"/>
                <w:highlight w:val="none"/>
              </w:rPr>
              <w:t>DC——指向性校正，它描述点声源的等效连续声压级与产生声功率级Lw的全向点声源在规定方向的声级的偏差程度，dB；</w:t>
            </w:r>
          </w:p>
          <w:p>
            <w:pPr>
              <w:pStyle w:val="12"/>
              <w:ind w:firstLine="480"/>
              <w:rPr>
                <w:rFonts w:hint="eastAsia"/>
                <w:color w:val="auto"/>
                <w:highlight w:val="none"/>
              </w:rPr>
            </w:pPr>
            <w:r>
              <w:rPr>
                <w:rFonts w:hint="eastAsia"/>
                <w:color w:val="auto"/>
                <w:highlight w:val="none"/>
              </w:rPr>
              <w:t>Adiv——几何发散引起的衰减，dB；</w:t>
            </w:r>
          </w:p>
          <w:p>
            <w:pPr>
              <w:pStyle w:val="12"/>
              <w:ind w:firstLine="480"/>
              <w:rPr>
                <w:rFonts w:hint="eastAsia"/>
                <w:color w:val="auto"/>
                <w:highlight w:val="none"/>
              </w:rPr>
            </w:pPr>
            <w:r>
              <w:rPr>
                <w:rFonts w:hint="eastAsia"/>
                <w:color w:val="auto"/>
                <w:highlight w:val="none"/>
              </w:rPr>
              <w:t>Aatm——大气吸收引起的衰减，dB；</w:t>
            </w:r>
          </w:p>
          <w:p>
            <w:pPr>
              <w:pStyle w:val="12"/>
              <w:ind w:firstLine="480"/>
              <w:rPr>
                <w:rFonts w:hint="eastAsia"/>
                <w:color w:val="auto"/>
                <w:highlight w:val="none"/>
              </w:rPr>
            </w:pPr>
            <w:r>
              <w:rPr>
                <w:rFonts w:hint="eastAsia"/>
                <w:color w:val="auto"/>
                <w:highlight w:val="none"/>
              </w:rPr>
              <w:t>Agr——地面效应引起的衰减，dB；</w:t>
            </w:r>
          </w:p>
          <w:p>
            <w:pPr>
              <w:pStyle w:val="12"/>
              <w:ind w:firstLine="480"/>
              <w:rPr>
                <w:rFonts w:hint="eastAsia"/>
                <w:color w:val="auto"/>
                <w:highlight w:val="none"/>
              </w:rPr>
            </w:pPr>
            <w:r>
              <w:rPr>
                <w:rFonts w:hint="eastAsia"/>
                <w:color w:val="auto"/>
                <w:highlight w:val="none"/>
              </w:rPr>
              <w:t>Abar——障碍物屏蔽引起的衰减，dB；</w:t>
            </w:r>
          </w:p>
          <w:p>
            <w:pPr>
              <w:pStyle w:val="12"/>
              <w:ind w:firstLine="480"/>
              <w:rPr>
                <w:rFonts w:hint="eastAsia"/>
                <w:color w:val="auto"/>
                <w:highlight w:val="none"/>
              </w:rPr>
            </w:pPr>
            <w:r>
              <w:rPr>
                <w:rFonts w:hint="eastAsia"/>
                <w:color w:val="auto"/>
                <w:highlight w:val="none"/>
              </w:rPr>
              <w:t>Amisc——其他多方面效应引起的衰减，dB。</w:t>
            </w:r>
          </w:p>
          <w:p>
            <w:pPr>
              <w:pStyle w:val="12"/>
              <w:ind w:firstLine="480"/>
              <w:rPr>
                <w:color w:val="auto"/>
                <w:highlight w:val="none"/>
              </w:rPr>
            </w:pPr>
            <w:r>
              <w:rPr>
                <w:rFonts w:hint="eastAsia"/>
                <w:color w:val="auto"/>
                <w:highlight w:val="none"/>
              </w:rPr>
              <w:t>b）预测点的A声级LA(r)可按式（A.3）计算，即将8个倍频带声压级合成，计算出预测点的A声级[LA(r)]。</w:t>
            </w:r>
          </w:p>
          <w:p>
            <w:pPr>
              <w:pStyle w:val="12"/>
              <w:ind w:firstLine="480"/>
              <w:jc w:val="right"/>
              <w:rPr>
                <w:rFonts w:hint="default" w:eastAsia="宋体"/>
                <w:color w:val="auto"/>
                <w:highlight w:val="none"/>
                <w:lang w:val="en-US" w:eastAsia="zh-CN"/>
              </w:rPr>
            </w:pPr>
            <w:r>
              <w:rPr>
                <w:rFonts w:hint="eastAsia"/>
                <w:color w:val="auto"/>
                <w:position w:val="-36"/>
                <w:highlight w:val="none"/>
                <w:lang w:val="en-US" w:eastAsia="zh-CN"/>
              </w:rPr>
              <w:object>
                <v:shape id="_x0000_i1026" o:spt="75" type="#_x0000_t75" style="height:42pt;width:157.95pt;" o:ole="t" filled="f" o:preferrelative="t" stroked="f" coordsize="21600,21600">
                  <v:path/>
                  <v:fill on="f" focussize="0,0"/>
                  <v:stroke on="f"/>
                  <v:imagedata r:id="rId17" o:title=""/>
                  <o:lock v:ext="edit" aspectratio="t"/>
                  <w10:wrap type="none"/>
                  <w10:anchorlock/>
                </v:shape>
                <o:OLEObject Type="Embed" ProgID="Equation.KSEE3" ShapeID="_x0000_i1026" DrawAspect="Content" ObjectID="_1468075726" r:id="rId16">
                  <o:LockedField>false</o:LockedField>
                </o:OLEObject>
              </w:object>
            </w:r>
            <w:r>
              <w:rPr>
                <w:rFonts w:hint="eastAsia"/>
                <w:color w:val="auto"/>
                <w:highlight w:val="none"/>
                <w:lang w:val="en-US" w:eastAsia="zh-CN"/>
              </w:rPr>
              <w:t xml:space="preserve">                 </w:t>
            </w:r>
            <w:r>
              <w:rPr>
                <w:rFonts w:hint="eastAsia"/>
                <w:color w:val="auto"/>
                <w:highlight w:val="none"/>
              </w:rPr>
              <w:t>（A.</w:t>
            </w:r>
            <w:r>
              <w:rPr>
                <w:rFonts w:hint="eastAsia"/>
                <w:color w:val="auto"/>
                <w:highlight w:val="none"/>
                <w:lang w:val="en-US" w:eastAsia="zh-CN"/>
              </w:rPr>
              <w:t>3</w:t>
            </w:r>
            <w:r>
              <w:rPr>
                <w:rFonts w:hint="eastAsia"/>
                <w:color w:val="auto"/>
                <w:highlight w:val="none"/>
              </w:rPr>
              <w:t>）</w:t>
            </w:r>
          </w:p>
          <w:p>
            <w:pPr>
              <w:pStyle w:val="12"/>
              <w:ind w:firstLine="480"/>
              <w:rPr>
                <w:rFonts w:hint="eastAsia"/>
                <w:color w:val="auto"/>
                <w:highlight w:val="none"/>
              </w:rPr>
            </w:pPr>
            <w:r>
              <w:rPr>
                <w:rFonts w:hint="eastAsia"/>
                <w:color w:val="auto"/>
                <w:highlight w:val="none"/>
              </w:rPr>
              <w:t>式中：LA(r)——距声源r处的A声级，dB(A)；</w:t>
            </w:r>
          </w:p>
          <w:p>
            <w:pPr>
              <w:pStyle w:val="12"/>
              <w:ind w:firstLine="480"/>
              <w:rPr>
                <w:rFonts w:hint="eastAsia"/>
                <w:color w:val="auto"/>
                <w:highlight w:val="none"/>
              </w:rPr>
            </w:pPr>
            <w:r>
              <w:rPr>
                <w:rFonts w:hint="eastAsia"/>
                <w:color w:val="auto"/>
                <w:highlight w:val="none"/>
              </w:rPr>
              <w:t>Lpi(r)——预测点（r）处，第i倍频带声压级，dB；</w:t>
            </w:r>
          </w:p>
          <w:p>
            <w:pPr>
              <w:pStyle w:val="12"/>
              <w:ind w:firstLine="480"/>
              <w:rPr>
                <w:rFonts w:hint="eastAsia"/>
                <w:color w:val="auto"/>
                <w:highlight w:val="none"/>
              </w:rPr>
            </w:pPr>
            <w:r>
              <w:rPr>
                <w:rFonts w:hint="eastAsia"/>
                <w:color w:val="auto"/>
                <w:highlight w:val="none"/>
              </w:rPr>
              <w:t>ΔLi——第i倍频带的A计权网络修正值，dB。</w:t>
            </w:r>
          </w:p>
          <w:p>
            <w:pPr>
              <w:pStyle w:val="12"/>
              <w:ind w:firstLine="480"/>
              <w:rPr>
                <w:rFonts w:hint="eastAsia"/>
                <w:color w:val="auto"/>
                <w:highlight w:val="none"/>
              </w:rPr>
            </w:pPr>
            <w:r>
              <w:rPr>
                <w:rFonts w:hint="eastAsia"/>
                <w:color w:val="auto"/>
                <w:highlight w:val="none"/>
              </w:rPr>
              <w:t>c）在只考虑几何发散衰减时，可按式（A.4）计算。</w:t>
            </w:r>
          </w:p>
          <w:p>
            <w:pPr>
              <w:pStyle w:val="12"/>
              <w:ind w:firstLine="480"/>
              <w:jc w:val="right"/>
              <w:rPr>
                <w:rFonts w:hint="eastAsia"/>
                <w:color w:val="auto"/>
                <w:highlight w:val="none"/>
              </w:rPr>
            </w:pPr>
            <w:r>
              <w:rPr>
                <w:rFonts w:hint="eastAsia"/>
                <w:color w:val="auto"/>
                <w:highlight w:val="none"/>
                <w:lang w:val="en-US" w:eastAsia="zh-CN"/>
              </w:rPr>
              <w:t>LA</w:t>
            </w:r>
            <w:r>
              <w:rPr>
                <w:rFonts w:hint="eastAsia"/>
                <w:color w:val="auto"/>
                <w:highlight w:val="none"/>
              </w:rPr>
              <w:t>(r)</w:t>
            </w:r>
            <w:r>
              <w:rPr>
                <w:rFonts w:hint="eastAsia"/>
                <w:color w:val="auto"/>
                <w:highlight w:val="none"/>
                <w:lang w:val="en-US" w:eastAsia="zh-CN"/>
              </w:rPr>
              <w:t>=</w:t>
            </w:r>
            <w:r>
              <w:rPr>
                <w:rFonts w:hint="eastAsia"/>
                <w:color w:val="auto"/>
                <w:highlight w:val="none"/>
              </w:rPr>
              <w:t>LA(r</w:t>
            </w:r>
            <w:r>
              <w:rPr>
                <w:rFonts w:hint="eastAsia"/>
                <w:color w:val="auto"/>
                <w:highlight w:val="none"/>
                <w:vertAlign w:val="subscript"/>
              </w:rPr>
              <w:t>0</w:t>
            </w:r>
            <w:r>
              <w:rPr>
                <w:rFonts w:hint="eastAsia"/>
                <w:color w:val="auto"/>
                <w:highlight w:val="none"/>
              </w:rPr>
              <w:t>)</w:t>
            </w:r>
            <w:r>
              <w:rPr>
                <w:rFonts w:hint="eastAsia"/>
                <w:color w:val="auto"/>
                <w:highlight w:val="none"/>
                <w:lang w:val="en-US" w:eastAsia="zh-CN"/>
              </w:rPr>
              <w:t>-</w:t>
            </w:r>
            <w:r>
              <w:rPr>
                <w:rFonts w:hint="eastAsia"/>
                <w:color w:val="auto"/>
                <w:highlight w:val="none"/>
              </w:rPr>
              <w:t>Adiv</w:t>
            </w:r>
            <w:r>
              <w:rPr>
                <w:rFonts w:hint="eastAsia"/>
                <w:color w:val="auto"/>
                <w:highlight w:val="none"/>
                <w:lang w:val="en-US" w:eastAsia="zh-CN"/>
              </w:rPr>
              <w:t xml:space="preserve">                      </w:t>
            </w:r>
            <w:r>
              <w:rPr>
                <w:rFonts w:hint="eastAsia"/>
                <w:color w:val="auto"/>
                <w:highlight w:val="none"/>
              </w:rPr>
              <w:t>（A.4）</w:t>
            </w:r>
          </w:p>
          <w:p>
            <w:pPr>
              <w:pStyle w:val="12"/>
              <w:ind w:firstLine="480"/>
              <w:rPr>
                <w:rFonts w:hint="eastAsia"/>
                <w:color w:val="auto"/>
                <w:highlight w:val="none"/>
              </w:rPr>
            </w:pPr>
            <w:r>
              <w:rPr>
                <w:rFonts w:hint="eastAsia"/>
                <w:color w:val="auto"/>
                <w:highlight w:val="none"/>
              </w:rPr>
              <w:t>式中：LA(r)——距声源r处的A声级，dB(A)；</w:t>
            </w:r>
          </w:p>
          <w:p>
            <w:pPr>
              <w:pStyle w:val="12"/>
              <w:ind w:firstLine="480"/>
              <w:rPr>
                <w:rFonts w:hint="eastAsia"/>
                <w:color w:val="auto"/>
                <w:highlight w:val="none"/>
              </w:rPr>
            </w:pPr>
            <w:r>
              <w:rPr>
                <w:rFonts w:hint="eastAsia"/>
                <w:color w:val="auto"/>
                <w:highlight w:val="none"/>
              </w:rPr>
              <w:t>LA(r</w:t>
            </w:r>
            <w:r>
              <w:rPr>
                <w:rFonts w:hint="eastAsia"/>
                <w:color w:val="auto"/>
                <w:highlight w:val="none"/>
                <w:vertAlign w:val="subscript"/>
              </w:rPr>
              <w:t>0</w:t>
            </w:r>
            <w:r>
              <w:rPr>
                <w:rFonts w:hint="eastAsia"/>
                <w:color w:val="auto"/>
                <w:highlight w:val="none"/>
              </w:rPr>
              <w:t>)——参考位置r</w:t>
            </w:r>
            <w:r>
              <w:rPr>
                <w:rFonts w:hint="eastAsia"/>
                <w:color w:val="auto"/>
                <w:highlight w:val="none"/>
                <w:vertAlign w:val="subscript"/>
              </w:rPr>
              <w:t>0</w:t>
            </w:r>
            <w:r>
              <w:rPr>
                <w:rFonts w:hint="eastAsia"/>
                <w:color w:val="auto"/>
                <w:highlight w:val="none"/>
              </w:rPr>
              <w:t>处的A声级，dB(A)；</w:t>
            </w:r>
          </w:p>
          <w:p>
            <w:pPr>
              <w:pStyle w:val="12"/>
              <w:ind w:firstLine="480"/>
              <w:rPr>
                <w:color w:val="auto"/>
                <w:highlight w:val="none"/>
              </w:rPr>
            </w:pPr>
            <w:r>
              <w:rPr>
                <w:rFonts w:hint="eastAsia"/>
                <w:color w:val="auto"/>
                <w:highlight w:val="none"/>
              </w:rPr>
              <w:t>Adiv——几何发散引起的衰减，dB。</w:t>
            </w: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pStyle w:val="12"/>
              <w:ind w:firstLine="480"/>
              <w:rPr>
                <w:color w:val="auto"/>
                <w:highlight w:val="none"/>
              </w:rPr>
            </w:pPr>
          </w:p>
          <w:p>
            <w:pPr>
              <w:rPr>
                <w:color w:val="auto"/>
                <w:highlight w:val="none"/>
              </w:rPr>
            </w:pPr>
          </w:p>
        </w:tc>
      </w:tr>
    </w:tbl>
    <w:p>
      <w:pPr>
        <w:rPr>
          <w:color w:val="auto"/>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tbl>
      <w:tblPr>
        <w:tblStyle w:val="15"/>
        <w:tblW w:w="13899"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127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014" w:hRule="atLeast"/>
          <w:jc w:val="center"/>
        </w:trPr>
        <w:tc>
          <w:tcPr>
            <w:tcW w:w="1163" w:type="dxa"/>
            <w:tcMar>
              <w:left w:w="28" w:type="dxa"/>
              <w:right w:w="28" w:type="dxa"/>
            </w:tcMar>
            <w:vAlign w:val="center"/>
          </w:tcPr>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运营</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期环</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境影</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响和</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保护</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措施</w:t>
            </w:r>
          </w:p>
        </w:tc>
        <w:tc>
          <w:tcPr>
            <w:tcW w:w="12736" w:type="dxa"/>
            <w:vAlign w:val="top"/>
          </w:tcPr>
          <w:p>
            <w:pPr>
              <w:pStyle w:val="23"/>
              <w:numPr>
                <w:ilvl w:val="0"/>
                <w:numId w:val="2"/>
              </w:numPr>
              <w:bidi w:val="0"/>
              <w:rPr>
                <w:color w:val="auto"/>
                <w:highlight w:val="none"/>
              </w:rPr>
            </w:pPr>
            <w:r>
              <w:rPr>
                <w:rFonts w:hint="eastAsia"/>
                <w:color w:val="auto"/>
                <w:highlight w:val="none"/>
                <w:lang w:val="en-US" w:eastAsia="zh-CN"/>
              </w:rPr>
              <w:t xml:space="preserve">   </w:t>
            </w:r>
            <w:r>
              <w:rPr>
                <w:rFonts w:hint="eastAsia"/>
                <w:color w:val="auto"/>
                <w:highlight w:val="none"/>
              </w:rPr>
              <w:t>工业企业噪声源强调查清单（室外声源）</w:t>
            </w:r>
          </w:p>
          <w:tbl>
            <w:tblPr>
              <w:tblStyle w:val="15"/>
              <w:tblW w:w="12515"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20"/>
              <w:gridCol w:w="1188"/>
              <w:gridCol w:w="1004"/>
              <w:gridCol w:w="899"/>
              <w:gridCol w:w="899"/>
              <w:gridCol w:w="904"/>
              <w:gridCol w:w="2295"/>
              <w:gridCol w:w="1307"/>
              <w:gridCol w:w="2398"/>
              <w:gridCol w:w="100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620" w:type="dxa"/>
                  <w:vMerge w:val="restart"/>
                  <w:tcBorders>
                    <w:tl2br w:val="nil"/>
                    <w:tr2bl w:val="nil"/>
                  </w:tcBorders>
                  <w:vAlign w:val="center"/>
                </w:tcPr>
                <w:p>
                  <w:pPr>
                    <w:pStyle w:val="25"/>
                    <w:bidi w:val="0"/>
                    <w:rPr>
                      <w:rFonts w:hint="default"/>
                      <w:color w:val="auto"/>
                      <w:highlight w:val="none"/>
                    </w:rPr>
                  </w:pPr>
                  <w:r>
                    <w:rPr>
                      <w:color w:val="auto"/>
                      <w:highlight w:val="none"/>
                    </w:rPr>
                    <w:t>序号</w:t>
                  </w:r>
                </w:p>
              </w:tc>
              <w:tc>
                <w:tcPr>
                  <w:tcW w:w="1188" w:type="dxa"/>
                  <w:vMerge w:val="restart"/>
                  <w:tcBorders>
                    <w:tl2br w:val="nil"/>
                    <w:tr2bl w:val="nil"/>
                  </w:tcBorders>
                  <w:vAlign w:val="center"/>
                </w:tcPr>
                <w:p>
                  <w:pPr>
                    <w:pStyle w:val="25"/>
                    <w:bidi w:val="0"/>
                    <w:rPr>
                      <w:rFonts w:hint="default"/>
                      <w:color w:val="auto"/>
                      <w:highlight w:val="none"/>
                    </w:rPr>
                  </w:pPr>
                  <w:r>
                    <w:rPr>
                      <w:color w:val="auto"/>
                      <w:highlight w:val="none"/>
                    </w:rPr>
                    <w:t>声源名称</w:t>
                  </w:r>
                </w:p>
              </w:tc>
              <w:tc>
                <w:tcPr>
                  <w:tcW w:w="1004" w:type="dxa"/>
                  <w:vMerge w:val="restart"/>
                  <w:tcBorders>
                    <w:tl2br w:val="nil"/>
                    <w:tr2bl w:val="nil"/>
                  </w:tcBorders>
                  <w:vAlign w:val="center"/>
                </w:tcPr>
                <w:p>
                  <w:pPr>
                    <w:pStyle w:val="25"/>
                    <w:bidi w:val="0"/>
                    <w:rPr>
                      <w:rFonts w:hint="default"/>
                      <w:color w:val="auto"/>
                      <w:highlight w:val="none"/>
                    </w:rPr>
                  </w:pPr>
                  <w:r>
                    <w:rPr>
                      <w:color w:val="auto"/>
                      <w:highlight w:val="none"/>
                    </w:rPr>
                    <w:t>型号</w:t>
                  </w:r>
                </w:p>
              </w:tc>
              <w:tc>
                <w:tcPr>
                  <w:tcW w:w="2702" w:type="dxa"/>
                  <w:gridSpan w:val="3"/>
                  <w:tcBorders>
                    <w:tl2br w:val="nil"/>
                    <w:tr2bl w:val="nil"/>
                  </w:tcBorders>
                  <w:vAlign w:val="center"/>
                </w:tcPr>
                <w:p>
                  <w:pPr>
                    <w:pStyle w:val="25"/>
                    <w:bidi w:val="0"/>
                    <w:rPr>
                      <w:rFonts w:hint="default"/>
                      <w:color w:val="auto"/>
                      <w:highlight w:val="none"/>
                    </w:rPr>
                  </w:pPr>
                  <w:r>
                    <w:rPr>
                      <w:color w:val="auto"/>
                      <w:highlight w:val="none"/>
                    </w:rPr>
                    <w:t>空间相对位置/m</w:t>
                  </w:r>
                </w:p>
              </w:tc>
              <w:tc>
                <w:tcPr>
                  <w:tcW w:w="3602" w:type="dxa"/>
                  <w:gridSpan w:val="2"/>
                  <w:tcBorders>
                    <w:tl2br w:val="nil"/>
                    <w:tr2bl w:val="nil"/>
                  </w:tcBorders>
                  <w:vAlign w:val="center"/>
                </w:tcPr>
                <w:p>
                  <w:pPr>
                    <w:pStyle w:val="25"/>
                    <w:bidi w:val="0"/>
                    <w:rPr>
                      <w:rFonts w:hint="default"/>
                      <w:color w:val="auto"/>
                      <w:highlight w:val="none"/>
                    </w:rPr>
                  </w:pPr>
                  <w:r>
                    <w:rPr>
                      <w:color w:val="auto"/>
                      <w:highlight w:val="none"/>
                    </w:rPr>
                    <w:t>声源源强</w:t>
                  </w:r>
                </w:p>
              </w:tc>
              <w:tc>
                <w:tcPr>
                  <w:tcW w:w="2398" w:type="dxa"/>
                  <w:vMerge w:val="restart"/>
                  <w:tcBorders>
                    <w:tl2br w:val="nil"/>
                    <w:tr2bl w:val="nil"/>
                  </w:tcBorders>
                  <w:vAlign w:val="center"/>
                </w:tcPr>
                <w:p>
                  <w:pPr>
                    <w:pStyle w:val="25"/>
                    <w:bidi w:val="0"/>
                    <w:rPr>
                      <w:rFonts w:hint="default"/>
                      <w:color w:val="auto"/>
                      <w:highlight w:val="none"/>
                    </w:rPr>
                  </w:pPr>
                  <w:r>
                    <w:rPr>
                      <w:color w:val="auto"/>
                      <w:highlight w:val="none"/>
                    </w:rPr>
                    <w:t>声源控制措施</w:t>
                  </w:r>
                </w:p>
              </w:tc>
              <w:tc>
                <w:tcPr>
                  <w:tcW w:w="1001" w:type="dxa"/>
                  <w:vMerge w:val="restart"/>
                  <w:tcBorders>
                    <w:tl2br w:val="nil"/>
                    <w:tr2bl w:val="nil"/>
                  </w:tcBorders>
                  <w:vAlign w:val="center"/>
                </w:tcPr>
                <w:p>
                  <w:pPr>
                    <w:pStyle w:val="25"/>
                    <w:bidi w:val="0"/>
                    <w:rPr>
                      <w:rFonts w:hint="default"/>
                      <w:color w:val="auto"/>
                      <w:highlight w:val="none"/>
                    </w:rPr>
                  </w:pPr>
                  <w:r>
                    <w:rPr>
                      <w:color w:val="auto"/>
                      <w:highlight w:val="none"/>
                    </w:rPr>
                    <w:t>运行时段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620" w:type="dxa"/>
                  <w:vMerge w:val="continue"/>
                  <w:tcBorders>
                    <w:tl2br w:val="nil"/>
                    <w:tr2bl w:val="nil"/>
                  </w:tcBorders>
                  <w:vAlign w:val="center"/>
                </w:tcPr>
                <w:p>
                  <w:pPr>
                    <w:pStyle w:val="22"/>
                    <w:bidi w:val="0"/>
                    <w:rPr>
                      <w:color w:val="auto"/>
                      <w:highlight w:val="none"/>
                    </w:rPr>
                  </w:pPr>
                </w:p>
              </w:tc>
              <w:tc>
                <w:tcPr>
                  <w:tcW w:w="1188" w:type="dxa"/>
                  <w:vMerge w:val="continue"/>
                  <w:tcBorders>
                    <w:tl2br w:val="nil"/>
                    <w:tr2bl w:val="nil"/>
                  </w:tcBorders>
                  <w:vAlign w:val="center"/>
                </w:tcPr>
                <w:p>
                  <w:pPr>
                    <w:pStyle w:val="22"/>
                    <w:bidi w:val="0"/>
                    <w:rPr>
                      <w:color w:val="auto"/>
                      <w:highlight w:val="none"/>
                    </w:rPr>
                  </w:pPr>
                </w:p>
              </w:tc>
              <w:tc>
                <w:tcPr>
                  <w:tcW w:w="1004" w:type="dxa"/>
                  <w:vMerge w:val="continue"/>
                  <w:tcBorders>
                    <w:tl2br w:val="nil"/>
                    <w:tr2bl w:val="nil"/>
                  </w:tcBorders>
                  <w:vAlign w:val="center"/>
                </w:tcPr>
                <w:p>
                  <w:pPr>
                    <w:pStyle w:val="22"/>
                    <w:bidi w:val="0"/>
                    <w:rPr>
                      <w:color w:val="auto"/>
                      <w:highlight w:val="none"/>
                    </w:rPr>
                  </w:pPr>
                </w:p>
              </w:tc>
              <w:tc>
                <w:tcPr>
                  <w:tcW w:w="899" w:type="dxa"/>
                  <w:tcBorders>
                    <w:tl2br w:val="nil"/>
                    <w:tr2bl w:val="nil"/>
                  </w:tcBorders>
                  <w:vAlign w:val="center"/>
                </w:tcPr>
                <w:p>
                  <w:pPr>
                    <w:pStyle w:val="25"/>
                    <w:bidi w:val="0"/>
                    <w:rPr>
                      <w:rFonts w:hint="default"/>
                      <w:color w:val="auto"/>
                      <w:highlight w:val="none"/>
                    </w:rPr>
                  </w:pPr>
                  <w:r>
                    <w:rPr>
                      <w:color w:val="auto"/>
                      <w:highlight w:val="none"/>
                    </w:rPr>
                    <w:t>X</w:t>
                  </w:r>
                </w:p>
              </w:tc>
              <w:tc>
                <w:tcPr>
                  <w:tcW w:w="899" w:type="dxa"/>
                  <w:tcBorders>
                    <w:tl2br w:val="nil"/>
                    <w:tr2bl w:val="nil"/>
                  </w:tcBorders>
                  <w:vAlign w:val="center"/>
                </w:tcPr>
                <w:p>
                  <w:pPr>
                    <w:pStyle w:val="25"/>
                    <w:bidi w:val="0"/>
                    <w:rPr>
                      <w:rFonts w:hint="default"/>
                      <w:color w:val="auto"/>
                      <w:highlight w:val="none"/>
                    </w:rPr>
                  </w:pPr>
                  <w:r>
                    <w:rPr>
                      <w:color w:val="auto"/>
                      <w:highlight w:val="none"/>
                    </w:rPr>
                    <w:t>Y</w:t>
                  </w:r>
                </w:p>
              </w:tc>
              <w:tc>
                <w:tcPr>
                  <w:tcW w:w="904" w:type="dxa"/>
                  <w:tcBorders>
                    <w:tl2br w:val="nil"/>
                    <w:tr2bl w:val="nil"/>
                  </w:tcBorders>
                  <w:vAlign w:val="center"/>
                </w:tcPr>
                <w:p>
                  <w:pPr>
                    <w:pStyle w:val="25"/>
                    <w:bidi w:val="0"/>
                    <w:rPr>
                      <w:rFonts w:hint="default"/>
                      <w:color w:val="auto"/>
                      <w:highlight w:val="none"/>
                    </w:rPr>
                  </w:pPr>
                  <w:r>
                    <w:rPr>
                      <w:color w:val="auto"/>
                      <w:highlight w:val="none"/>
                    </w:rPr>
                    <w:t>Z</w:t>
                  </w:r>
                </w:p>
              </w:tc>
              <w:tc>
                <w:tcPr>
                  <w:tcW w:w="2295" w:type="dxa"/>
                  <w:tcBorders>
                    <w:tl2br w:val="nil"/>
                    <w:tr2bl w:val="nil"/>
                  </w:tcBorders>
                  <w:vAlign w:val="center"/>
                </w:tcPr>
                <w:p>
                  <w:pPr>
                    <w:pStyle w:val="25"/>
                    <w:bidi w:val="0"/>
                    <w:rPr>
                      <w:rFonts w:hint="default"/>
                      <w:color w:val="auto"/>
                      <w:highlight w:val="none"/>
                    </w:rPr>
                  </w:pPr>
                  <w:r>
                    <w:rPr>
                      <w:color w:val="auto"/>
                      <w:highlight w:val="none"/>
                    </w:rPr>
                    <w:t>（距离声源距离）/（dB（A）/m）</w:t>
                  </w:r>
                </w:p>
              </w:tc>
              <w:tc>
                <w:tcPr>
                  <w:tcW w:w="1307" w:type="dxa"/>
                  <w:tcBorders>
                    <w:tl2br w:val="nil"/>
                    <w:tr2bl w:val="nil"/>
                  </w:tcBorders>
                  <w:vAlign w:val="center"/>
                </w:tcPr>
                <w:p>
                  <w:pPr>
                    <w:pStyle w:val="25"/>
                    <w:bidi w:val="0"/>
                    <w:rPr>
                      <w:color w:val="auto"/>
                      <w:highlight w:val="none"/>
                    </w:rPr>
                  </w:pPr>
                  <w:r>
                    <w:rPr>
                      <w:rFonts w:hint="eastAsia"/>
                      <w:color w:val="auto"/>
                      <w:highlight w:val="none"/>
                    </w:rPr>
                    <w:t>声功率级/dB(A)</w:t>
                  </w:r>
                </w:p>
              </w:tc>
              <w:tc>
                <w:tcPr>
                  <w:tcW w:w="2398" w:type="dxa"/>
                  <w:vMerge w:val="continue"/>
                  <w:tcBorders>
                    <w:tl2br w:val="nil"/>
                    <w:tr2bl w:val="nil"/>
                  </w:tcBorders>
                  <w:vAlign w:val="center"/>
                </w:tcPr>
                <w:p>
                  <w:pPr>
                    <w:pStyle w:val="22"/>
                    <w:bidi w:val="0"/>
                    <w:rPr>
                      <w:color w:val="auto"/>
                      <w:highlight w:val="none"/>
                    </w:rPr>
                  </w:pPr>
                </w:p>
              </w:tc>
              <w:tc>
                <w:tcPr>
                  <w:tcW w:w="1001" w:type="dxa"/>
                  <w:vMerge w:val="continue"/>
                  <w:tcBorders>
                    <w:tl2br w:val="nil"/>
                    <w:tr2bl w:val="nil"/>
                  </w:tcBorders>
                  <w:vAlign w:val="center"/>
                </w:tcPr>
                <w:p>
                  <w:pPr>
                    <w:pStyle w:val="22"/>
                    <w:bidi w:val="0"/>
                    <w:rPr>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620" w:type="dxa"/>
                  <w:tcBorders>
                    <w:tl2br w:val="nil"/>
                    <w:tr2bl w:val="nil"/>
                  </w:tcBorders>
                  <w:vAlign w:val="center"/>
                </w:tcPr>
                <w:p>
                  <w:pPr>
                    <w:pStyle w:val="22"/>
                    <w:bidi w:val="0"/>
                    <w:rPr>
                      <w:color w:val="auto"/>
                      <w:highlight w:val="none"/>
                    </w:rPr>
                  </w:pPr>
                  <w:r>
                    <w:rPr>
                      <w:rFonts w:hint="eastAsia"/>
                      <w:color w:val="auto"/>
                      <w:highlight w:val="none"/>
                    </w:rPr>
                    <w:t>1</w:t>
                  </w:r>
                </w:p>
              </w:tc>
              <w:tc>
                <w:tcPr>
                  <w:tcW w:w="1188" w:type="dxa"/>
                  <w:tcBorders>
                    <w:tl2br w:val="nil"/>
                    <w:tr2bl w:val="nil"/>
                  </w:tcBorders>
                  <w:vAlign w:val="center"/>
                </w:tcPr>
                <w:p>
                  <w:pPr>
                    <w:pStyle w:val="22"/>
                    <w:bidi w:val="0"/>
                    <w:rPr>
                      <w:color w:val="auto"/>
                      <w:highlight w:val="none"/>
                    </w:rPr>
                  </w:pPr>
                  <w:r>
                    <w:rPr>
                      <w:rFonts w:hint="eastAsia"/>
                      <w:color w:val="auto"/>
                      <w:highlight w:val="none"/>
                    </w:rPr>
                    <w:t>运输车辆</w:t>
                  </w:r>
                </w:p>
              </w:tc>
              <w:tc>
                <w:tcPr>
                  <w:tcW w:w="1004" w:type="dxa"/>
                  <w:tcBorders>
                    <w:tl2br w:val="nil"/>
                    <w:tr2bl w:val="nil"/>
                  </w:tcBorders>
                  <w:vAlign w:val="center"/>
                </w:tcPr>
                <w:p>
                  <w:pPr>
                    <w:pStyle w:val="22"/>
                    <w:bidi w:val="0"/>
                    <w:rPr>
                      <w:rFonts w:hint="eastAsia" w:eastAsiaTheme="minorEastAsia"/>
                      <w:color w:val="auto"/>
                      <w:highlight w:val="none"/>
                      <w:lang w:val="en-US" w:eastAsia="zh-CN"/>
                    </w:rPr>
                  </w:pPr>
                  <w:r>
                    <w:rPr>
                      <w:rFonts w:hint="eastAsia"/>
                      <w:color w:val="auto"/>
                      <w:highlight w:val="none"/>
                      <w:lang w:val="en-US" w:eastAsia="zh-CN"/>
                    </w:rPr>
                    <w:t>/</w:t>
                  </w:r>
                </w:p>
              </w:tc>
              <w:tc>
                <w:tcPr>
                  <w:tcW w:w="899"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454</w:t>
                  </w:r>
                </w:p>
              </w:tc>
              <w:tc>
                <w:tcPr>
                  <w:tcW w:w="899"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489</w:t>
                  </w:r>
                </w:p>
              </w:tc>
              <w:tc>
                <w:tcPr>
                  <w:tcW w:w="904"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0.2</w:t>
                  </w:r>
                </w:p>
              </w:tc>
              <w:tc>
                <w:tcPr>
                  <w:tcW w:w="2295"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454</w:t>
                  </w:r>
                </w:p>
              </w:tc>
              <w:tc>
                <w:tcPr>
                  <w:tcW w:w="1307"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80</w:t>
                  </w:r>
                </w:p>
              </w:tc>
              <w:tc>
                <w:tcPr>
                  <w:tcW w:w="2398" w:type="dxa"/>
                  <w:tcBorders>
                    <w:tl2br w:val="nil"/>
                    <w:tr2bl w:val="nil"/>
                  </w:tcBorders>
                  <w:vAlign w:val="center"/>
                </w:tcPr>
                <w:p>
                  <w:pPr>
                    <w:pStyle w:val="22"/>
                    <w:bidi w:val="0"/>
                    <w:rPr>
                      <w:color w:val="auto"/>
                      <w:highlight w:val="none"/>
                    </w:rPr>
                  </w:pPr>
                  <w:r>
                    <w:rPr>
                      <w:rFonts w:hint="eastAsia"/>
                      <w:color w:val="auto"/>
                      <w:highlight w:val="none"/>
                    </w:rPr>
                    <w:t>减少鸣笛、低速行驶</w:t>
                  </w:r>
                  <w:r>
                    <w:rPr>
                      <w:rFonts w:hint="eastAsia"/>
                      <w:color w:val="auto"/>
                      <w:highlight w:val="none"/>
                      <w:lang w:eastAsia="zh-CN"/>
                    </w:rPr>
                    <w:t>，</w:t>
                  </w:r>
                  <w:r>
                    <w:rPr>
                      <w:rFonts w:hint="eastAsia"/>
                      <w:color w:val="auto"/>
                      <w:highlight w:val="none"/>
                    </w:rPr>
                    <w:t>在装卸区作业时处于熄火状态等</w:t>
                  </w:r>
                </w:p>
              </w:tc>
              <w:tc>
                <w:tcPr>
                  <w:tcW w:w="1001" w:type="dxa"/>
                  <w:tcBorders>
                    <w:tl2br w:val="nil"/>
                    <w:tr2bl w:val="nil"/>
                  </w:tcBorders>
                  <w:vAlign w:val="center"/>
                </w:tcPr>
                <w:p>
                  <w:pPr>
                    <w:pStyle w:val="22"/>
                    <w:bidi w:val="0"/>
                    <w:rPr>
                      <w:color w:val="auto"/>
                      <w:highlight w:val="none"/>
                    </w:rPr>
                  </w:pPr>
                  <w:r>
                    <w:rPr>
                      <w:rFonts w:hint="eastAsia"/>
                      <w:color w:val="auto"/>
                      <w:highlight w:val="none"/>
                    </w:rPr>
                    <w:t>昼间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620"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2</w:t>
                  </w:r>
                </w:p>
              </w:tc>
              <w:tc>
                <w:tcPr>
                  <w:tcW w:w="1188"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排风扇</w:t>
                  </w:r>
                </w:p>
              </w:tc>
              <w:tc>
                <w:tcPr>
                  <w:tcW w:w="1004"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w:t>
                  </w:r>
                </w:p>
              </w:tc>
              <w:tc>
                <w:tcPr>
                  <w:tcW w:w="899"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434.6</w:t>
                  </w:r>
                </w:p>
              </w:tc>
              <w:tc>
                <w:tcPr>
                  <w:tcW w:w="899"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482</w:t>
                  </w:r>
                </w:p>
              </w:tc>
              <w:tc>
                <w:tcPr>
                  <w:tcW w:w="904"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0.3</w:t>
                  </w:r>
                </w:p>
              </w:tc>
              <w:tc>
                <w:tcPr>
                  <w:tcW w:w="2295"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434.6</w:t>
                  </w:r>
                </w:p>
              </w:tc>
              <w:tc>
                <w:tcPr>
                  <w:tcW w:w="1307"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40</w:t>
                  </w:r>
                </w:p>
              </w:tc>
              <w:tc>
                <w:tcPr>
                  <w:tcW w:w="2398" w:type="dxa"/>
                  <w:tcBorders>
                    <w:tl2br w:val="nil"/>
                    <w:tr2bl w:val="nil"/>
                  </w:tcBorders>
                  <w:vAlign w:val="center"/>
                </w:tcPr>
                <w:p>
                  <w:pPr>
                    <w:pStyle w:val="22"/>
                    <w:bidi w:val="0"/>
                    <w:rPr>
                      <w:rFonts w:hint="eastAsia"/>
                      <w:color w:val="auto"/>
                      <w:highlight w:val="none"/>
                    </w:rPr>
                  </w:pPr>
                  <w:r>
                    <w:rPr>
                      <w:rFonts w:hint="eastAsia"/>
                      <w:color w:val="auto"/>
                      <w:highlight w:val="none"/>
                    </w:rPr>
                    <w:t>低噪声设备、基础减振</w:t>
                  </w:r>
                </w:p>
              </w:tc>
              <w:tc>
                <w:tcPr>
                  <w:tcW w:w="1001" w:type="dxa"/>
                  <w:tcBorders>
                    <w:tl2br w:val="nil"/>
                    <w:tr2bl w:val="nil"/>
                  </w:tcBorders>
                  <w:vAlign w:val="center"/>
                </w:tcPr>
                <w:p>
                  <w:pPr>
                    <w:pStyle w:val="22"/>
                    <w:bidi w:val="0"/>
                    <w:rPr>
                      <w:rFonts w:hint="eastAsia" w:eastAsiaTheme="minorEastAsia"/>
                      <w:color w:val="auto"/>
                      <w:highlight w:val="none"/>
                      <w:lang w:eastAsia="zh-CN"/>
                    </w:rPr>
                  </w:pPr>
                  <w:r>
                    <w:rPr>
                      <w:rFonts w:hint="eastAsia"/>
                      <w:color w:val="auto"/>
                      <w:highlight w:val="none"/>
                      <w:lang w:eastAsia="zh-CN"/>
                    </w:rPr>
                    <w:t>昼夜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Ex>
              <w:trPr>
                <w:trHeight w:val="90" w:hRule="atLeast"/>
                <w:jc w:val="center"/>
              </w:trPr>
              <w:tc>
                <w:tcPr>
                  <w:tcW w:w="12515" w:type="dxa"/>
                  <w:gridSpan w:val="10"/>
                  <w:tcBorders>
                    <w:tl2br w:val="nil"/>
                    <w:tr2bl w:val="nil"/>
                  </w:tcBorders>
                  <w:vAlign w:val="center"/>
                </w:tcPr>
                <w:p>
                  <w:pPr>
                    <w:pStyle w:val="22"/>
                    <w:bidi w:val="0"/>
                    <w:jc w:val="both"/>
                    <w:rPr>
                      <w:rFonts w:hint="eastAsia"/>
                      <w:color w:val="auto"/>
                      <w:highlight w:val="none"/>
                      <w:lang w:eastAsia="zh-CN"/>
                    </w:rPr>
                  </w:pPr>
                  <w:r>
                    <w:rPr>
                      <w:rFonts w:hint="eastAsia"/>
                      <w:color w:val="auto"/>
                      <w:highlight w:val="none"/>
                      <w:lang w:eastAsia="zh-CN"/>
                    </w:rPr>
                    <w:t>注：以主要生产区左下角为（</w:t>
                  </w:r>
                  <w:r>
                    <w:rPr>
                      <w:rFonts w:hint="eastAsia"/>
                      <w:color w:val="auto"/>
                      <w:highlight w:val="none"/>
                      <w:lang w:val="en-US" w:eastAsia="zh-CN"/>
                    </w:rPr>
                    <w:t>0，0，0</w:t>
                  </w:r>
                  <w:r>
                    <w:rPr>
                      <w:rFonts w:hint="eastAsia"/>
                      <w:color w:val="auto"/>
                      <w:highlight w:val="none"/>
                      <w:lang w:eastAsia="zh-CN"/>
                    </w:rPr>
                    <w:t>）</w:t>
                  </w:r>
                </w:p>
              </w:tc>
            </w:tr>
          </w:tbl>
          <w:p>
            <w:pPr>
              <w:pStyle w:val="23"/>
              <w:numPr>
                <w:ilvl w:val="0"/>
                <w:numId w:val="2"/>
              </w:numPr>
              <w:bidi w:val="0"/>
              <w:rPr>
                <w:color w:val="auto"/>
                <w:highlight w:val="none"/>
              </w:rPr>
            </w:pPr>
            <w:r>
              <w:rPr>
                <w:rFonts w:hint="eastAsia"/>
                <w:color w:val="auto"/>
                <w:highlight w:val="none"/>
                <w:lang w:val="en-US" w:eastAsia="zh-CN"/>
              </w:rPr>
              <w:t xml:space="preserve">   </w:t>
            </w:r>
            <w:r>
              <w:rPr>
                <w:color w:val="auto"/>
                <w:highlight w:val="none"/>
              </w:rPr>
              <w:t>噪声</w:t>
            </w:r>
            <w:r>
              <w:rPr>
                <w:rFonts w:hint="eastAsia"/>
                <w:color w:val="auto"/>
                <w:highlight w:val="none"/>
              </w:rPr>
              <w:t>达标分析表</w:t>
            </w:r>
          </w:p>
          <w:tbl>
            <w:tblPr>
              <w:tblStyle w:val="15"/>
              <w:tblW w:w="1251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0"/>
              <w:gridCol w:w="1373"/>
              <w:gridCol w:w="1373"/>
              <w:gridCol w:w="1373"/>
              <w:gridCol w:w="1375"/>
              <w:gridCol w:w="1317"/>
              <w:gridCol w:w="1325"/>
              <w:gridCol w:w="1317"/>
              <w:gridCol w:w="13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40" w:type="dxa"/>
                  <w:vMerge w:val="restart"/>
                  <w:tcBorders>
                    <w:tl2br w:val="nil"/>
                    <w:tr2bl w:val="nil"/>
                  </w:tcBorders>
                  <w:vAlign w:val="center"/>
                </w:tcPr>
                <w:p>
                  <w:pPr>
                    <w:pStyle w:val="25"/>
                    <w:bidi w:val="0"/>
                    <w:rPr>
                      <w:rFonts w:hint="default"/>
                      <w:color w:val="auto"/>
                      <w:highlight w:val="none"/>
                    </w:rPr>
                  </w:pPr>
                  <w:r>
                    <w:rPr>
                      <w:rFonts w:hint="default"/>
                      <w:color w:val="auto"/>
                      <w:highlight w:val="none"/>
                    </w:rPr>
                    <w:t>位置</w:t>
                  </w:r>
                </w:p>
              </w:tc>
              <w:tc>
                <w:tcPr>
                  <w:tcW w:w="2746" w:type="dxa"/>
                  <w:gridSpan w:val="2"/>
                  <w:tcBorders>
                    <w:tl2br w:val="nil"/>
                    <w:tr2bl w:val="nil"/>
                  </w:tcBorders>
                  <w:vAlign w:val="center"/>
                </w:tcPr>
                <w:p>
                  <w:pPr>
                    <w:pStyle w:val="25"/>
                    <w:bidi w:val="0"/>
                    <w:rPr>
                      <w:rFonts w:hint="default"/>
                      <w:color w:val="auto"/>
                      <w:highlight w:val="none"/>
                    </w:rPr>
                  </w:pPr>
                  <w:r>
                    <w:rPr>
                      <w:rFonts w:hint="eastAsia"/>
                      <w:color w:val="auto"/>
                      <w:highlight w:val="none"/>
                      <w:lang w:val="en-US" w:eastAsia="zh-CN"/>
                    </w:rPr>
                    <w:t>背景值</w:t>
                  </w:r>
                </w:p>
              </w:tc>
              <w:tc>
                <w:tcPr>
                  <w:tcW w:w="2748" w:type="dxa"/>
                  <w:gridSpan w:val="2"/>
                  <w:tcBorders>
                    <w:tl2br w:val="nil"/>
                    <w:tr2bl w:val="nil"/>
                  </w:tcBorders>
                  <w:vAlign w:val="center"/>
                </w:tcPr>
                <w:p>
                  <w:pPr>
                    <w:pStyle w:val="25"/>
                    <w:bidi w:val="0"/>
                    <w:rPr>
                      <w:rFonts w:hint="default"/>
                      <w:color w:val="auto"/>
                      <w:highlight w:val="none"/>
                    </w:rPr>
                  </w:pPr>
                  <w:r>
                    <w:rPr>
                      <w:rFonts w:hint="eastAsia"/>
                      <w:color w:val="auto"/>
                      <w:highlight w:val="none"/>
                      <w:lang w:eastAsia="zh-CN"/>
                    </w:rPr>
                    <w:t>本项目噪声贡献值</w:t>
                  </w:r>
                </w:p>
              </w:tc>
              <w:tc>
                <w:tcPr>
                  <w:tcW w:w="2642" w:type="dxa"/>
                  <w:gridSpan w:val="2"/>
                  <w:tcBorders>
                    <w:tl2br w:val="nil"/>
                    <w:tr2bl w:val="nil"/>
                  </w:tcBorders>
                  <w:vAlign w:val="center"/>
                </w:tcPr>
                <w:p>
                  <w:pPr>
                    <w:pStyle w:val="25"/>
                    <w:bidi w:val="0"/>
                    <w:rPr>
                      <w:rFonts w:hint="default"/>
                      <w:color w:val="auto"/>
                      <w:highlight w:val="none"/>
                    </w:rPr>
                  </w:pPr>
                  <w:r>
                    <w:rPr>
                      <w:color w:val="auto"/>
                      <w:highlight w:val="none"/>
                    </w:rPr>
                    <w:t>标准值</w:t>
                  </w:r>
                </w:p>
              </w:tc>
              <w:tc>
                <w:tcPr>
                  <w:tcW w:w="2639" w:type="dxa"/>
                  <w:gridSpan w:val="2"/>
                  <w:tcBorders>
                    <w:tl2br w:val="nil"/>
                    <w:tr2bl w:val="nil"/>
                  </w:tcBorders>
                  <w:vAlign w:val="center"/>
                </w:tcPr>
                <w:p>
                  <w:pPr>
                    <w:pStyle w:val="25"/>
                    <w:bidi w:val="0"/>
                    <w:rPr>
                      <w:rFonts w:hint="default"/>
                      <w:color w:val="auto"/>
                      <w:highlight w:val="none"/>
                    </w:rPr>
                  </w:pPr>
                  <w:r>
                    <w:rPr>
                      <w:color w:val="auto"/>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9" w:hRule="atLeast"/>
                <w:jc w:val="center"/>
              </w:trPr>
              <w:tc>
                <w:tcPr>
                  <w:tcW w:w="1740" w:type="dxa"/>
                  <w:vMerge w:val="continue"/>
                  <w:tcBorders>
                    <w:tl2br w:val="nil"/>
                    <w:tr2bl w:val="nil"/>
                  </w:tcBorders>
                  <w:vAlign w:val="center"/>
                </w:tcPr>
                <w:p>
                  <w:pPr>
                    <w:pStyle w:val="25"/>
                    <w:bidi w:val="0"/>
                    <w:rPr>
                      <w:color w:val="auto"/>
                      <w:highlight w:val="none"/>
                    </w:rPr>
                  </w:pPr>
                </w:p>
              </w:tc>
              <w:tc>
                <w:tcPr>
                  <w:tcW w:w="1373" w:type="dxa"/>
                  <w:tcBorders>
                    <w:tl2br w:val="nil"/>
                    <w:tr2bl w:val="nil"/>
                  </w:tcBorders>
                  <w:vAlign w:val="center"/>
                </w:tcPr>
                <w:p>
                  <w:pPr>
                    <w:pStyle w:val="25"/>
                    <w:bidi w:val="0"/>
                    <w:rPr>
                      <w:rFonts w:hint="default" w:ascii="Times New Roman" w:hAnsi="Times New Roman" w:cs="Times New Roman" w:eastAsiaTheme="minorEastAsia"/>
                      <w:b/>
                      <w:color w:val="auto"/>
                      <w:kern w:val="2"/>
                      <w:sz w:val="21"/>
                      <w:szCs w:val="21"/>
                      <w:highlight w:val="none"/>
                      <w:lang w:val="en-US" w:eastAsia="zh-CN" w:bidi="ar-SA"/>
                    </w:rPr>
                  </w:pPr>
                  <w:r>
                    <w:rPr>
                      <w:color w:val="auto"/>
                      <w:highlight w:val="none"/>
                    </w:rPr>
                    <w:t>昼间</w:t>
                  </w:r>
                </w:p>
              </w:tc>
              <w:tc>
                <w:tcPr>
                  <w:tcW w:w="1373" w:type="dxa"/>
                  <w:tcBorders>
                    <w:tl2br w:val="nil"/>
                    <w:tr2bl w:val="nil"/>
                  </w:tcBorders>
                  <w:vAlign w:val="center"/>
                </w:tcPr>
                <w:p>
                  <w:pPr>
                    <w:pStyle w:val="25"/>
                    <w:bidi w:val="0"/>
                    <w:rPr>
                      <w:rFonts w:hint="default" w:ascii="Times New Roman" w:hAnsi="Times New Roman" w:cs="Times New Roman" w:eastAsiaTheme="minorEastAsia"/>
                      <w:b/>
                      <w:color w:val="auto"/>
                      <w:kern w:val="2"/>
                      <w:sz w:val="21"/>
                      <w:szCs w:val="21"/>
                      <w:highlight w:val="none"/>
                      <w:lang w:val="en-US" w:eastAsia="zh-CN" w:bidi="ar-SA"/>
                    </w:rPr>
                  </w:pPr>
                  <w:r>
                    <w:rPr>
                      <w:color w:val="auto"/>
                      <w:highlight w:val="none"/>
                    </w:rPr>
                    <w:t>夜间</w:t>
                  </w:r>
                </w:p>
              </w:tc>
              <w:tc>
                <w:tcPr>
                  <w:tcW w:w="1373" w:type="dxa"/>
                  <w:tcBorders>
                    <w:tl2br w:val="nil"/>
                    <w:tr2bl w:val="nil"/>
                  </w:tcBorders>
                  <w:vAlign w:val="center"/>
                </w:tcPr>
                <w:p>
                  <w:pPr>
                    <w:pStyle w:val="25"/>
                    <w:bidi w:val="0"/>
                    <w:rPr>
                      <w:rFonts w:hint="default" w:ascii="Times New Roman" w:hAnsi="Times New Roman" w:cs="Times New Roman" w:eastAsiaTheme="minorEastAsia"/>
                      <w:b/>
                      <w:color w:val="auto"/>
                      <w:kern w:val="2"/>
                      <w:sz w:val="21"/>
                      <w:szCs w:val="21"/>
                      <w:highlight w:val="none"/>
                      <w:lang w:val="en-US" w:eastAsia="zh-CN" w:bidi="ar-SA"/>
                    </w:rPr>
                  </w:pPr>
                  <w:r>
                    <w:rPr>
                      <w:color w:val="auto"/>
                      <w:highlight w:val="none"/>
                    </w:rPr>
                    <w:t>昼间</w:t>
                  </w:r>
                </w:p>
              </w:tc>
              <w:tc>
                <w:tcPr>
                  <w:tcW w:w="1375" w:type="dxa"/>
                  <w:tcBorders>
                    <w:tl2br w:val="nil"/>
                    <w:tr2bl w:val="nil"/>
                  </w:tcBorders>
                  <w:vAlign w:val="center"/>
                </w:tcPr>
                <w:p>
                  <w:pPr>
                    <w:pStyle w:val="25"/>
                    <w:bidi w:val="0"/>
                    <w:rPr>
                      <w:rFonts w:hint="default" w:ascii="Times New Roman" w:hAnsi="Times New Roman" w:cs="Times New Roman" w:eastAsiaTheme="minorEastAsia"/>
                      <w:b/>
                      <w:color w:val="auto"/>
                      <w:kern w:val="2"/>
                      <w:sz w:val="21"/>
                      <w:szCs w:val="21"/>
                      <w:highlight w:val="none"/>
                      <w:lang w:val="en-US" w:eastAsia="zh-CN" w:bidi="ar-SA"/>
                    </w:rPr>
                  </w:pPr>
                  <w:r>
                    <w:rPr>
                      <w:color w:val="auto"/>
                      <w:highlight w:val="none"/>
                    </w:rPr>
                    <w:t>夜间</w:t>
                  </w:r>
                </w:p>
              </w:tc>
              <w:tc>
                <w:tcPr>
                  <w:tcW w:w="1317" w:type="dxa"/>
                  <w:tcBorders>
                    <w:tl2br w:val="nil"/>
                    <w:tr2bl w:val="nil"/>
                  </w:tcBorders>
                  <w:vAlign w:val="center"/>
                </w:tcPr>
                <w:p>
                  <w:pPr>
                    <w:pStyle w:val="25"/>
                    <w:bidi w:val="0"/>
                    <w:rPr>
                      <w:rFonts w:hint="default"/>
                      <w:color w:val="auto"/>
                      <w:highlight w:val="none"/>
                    </w:rPr>
                  </w:pPr>
                  <w:r>
                    <w:rPr>
                      <w:rFonts w:hint="default"/>
                      <w:color w:val="auto"/>
                      <w:highlight w:val="none"/>
                    </w:rPr>
                    <w:t>昼间</w:t>
                  </w:r>
                </w:p>
              </w:tc>
              <w:tc>
                <w:tcPr>
                  <w:tcW w:w="1325" w:type="dxa"/>
                  <w:tcBorders>
                    <w:tl2br w:val="nil"/>
                    <w:tr2bl w:val="nil"/>
                  </w:tcBorders>
                  <w:vAlign w:val="center"/>
                </w:tcPr>
                <w:p>
                  <w:pPr>
                    <w:pStyle w:val="25"/>
                    <w:bidi w:val="0"/>
                    <w:rPr>
                      <w:rFonts w:hint="default"/>
                      <w:color w:val="auto"/>
                      <w:highlight w:val="none"/>
                    </w:rPr>
                  </w:pPr>
                  <w:r>
                    <w:rPr>
                      <w:color w:val="auto"/>
                      <w:highlight w:val="none"/>
                    </w:rPr>
                    <w:t>夜间</w:t>
                  </w:r>
                </w:p>
              </w:tc>
              <w:tc>
                <w:tcPr>
                  <w:tcW w:w="1317" w:type="dxa"/>
                  <w:tcBorders>
                    <w:tl2br w:val="nil"/>
                    <w:tr2bl w:val="nil"/>
                  </w:tcBorders>
                  <w:vAlign w:val="center"/>
                </w:tcPr>
                <w:p>
                  <w:pPr>
                    <w:pStyle w:val="25"/>
                    <w:bidi w:val="0"/>
                    <w:rPr>
                      <w:rFonts w:hint="default"/>
                      <w:color w:val="auto"/>
                      <w:highlight w:val="none"/>
                    </w:rPr>
                  </w:pPr>
                  <w:r>
                    <w:rPr>
                      <w:rFonts w:hint="default"/>
                      <w:color w:val="auto"/>
                      <w:highlight w:val="none"/>
                    </w:rPr>
                    <w:t>昼间</w:t>
                  </w:r>
                </w:p>
              </w:tc>
              <w:tc>
                <w:tcPr>
                  <w:tcW w:w="1322" w:type="dxa"/>
                  <w:tcBorders>
                    <w:tl2br w:val="nil"/>
                    <w:tr2bl w:val="nil"/>
                  </w:tcBorders>
                  <w:vAlign w:val="center"/>
                </w:tcPr>
                <w:p>
                  <w:pPr>
                    <w:pStyle w:val="25"/>
                    <w:bidi w:val="0"/>
                    <w:rPr>
                      <w:rFonts w:hint="default"/>
                      <w:color w:val="auto"/>
                      <w:highlight w:val="none"/>
                    </w:rPr>
                  </w:pPr>
                  <w:r>
                    <w:rPr>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1" w:hRule="atLeast"/>
                <w:jc w:val="center"/>
              </w:trPr>
              <w:tc>
                <w:tcPr>
                  <w:tcW w:w="1740" w:type="dxa"/>
                  <w:tcBorders>
                    <w:tl2br w:val="nil"/>
                    <w:tr2bl w:val="nil"/>
                  </w:tcBorders>
                  <w:vAlign w:val="center"/>
                </w:tcPr>
                <w:p>
                  <w:pPr>
                    <w:pStyle w:val="22"/>
                    <w:bidi w:val="0"/>
                    <w:rPr>
                      <w:color w:val="auto"/>
                      <w:highlight w:val="none"/>
                    </w:rPr>
                  </w:pPr>
                  <w:r>
                    <w:rPr>
                      <w:color w:val="auto"/>
                      <w:highlight w:val="none"/>
                    </w:rPr>
                    <w:t>东厂界</w:t>
                  </w:r>
                </w:p>
              </w:tc>
              <w:tc>
                <w:tcPr>
                  <w:tcW w:w="1373" w:type="dxa"/>
                  <w:tcBorders>
                    <w:tl2br w:val="nil"/>
                    <w:tr2bl w:val="nil"/>
                  </w:tcBorders>
                  <w:vAlign w:val="center"/>
                </w:tcPr>
                <w:p>
                  <w:pPr>
                    <w:pStyle w:val="22"/>
                    <w:bidi w:val="0"/>
                    <w:rPr>
                      <w:color w:val="auto"/>
                      <w:highlight w:val="none"/>
                    </w:rPr>
                  </w:pPr>
                  <w:r>
                    <w:rPr>
                      <w:rFonts w:hint="eastAsia" w:ascii="Times New Roman" w:hAnsi="Times New Roman" w:cs="Times New Roman"/>
                      <w:color w:val="auto"/>
                      <w:highlight w:val="none"/>
                      <w:lang w:val="en-US" w:eastAsia="zh-CN"/>
                    </w:rPr>
                    <w:t>46</w:t>
                  </w:r>
                </w:p>
              </w:tc>
              <w:tc>
                <w:tcPr>
                  <w:tcW w:w="1373" w:type="dxa"/>
                  <w:tcBorders>
                    <w:tl2br w:val="nil"/>
                    <w:tr2bl w:val="nil"/>
                  </w:tcBorders>
                  <w:vAlign w:val="center"/>
                </w:tcPr>
                <w:p>
                  <w:pPr>
                    <w:pStyle w:val="22"/>
                    <w:rPr>
                      <w:color w:val="auto"/>
                      <w:highlight w:val="none"/>
                    </w:rPr>
                  </w:pPr>
                  <w:r>
                    <w:rPr>
                      <w:rFonts w:hint="eastAsia" w:ascii="Times New Roman" w:hAnsi="Times New Roman" w:cs="Times New Roman"/>
                      <w:color w:val="auto"/>
                      <w:highlight w:val="none"/>
                      <w:lang w:val="en-US" w:eastAsia="zh-CN"/>
                    </w:rPr>
                    <w:t>42</w:t>
                  </w:r>
                </w:p>
              </w:tc>
              <w:tc>
                <w:tcPr>
                  <w:tcW w:w="1373"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21</w:t>
                  </w:r>
                </w:p>
              </w:tc>
              <w:tc>
                <w:tcPr>
                  <w:tcW w:w="1375" w:type="dxa"/>
                  <w:tcBorders>
                    <w:tl2br w:val="nil"/>
                    <w:tr2bl w:val="nil"/>
                  </w:tcBorders>
                  <w:shd w:val="clear" w:color="auto" w:fill="auto"/>
                  <w:vAlign w:val="center"/>
                </w:tcPr>
                <w:p>
                  <w:pPr>
                    <w:pStyle w:val="22"/>
                    <w:bidi w:val="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21</w:t>
                  </w:r>
                </w:p>
              </w:tc>
              <w:tc>
                <w:tcPr>
                  <w:tcW w:w="1317"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60</w:t>
                  </w:r>
                </w:p>
              </w:tc>
              <w:tc>
                <w:tcPr>
                  <w:tcW w:w="1325"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50</w:t>
                  </w:r>
                </w:p>
              </w:tc>
              <w:tc>
                <w:tcPr>
                  <w:tcW w:w="1317" w:type="dxa"/>
                  <w:tcBorders>
                    <w:tl2br w:val="nil"/>
                    <w:tr2bl w:val="nil"/>
                  </w:tcBorders>
                  <w:vAlign w:val="center"/>
                </w:tcPr>
                <w:p>
                  <w:pPr>
                    <w:pStyle w:val="22"/>
                    <w:bidi w:val="0"/>
                    <w:rPr>
                      <w:color w:val="auto"/>
                      <w:highlight w:val="none"/>
                    </w:rPr>
                  </w:pPr>
                  <w:r>
                    <w:rPr>
                      <w:rFonts w:hint="eastAsia"/>
                      <w:color w:val="auto"/>
                      <w:highlight w:val="none"/>
                    </w:rPr>
                    <w:t>达标</w:t>
                  </w:r>
                </w:p>
              </w:tc>
              <w:tc>
                <w:tcPr>
                  <w:tcW w:w="1322" w:type="dxa"/>
                  <w:tcBorders>
                    <w:tl2br w:val="nil"/>
                    <w:tr2bl w:val="nil"/>
                  </w:tcBorders>
                  <w:vAlign w:val="center"/>
                </w:tcPr>
                <w:p>
                  <w:pPr>
                    <w:pStyle w:val="22"/>
                    <w:bidi w:val="0"/>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9" w:hRule="atLeast"/>
                <w:jc w:val="center"/>
              </w:trPr>
              <w:tc>
                <w:tcPr>
                  <w:tcW w:w="1740" w:type="dxa"/>
                  <w:tcBorders>
                    <w:tl2br w:val="nil"/>
                    <w:tr2bl w:val="nil"/>
                  </w:tcBorders>
                  <w:vAlign w:val="center"/>
                </w:tcPr>
                <w:p>
                  <w:pPr>
                    <w:pStyle w:val="22"/>
                    <w:bidi w:val="0"/>
                    <w:rPr>
                      <w:color w:val="auto"/>
                      <w:highlight w:val="none"/>
                    </w:rPr>
                  </w:pPr>
                  <w:r>
                    <w:rPr>
                      <w:color w:val="auto"/>
                      <w:highlight w:val="none"/>
                    </w:rPr>
                    <w:t>南厂界</w:t>
                  </w:r>
                </w:p>
              </w:tc>
              <w:tc>
                <w:tcPr>
                  <w:tcW w:w="1373" w:type="dxa"/>
                  <w:tcBorders>
                    <w:tl2br w:val="nil"/>
                    <w:tr2bl w:val="nil"/>
                  </w:tcBorders>
                  <w:vAlign w:val="center"/>
                </w:tcPr>
                <w:p>
                  <w:pPr>
                    <w:pStyle w:val="22"/>
                    <w:bidi w:val="0"/>
                    <w:rPr>
                      <w:color w:val="auto"/>
                      <w:highlight w:val="none"/>
                    </w:rPr>
                  </w:pPr>
                  <w:r>
                    <w:rPr>
                      <w:rFonts w:hint="eastAsia" w:ascii="Times New Roman" w:hAnsi="Times New Roman" w:cs="Times New Roman"/>
                      <w:color w:val="auto"/>
                      <w:highlight w:val="none"/>
                      <w:lang w:val="en-US" w:eastAsia="zh-CN"/>
                    </w:rPr>
                    <w:t>45</w:t>
                  </w:r>
                </w:p>
              </w:tc>
              <w:tc>
                <w:tcPr>
                  <w:tcW w:w="1373" w:type="dxa"/>
                  <w:tcBorders>
                    <w:tl2br w:val="nil"/>
                    <w:tr2bl w:val="nil"/>
                  </w:tcBorders>
                  <w:vAlign w:val="center"/>
                </w:tcPr>
                <w:p>
                  <w:pPr>
                    <w:pStyle w:val="22"/>
                    <w:rPr>
                      <w:color w:val="auto"/>
                      <w:highlight w:val="none"/>
                    </w:rPr>
                  </w:pPr>
                  <w:r>
                    <w:rPr>
                      <w:rFonts w:hint="eastAsia" w:ascii="Times New Roman" w:hAnsi="Times New Roman" w:cs="Times New Roman"/>
                      <w:color w:val="auto"/>
                      <w:highlight w:val="none"/>
                      <w:lang w:val="en-US" w:eastAsia="zh-CN"/>
                    </w:rPr>
                    <w:t>41</w:t>
                  </w:r>
                </w:p>
              </w:tc>
              <w:tc>
                <w:tcPr>
                  <w:tcW w:w="1373"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33</w:t>
                  </w:r>
                </w:p>
              </w:tc>
              <w:tc>
                <w:tcPr>
                  <w:tcW w:w="1375" w:type="dxa"/>
                  <w:tcBorders>
                    <w:tl2br w:val="nil"/>
                    <w:tr2bl w:val="nil"/>
                  </w:tcBorders>
                  <w:shd w:val="clear" w:color="auto" w:fill="auto"/>
                  <w:vAlign w:val="center"/>
                </w:tcPr>
                <w:p>
                  <w:pPr>
                    <w:pStyle w:val="22"/>
                    <w:bidi w:val="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33</w:t>
                  </w:r>
                </w:p>
              </w:tc>
              <w:tc>
                <w:tcPr>
                  <w:tcW w:w="1317"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60</w:t>
                  </w:r>
                </w:p>
              </w:tc>
              <w:tc>
                <w:tcPr>
                  <w:tcW w:w="1325"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50</w:t>
                  </w:r>
                </w:p>
              </w:tc>
              <w:tc>
                <w:tcPr>
                  <w:tcW w:w="1317" w:type="dxa"/>
                  <w:tcBorders>
                    <w:tl2br w:val="nil"/>
                    <w:tr2bl w:val="nil"/>
                  </w:tcBorders>
                  <w:vAlign w:val="center"/>
                </w:tcPr>
                <w:p>
                  <w:pPr>
                    <w:pStyle w:val="22"/>
                    <w:bidi w:val="0"/>
                    <w:rPr>
                      <w:color w:val="auto"/>
                      <w:highlight w:val="none"/>
                    </w:rPr>
                  </w:pPr>
                  <w:r>
                    <w:rPr>
                      <w:rFonts w:hint="eastAsia"/>
                      <w:color w:val="auto"/>
                      <w:highlight w:val="none"/>
                    </w:rPr>
                    <w:t>达标</w:t>
                  </w:r>
                </w:p>
              </w:tc>
              <w:tc>
                <w:tcPr>
                  <w:tcW w:w="1322" w:type="dxa"/>
                  <w:tcBorders>
                    <w:tl2br w:val="nil"/>
                    <w:tr2bl w:val="nil"/>
                  </w:tcBorders>
                  <w:vAlign w:val="center"/>
                </w:tcPr>
                <w:p>
                  <w:pPr>
                    <w:pStyle w:val="22"/>
                    <w:bidi w:val="0"/>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9" w:hRule="atLeast"/>
                <w:jc w:val="center"/>
              </w:trPr>
              <w:tc>
                <w:tcPr>
                  <w:tcW w:w="1740" w:type="dxa"/>
                  <w:tcBorders>
                    <w:tl2br w:val="nil"/>
                    <w:tr2bl w:val="nil"/>
                  </w:tcBorders>
                  <w:vAlign w:val="center"/>
                </w:tcPr>
                <w:p>
                  <w:pPr>
                    <w:pStyle w:val="22"/>
                    <w:bidi w:val="0"/>
                    <w:rPr>
                      <w:color w:val="auto"/>
                      <w:highlight w:val="none"/>
                    </w:rPr>
                  </w:pPr>
                  <w:r>
                    <w:rPr>
                      <w:color w:val="auto"/>
                      <w:highlight w:val="none"/>
                    </w:rPr>
                    <w:t>西厂界</w:t>
                  </w:r>
                </w:p>
              </w:tc>
              <w:tc>
                <w:tcPr>
                  <w:tcW w:w="1373" w:type="dxa"/>
                  <w:tcBorders>
                    <w:tl2br w:val="nil"/>
                    <w:tr2bl w:val="nil"/>
                  </w:tcBorders>
                  <w:vAlign w:val="center"/>
                </w:tcPr>
                <w:p>
                  <w:pPr>
                    <w:pStyle w:val="22"/>
                    <w:bidi w:val="0"/>
                    <w:rPr>
                      <w:color w:val="auto"/>
                      <w:highlight w:val="none"/>
                    </w:rPr>
                  </w:pPr>
                  <w:r>
                    <w:rPr>
                      <w:rFonts w:hint="eastAsia" w:ascii="Times New Roman" w:hAnsi="Times New Roman" w:cs="Times New Roman"/>
                      <w:color w:val="auto"/>
                      <w:highlight w:val="none"/>
                      <w:lang w:val="en-US" w:eastAsia="zh-CN"/>
                    </w:rPr>
                    <w:t>44</w:t>
                  </w:r>
                </w:p>
              </w:tc>
              <w:tc>
                <w:tcPr>
                  <w:tcW w:w="1373" w:type="dxa"/>
                  <w:tcBorders>
                    <w:tl2br w:val="nil"/>
                    <w:tr2bl w:val="nil"/>
                  </w:tcBorders>
                  <w:vAlign w:val="center"/>
                </w:tcPr>
                <w:p>
                  <w:pPr>
                    <w:pStyle w:val="22"/>
                    <w:rPr>
                      <w:color w:val="auto"/>
                      <w:highlight w:val="none"/>
                    </w:rPr>
                  </w:pPr>
                  <w:r>
                    <w:rPr>
                      <w:rFonts w:hint="eastAsia" w:ascii="Times New Roman" w:hAnsi="Times New Roman" w:cs="Times New Roman"/>
                      <w:color w:val="auto"/>
                      <w:highlight w:val="none"/>
                      <w:lang w:val="en-US" w:eastAsia="zh-CN"/>
                    </w:rPr>
                    <w:t>40</w:t>
                  </w:r>
                </w:p>
              </w:tc>
              <w:tc>
                <w:tcPr>
                  <w:tcW w:w="1373"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20</w:t>
                  </w:r>
                </w:p>
              </w:tc>
              <w:tc>
                <w:tcPr>
                  <w:tcW w:w="1375" w:type="dxa"/>
                  <w:tcBorders>
                    <w:tl2br w:val="nil"/>
                    <w:tr2bl w:val="nil"/>
                  </w:tcBorders>
                  <w:shd w:val="clear" w:color="auto" w:fill="auto"/>
                  <w:vAlign w:val="center"/>
                </w:tcPr>
                <w:p>
                  <w:pPr>
                    <w:pStyle w:val="22"/>
                    <w:bidi w:val="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20</w:t>
                  </w:r>
                </w:p>
              </w:tc>
              <w:tc>
                <w:tcPr>
                  <w:tcW w:w="1317"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60</w:t>
                  </w:r>
                </w:p>
              </w:tc>
              <w:tc>
                <w:tcPr>
                  <w:tcW w:w="1325"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50</w:t>
                  </w:r>
                </w:p>
              </w:tc>
              <w:tc>
                <w:tcPr>
                  <w:tcW w:w="1317" w:type="dxa"/>
                  <w:tcBorders>
                    <w:tl2br w:val="nil"/>
                    <w:tr2bl w:val="nil"/>
                  </w:tcBorders>
                  <w:vAlign w:val="center"/>
                </w:tcPr>
                <w:p>
                  <w:pPr>
                    <w:pStyle w:val="22"/>
                    <w:bidi w:val="0"/>
                    <w:rPr>
                      <w:color w:val="auto"/>
                      <w:highlight w:val="none"/>
                    </w:rPr>
                  </w:pPr>
                  <w:r>
                    <w:rPr>
                      <w:rFonts w:hint="eastAsia"/>
                      <w:color w:val="auto"/>
                      <w:highlight w:val="none"/>
                    </w:rPr>
                    <w:t>达标</w:t>
                  </w:r>
                </w:p>
              </w:tc>
              <w:tc>
                <w:tcPr>
                  <w:tcW w:w="1322" w:type="dxa"/>
                  <w:tcBorders>
                    <w:tl2br w:val="nil"/>
                    <w:tr2bl w:val="nil"/>
                  </w:tcBorders>
                  <w:vAlign w:val="center"/>
                </w:tcPr>
                <w:p>
                  <w:pPr>
                    <w:pStyle w:val="22"/>
                    <w:bidi w:val="0"/>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3" w:hRule="atLeast"/>
                <w:jc w:val="center"/>
              </w:trPr>
              <w:tc>
                <w:tcPr>
                  <w:tcW w:w="1740" w:type="dxa"/>
                  <w:tcBorders>
                    <w:tl2br w:val="nil"/>
                    <w:tr2bl w:val="nil"/>
                  </w:tcBorders>
                  <w:vAlign w:val="center"/>
                </w:tcPr>
                <w:p>
                  <w:pPr>
                    <w:pStyle w:val="22"/>
                    <w:bidi w:val="0"/>
                    <w:rPr>
                      <w:color w:val="auto"/>
                      <w:highlight w:val="none"/>
                    </w:rPr>
                  </w:pPr>
                  <w:r>
                    <w:rPr>
                      <w:color w:val="auto"/>
                      <w:highlight w:val="none"/>
                    </w:rPr>
                    <w:t>北厂界</w:t>
                  </w:r>
                </w:p>
              </w:tc>
              <w:tc>
                <w:tcPr>
                  <w:tcW w:w="1373" w:type="dxa"/>
                  <w:tcBorders>
                    <w:tl2br w:val="nil"/>
                    <w:tr2bl w:val="nil"/>
                  </w:tcBorders>
                  <w:vAlign w:val="center"/>
                </w:tcPr>
                <w:p>
                  <w:pPr>
                    <w:pStyle w:val="22"/>
                    <w:bidi w:val="0"/>
                    <w:rPr>
                      <w:color w:val="auto"/>
                      <w:highlight w:val="none"/>
                    </w:rPr>
                  </w:pPr>
                  <w:r>
                    <w:rPr>
                      <w:rFonts w:hint="eastAsia" w:ascii="Times New Roman" w:hAnsi="Times New Roman" w:cs="Times New Roman"/>
                      <w:color w:val="auto"/>
                      <w:highlight w:val="none"/>
                      <w:lang w:val="en-US" w:eastAsia="zh-CN"/>
                    </w:rPr>
                    <w:t>43</w:t>
                  </w:r>
                </w:p>
              </w:tc>
              <w:tc>
                <w:tcPr>
                  <w:tcW w:w="1373" w:type="dxa"/>
                  <w:tcBorders>
                    <w:tl2br w:val="nil"/>
                    <w:tr2bl w:val="nil"/>
                  </w:tcBorders>
                  <w:vAlign w:val="center"/>
                </w:tcPr>
                <w:p>
                  <w:pPr>
                    <w:pStyle w:val="22"/>
                    <w:rPr>
                      <w:color w:val="auto"/>
                      <w:highlight w:val="none"/>
                    </w:rPr>
                  </w:pPr>
                  <w:r>
                    <w:rPr>
                      <w:rFonts w:hint="eastAsia" w:ascii="Times New Roman" w:hAnsi="Times New Roman" w:cs="Times New Roman"/>
                      <w:color w:val="auto"/>
                      <w:highlight w:val="none"/>
                      <w:lang w:val="en-US" w:eastAsia="zh-CN"/>
                    </w:rPr>
                    <w:t>40</w:t>
                  </w:r>
                </w:p>
              </w:tc>
              <w:tc>
                <w:tcPr>
                  <w:tcW w:w="1373"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34</w:t>
                  </w:r>
                </w:p>
              </w:tc>
              <w:tc>
                <w:tcPr>
                  <w:tcW w:w="1375" w:type="dxa"/>
                  <w:tcBorders>
                    <w:tl2br w:val="nil"/>
                    <w:tr2bl w:val="nil"/>
                  </w:tcBorders>
                  <w:shd w:val="clear" w:color="auto" w:fill="auto"/>
                  <w:vAlign w:val="center"/>
                </w:tcPr>
                <w:p>
                  <w:pPr>
                    <w:pStyle w:val="22"/>
                    <w:bidi w:val="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34</w:t>
                  </w:r>
                </w:p>
              </w:tc>
              <w:tc>
                <w:tcPr>
                  <w:tcW w:w="1317"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60</w:t>
                  </w:r>
                </w:p>
              </w:tc>
              <w:tc>
                <w:tcPr>
                  <w:tcW w:w="1325"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50</w:t>
                  </w:r>
                </w:p>
              </w:tc>
              <w:tc>
                <w:tcPr>
                  <w:tcW w:w="1317" w:type="dxa"/>
                  <w:tcBorders>
                    <w:tl2br w:val="nil"/>
                    <w:tr2bl w:val="nil"/>
                  </w:tcBorders>
                  <w:vAlign w:val="center"/>
                </w:tcPr>
                <w:p>
                  <w:pPr>
                    <w:pStyle w:val="22"/>
                    <w:bidi w:val="0"/>
                    <w:rPr>
                      <w:color w:val="auto"/>
                      <w:highlight w:val="none"/>
                    </w:rPr>
                  </w:pPr>
                  <w:r>
                    <w:rPr>
                      <w:rFonts w:hint="eastAsia"/>
                      <w:color w:val="auto"/>
                      <w:highlight w:val="none"/>
                    </w:rPr>
                    <w:t>达标</w:t>
                  </w:r>
                </w:p>
              </w:tc>
              <w:tc>
                <w:tcPr>
                  <w:tcW w:w="1322" w:type="dxa"/>
                  <w:tcBorders>
                    <w:tl2br w:val="nil"/>
                    <w:tr2bl w:val="nil"/>
                  </w:tcBorders>
                  <w:vAlign w:val="center"/>
                </w:tcPr>
                <w:p>
                  <w:pPr>
                    <w:pStyle w:val="22"/>
                    <w:bidi w:val="0"/>
                    <w:rPr>
                      <w:color w:val="auto"/>
                      <w:highlight w:val="none"/>
                    </w:rPr>
                  </w:pPr>
                  <w:r>
                    <w:rPr>
                      <w:rFonts w:hint="eastAsia"/>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3" w:hRule="atLeast"/>
                <w:jc w:val="center"/>
              </w:trPr>
              <w:tc>
                <w:tcPr>
                  <w:tcW w:w="1740" w:type="dxa"/>
                  <w:tcBorders>
                    <w:tl2br w:val="nil"/>
                    <w:tr2bl w:val="nil"/>
                  </w:tcBorders>
                  <w:vAlign w:val="center"/>
                </w:tcPr>
                <w:p>
                  <w:pPr>
                    <w:pStyle w:val="22"/>
                    <w:bidi w:val="0"/>
                    <w:rPr>
                      <w:color w:val="auto"/>
                      <w:highlight w:val="none"/>
                    </w:rPr>
                  </w:pPr>
                  <w:r>
                    <w:rPr>
                      <w:rFonts w:hint="eastAsia" w:ascii="Times New Roman" w:hAnsi="Times New Roman" w:cs="Times New Roman"/>
                      <w:color w:val="auto"/>
                      <w:highlight w:val="none"/>
                      <w:lang w:val="en-US" w:eastAsia="zh-CN"/>
                    </w:rPr>
                    <w:t>楼上村</w:t>
                  </w:r>
                </w:p>
              </w:tc>
              <w:tc>
                <w:tcPr>
                  <w:tcW w:w="1373" w:type="dxa"/>
                  <w:tcBorders>
                    <w:tl2br w:val="nil"/>
                    <w:tr2bl w:val="nil"/>
                  </w:tcBorders>
                  <w:vAlign w:val="center"/>
                </w:tcPr>
                <w:p>
                  <w:pPr>
                    <w:pStyle w:val="22"/>
                    <w:bidi w:val="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45</w:t>
                  </w:r>
                </w:p>
              </w:tc>
              <w:tc>
                <w:tcPr>
                  <w:tcW w:w="1373" w:type="dxa"/>
                  <w:tcBorders>
                    <w:tl2br w:val="nil"/>
                    <w:tr2bl w:val="nil"/>
                  </w:tcBorders>
                  <w:vAlign w:val="center"/>
                </w:tcPr>
                <w:p>
                  <w:pPr>
                    <w:pStyle w:val="22"/>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40</w:t>
                  </w:r>
                </w:p>
              </w:tc>
              <w:tc>
                <w:tcPr>
                  <w:tcW w:w="1373"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33</w:t>
                  </w:r>
                </w:p>
              </w:tc>
              <w:tc>
                <w:tcPr>
                  <w:tcW w:w="1375" w:type="dxa"/>
                  <w:tcBorders>
                    <w:tl2br w:val="nil"/>
                    <w:tr2bl w:val="nil"/>
                  </w:tcBorders>
                  <w:vAlign w:val="center"/>
                </w:tcPr>
                <w:p>
                  <w:pPr>
                    <w:pStyle w:val="22"/>
                    <w:bidi w:val="0"/>
                    <w:rPr>
                      <w:rFonts w:hint="default" w:eastAsiaTheme="minorEastAsia"/>
                      <w:color w:val="auto"/>
                      <w:highlight w:val="none"/>
                      <w:lang w:val="en-US" w:eastAsia="zh-CN"/>
                    </w:rPr>
                  </w:pPr>
                  <w:r>
                    <w:rPr>
                      <w:rFonts w:hint="eastAsia"/>
                      <w:color w:val="auto"/>
                      <w:highlight w:val="none"/>
                      <w:lang w:val="en-US" w:eastAsia="zh-CN"/>
                    </w:rPr>
                    <w:t>33</w:t>
                  </w:r>
                </w:p>
              </w:tc>
              <w:tc>
                <w:tcPr>
                  <w:tcW w:w="1317"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60</w:t>
                  </w:r>
                </w:p>
              </w:tc>
              <w:tc>
                <w:tcPr>
                  <w:tcW w:w="1325"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50</w:t>
                  </w:r>
                </w:p>
              </w:tc>
              <w:tc>
                <w:tcPr>
                  <w:tcW w:w="1317"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达标</w:t>
                  </w:r>
                </w:p>
              </w:tc>
              <w:tc>
                <w:tcPr>
                  <w:tcW w:w="1322" w:type="dxa"/>
                  <w:tcBorders>
                    <w:tl2br w:val="nil"/>
                    <w:tr2bl w:val="nil"/>
                  </w:tcBorders>
                  <w:shd w:val="clear" w:color="auto" w:fill="auto"/>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达标</w:t>
                  </w:r>
                </w:p>
              </w:tc>
            </w:tr>
          </w:tbl>
          <w:p>
            <w:pPr>
              <w:pStyle w:val="12"/>
              <w:ind w:firstLine="480"/>
              <w:jc w:val="both"/>
              <w:rPr>
                <w:rFonts w:hint="default"/>
                <w:color w:val="auto"/>
                <w:highlight w:val="none"/>
                <w:lang w:val="en-US"/>
              </w:rPr>
            </w:pPr>
            <w:r>
              <w:rPr>
                <w:color w:val="auto"/>
                <w:highlight w:val="none"/>
              </w:rPr>
              <w:t>由上表可见</w:t>
            </w:r>
            <w:r>
              <w:rPr>
                <w:rFonts w:hint="eastAsia"/>
                <w:color w:val="auto"/>
                <w:highlight w:val="none"/>
                <w:lang w:eastAsia="zh-CN"/>
              </w:rPr>
              <w:t>，</w:t>
            </w:r>
            <w:r>
              <w:rPr>
                <w:color w:val="auto"/>
                <w:highlight w:val="none"/>
              </w:rPr>
              <w:t>经过厂区距离衰减</w:t>
            </w:r>
            <w:r>
              <w:rPr>
                <w:rFonts w:hint="eastAsia"/>
                <w:color w:val="auto"/>
                <w:highlight w:val="none"/>
                <w:lang w:eastAsia="zh-CN"/>
              </w:rPr>
              <w:t>，</w:t>
            </w:r>
            <w:r>
              <w:rPr>
                <w:color w:val="auto"/>
                <w:highlight w:val="none"/>
              </w:rPr>
              <w:t>采取</w:t>
            </w:r>
            <w:r>
              <w:rPr>
                <w:rFonts w:hint="eastAsia"/>
                <w:color w:val="auto"/>
                <w:highlight w:val="none"/>
              </w:rPr>
              <w:t>选用低噪声设备、基础减振</w:t>
            </w:r>
            <w:r>
              <w:rPr>
                <w:color w:val="auto"/>
                <w:highlight w:val="none"/>
              </w:rPr>
              <w:t>等措施后</w:t>
            </w:r>
            <w:r>
              <w:rPr>
                <w:rFonts w:hint="eastAsia"/>
                <w:color w:val="auto"/>
                <w:highlight w:val="none"/>
                <w:lang w:eastAsia="zh-CN"/>
              </w:rPr>
              <w:t>，本项目</w:t>
            </w:r>
            <w:r>
              <w:rPr>
                <w:rFonts w:hint="eastAsia"/>
                <w:color w:val="auto"/>
                <w:highlight w:val="none"/>
              </w:rPr>
              <w:t>东、西、南、北</w:t>
            </w:r>
            <w:r>
              <w:rPr>
                <w:color w:val="auto"/>
                <w:highlight w:val="none"/>
              </w:rPr>
              <w:t>厂界噪声</w:t>
            </w:r>
            <w:r>
              <w:rPr>
                <w:rFonts w:hint="eastAsia"/>
                <w:color w:val="auto"/>
                <w:highlight w:val="none"/>
                <w:lang w:eastAsia="zh-CN"/>
              </w:rPr>
              <w:t>贡献值</w:t>
            </w:r>
            <w:r>
              <w:rPr>
                <w:rFonts w:hint="eastAsia"/>
                <w:color w:val="auto"/>
                <w:highlight w:val="none"/>
              </w:rPr>
              <w:t>符合《工业企业厂界环境噪声排放标准》（GB12348-2008）中</w:t>
            </w:r>
            <w:r>
              <w:rPr>
                <w:rFonts w:hint="eastAsia"/>
                <w:color w:val="auto"/>
                <w:highlight w:val="none"/>
                <w:lang w:val="en-US" w:eastAsia="zh-CN"/>
              </w:rPr>
              <w:t>2</w:t>
            </w:r>
            <w:r>
              <w:rPr>
                <w:rFonts w:hint="eastAsia"/>
                <w:color w:val="auto"/>
                <w:highlight w:val="none"/>
              </w:rPr>
              <w:t>类标准[昼间6</w:t>
            </w:r>
            <w:r>
              <w:rPr>
                <w:rFonts w:hint="eastAsia"/>
                <w:color w:val="auto"/>
                <w:highlight w:val="none"/>
                <w:lang w:val="en-US" w:eastAsia="zh-CN"/>
              </w:rPr>
              <w:t>0</w:t>
            </w:r>
            <w:r>
              <w:rPr>
                <w:rFonts w:hint="eastAsia"/>
                <w:color w:val="auto"/>
                <w:highlight w:val="none"/>
              </w:rPr>
              <w:t>dB(A)、夜间</w:t>
            </w:r>
            <w:r>
              <w:rPr>
                <w:rFonts w:hint="eastAsia"/>
                <w:color w:val="auto"/>
                <w:highlight w:val="none"/>
                <w:lang w:val="en-US" w:eastAsia="zh-CN"/>
              </w:rPr>
              <w:t>50</w:t>
            </w:r>
            <w:r>
              <w:rPr>
                <w:rFonts w:hint="eastAsia"/>
                <w:color w:val="auto"/>
                <w:highlight w:val="none"/>
              </w:rPr>
              <w:t>dB(A)]</w:t>
            </w:r>
            <w:r>
              <w:rPr>
                <w:rFonts w:hint="eastAsia"/>
                <w:color w:val="auto"/>
                <w:highlight w:val="none"/>
                <w:lang w:eastAsia="zh-CN"/>
              </w:rPr>
              <w:t>。</w:t>
            </w:r>
            <w:r>
              <w:rPr>
                <w:rFonts w:hint="eastAsia"/>
                <w:color w:val="auto"/>
                <w:highlight w:val="none"/>
              </w:rPr>
              <w:t>本</w:t>
            </w:r>
            <w:r>
              <w:rPr>
                <w:color w:val="auto"/>
                <w:highlight w:val="none"/>
              </w:rPr>
              <w:t>项目建设对周围声环境影响较小</w:t>
            </w:r>
            <w:r>
              <w:rPr>
                <w:rFonts w:hint="eastAsia"/>
                <w:color w:val="auto"/>
                <w:highlight w:val="none"/>
                <w:lang w:eastAsia="zh-CN"/>
              </w:rPr>
              <w:t>。</w:t>
            </w:r>
          </w:p>
        </w:tc>
      </w:tr>
    </w:tbl>
    <w:p>
      <w:pPr>
        <w:rPr>
          <w:color w:val="auto"/>
          <w:highlight w:val="none"/>
        </w:rPr>
        <w:sectPr>
          <w:pgSz w:w="16840" w:h="11907" w:orient="landscape"/>
          <w:pgMar w:top="1531" w:right="1701" w:bottom="1531" w:left="2127" w:header="851" w:footer="851" w:gutter="0"/>
          <w:pgBorders>
            <w:top w:val="none" w:sz="0" w:space="0"/>
            <w:left w:val="none" w:sz="0" w:space="0"/>
            <w:bottom w:val="none" w:sz="0" w:space="0"/>
            <w:right w:val="none" w:sz="0" w:space="0"/>
          </w:pgBorders>
          <w:cols w:space="720" w:num="1"/>
          <w:docGrid w:linePitch="312" w:charSpace="0"/>
        </w:sectPr>
      </w:pPr>
    </w:p>
    <w:tbl>
      <w:tblPr>
        <w:tblStyle w:val="15"/>
        <w:tblW w:w="8981"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6"/>
        <w:gridCol w:w="840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750" w:hRule="atLeast"/>
          <w:jc w:val="center"/>
        </w:trPr>
        <w:tc>
          <w:tcPr>
            <w:tcW w:w="576" w:type="dxa"/>
            <w:tcMar>
              <w:left w:w="28" w:type="dxa"/>
              <w:right w:w="28" w:type="dxa"/>
            </w:tcMar>
            <w:vAlign w:val="center"/>
          </w:tcPr>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运营</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期环</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境影</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响和</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保护</w:t>
            </w:r>
          </w:p>
          <w:p>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措施</w:t>
            </w:r>
          </w:p>
        </w:tc>
        <w:tc>
          <w:tcPr>
            <w:tcW w:w="8405" w:type="dxa"/>
            <w:vAlign w:val="center"/>
          </w:tcPr>
          <w:p>
            <w:pPr>
              <w:pStyle w:val="12"/>
              <w:ind w:firstLine="480"/>
              <w:rPr>
                <w:color w:val="auto"/>
                <w:highlight w:val="none"/>
              </w:rPr>
            </w:pPr>
            <w:r>
              <w:rPr>
                <w:rFonts w:hint="eastAsia"/>
                <w:color w:val="auto"/>
                <w:highlight w:val="none"/>
              </w:rPr>
              <w:t>3.3</w:t>
            </w:r>
            <w:r>
              <w:rPr>
                <w:color w:val="auto"/>
                <w:highlight w:val="none"/>
              </w:rPr>
              <w:t>监测</w:t>
            </w:r>
            <w:r>
              <w:rPr>
                <w:rFonts w:hint="eastAsia"/>
                <w:color w:val="auto"/>
                <w:highlight w:val="none"/>
              </w:rPr>
              <w:t>计划</w:t>
            </w:r>
          </w:p>
          <w:p>
            <w:pPr>
              <w:pStyle w:val="12"/>
              <w:ind w:firstLine="480"/>
              <w:rPr>
                <w:color w:val="auto"/>
                <w:highlight w:val="none"/>
              </w:rPr>
            </w:pPr>
            <w:r>
              <w:rPr>
                <w:rFonts w:hint="eastAsia"/>
                <w:color w:val="auto"/>
                <w:highlight w:val="none"/>
              </w:rPr>
              <w:t>参照《排污单位自行监测技术指南总则》（HJ819-2017）的要求</w:t>
            </w:r>
            <w:r>
              <w:rPr>
                <w:rFonts w:hint="eastAsia"/>
                <w:color w:val="auto"/>
                <w:highlight w:val="none"/>
                <w:lang w:eastAsia="zh-CN"/>
              </w:rPr>
              <w:t>，</w:t>
            </w:r>
            <w:r>
              <w:rPr>
                <w:color w:val="auto"/>
                <w:highlight w:val="none"/>
              </w:rPr>
              <w:t>企业可参照下表制定监测计划。</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 xml:space="preserve">  污染源监测计划</w:t>
            </w:r>
          </w:p>
          <w:tbl>
            <w:tblPr>
              <w:tblStyle w:val="15"/>
              <w:tblW w:w="8186"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97"/>
              <w:gridCol w:w="1297"/>
              <w:gridCol w:w="1297"/>
              <w:gridCol w:w="1301"/>
              <w:gridCol w:w="299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97" w:type="dxa"/>
                  <w:vAlign w:val="center"/>
                </w:tcPr>
                <w:p>
                  <w:pPr>
                    <w:pStyle w:val="25"/>
                    <w:rPr>
                      <w:rFonts w:hint="default"/>
                      <w:color w:val="auto"/>
                      <w:highlight w:val="none"/>
                    </w:rPr>
                  </w:pPr>
                  <w:r>
                    <w:rPr>
                      <w:rFonts w:hint="default"/>
                      <w:color w:val="auto"/>
                      <w:highlight w:val="none"/>
                    </w:rPr>
                    <w:t>监测要素</w:t>
                  </w:r>
                </w:p>
              </w:tc>
              <w:tc>
                <w:tcPr>
                  <w:tcW w:w="1297" w:type="dxa"/>
                  <w:vAlign w:val="center"/>
                </w:tcPr>
                <w:p>
                  <w:pPr>
                    <w:pStyle w:val="25"/>
                    <w:rPr>
                      <w:rFonts w:hint="default"/>
                      <w:color w:val="auto"/>
                      <w:highlight w:val="none"/>
                    </w:rPr>
                  </w:pPr>
                  <w:r>
                    <w:rPr>
                      <w:rFonts w:hint="default"/>
                      <w:color w:val="auto"/>
                      <w:highlight w:val="none"/>
                    </w:rPr>
                    <w:t>监测点位</w:t>
                  </w:r>
                </w:p>
              </w:tc>
              <w:tc>
                <w:tcPr>
                  <w:tcW w:w="1297" w:type="dxa"/>
                  <w:vAlign w:val="center"/>
                </w:tcPr>
                <w:p>
                  <w:pPr>
                    <w:pStyle w:val="25"/>
                    <w:rPr>
                      <w:rFonts w:hint="default"/>
                      <w:color w:val="auto"/>
                      <w:highlight w:val="none"/>
                    </w:rPr>
                  </w:pPr>
                  <w:r>
                    <w:rPr>
                      <w:rFonts w:hint="default"/>
                      <w:color w:val="auto"/>
                      <w:highlight w:val="none"/>
                    </w:rPr>
                    <w:t>监测项目</w:t>
                  </w:r>
                </w:p>
              </w:tc>
              <w:tc>
                <w:tcPr>
                  <w:tcW w:w="1301" w:type="dxa"/>
                  <w:vAlign w:val="center"/>
                </w:tcPr>
                <w:p>
                  <w:pPr>
                    <w:pStyle w:val="25"/>
                    <w:rPr>
                      <w:rFonts w:hint="default"/>
                      <w:color w:val="auto"/>
                      <w:highlight w:val="none"/>
                    </w:rPr>
                  </w:pPr>
                  <w:r>
                    <w:rPr>
                      <w:rFonts w:hint="default"/>
                      <w:color w:val="auto"/>
                      <w:highlight w:val="none"/>
                    </w:rPr>
                    <w:t>监测频次</w:t>
                  </w:r>
                </w:p>
              </w:tc>
              <w:tc>
                <w:tcPr>
                  <w:tcW w:w="2994" w:type="dxa"/>
                </w:tcPr>
                <w:p>
                  <w:pPr>
                    <w:pStyle w:val="25"/>
                    <w:rPr>
                      <w:rFonts w:hint="default"/>
                      <w:color w:val="auto"/>
                      <w:highlight w:val="none"/>
                    </w:rPr>
                  </w:pPr>
                  <w:r>
                    <w:rPr>
                      <w:rFonts w:hint="default"/>
                      <w:color w:val="auto"/>
                      <w:highlight w:val="none"/>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1297" w:type="dxa"/>
                  <w:vAlign w:val="center"/>
                </w:tcPr>
                <w:p>
                  <w:pPr>
                    <w:pStyle w:val="22"/>
                    <w:rPr>
                      <w:color w:val="auto"/>
                      <w:highlight w:val="none"/>
                    </w:rPr>
                  </w:pPr>
                  <w:r>
                    <w:rPr>
                      <w:color w:val="auto"/>
                      <w:highlight w:val="none"/>
                    </w:rPr>
                    <w:t>噪声</w:t>
                  </w:r>
                </w:p>
              </w:tc>
              <w:tc>
                <w:tcPr>
                  <w:tcW w:w="1297" w:type="dxa"/>
                  <w:vAlign w:val="center"/>
                </w:tcPr>
                <w:p>
                  <w:pPr>
                    <w:pStyle w:val="22"/>
                    <w:rPr>
                      <w:color w:val="auto"/>
                      <w:highlight w:val="none"/>
                    </w:rPr>
                  </w:pPr>
                  <w:r>
                    <w:rPr>
                      <w:color w:val="auto"/>
                      <w:highlight w:val="none"/>
                    </w:rPr>
                    <w:t>四周厂界外1米</w:t>
                  </w:r>
                </w:p>
              </w:tc>
              <w:tc>
                <w:tcPr>
                  <w:tcW w:w="1297" w:type="dxa"/>
                  <w:vAlign w:val="center"/>
                </w:tcPr>
                <w:p>
                  <w:pPr>
                    <w:pStyle w:val="22"/>
                    <w:rPr>
                      <w:color w:val="auto"/>
                      <w:highlight w:val="none"/>
                    </w:rPr>
                  </w:pPr>
                  <w:r>
                    <w:rPr>
                      <w:color w:val="auto"/>
                      <w:highlight w:val="none"/>
                    </w:rPr>
                    <w:t>等效连续A声级</w:t>
                  </w:r>
                </w:p>
              </w:tc>
              <w:tc>
                <w:tcPr>
                  <w:tcW w:w="1301" w:type="dxa"/>
                  <w:vAlign w:val="center"/>
                </w:tcPr>
                <w:p>
                  <w:pPr>
                    <w:pStyle w:val="22"/>
                    <w:rPr>
                      <w:color w:val="auto"/>
                      <w:highlight w:val="none"/>
                    </w:rPr>
                  </w:pPr>
                  <w:r>
                    <w:rPr>
                      <w:color w:val="auto"/>
                      <w:highlight w:val="none"/>
                    </w:rPr>
                    <w:t>1次/季</w:t>
                  </w:r>
                </w:p>
              </w:tc>
              <w:tc>
                <w:tcPr>
                  <w:tcW w:w="2994" w:type="dxa"/>
                  <w:vAlign w:val="center"/>
                </w:tcPr>
                <w:p>
                  <w:pPr>
                    <w:pStyle w:val="22"/>
                    <w:rPr>
                      <w:color w:val="auto"/>
                      <w:highlight w:val="none"/>
                    </w:rPr>
                  </w:pPr>
                  <w:r>
                    <w:rPr>
                      <w:color w:val="auto"/>
                      <w:highlight w:val="none"/>
                    </w:rPr>
                    <w:t>监测频率参照</w:t>
                  </w:r>
                  <w:r>
                    <w:rPr>
                      <w:rFonts w:hint="eastAsia"/>
                      <w:color w:val="auto"/>
                      <w:highlight w:val="none"/>
                    </w:rPr>
                    <w:t>《排污单位自行监测技术指南总则》（HJ819-2017）</w:t>
                  </w:r>
                </w:p>
              </w:tc>
            </w:tr>
          </w:tbl>
          <w:p>
            <w:pPr>
              <w:pStyle w:val="12"/>
              <w:ind w:firstLine="480"/>
              <w:rPr>
                <w:color w:val="auto"/>
                <w:highlight w:val="none"/>
              </w:rPr>
            </w:pPr>
            <w:r>
              <w:rPr>
                <w:rFonts w:hint="eastAsia"/>
                <w:color w:val="auto"/>
                <w:highlight w:val="none"/>
              </w:rPr>
              <w:t>3.4小结</w:t>
            </w:r>
          </w:p>
          <w:p>
            <w:pPr>
              <w:pStyle w:val="12"/>
              <w:ind w:firstLine="480"/>
              <w:rPr>
                <w:color w:val="auto"/>
                <w:highlight w:val="none"/>
              </w:rPr>
            </w:pPr>
            <w:r>
              <w:rPr>
                <w:color w:val="auto"/>
                <w:highlight w:val="none"/>
              </w:rPr>
              <w:t>本项目营运期主要噪声源运营后厂界噪声达标排放</w:t>
            </w:r>
            <w:r>
              <w:rPr>
                <w:rFonts w:hint="eastAsia"/>
                <w:color w:val="auto"/>
                <w:highlight w:val="none"/>
                <w:lang w:eastAsia="zh-CN"/>
              </w:rPr>
              <w:t>，</w:t>
            </w:r>
            <w:r>
              <w:rPr>
                <w:color w:val="auto"/>
                <w:highlight w:val="none"/>
              </w:rPr>
              <w:t>对所在区域声环境质量影响较小。</w:t>
            </w:r>
          </w:p>
          <w:p>
            <w:pPr>
              <w:pStyle w:val="27"/>
              <w:ind w:firstLine="482"/>
              <w:rPr>
                <w:rFonts w:hint="default"/>
                <w:color w:val="auto"/>
                <w:highlight w:val="none"/>
              </w:rPr>
            </w:pPr>
            <w:r>
              <w:rPr>
                <w:rFonts w:hint="default"/>
                <w:color w:val="auto"/>
                <w:highlight w:val="none"/>
              </w:rPr>
              <w:t>4固体废物</w:t>
            </w:r>
          </w:p>
          <w:p>
            <w:pPr>
              <w:pStyle w:val="12"/>
              <w:ind w:firstLine="480"/>
              <w:rPr>
                <w:color w:val="auto"/>
                <w:highlight w:val="none"/>
              </w:rPr>
            </w:pPr>
            <w:r>
              <w:rPr>
                <w:color w:val="auto"/>
                <w:highlight w:val="none"/>
              </w:rPr>
              <w:t>本项目运营期产生的固体废物主要为生产过程中产生的</w:t>
            </w:r>
            <w:r>
              <w:rPr>
                <w:rFonts w:hint="eastAsia"/>
                <w:color w:val="auto"/>
                <w:highlight w:val="none"/>
                <w:lang w:eastAsia="zh-CN"/>
              </w:rPr>
              <w:t>废电解液、废劳保用品</w:t>
            </w:r>
            <w:r>
              <w:rPr>
                <w:color w:val="auto"/>
                <w:highlight w:val="none"/>
              </w:rPr>
              <w:t>。</w:t>
            </w:r>
          </w:p>
          <w:p>
            <w:pPr>
              <w:pStyle w:val="12"/>
              <w:ind w:firstLine="480"/>
              <w:rPr>
                <w:color w:val="auto"/>
                <w:highlight w:val="none"/>
              </w:rPr>
            </w:pPr>
            <w:r>
              <w:rPr>
                <w:rFonts w:hint="eastAsia"/>
                <w:color w:val="auto"/>
                <w:highlight w:val="none"/>
              </w:rPr>
              <w:t>根据</w:t>
            </w:r>
            <w:r>
              <w:rPr>
                <w:rFonts w:hint="eastAsia"/>
                <w:color w:val="auto"/>
                <w:highlight w:val="none"/>
                <w:lang w:eastAsia="zh-CN"/>
              </w:rPr>
              <w:t>《国家危险废物名录》（2025年版），</w:t>
            </w:r>
            <w:r>
              <w:rPr>
                <w:rFonts w:hint="eastAsia"/>
                <w:color w:val="auto"/>
                <w:highlight w:val="none"/>
              </w:rPr>
              <w:t>判定本项目危险废物：</w:t>
            </w:r>
            <w:r>
              <w:rPr>
                <w:rFonts w:hint="eastAsia"/>
                <w:color w:val="auto"/>
                <w:highlight w:val="none"/>
                <w:lang w:eastAsia="zh-CN"/>
              </w:rPr>
              <w:t>废电解液、废劳保用品</w:t>
            </w:r>
            <w:r>
              <w:rPr>
                <w:rFonts w:hint="eastAsia"/>
                <w:color w:val="auto"/>
                <w:highlight w:val="none"/>
              </w:rPr>
              <w:t>。</w:t>
            </w:r>
          </w:p>
          <w:p>
            <w:pPr>
              <w:pStyle w:val="12"/>
              <w:ind w:firstLine="480"/>
              <w:rPr>
                <w:color w:val="auto"/>
                <w:highlight w:val="none"/>
              </w:rPr>
            </w:pPr>
            <w:r>
              <w:rPr>
                <w:rFonts w:hint="eastAsia"/>
                <w:color w:val="auto"/>
                <w:highlight w:val="none"/>
              </w:rPr>
              <w:t>4.1危险废物产生情况</w:t>
            </w:r>
          </w:p>
          <w:p>
            <w:pPr>
              <w:pStyle w:val="12"/>
              <w:ind w:firstLine="480"/>
              <w:rPr>
                <w:color w:val="auto"/>
                <w:highlight w:val="none"/>
              </w:rPr>
            </w:pPr>
            <w:r>
              <w:rPr>
                <w:rFonts w:hint="eastAsia"/>
                <w:color w:val="auto"/>
                <w:highlight w:val="none"/>
              </w:rPr>
              <w:t>（1）废电解液</w:t>
            </w:r>
          </w:p>
          <w:p>
            <w:pPr>
              <w:pStyle w:val="12"/>
              <w:ind w:firstLine="480"/>
              <w:rPr>
                <w:rFonts w:hint="eastAsia"/>
                <w:bCs/>
                <w:color w:val="auto"/>
                <w:szCs w:val="24"/>
                <w:highlight w:val="none"/>
                <w:lang w:val="en-US" w:eastAsia="zh-CN"/>
              </w:rPr>
            </w:pPr>
            <w:r>
              <w:rPr>
                <w:rFonts w:hint="eastAsia"/>
                <w:bCs/>
                <w:color w:val="auto"/>
                <w:szCs w:val="24"/>
                <w:highlight w:val="none"/>
              </w:rPr>
              <w:t>根据业主提供的经验数据</w:t>
            </w:r>
            <w:r>
              <w:rPr>
                <w:rFonts w:hint="eastAsia"/>
                <w:bCs/>
                <w:color w:val="auto"/>
                <w:szCs w:val="24"/>
                <w:highlight w:val="none"/>
                <w:lang w:eastAsia="zh-CN"/>
              </w:rPr>
              <w:t>，</w:t>
            </w:r>
            <w:r>
              <w:rPr>
                <w:rFonts w:hint="eastAsia"/>
                <w:bCs/>
                <w:color w:val="auto"/>
                <w:szCs w:val="24"/>
                <w:highlight w:val="none"/>
              </w:rPr>
              <w:t>约每</w:t>
            </w:r>
            <w:r>
              <w:rPr>
                <w:rFonts w:hint="eastAsia"/>
                <w:bCs/>
                <w:color w:val="auto"/>
                <w:szCs w:val="24"/>
                <w:highlight w:val="none"/>
                <w:lang w:eastAsia="zh-CN"/>
              </w:rPr>
              <w:t>月</w:t>
            </w:r>
            <w:r>
              <w:rPr>
                <w:rFonts w:hint="eastAsia"/>
                <w:bCs/>
                <w:color w:val="auto"/>
                <w:szCs w:val="24"/>
                <w:highlight w:val="none"/>
              </w:rPr>
              <w:t>发生一次</w:t>
            </w:r>
            <w:r>
              <w:rPr>
                <w:rFonts w:hint="eastAsia"/>
                <w:bCs/>
                <w:color w:val="auto"/>
                <w:szCs w:val="24"/>
                <w:highlight w:val="none"/>
                <w:lang w:eastAsia="zh-CN"/>
              </w:rPr>
              <w:t>废铅蓄电池</w:t>
            </w:r>
            <w:r>
              <w:rPr>
                <w:rFonts w:hint="eastAsia"/>
                <w:bCs/>
                <w:color w:val="auto"/>
                <w:szCs w:val="24"/>
                <w:highlight w:val="none"/>
              </w:rPr>
              <w:t>破损事件</w:t>
            </w:r>
            <w:r>
              <w:rPr>
                <w:rFonts w:hint="eastAsia"/>
                <w:bCs/>
                <w:color w:val="auto"/>
                <w:szCs w:val="24"/>
                <w:highlight w:val="none"/>
                <w:lang w:eastAsia="zh-CN"/>
              </w:rPr>
              <w:t>，</w:t>
            </w:r>
            <w:r>
              <w:rPr>
                <w:rFonts w:hint="eastAsia"/>
                <w:bCs/>
                <w:color w:val="auto"/>
                <w:szCs w:val="24"/>
                <w:highlight w:val="none"/>
              </w:rPr>
              <w:t>年破损</w:t>
            </w:r>
            <w:r>
              <w:rPr>
                <w:rFonts w:hint="eastAsia"/>
                <w:bCs/>
                <w:color w:val="auto"/>
                <w:szCs w:val="24"/>
                <w:highlight w:val="none"/>
                <w:lang w:eastAsia="zh-CN"/>
              </w:rPr>
              <w:t>废铅蓄电池</w:t>
            </w:r>
            <w:r>
              <w:rPr>
                <w:rFonts w:hint="eastAsia"/>
                <w:bCs/>
                <w:color w:val="auto"/>
                <w:szCs w:val="24"/>
                <w:highlight w:val="none"/>
              </w:rPr>
              <w:t>量约为</w:t>
            </w:r>
            <w:r>
              <w:rPr>
                <w:rFonts w:hint="eastAsia"/>
                <w:bCs/>
                <w:color w:val="auto"/>
                <w:szCs w:val="24"/>
                <w:highlight w:val="none"/>
                <w:lang w:val="en-US" w:eastAsia="zh-CN"/>
              </w:rPr>
              <w:t>12</w:t>
            </w:r>
            <w:r>
              <w:rPr>
                <w:rFonts w:hint="eastAsia"/>
                <w:bCs/>
                <w:color w:val="auto"/>
                <w:szCs w:val="24"/>
                <w:highlight w:val="none"/>
              </w:rPr>
              <w:t>次</w:t>
            </w:r>
            <w:r>
              <w:rPr>
                <w:rFonts w:hint="eastAsia"/>
                <w:bCs/>
                <w:color w:val="auto"/>
                <w:szCs w:val="24"/>
                <w:highlight w:val="none"/>
                <w:lang w:eastAsia="zh-CN"/>
              </w:rPr>
              <w:t>，</w:t>
            </w:r>
            <w:r>
              <w:rPr>
                <w:rFonts w:hint="eastAsia"/>
                <w:bCs/>
                <w:color w:val="auto"/>
                <w:szCs w:val="24"/>
                <w:highlight w:val="none"/>
              </w:rPr>
              <w:t>按单个电池最大重量</w:t>
            </w:r>
            <w:r>
              <w:rPr>
                <w:rFonts w:hint="eastAsia"/>
                <w:bCs/>
                <w:color w:val="auto"/>
                <w:szCs w:val="24"/>
                <w:highlight w:val="none"/>
                <w:lang w:val="en-US" w:eastAsia="zh-CN"/>
              </w:rPr>
              <w:t>22</w:t>
            </w:r>
            <w:r>
              <w:rPr>
                <w:rFonts w:hint="eastAsia"/>
                <w:bCs/>
                <w:color w:val="auto"/>
                <w:szCs w:val="24"/>
                <w:highlight w:val="none"/>
              </w:rPr>
              <w:t>kg计算</w:t>
            </w:r>
            <w:r>
              <w:rPr>
                <w:rFonts w:hint="eastAsia"/>
                <w:bCs/>
                <w:color w:val="auto"/>
                <w:szCs w:val="24"/>
                <w:highlight w:val="none"/>
                <w:lang w:eastAsia="zh-CN"/>
              </w:rPr>
              <w:t>，</w:t>
            </w:r>
            <w:r>
              <w:rPr>
                <w:rFonts w:hint="eastAsia"/>
                <w:bCs/>
                <w:color w:val="auto"/>
                <w:szCs w:val="24"/>
                <w:highlight w:val="none"/>
              </w:rPr>
              <w:t>电解液含量10%</w:t>
            </w:r>
            <w:r>
              <w:rPr>
                <w:rFonts w:hint="eastAsia"/>
                <w:bCs/>
                <w:color w:val="auto"/>
                <w:szCs w:val="24"/>
                <w:highlight w:val="none"/>
                <w:lang w:eastAsia="zh-CN"/>
              </w:rPr>
              <w:t>，</w:t>
            </w:r>
            <w:r>
              <w:rPr>
                <w:rFonts w:hint="eastAsia"/>
                <w:bCs/>
                <w:color w:val="auto"/>
                <w:szCs w:val="24"/>
                <w:highlight w:val="none"/>
              </w:rPr>
              <w:t>则电解液为</w:t>
            </w:r>
            <w:r>
              <w:rPr>
                <w:rFonts w:hint="eastAsia"/>
                <w:bCs/>
                <w:color w:val="auto"/>
                <w:szCs w:val="24"/>
                <w:highlight w:val="none"/>
                <w:lang w:val="en-US" w:eastAsia="zh-CN"/>
              </w:rPr>
              <w:t>2.2</w:t>
            </w:r>
            <w:r>
              <w:rPr>
                <w:rFonts w:hint="eastAsia"/>
                <w:bCs/>
                <w:color w:val="auto"/>
                <w:szCs w:val="24"/>
                <w:highlight w:val="none"/>
              </w:rPr>
              <w:t>kg</w:t>
            </w:r>
            <w:r>
              <w:rPr>
                <w:rFonts w:hint="eastAsia"/>
                <w:bCs/>
                <w:color w:val="auto"/>
                <w:szCs w:val="24"/>
                <w:highlight w:val="none"/>
                <w:lang w:eastAsia="zh-CN"/>
              </w:rPr>
              <w:t>，</w:t>
            </w:r>
            <w:r>
              <w:rPr>
                <w:rFonts w:hint="eastAsia"/>
                <w:bCs/>
                <w:color w:val="auto"/>
                <w:szCs w:val="24"/>
                <w:highlight w:val="none"/>
              </w:rPr>
              <w:t>电解液年最大泄漏量</w:t>
            </w:r>
            <w:r>
              <w:rPr>
                <w:rFonts w:hint="eastAsia"/>
                <w:bCs/>
                <w:color w:val="auto"/>
                <w:szCs w:val="24"/>
                <w:highlight w:val="none"/>
                <w:lang w:val="en-US" w:eastAsia="zh-CN"/>
              </w:rPr>
              <w:t>0.026</w:t>
            </w:r>
            <w:r>
              <w:rPr>
                <w:rFonts w:hint="eastAsia"/>
                <w:bCs/>
                <w:color w:val="auto"/>
                <w:szCs w:val="24"/>
                <w:highlight w:val="none"/>
              </w:rPr>
              <w:t>t/a。</w:t>
            </w:r>
            <w:r>
              <w:rPr>
                <w:rFonts w:hint="eastAsia"/>
                <w:bCs/>
                <w:color w:val="auto"/>
                <w:szCs w:val="24"/>
                <w:highlight w:val="none"/>
                <w:lang w:val="en-US" w:eastAsia="zh-CN"/>
              </w:rPr>
              <w:t>电解液主要成分为硫酸，在电池充放电过程中，会有少量铅转化成硫酸铅进入电解液，</w:t>
            </w:r>
            <w:r>
              <w:rPr>
                <w:rFonts w:hint="eastAsia"/>
                <w:color w:val="auto"/>
                <w:highlight w:val="none"/>
                <w:lang w:eastAsia="zh-CN"/>
              </w:rPr>
              <w:t>泄漏的废电解液收集后</w:t>
            </w:r>
            <w:r>
              <w:rPr>
                <w:rFonts w:hint="eastAsia"/>
                <w:color w:val="auto"/>
                <w:highlight w:val="none"/>
              </w:rPr>
              <w:t>置于耐酸、耐腐蚀的带盖塑料(PE)箱内</w:t>
            </w:r>
            <w:r>
              <w:rPr>
                <w:rFonts w:hint="eastAsia"/>
                <w:color w:val="auto"/>
                <w:highlight w:val="none"/>
                <w:lang w:eastAsia="zh-CN"/>
              </w:rPr>
              <w:t>，置于破损电池储存区内，定期</w:t>
            </w:r>
            <w:r>
              <w:rPr>
                <w:rFonts w:hint="eastAsia"/>
                <w:bCs/>
                <w:color w:val="auto"/>
                <w:szCs w:val="24"/>
                <w:highlight w:val="none"/>
                <w:lang w:val="en-US" w:eastAsia="zh-CN"/>
              </w:rPr>
              <w:t>与破损废铅蓄电池一同交由有资质单位进行处置。</w:t>
            </w:r>
          </w:p>
          <w:p>
            <w:pPr>
              <w:pStyle w:val="12"/>
              <w:ind w:firstLine="480"/>
              <w:rPr>
                <w:rFonts w:hint="eastAsia"/>
                <w:color w:val="auto"/>
                <w:highlight w:val="none"/>
              </w:rPr>
            </w:pPr>
            <w:r>
              <w:rPr>
                <w:rFonts w:hint="eastAsia"/>
                <w:color w:val="auto"/>
                <w:highlight w:val="none"/>
              </w:rPr>
              <w:t>废电解液属于《国家危险废物名录》（202</w:t>
            </w:r>
            <w:r>
              <w:rPr>
                <w:rFonts w:hint="eastAsia"/>
                <w:color w:val="auto"/>
                <w:highlight w:val="none"/>
                <w:lang w:val="en-US" w:eastAsia="zh-CN"/>
              </w:rPr>
              <w:t>5</w:t>
            </w:r>
            <w:r>
              <w:rPr>
                <w:rFonts w:hint="eastAsia"/>
                <w:color w:val="auto"/>
                <w:highlight w:val="none"/>
              </w:rPr>
              <w:t>年版）“HW31含铅废物”中所列“900-052-31</w:t>
            </w:r>
            <w:r>
              <w:rPr>
                <w:rFonts w:hint="eastAsia"/>
                <w:color w:val="auto"/>
                <w:highlight w:val="none"/>
                <w:lang w:eastAsia="zh-CN"/>
              </w:rPr>
              <w:t>废铅蓄电池</w:t>
            </w:r>
            <w:r>
              <w:rPr>
                <w:rFonts w:hint="eastAsia"/>
                <w:color w:val="auto"/>
                <w:highlight w:val="none"/>
              </w:rPr>
              <w:t>及</w:t>
            </w:r>
            <w:r>
              <w:rPr>
                <w:rFonts w:hint="eastAsia"/>
                <w:color w:val="auto"/>
                <w:highlight w:val="none"/>
                <w:lang w:eastAsia="zh-CN"/>
              </w:rPr>
              <w:t>废铅蓄电池</w:t>
            </w:r>
            <w:r>
              <w:rPr>
                <w:rFonts w:hint="eastAsia"/>
                <w:color w:val="auto"/>
                <w:highlight w:val="none"/>
              </w:rPr>
              <w:t>拆解过程中产生的废铅板、废铅膏和酸液”。</w:t>
            </w:r>
          </w:p>
          <w:p>
            <w:pPr>
              <w:pStyle w:val="12"/>
              <w:ind w:firstLine="480"/>
              <w:rPr>
                <w:rFonts w:hint="eastAsia" w:eastAsia="宋体"/>
                <w:color w:val="auto"/>
                <w:highlight w:val="none"/>
                <w:lang w:eastAsia="zh-CN"/>
              </w:rPr>
            </w:pPr>
            <w:r>
              <w:rPr>
                <w:rFonts w:hint="eastAsia"/>
                <w:color w:val="auto"/>
                <w:highlight w:val="none"/>
                <w:lang w:val="en-US" w:eastAsia="zh-CN"/>
              </w:rPr>
              <w:t>（2）</w:t>
            </w:r>
            <w:r>
              <w:rPr>
                <w:rFonts w:hint="eastAsia"/>
                <w:color w:val="auto"/>
                <w:highlight w:val="none"/>
                <w:lang w:eastAsia="zh-CN"/>
              </w:rPr>
              <w:t>废劳保用品</w:t>
            </w:r>
          </w:p>
          <w:p>
            <w:pPr>
              <w:pStyle w:val="12"/>
              <w:ind w:firstLine="480"/>
              <w:rPr>
                <w:rFonts w:hint="eastAsia"/>
                <w:color w:val="auto"/>
                <w:highlight w:val="none"/>
                <w:lang w:val="en-US" w:eastAsia="zh-CN"/>
              </w:rPr>
            </w:pPr>
            <w:r>
              <w:rPr>
                <w:rFonts w:hint="eastAsia"/>
                <w:color w:val="auto"/>
                <w:highlight w:val="none"/>
                <w:lang w:eastAsia="zh-CN"/>
              </w:rPr>
              <w:t>当发生废旧铅蓄电池泄漏事故时，废电解液会沾染到防护用品上，少量废电解洒落至地面时，用抹布进行收集，则产生</w:t>
            </w:r>
            <w:r>
              <w:rPr>
                <w:rFonts w:hint="eastAsia"/>
                <w:color w:val="auto"/>
                <w:highlight w:val="none"/>
                <w:lang w:val="en-US" w:eastAsia="zh-CN"/>
              </w:rPr>
              <w:t>废劳保用品年产生量约为0.01t/a。</w:t>
            </w:r>
          </w:p>
          <w:p>
            <w:pPr>
              <w:pStyle w:val="12"/>
              <w:ind w:firstLine="480"/>
              <w:rPr>
                <w:rFonts w:hint="eastAsia"/>
                <w:color w:val="auto"/>
                <w:highlight w:val="none"/>
              </w:rPr>
            </w:pPr>
            <w:r>
              <w:rPr>
                <w:rFonts w:hint="eastAsia"/>
                <w:color w:val="auto"/>
                <w:highlight w:val="none"/>
              </w:rPr>
              <w:t>根据</w:t>
            </w:r>
            <w:r>
              <w:rPr>
                <w:rFonts w:hint="eastAsia"/>
                <w:color w:val="auto"/>
                <w:highlight w:val="none"/>
                <w:lang w:eastAsia="zh-CN"/>
              </w:rPr>
              <w:t>《国家危险废物名录》（2025年版），</w:t>
            </w:r>
            <w:r>
              <w:rPr>
                <w:rFonts w:hint="eastAsia"/>
                <w:color w:val="auto"/>
                <w:highlight w:val="none"/>
              </w:rPr>
              <w:t>判定属“含有或沾染毒性、感染性危险废物的废弃包装物、容器、过滤吸附介质”</w:t>
            </w:r>
            <w:r>
              <w:rPr>
                <w:rFonts w:hint="eastAsia"/>
                <w:color w:val="auto"/>
                <w:highlight w:val="none"/>
                <w:lang w:eastAsia="zh-CN"/>
              </w:rPr>
              <w:t>，</w:t>
            </w:r>
            <w:r>
              <w:rPr>
                <w:rFonts w:hint="eastAsia"/>
                <w:color w:val="auto"/>
                <w:highlight w:val="none"/>
              </w:rPr>
              <w:t>废物类别HW49其他废物</w:t>
            </w:r>
            <w:r>
              <w:rPr>
                <w:rFonts w:hint="eastAsia"/>
                <w:color w:val="auto"/>
                <w:highlight w:val="none"/>
                <w:lang w:eastAsia="zh-CN"/>
              </w:rPr>
              <w:t>，</w:t>
            </w:r>
            <w:r>
              <w:rPr>
                <w:rFonts w:hint="eastAsia"/>
                <w:color w:val="auto"/>
                <w:highlight w:val="none"/>
              </w:rPr>
              <w:t>废物代码 900-041-49。</w:t>
            </w:r>
            <w:r>
              <w:rPr>
                <w:rFonts w:hint="eastAsia"/>
                <w:color w:val="auto"/>
                <w:highlight w:val="none"/>
                <w:lang w:eastAsia="zh-CN"/>
              </w:rPr>
              <w:t>产生后定期</w:t>
            </w:r>
            <w:r>
              <w:rPr>
                <w:rFonts w:hint="eastAsia"/>
                <w:color w:val="auto"/>
                <w:highlight w:val="none"/>
              </w:rPr>
              <w:t>委托有资质单位进行</w:t>
            </w:r>
            <w:r>
              <w:rPr>
                <w:rFonts w:hint="eastAsia"/>
                <w:color w:val="auto"/>
                <w:highlight w:val="none"/>
                <w:lang w:eastAsia="zh-CN"/>
              </w:rPr>
              <w:t>处置</w:t>
            </w:r>
            <w:r>
              <w:rPr>
                <w:rFonts w:hint="eastAsia"/>
                <w:color w:val="auto"/>
                <w:highlight w:val="none"/>
              </w:rPr>
              <w:t>。</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固废产生及排放情况一览表</w:t>
            </w:r>
          </w:p>
          <w:tbl>
            <w:tblPr>
              <w:tblStyle w:val="15"/>
              <w:tblW w:w="816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5"/>
              <w:gridCol w:w="937"/>
              <w:gridCol w:w="824"/>
              <w:gridCol w:w="1017"/>
              <w:gridCol w:w="1250"/>
              <w:gridCol w:w="992"/>
              <w:gridCol w:w="847"/>
              <w:gridCol w:w="15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3" w:hRule="atLeast"/>
              </w:trPr>
              <w:tc>
                <w:tcPr>
                  <w:tcW w:w="715" w:type="dxa"/>
                  <w:tcBorders>
                    <w:tl2br w:val="nil"/>
                    <w:tr2bl w:val="nil"/>
                  </w:tcBorders>
                  <w:tcMar>
                    <w:top w:w="0" w:type="dxa"/>
                    <w:left w:w="57" w:type="dxa"/>
                    <w:bottom w:w="0" w:type="dxa"/>
                    <w:right w:w="57" w:type="dxa"/>
                  </w:tcMar>
                  <w:vAlign w:val="center"/>
                </w:tcPr>
                <w:p>
                  <w:pPr>
                    <w:pStyle w:val="25"/>
                    <w:rPr>
                      <w:rFonts w:hint="default"/>
                      <w:color w:val="auto"/>
                      <w:highlight w:val="none"/>
                    </w:rPr>
                  </w:pPr>
                  <w:r>
                    <w:rPr>
                      <w:rFonts w:hint="default"/>
                      <w:color w:val="auto"/>
                      <w:highlight w:val="none"/>
                    </w:rPr>
                    <w:t>分类</w:t>
                  </w:r>
                </w:p>
              </w:tc>
              <w:tc>
                <w:tcPr>
                  <w:tcW w:w="937" w:type="dxa"/>
                  <w:tcBorders>
                    <w:tl2br w:val="nil"/>
                    <w:tr2bl w:val="nil"/>
                  </w:tcBorders>
                  <w:tcMar>
                    <w:top w:w="0" w:type="dxa"/>
                    <w:left w:w="57" w:type="dxa"/>
                    <w:bottom w:w="0" w:type="dxa"/>
                    <w:right w:w="57" w:type="dxa"/>
                  </w:tcMar>
                  <w:vAlign w:val="center"/>
                </w:tcPr>
                <w:p>
                  <w:pPr>
                    <w:pStyle w:val="25"/>
                    <w:rPr>
                      <w:rFonts w:hint="default"/>
                      <w:color w:val="auto"/>
                      <w:highlight w:val="none"/>
                    </w:rPr>
                  </w:pPr>
                  <w:r>
                    <w:rPr>
                      <w:rFonts w:hint="default"/>
                      <w:color w:val="auto"/>
                      <w:highlight w:val="none"/>
                    </w:rPr>
                    <w:t>名称</w:t>
                  </w:r>
                </w:p>
              </w:tc>
              <w:tc>
                <w:tcPr>
                  <w:tcW w:w="824" w:type="dxa"/>
                  <w:tcBorders>
                    <w:tl2br w:val="nil"/>
                    <w:tr2bl w:val="nil"/>
                  </w:tcBorders>
                  <w:tcMar>
                    <w:top w:w="0" w:type="dxa"/>
                    <w:left w:w="57" w:type="dxa"/>
                    <w:bottom w:w="0" w:type="dxa"/>
                    <w:right w:w="57" w:type="dxa"/>
                  </w:tcMar>
                  <w:vAlign w:val="center"/>
                </w:tcPr>
                <w:p>
                  <w:pPr>
                    <w:pStyle w:val="25"/>
                    <w:rPr>
                      <w:rFonts w:hint="default" w:eastAsiaTheme="minorEastAsia"/>
                      <w:color w:val="auto"/>
                      <w:highlight w:val="none"/>
                      <w:lang w:val="en-US" w:eastAsia="zh-CN"/>
                    </w:rPr>
                  </w:pPr>
                  <w:r>
                    <w:rPr>
                      <w:rFonts w:hint="eastAsia"/>
                      <w:color w:val="auto"/>
                      <w:highlight w:val="none"/>
                      <w:lang w:val="en-US" w:eastAsia="zh-CN"/>
                    </w:rPr>
                    <w:t>产生来源</w:t>
                  </w:r>
                </w:p>
              </w:tc>
              <w:tc>
                <w:tcPr>
                  <w:tcW w:w="1017" w:type="dxa"/>
                  <w:tcBorders>
                    <w:tl2br w:val="nil"/>
                    <w:tr2bl w:val="nil"/>
                  </w:tcBorders>
                  <w:tcMar>
                    <w:top w:w="0" w:type="dxa"/>
                    <w:left w:w="57" w:type="dxa"/>
                    <w:bottom w:w="0" w:type="dxa"/>
                    <w:right w:w="57" w:type="dxa"/>
                  </w:tcMar>
                  <w:vAlign w:val="center"/>
                </w:tcPr>
                <w:p>
                  <w:pPr>
                    <w:pStyle w:val="25"/>
                    <w:rPr>
                      <w:rFonts w:hint="default"/>
                      <w:color w:val="auto"/>
                      <w:highlight w:val="none"/>
                    </w:rPr>
                  </w:pPr>
                  <w:r>
                    <w:rPr>
                      <w:rFonts w:hint="default"/>
                      <w:color w:val="auto"/>
                      <w:highlight w:val="none"/>
                    </w:rPr>
                    <w:t>产生量</w:t>
                  </w:r>
                </w:p>
                <w:p>
                  <w:pPr>
                    <w:pStyle w:val="25"/>
                    <w:rPr>
                      <w:rFonts w:hint="default"/>
                      <w:color w:val="auto"/>
                      <w:highlight w:val="none"/>
                    </w:rPr>
                  </w:pPr>
                  <w:r>
                    <w:rPr>
                      <w:rFonts w:hint="default"/>
                      <w:color w:val="auto"/>
                      <w:highlight w:val="none"/>
                    </w:rPr>
                    <w:t>（t/a）</w:t>
                  </w:r>
                </w:p>
              </w:tc>
              <w:tc>
                <w:tcPr>
                  <w:tcW w:w="1250" w:type="dxa"/>
                  <w:tcBorders>
                    <w:tl2br w:val="nil"/>
                    <w:tr2bl w:val="nil"/>
                  </w:tcBorders>
                  <w:tcMar>
                    <w:top w:w="0" w:type="dxa"/>
                    <w:left w:w="28" w:type="dxa"/>
                    <w:bottom w:w="0" w:type="dxa"/>
                    <w:right w:w="28" w:type="dxa"/>
                  </w:tcMar>
                  <w:vAlign w:val="center"/>
                </w:tcPr>
                <w:p>
                  <w:pPr>
                    <w:pStyle w:val="25"/>
                    <w:rPr>
                      <w:rFonts w:hint="default"/>
                      <w:color w:val="auto"/>
                      <w:highlight w:val="none"/>
                    </w:rPr>
                  </w:pPr>
                  <w:r>
                    <w:rPr>
                      <w:rFonts w:hint="default"/>
                      <w:color w:val="auto"/>
                      <w:highlight w:val="none"/>
                    </w:rPr>
                    <w:t>回收利用量</w:t>
                  </w:r>
                </w:p>
                <w:p>
                  <w:pPr>
                    <w:pStyle w:val="25"/>
                    <w:rPr>
                      <w:rFonts w:hint="default"/>
                      <w:color w:val="auto"/>
                      <w:highlight w:val="none"/>
                    </w:rPr>
                  </w:pPr>
                  <w:r>
                    <w:rPr>
                      <w:rFonts w:hint="default"/>
                      <w:color w:val="auto"/>
                      <w:highlight w:val="none"/>
                    </w:rPr>
                    <w:t>（t/a）</w:t>
                  </w:r>
                </w:p>
              </w:tc>
              <w:tc>
                <w:tcPr>
                  <w:tcW w:w="992" w:type="dxa"/>
                  <w:tcBorders>
                    <w:tl2br w:val="nil"/>
                    <w:tr2bl w:val="nil"/>
                  </w:tcBorders>
                  <w:tcMar>
                    <w:top w:w="0" w:type="dxa"/>
                    <w:left w:w="57" w:type="dxa"/>
                    <w:bottom w:w="0" w:type="dxa"/>
                    <w:right w:w="57" w:type="dxa"/>
                  </w:tcMar>
                  <w:vAlign w:val="center"/>
                </w:tcPr>
                <w:p>
                  <w:pPr>
                    <w:pStyle w:val="25"/>
                    <w:rPr>
                      <w:rFonts w:hint="default"/>
                      <w:color w:val="auto"/>
                      <w:highlight w:val="none"/>
                    </w:rPr>
                  </w:pPr>
                  <w:r>
                    <w:rPr>
                      <w:rFonts w:hint="default"/>
                      <w:color w:val="auto"/>
                      <w:highlight w:val="none"/>
                    </w:rPr>
                    <w:t>处置量</w:t>
                  </w:r>
                </w:p>
                <w:p>
                  <w:pPr>
                    <w:pStyle w:val="25"/>
                    <w:rPr>
                      <w:rFonts w:hint="default"/>
                      <w:color w:val="auto"/>
                      <w:highlight w:val="none"/>
                    </w:rPr>
                  </w:pPr>
                  <w:r>
                    <w:rPr>
                      <w:rFonts w:hint="default"/>
                      <w:color w:val="auto"/>
                      <w:highlight w:val="none"/>
                    </w:rPr>
                    <w:t>（t/a）</w:t>
                  </w:r>
                </w:p>
              </w:tc>
              <w:tc>
                <w:tcPr>
                  <w:tcW w:w="847" w:type="dxa"/>
                  <w:tcBorders>
                    <w:tl2br w:val="nil"/>
                    <w:tr2bl w:val="nil"/>
                  </w:tcBorders>
                  <w:tcMar>
                    <w:top w:w="0" w:type="dxa"/>
                    <w:left w:w="57" w:type="dxa"/>
                    <w:bottom w:w="0" w:type="dxa"/>
                    <w:right w:w="57" w:type="dxa"/>
                  </w:tcMar>
                  <w:vAlign w:val="center"/>
                </w:tcPr>
                <w:p>
                  <w:pPr>
                    <w:pStyle w:val="25"/>
                    <w:rPr>
                      <w:rFonts w:hint="default"/>
                      <w:color w:val="auto"/>
                      <w:highlight w:val="none"/>
                    </w:rPr>
                  </w:pPr>
                  <w:r>
                    <w:rPr>
                      <w:rFonts w:hint="default"/>
                      <w:color w:val="auto"/>
                      <w:highlight w:val="none"/>
                    </w:rPr>
                    <w:t>排放量</w:t>
                  </w:r>
                </w:p>
                <w:p>
                  <w:pPr>
                    <w:pStyle w:val="25"/>
                    <w:rPr>
                      <w:rFonts w:hint="default"/>
                      <w:color w:val="auto"/>
                      <w:highlight w:val="none"/>
                    </w:rPr>
                  </w:pPr>
                  <w:r>
                    <w:rPr>
                      <w:rFonts w:hint="default"/>
                      <w:color w:val="auto"/>
                      <w:highlight w:val="none"/>
                    </w:rPr>
                    <w:t>（t/a）</w:t>
                  </w:r>
                </w:p>
              </w:tc>
              <w:tc>
                <w:tcPr>
                  <w:tcW w:w="1584" w:type="dxa"/>
                  <w:tcBorders>
                    <w:tl2br w:val="nil"/>
                    <w:tr2bl w:val="nil"/>
                  </w:tcBorders>
                  <w:tcMar>
                    <w:top w:w="0" w:type="dxa"/>
                    <w:left w:w="57" w:type="dxa"/>
                    <w:bottom w:w="0" w:type="dxa"/>
                    <w:right w:w="57" w:type="dxa"/>
                  </w:tcMar>
                  <w:vAlign w:val="center"/>
                </w:tcPr>
                <w:p>
                  <w:pPr>
                    <w:pStyle w:val="25"/>
                    <w:rPr>
                      <w:rFonts w:hint="default"/>
                      <w:color w:val="auto"/>
                      <w:highlight w:val="none"/>
                    </w:rPr>
                  </w:pPr>
                  <w:r>
                    <w:rPr>
                      <w:rFonts w:hint="default"/>
                      <w:color w:val="auto"/>
                      <w:highlight w:val="none"/>
                    </w:rPr>
                    <w:t>综合利用或处置方式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02" w:hRule="atLeast"/>
              </w:trPr>
              <w:tc>
                <w:tcPr>
                  <w:tcW w:w="715" w:type="dxa"/>
                  <w:vMerge w:val="restart"/>
                  <w:tcBorders>
                    <w:tl2br w:val="nil"/>
                    <w:tr2bl w:val="nil"/>
                  </w:tcBorders>
                  <w:tcMar>
                    <w:top w:w="0" w:type="dxa"/>
                    <w:left w:w="57" w:type="dxa"/>
                    <w:bottom w:w="0" w:type="dxa"/>
                    <w:right w:w="57" w:type="dxa"/>
                  </w:tcMar>
                  <w:vAlign w:val="center"/>
                </w:tcPr>
                <w:p>
                  <w:pPr>
                    <w:pStyle w:val="22"/>
                    <w:rPr>
                      <w:color w:val="auto"/>
                      <w:highlight w:val="none"/>
                    </w:rPr>
                  </w:pPr>
                  <w:r>
                    <w:rPr>
                      <w:rFonts w:hint="eastAsia"/>
                      <w:color w:val="auto"/>
                      <w:highlight w:val="none"/>
                    </w:rPr>
                    <w:t>危险废物</w:t>
                  </w:r>
                </w:p>
              </w:tc>
              <w:tc>
                <w:tcPr>
                  <w:tcW w:w="937" w:type="dxa"/>
                  <w:tcBorders>
                    <w:tl2br w:val="nil"/>
                    <w:tr2bl w:val="nil"/>
                  </w:tcBorders>
                  <w:shd w:val="clear" w:color="auto" w:fill="auto"/>
                  <w:tcMar>
                    <w:top w:w="0" w:type="dxa"/>
                    <w:left w:w="57" w:type="dxa"/>
                    <w:bottom w:w="0" w:type="dxa"/>
                    <w:right w:w="57" w:type="dxa"/>
                  </w:tcMar>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废电解液</w:t>
                  </w:r>
                </w:p>
              </w:tc>
              <w:tc>
                <w:tcPr>
                  <w:tcW w:w="824" w:type="dxa"/>
                  <w:tcBorders>
                    <w:tl2br w:val="nil"/>
                    <w:tr2bl w:val="nil"/>
                  </w:tcBorders>
                  <w:shd w:val="clear" w:color="auto" w:fill="auto"/>
                  <w:tcMar>
                    <w:top w:w="0" w:type="dxa"/>
                    <w:left w:w="57" w:type="dxa"/>
                    <w:bottom w:w="0" w:type="dxa"/>
                    <w:right w:w="57" w:type="dxa"/>
                  </w:tcMar>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废铅蓄电池</w:t>
                  </w:r>
                  <w:r>
                    <w:rPr>
                      <w:rFonts w:hint="eastAsia"/>
                      <w:color w:val="auto"/>
                      <w:highlight w:val="none"/>
                    </w:rPr>
                    <w:t>破损</w:t>
                  </w:r>
                </w:p>
              </w:tc>
              <w:tc>
                <w:tcPr>
                  <w:tcW w:w="1017" w:type="dxa"/>
                  <w:tcBorders>
                    <w:tl2br w:val="nil"/>
                    <w:tr2bl w:val="nil"/>
                  </w:tcBorders>
                  <w:shd w:val="clear" w:color="auto" w:fill="auto"/>
                  <w:tcMar>
                    <w:top w:w="0" w:type="dxa"/>
                    <w:left w:w="57" w:type="dxa"/>
                    <w:bottom w:w="0" w:type="dxa"/>
                    <w:right w:w="57" w:type="dxa"/>
                  </w:tcMar>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0.026</w:t>
                  </w:r>
                </w:p>
              </w:tc>
              <w:tc>
                <w:tcPr>
                  <w:tcW w:w="1250" w:type="dxa"/>
                  <w:tcBorders>
                    <w:tl2br w:val="nil"/>
                    <w:tr2bl w:val="nil"/>
                  </w:tcBorders>
                  <w:shd w:val="clear" w:color="auto" w:fill="auto"/>
                  <w:tcMar>
                    <w:top w:w="0" w:type="dxa"/>
                    <w:left w:w="57" w:type="dxa"/>
                    <w:bottom w:w="0" w:type="dxa"/>
                    <w:right w:w="57" w:type="dxa"/>
                  </w:tcMar>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color w:val="auto"/>
                      <w:highlight w:val="none"/>
                    </w:rPr>
                    <w:t>0</w:t>
                  </w:r>
                </w:p>
              </w:tc>
              <w:tc>
                <w:tcPr>
                  <w:tcW w:w="992" w:type="dxa"/>
                  <w:tcBorders>
                    <w:tl2br w:val="nil"/>
                    <w:tr2bl w:val="nil"/>
                  </w:tcBorders>
                  <w:shd w:val="clear" w:color="auto" w:fill="auto"/>
                  <w:tcMar>
                    <w:top w:w="0" w:type="dxa"/>
                    <w:left w:w="57" w:type="dxa"/>
                    <w:bottom w:w="0" w:type="dxa"/>
                    <w:right w:w="57" w:type="dxa"/>
                  </w:tcMar>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0.026</w:t>
                  </w:r>
                </w:p>
              </w:tc>
              <w:tc>
                <w:tcPr>
                  <w:tcW w:w="847" w:type="dxa"/>
                  <w:tcBorders>
                    <w:tl2br w:val="nil"/>
                    <w:tr2bl w:val="nil"/>
                  </w:tcBorders>
                  <w:shd w:val="clear" w:color="auto" w:fill="auto"/>
                  <w:tcMar>
                    <w:top w:w="0" w:type="dxa"/>
                    <w:left w:w="57" w:type="dxa"/>
                    <w:bottom w:w="0" w:type="dxa"/>
                    <w:right w:w="57" w:type="dxa"/>
                  </w:tcMar>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color w:val="auto"/>
                      <w:highlight w:val="none"/>
                    </w:rPr>
                    <w:t>0</w:t>
                  </w:r>
                </w:p>
              </w:tc>
              <w:tc>
                <w:tcPr>
                  <w:tcW w:w="1584" w:type="dxa"/>
                  <w:vMerge w:val="restart"/>
                  <w:tcBorders>
                    <w:tl2br w:val="nil"/>
                    <w:tr2bl w:val="nil"/>
                  </w:tcBorders>
                  <w:tcMar>
                    <w:top w:w="0" w:type="dxa"/>
                    <w:left w:w="57" w:type="dxa"/>
                    <w:bottom w:w="0" w:type="dxa"/>
                    <w:right w:w="57" w:type="dxa"/>
                  </w:tcMar>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收集至</w:t>
                  </w:r>
                  <w:r>
                    <w:rPr>
                      <w:rFonts w:hint="eastAsia"/>
                      <w:color w:val="auto"/>
                      <w:highlight w:val="none"/>
                      <w:lang w:eastAsia="zh-CN"/>
                    </w:rPr>
                    <w:t>危险废物贮存点，</w:t>
                  </w:r>
                  <w:r>
                    <w:rPr>
                      <w:rFonts w:hint="eastAsia"/>
                      <w:color w:val="auto"/>
                      <w:highlight w:val="none"/>
                    </w:rPr>
                    <w:t>委托有资质单位进行</w:t>
                  </w:r>
                  <w:r>
                    <w:rPr>
                      <w:rFonts w:hint="eastAsia"/>
                      <w:color w:val="auto"/>
                      <w:highlight w:val="none"/>
                      <w:lang w:eastAsia="zh-CN"/>
                    </w:rPr>
                    <w:t>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02" w:hRule="atLeast"/>
              </w:trPr>
              <w:tc>
                <w:tcPr>
                  <w:tcW w:w="715" w:type="dxa"/>
                  <w:vMerge w:val="continue"/>
                  <w:tcBorders>
                    <w:tl2br w:val="nil"/>
                    <w:tr2bl w:val="nil"/>
                  </w:tcBorders>
                  <w:tcMar>
                    <w:top w:w="0" w:type="dxa"/>
                    <w:left w:w="57" w:type="dxa"/>
                    <w:bottom w:w="0" w:type="dxa"/>
                    <w:right w:w="57" w:type="dxa"/>
                  </w:tcMar>
                  <w:vAlign w:val="center"/>
                </w:tcPr>
                <w:p>
                  <w:pPr>
                    <w:pStyle w:val="22"/>
                    <w:rPr>
                      <w:color w:val="auto"/>
                      <w:highlight w:val="none"/>
                    </w:rPr>
                  </w:pPr>
                </w:p>
              </w:tc>
              <w:tc>
                <w:tcPr>
                  <w:tcW w:w="937" w:type="dxa"/>
                  <w:tcBorders>
                    <w:tl2br w:val="nil"/>
                    <w:tr2bl w:val="nil"/>
                  </w:tcBorders>
                  <w:shd w:val="clear" w:color="auto" w:fill="auto"/>
                  <w:tcMar>
                    <w:top w:w="0" w:type="dxa"/>
                    <w:left w:w="57" w:type="dxa"/>
                    <w:bottom w:w="0" w:type="dxa"/>
                    <w:right w:w="57" w:type="dxa"/>
                  </w:tcMar>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废劳保用品</w:t>
                  </w:r>
                </w:p>
              </w:tc>
              <w:tc>
                <w:tcPr>
                  <w:tcW w:w="824" w:type="dxa"/>
                  <w:tcBorders>
                    <w:tl2br w:val="nil"/>
                    <w:tr2bl w:val="nil"/>
                  </w:tcBorders>
                  <w:shd w:val="clear" w:color="auto" w:fill="auto"/>
                  <w:tcMar>
                    <w:top w:w="0" w:type="dxa"/>
                    <w:left w:w="57" w:type="dxa"/>
                    <w:bottom w:w="0" w:type="dxa"/>
                    <w:right w:w="57" w:type="dxa"/>
                  </w:tcMar>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生产操作</w:t>
                  </w:r>
                </w:p>
              </w:tc>
              <w:tc>
                <w:tcPr>
                  <w:tcW w:w="1017" w:type="dxa"/>
                  <w:tcBorders>
                    <w:tl2br w:val="nil"/>
                    <w:tr2bl w:val="nil"/>
                  </w:tcBorders>
                  <w:shd w:val="clear" w:color="auto" w:fill="auto"/>
                  <w:tcMar>
                    <w:top w:w="0" w:type="dxa"/>
                    <w:left w:w="57" w:type="dxa"/>
                    <w:bottom w:w="0" w:type="dxa"/>
                    <w:right w:w="57" w:type="dxa"/>
                  </w:tcMar>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0.01</w:t>
                  </w:r>
                </w:p>
              </w:tc>
              <w:tc>
                <w:tcPr>
                  <w:tcW w:w="1250" w:type="dxa"/>
                  <w:tcBorders>
                    <w:tl2br w:val="nil"/>
                    <w:tr2bl w:val="nil"/>
                  </w:tcBorders>
                  <w:shd w:val="clear" w:color="auto" w:fill="auto"/>
                  <w:tcMar>
                    <w:top w:w="0" w:type="dxa"/>
                    <w:left w:w="57" w:type="dxa"/>
                    <w:bottom w:w="0" w:type="dxa"/>
                    <w:right w:w="57" w:type="dxa"/>
                  </w:tcMar>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w:t>
                  </w:r>
                </w:p>
              </w:tc>
              <w:tc>
                <w:tcPr>
                  <w:tcW w:w="992" w:type="dxa"/>
                  <w:tcBorders>
                    <w:tl2br w:val="nil"/>
                    <w:tr2bl w:val="nil"/>
                  </w:tcBorders>
                  <w:shd w:val="clear" w:color="auto" w:fill="auto"/>
                  <w:tcMar>
                    <w:top w:w="0" w:type="dxa"/>
                    <w:left w:w="57" w:type="dxa"/>
                    <w:bottom w:w="0" w:type="dxa"/>
                    <w:right w:w="57" w:type="dxa"/>
                  </w:tcMar>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0.01</w:t>
                  </w:r>
                </w:p>
              </w:tc>
              <w:tc>
                <w:tcPr>
                  <w:tcW w:w="847" w:type="dxa"/>
                  <w:tcBorders>
                    <w:tl2br w:val="nil"/>
                    <w:tr2bl w:val="nil"/>
                  </w:tcBorders>
                  <w:shd w:val="clear" w:color="auto" w:fill="auto"/>
                  <w:tcMar>
                    <w:top w:w="0" w:type="dxa"/>
                    <w:left w:w="57" w:type="dxa"/>
                    <w:bottom w:w="0" w:type="dxa"/>
                    <w:right w:w="57" w:type="dxa"/>
                  </w:tcMar>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w:t>
                  </w:r>
                </w:p>
              </w:tc>
              <w:tc>
                <w:tcPr>
                  <w:tcW w:w="1584" w:type="dxa"/>
                  <w:vMerge w:val="continue"/>
                  <w:tcBorders>
                    <w:tl2br w:val="nil"/>
                    <w:tr2bl w:val="nil"/>
                  </w:tcBorders>
                  <w:tcMar>
                    <w:top w:w="0" w:type="dxa"/>
                    <w:left w:w="57" w:type="dxa"/>
                    <w:bottom w:w="0" w:type="dxa"/>
                    <w:right w:w="57" w:type="dxa"/>
                  </w:tcMar>
                  <w:vAlign w:val="center"/>
                </w:tcPr>
                <w:p>
                  <w:pPr>
                    <w:pStyle w:val="22"/>
                    <w:rPr>
                      <w:rFonts w:hint="eastAsia"/>
                      <w:color w:val="auto"/>
                      <w:highlight w:val="none"/>
                    </w:rPr>
                  </w:pPr>
                </w:p>
              </w:tc>
            </w:tr>
          </w:tbl>
          <w:p>
            <w:pPr>
              <w:pStyle w:val="12"/>
              <w:ind w:firstLine="480"/>
              <w:rPr>
                <w:color w:val="auto"/>
                <w:highlight w:val="none"/>
              </w:rPr>
            </w:pPr>
            <w:r>
              <w:rPr>
                <w:color w:val="auto"/>
                <w:highlight w:val="none"/>
              </w:rPr>
              <w:t>4.</w:t>
            </w:r>
            <w:r>
              <w:rPr>
                <w:rFonts w:hint="eastAsia"/>
                <w:color w:val="auto"/>
                <w:highlight w:val="none"/>
                <w:lang w:val="en-US" w:eastAsia="zh-CN"/>
              </w:rPr>
              <w:t>2</w:t>
            </w:r>
            <w:r>
              <w:rPr>
                <w:rFonts w:hint="eastAsia"/>
                <w:color w:val="auto"/>
                <w:highlight w:val="none"/>
              </w:rPr>
              <w:t>管理要求</w:t>
            </w:r>
          </w:p>
          <w:p>
            <w:pPr>
              <w:pStyle w:val="12"/>
              <w:ind w:firstLine="480"/>
              <w:rPr>
                <w:rFonts w:hint="default" w:eastAsia="宋体"/>
                <w:color w:val="auto"/>
                <w:highlight w:val="none"/>
                <w:lang w:val="en-US" w:eastAsia="zh-CN"/>
              </w:rPr>
            </w:pPr>
            <w:r>
              <w:rPr>
                <w:rFonts w:hint="eastAsia"/>
                <w:color w:val="auto"/>
                <w:highlight w:val="none"/>
                <w:lang w:val="en-US" w:eastAsia="zh-CN"/>
              </w:rPr>
              <w:t>本项目为二道沟公司配套建设的危险废物贮存项目，危险废物分为两部分，一部分为</w:t>
            </w:r>
            <w:r>
              <w:rPr>
                <w:rFonts w:hint="eastAsia"/>
                <w:color w:val="auto"/>
                <w:highlight w:val="none"/>
              </w:rPr>
              <w:t>收集和存储</w:t>
            </w:r>
            <w:r>
              <w:rPr>
                <w:rFonts w:hint="eastAsia"/>
                <w:color w:val="auto"/>
                <w:highlight w:val="none"/>
                <w:lang w:eastAsia="zh-CN"/>
              </w:rPr>
              <w:t>二道沟公司</w:t>
            </w:r>
            <w:r>
              <w:rPr>
                <w:rFonts w:hint="eastAsia"/>
                <w:color w:val="auto"/>
                <w:highlight w:val="none"/>
              </w:rPr>
              <w:t>产生的</w:t>
            </w:r>
            <w:r>
              <w:rPr>
                <w:rFonts w:hint="eastAsia"/>
                <w:color w:val="auto"/>
                <w:highlight w:val="none"/>
                <w:lang w:eastAsia="zh-CN"/>
              </w:rPr>
              <w:t>废润滑油</w:t>
            </w:r>
            <w:r>
              <w:rPr>
                <w:rFonts w:hint="eastAsia"/>
                <w:color w:val="auto"/>
                <w:highlight w:val="none"/>
              </w:rPr>
              <w:t>、废油桶</w:t>
            </w:r>
            <w:r>
              <w:rPr>
                <w:rFonts w:hint="eastAsia"/>
                <w:color w:val="auto"/>
                <w:highlight w:val="none"/>
                <w:lang w:eastAsia="zh-CN"/>
              </w:rPr>
              <w:t>、废铅蓄电池，</w:t>
            </w:r>
            <w:r>
              <w:rPr>
                <w:rFonts w:hint="eastAsia"/>
                <w:color w:val="auto"/>
                <w:highlight w:val="none"/>
                <w:lang w:val="en-US" w:eastAsia="zh-CN"/>
              </w:rPr>
              <w:t>另一部分为进行收集和储存运营过程中产生的废电解液废劳保用品等危险废物。</w:t>
            </w:r>
          </w:p>
          <w:p>
            <w:pPr>
              <w:pStyle w:val="12"/>
              <w:numPr>
                <w:ilvl w:val="0"/>
                <w:numId w:val="3"/>
              </w:numPr>
              <w:ind w:firstLine="480"/>
              <w:rPr>
                <w:rFonts w:hint="eastAsia"/>
                <w:color w:val="auto"/>
                <w:highlight w:val="none"/>
                <w:lang w:eastAsia="zh-CN"/>
              </w:rPr>
            </w:pPr>
            <w:r>
              <w:rPr>
                <w:rFonts w:hint="eastAsia"/>
                <w:color w:val="auto"/>
                <w:highlight w:val="none"/>
              </w:rPr>
              <w:t>收集和存储</w:t>
            </w:r>
            <w:r>
              <w:rPr>
                <w:rFonts w:hint="eastAsia"/>
                <w:color w:val="auto"/>
                <w:highlight w:val="none"/>
                <w:lang w:eastAsia="zh-CN"/>
              </w:rPr>
              <w:t>二道沟公司</w:t>
            </w:r>
            <w:r>
              <w:rPr>
                <w:rFonts w:hint="eastAsia"/>
                <w:color w:val="auto"/>
                <w:highlight w:val="none"/>
              </w:rPr>
              <w:t>产生的</w:t>
            </w:r>
            <w:r>
              <w:rPr>
                <w:rFonts w:hint="eastAsia"/>
                <w:color w:val="auto"/>
                <w:highlight w:val="none"/>
                <w:lang w:eastAsia="zh-CN"/>
              </w:rPr>
              <w:t>废润滑油</w:t>
            </w:r>
            <w:r>
              <w:rPr>
                <w:rFonts w:hint="eastAsia"/>
                <w:color w:val="auto"/>
                <w:highlight w:val="none"/>
              </w:rPr>
              <w:t>、废油桶</w:t>
            </w:r>
            <w:r>
              <w:rPr>
                <w:rFonts w:hint="eastAsia"/>
                <w:color w:val="auto"/>
                <w:highlight w:val="none"/>
                <w:lang w:eastAsia="zh-CN"/>
              </w:rPr>
              <w:t>、废铅蓄电池进行收集、暂存，按照危险废物进行管理。</w:t>
            </w:r>
          </w:p>
          <w:p>
            <w:pPr>
              <w:pStyle w:val="12"/>
              <w:ind w:firstLine="480"/>
              <w:rPr>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lang w:val="en-US" w:eastAsia="zh-CN"/>
              </w:rPr>
              <w:t>进行收集和储存运营过程中产生</w:t>
            </w:r>
            <w:r>
              <w:rPr>
                <w:rFonts w:hint="eastAsia"/>
                <w:color w:val="auto"/>
                <w:highlight w:val="none"/>
              </w:rPr>
              <w:t>的危险废物</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w:t>
            </w:r>
            <w:r>
              <w:rPr>
                <w:color w:val="auto"/>
                <w:highlight w:val="none"/>
              </w:rPr>
              <w:t xml:space="preserve">  </w:t>
            </w:r>
            <w:r>
              <w:rPr>
                <w:rFonts w:hint="eastAsia"/>
                <w:color w:val="auto"/>
                <w:highlight w:val="none"/>
              </w:rPr>
              <w:t>本项目</w:t>
            </w:r>
            <w:r>
              <w:rPr>
                <w:rFonts w:hint="eastAsia"/>
                <w:color w:val="auto"/>
                <w:highlight w:val="none"/>
                <w:lang w:eastAsia="zh-CN"/>
              </w:rPr>
              <w:t>运营过程</w:t>
            </w:r>
            <w:r>
              <w:rPr>
                <w:color w:val="auto"/>
                <w:highlight w:val="none"/>
              </w:rPr>
              <w:t>产生</w:t>
            </w:r>
            <w:r>
              <w:rPr>
                <w:rFonts w:hint="eastAsia"/>
                <w:color w:val="auto"/>
                <w:highlight w:val="none"/>
                <w:lang w:eastAsia="zh-CN"/>
              </w:rPr>
              <w:t>的</w:t>
            </w:r>
            <w:r>
              <w:rPr>
                <w:color w:val="auto"/>
                <w:highlight w:val="none"/>
              </w:rPr>
              <w:t>危险废物情况</w:t>
            </w:r>
          </w:p>
          <w:tbl>
            <w:tblPr>
              <w:tblStyle w:val="15"/>
              <w:tblW w:w="8178"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fixed"/>
              <w:tblCellMar>
                <w:top w:w="0" w:type="dxa"/>
                <w:left w:w="0" w:type="dxa"/>
                <w:bottom w:w="0" w:type="dxa"/>
                <w:right w:w="0" w:type="dxa"/>
              </w:tblCellMar>
            </w:tblPr>
            <w:tblGrid>
              <w:gridCol w:w="233"/>
              <w:gridCol w:w="521"/>
              <w:gridCol w:w="696"/>
              <w:gridCol w:w="1035"/>
              <w:gridCol w:w="819"/>
              <w:gridCol w:w="504"/>
              <w:gridCol w:w="447"/>
              <w:gridCol w:w="684"/>
              <w:gridCol w:w="584"/>
              <w:gridCol w:w="561"/>
              <w:gridCol w:w="604"/>
              <w:gridCol w:w="560"/>
              <w:gridCol w:w="93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fixed"/>
              </w:tblPrEx>
              <w:trPr>
                <w:trHeight w:val="515" w:hRule="atLeast"/>
                <w:jc w:val="center"/>
              </w:trPr>
              <w:tc>
                <w:tcPr>
                  <w:tcW w:w="233" w:type="dxa"/>
                  <w:vAlign w:val="center"/>
                </w:tcPr>
                <w:p>
                  <w:pPr>
                    <w:pStyle w:val="25"/>
                    <w:rPr>
                      <w:rFonts w:hint="default"/>
                      <w:color w:val="auto"/>
                      <w:highlight w:val="none"/>
                    </w:rPr>
                  </w:pPr>
                  <w:r>
                    <w:rPr>
                      <w:color w:val="auto"/>
                      <w:highlight w:val="none"/>
                    </w:rPr>
                    <w:t>序号</w:t>
                  </w:r>
                </w:p>
              </w:tc>
              <w:tc>
                <w:tcPr>
                  <w:tcW w:w="521" w:type="dxa"/>
                  <w:vAlign w:val="center"/>
                </w:tcPr>
                <w:p>
                  <w:pPr>
                    <w:pStyle w:val="25"/>
                    <w:rPr>
                      <w:rFonts w:hint="default"/>
                      <w:color w:val="auto"/>
                      <w:highlight w:val="none"/>
                    </w:rPr>
                  </w:pPr>
                  <w:r>
                    <w:rPr>
                      <w:color w:val="auto"/>
                      <w:highlight w:val="none"/>
                    </w:rPr>
                    <w:t>危险废物名称</w:t>
                  </w:r>
                </w:p>
              </w:tc>
              <w:tc>
                <w:tcPr>
                  <w:tcW w:w="696" w:type="dxa"/>
                  <w:vAlign w:val="center"/>
                </w:tcPr>
                <w:p>
                  <w:pPr>
                    <w:pStyle w:val="25"/>
                    <w:rPr>
                      <w:rFonts w:hint="default"/>
                      <w:color w:val="auto"/>
                      <w:highlight w:val="none"/>
                    </w:rPr>
                  </w:pPr>
                  <w:r>
                    <w:rPr>
                      <w:color w:val="auto"/>
                      <w:highlight w:val="none"/>
                    </w:rPr>
                    <w:t>危险废物类别</w:t>
                  </w:r>
                </w:p>
              </w:tc>
              <w:tc>
                <w:tcPr>
                  <w:tcW w:w="1035" w:type="dxa"/>
                  <w:vAlign w:val="center"/>
                </w:tcPr>
                <w:p>
                  <w:pPr>
                    <w:pStyle w:val="25"/>
                    <w:rPr>
                      <w:rFonts w:hint="default"/>
                      <w:color w:val="auto"/>
                      <w:highlight w:val="none"/>
                    </w:rPr>
                  </w:pPr>
                  <w:r>
                    <w:rPr>
                      <w:color w:val="auto"/>
                      <w:highlight w:val="none"/>
                    </w:rPr>
                    <w:t>危险废物代码</w:t>
                  </w:r>
                </w:p>
              </w:tc>
              <w:tc>
                <w:tcPr>
                  <w:tcW w:w="819" w:type="dxa"/>
                  <w:vAlign w:val="center"/>
                </w:tcPr>
                <w:p>
                  <w:pPr>
                    <w:pStyle w:val="25"/>
                    <w:rPr>
                      <w:rFonts w:hint="default"/>
                      <w:color w:val="auto"/>
                      <w:highlight w:val="none"/>
                    </w:rPr>
                  </w:pPr>
                  <w:r>
                    <w:rPr>
                      <w:color w:val="auto"/>
                      <w:highlight w:val="none"/>
                    </w:rPr>
                    <w:t>产生量（t/a）</w:t>
                  </w:r>
                </w:p>
              </w:tc>
              <w:tc>
                <w:tcPr>
                  <w:tcW w:w="504" w:type="dxa"/>
                  <w:vAlign w:val="center"/>
                </w:tcPr>
                <w:p>
                  <w:pPr>
                    <w:pStyle w:val="25"/>
                    <w:rPr>
                      <w:rFonts w:hint="eastAsia" w:eastAsiaTheme="minorEastAsia"/>
                      <w:color w:val="auto"/>
                      <w:highlight w:val="none"/>
                      <w:lang w:eastAsia="zh-CN"/>
                    </w:rPr>
                  </w:pPr>
                  <w:r>
                    <w:rPr>
                      <w:rFonts w:hint="eastAsia"/>
                      <w:color w:val="auto"/>
                      <w:highlight w:val="none"/>
                      <w:lang w:eastAsia="zh-CN"/>
                    </w:rPr>
                    <w:t>产生工序及装置</w:t>
                  </w:r>
                </w:p>
              </w:tc>
              <w:tc>
                <w:tcPr>
                  <w:tcW w:w="447" w:type="dxa"/>
                  <w:vAlign w:val="center"/>
                </w:tcPr>
                <w:p>
                  <w:pPr>
                    <w:pStyle w:val="25"/>
                    <w:rPr>
                      <w:rFonts w:hint="default"/>
                      <w:color w:val="auto"/>
                      <w:highlight w:val="none"/>
                    </w:rPr>
                  </w:pPr>
                  <w:r>
                    <w:rPr>
                      <w:color w:val="auto"/>
                      <w:highlight w:val="none"/>
                    </w:rPr>
                    <w:t>形态</w:t>
                  </w:r>
                </w:p>
              </w:tc>
              <w:tc>
                <w:tcPr>
                  <w:tcW w:w="684" w:type="dxa"/>
                  <w:vAlign w:val="center"/>
                </w:tcPr>
                <w:p>
                  <w:pPr>
                    <w:pStyle w:val="25"/>
                    <w:rPr>
                      <w:rFonts w:hint="default"/>
                      <w:color w:val="auto"/>
                      <w:highlight w:val="none"/>
                    </w:rPr>
                  </w:pPr>
                  <w:r>
                    <w:rPr>
                      <w:color w:val="auto"/>
                      <w:highlight w:val="none"/>
                    </w:rPr>
                    <w:t>主要成分</w:t>
                  </w:r>
                </w:p>
              </w:tc>
              <w:tc>
                <w:tcPr>
                  <w:tcW w:w="584" w:type="dxa"/>
                  <w:vAlign w:val="center"/>
                </w:tcPr>
                <w:p>
                  <w:pPr>
                    <w:pStyle w:val="25"/>
                    <w:rPr>
                      <w:rFonts w:hint="default"/>
                      <w:color w:val="auto"/>
                      <w:highlight w:val="none"/>
                    </w:rPr>
                  </w:pPr>
                  <w:r>
                    <w:rPr>
                      <w:color w:val="auto"/>
                      <w:highlight w:val="none"/>
                    </w:rPr>
                    <w:t>有害成分</w:t>
                  </w:r>
                </w:p>
              </w:tc>
              <w:tc>
                <w:tcPr>
                  <w:tcW w:w="561" w:type="dxa"/>
                  <w:vAlign w:val="center"/>
                </w:tcPr>
                <w:p>
                  <w:pPr>
                    <w:pStyle w:val="25"/>
                    <w:rPr>
                      <w:rFonts w:hint="default"/>
                      <w:color w:val="auto"/>
                      <w:highlight w:val="none"/>
                    </w:rPr>
                  </w:pPr>
                  <w:r>
                    <w:rPr>
                      <w:color w:val="auto"/>
                      <w:highlight w:val="none"/>
                    </w:rPr>
                    <w:t>产废周期</w:t>
                  </w:r>
                </w:p>
              </w:tc>
              <w:tc>
                <w:tcPr>
                  <w:tcW w:w="604" w:type="dxa"/>
                  <w:vAlign w:val="center"/>
                </w:tcPr>
                <w:p>
                  <w:pPr>
                    <w:pStyle w:val="25"/>
                    <w:rPr>
                      <w:rFonts w:hint="default"/>
                      <w:color w:val="auto"/>
                      <w:highlight w:val="none"/>
                    </w:rPr>
                  </w:pPr>
                  <w:r>
                    <w:rPr>
                      <w:color w:val="auto"/>
                      <w:highlight w:val="none"/>
                    </w:rPr>
                    <w:t>危险特性</w:t>
                  </w:r>
                </w:p>
              </w:tc>
              <w:tc>
                <w:tcPr>
                  <w:tcW w:w="560" w:type="dxa"/>
                  <w:vAlign w:val="center"/>
                </w:tcPr>
                <w:p>
                  <w:pPr>
                    <w:pStyle w:val="25"/>
                    <w:rPr>
                      <w:rFonts w:hint="default"/>
                      <w:color w:val="auto"/>
                      <w:highlight w:val="none"/>
                    </w:rPr>
                  </w:pPr>
                  <w:r>
                    <w:rPr>
                      <w:color w:val="auto"/>
                      <w:highlight w:val="none"/>
                    </w:rPr>
                    <w:t>暂存场所</w:t>
                  </w:r>
                </w:p>
              </w:tc>
              <w:tc>
                <w:tcPr>
                  <w:tcW w:w="930" w:type="dxa"/>
                  <w:vAlign w:val="center"/>
                </w:tcPr>
                <w:p>
                  <w:pPr>
                    <w:pStyle w:val="25"/>
                    <w:rPr>
                      <w:rFonts w:hint="default"/>
                      <w:color w:val="auto"/>
                      <w:highlight w:val="none"/>
                    </w:rPr>
                  </w:pPr>
                  <w:r>
                    <w:rPr>
                      <w:color w:val="auto"/>
                      <w:highlight w:val="none"/>
                    </w:rPr>
                    <w:t>处置措施/备注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fixed"/>
                <w:tblCellMar>
                  <w:top w:w="0" w:type="dxa"/>
                  <w:left w:w="0" w:type="dxa"/>
                  <w:bottom w:w="0" w:type="dxa"/>
                  <w:right w:w="0" w:type="dxa"/>
                </w:tblCellMar>
              </w:tblPrEx>
              <w:trPr>
                <w:trHeight w:val="255" w:hRule="atLeast"/>
                <w:jc w:val="center"/>
              </w:trPr>
              <w:tc>
                <w:tcPr>
                  <w:tcW w:w="233" w:type="dxa"/>
                  <w:vAlign w:val="center"/>
                </w:tcPr>
                <w:p>
                  <w:pPr>
                    <w:pStyle w:val="22"/>
                    <w:rPr>
                      <w:color w:val="auto"/>
                      <w:highlight w:val="none"/>
                    </w:rPr>
                  </w:pPr>
                  <w:r>
                    <w:rPr>
                      <w:rFonts w:hint="eastAsia"/>
                      <w:color w:val="auto"/>
                      <w:highlight w:val="none"/>
                    </w:rPr>
                    <w:t>1</w:t>
                  </w:r>
                </w:p>
              </w:tc>
              <w:tc>
                <w:tcPr>
                  <w:tcW w:w="521"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废电解液</w:t>
                  </w:r>
                </w:p>
              </w:tc>
              <w:tc>
                <w:tcPr>
                  <w:tcW w:w="696"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HW31</w:t>
                  </w:r>
                </w:p>
              </w:tc>
              <w:tc>
                <w:tcPr>
                  <w:tcW w:w="1035"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900-052-31</w:t>
                  </w:r>
                </w:p>
              </w:tc>
              <w:tc>
                <w:tcPr>
                  <w:tcW w:w="819" w:type="dxa"/>
                  <w:shd w:val="clear" w:color="auto" w:fill="auto"/>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0.026</w:t>
                  </w:r>
                </w:p>
              </w:tc>
              <w:tc>
                <w:tcPr>
                  <w:tcW w:w="504"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废铅蓄电池破损</w:t>
                  </w:r>
                </w:p>
              </w:tc>
              <w:tc>
                <w:tcPr>
                  <w:tcW w:w="447"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液态</w:t>
                  </w:r>
                </w:p>
              </w:tc>
              <w:tc>
                <w:tcPr>
                  <w:tcW w:w="684"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硫酸、</w:t>
                  </w:r>
                  <w:r>
                    <w:rPr>
                      <w:rFonts w:hint="eastAsia"/>
                      <w:color w:val="auto"/>
                      <w:highlight w:val="none"/>
                      <w:lang w:val="en-US" w:eastAsia="zh-CN"/>
                    </w:rPr>
                    <w:t>硫酸</w:t>
                  </w:r>
                  <w:r>
                    <w:rPr>
                      <w:rFonts w:hint="eastAsia"/>
                      <w:color w:val="auto"/>
                      <w:highlight w:val="none"/>
                    </w:rPr>
                    <w:t>铅</w:t>
                  </w:r>
                </w:p>
              </w:tc>
              <w:tc>
                <w:tcPr>
                  <w:tcW w:w="584"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硫酸、</w:t>
                  </w:r>
                  <w:r>
                    <w:rPr>
                      <w:rFonts w:hint="eastAsia"/>
                      <w:color w:val="auto"/>
                      <w:highlight w:val="none"/>
                      <w:lang w:val="en-US" w:eastAsia="zh-CN"/>
                    </w:rPr>
                    <w:t>硫酸</w:t>
                  </w:r>
                  <w:r>
                    <w:rPr>
                      <w:rFonts w:hint="eastAsia"/>
                      <w:color w:val="auto"/>
                      <w:highlight w:val="none"/>
                    </w:rPr>
                    <w:t>铅</w:t>
                  </w:r>
                </w:p>
              </w:tc>
              <w:tc>
                <w:tcPr>
                  <w:tcW w:w="561"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工作日</w:t>
                  </w:r>
                </w:p>
              </w:tc>
              <w:tc>
                <w:tcPr>
                  <w:tcW w:w="604"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T</w:t>
                  </w:r>
                  <w:r>
                    <w:rPr>
                      <w:rFonts w:hint="eastAsia"/>
                      <w:color w:val="auto"/>
                      <w:highlight w:val="none"/>
                      <w:lang w:val="en-US" w:eastAsia="zh-CN"/>
                    </w:rPr>
                    <w:t>，C</w:t>
                  </w:r>
                </w:p>
              </w:tc>
              <w:tc>
                <w:tcPr>
                  <w:tcW w:w="560" w:type="dxa"/>
                  <w:vMerge w:val="restart"/>
                  <w:vAlign w:val="center"/>
                </w:tcPr>
                <w:p>
                  <w:pPr>
                    <w:pStyle w:val="22"/>
                    <w:rPr>
                      <w:rFonts w:hint="default" w:eastAsiaTheme="minorEastAsia"/>
                      <w:color w:val="auto"/>
                      <w:highlight w:val="none"/>
                      <w:lang w:val="en-US" w:eastAsia="zh-CN"/>
                    </w:rPr>
                  </w:pPr>
                  <w:r>
                    <w:rPr>
                      <w:rFonts w:hint="eastAsia"/>
                      <w:color w:val="auto"/>
                      <w:highlight w:val="none"/>
                      <w:lang w:eastAsia="zh-CN"/>
                    </w:rPr>
                    <w:t>危险废物贮存点</w:t>
                  </w:r>
                </w:p>
              </w:tc>
              <w:tc>
                <w:tcPr>
                  <w:tcW w:w="930" w:type="dxa"/>
                  <w:vMerge w:val="restart"/>
                  <w:vAlign w:val="center"/>
                </w:tcPr>
                <w:p>
                  <w:pPr>
                    <w:pStyle w:val="22"/>
                    <w:rPr>
                      <w:color w:val="auto"/>
                      <w:highlight w:val="none"/>
                    </w:rPr>
                  </w:pPr>
                  <w:r>
                    <w:rPr>
                      <w:color w:val="auto"/>
                      <w:highlight w:val="none"/>
                    </w:rPr>
                    <w:t>收集后贮存在</w:t>
                  </w:r>
                  <w:r>
                    <w:rPr>
                      <w:rFonts w:hint="eastAsia"/>
                      <w:color w:val="auto"/>
                      <w:highlight w:val="none"/>
                      <w:lang w:eastAsia="zh-CN"/>
                    </w:rPr>
                    <w:t>危废贮存点内，</w:t>
                  </w:r>
                  <w:r>
                    <w:rPr>
                      <w:rFonts w:hint="eastAsia"/>
                      <w:color w:val="auto"/>
                      <w:highlight w:val="none"/>
                    </w:rPr>
                    <w:t>定期委托有危废处置资质的单位进行处置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fixed"/>
                <w:tblCellMar>
                  <w:top w:w="0" w:type="dxa"/>
                  <w:left w:w="0" w:type="dxa"/>
                  <w:bottom w:w="0" w:type="dxa"/>
                  <w:right w:w="0" w:type="dxa"/>
                </w:tblCellMar>
              </w:tblPrEx>
              <w:trPr>
                <w:trHeight w:val="502" w:hRule="atLeast"/>
                <w:jc w:val="center"/>
              </w:trPr>
              <w:tc>
                <w:tcPr>
                  <w:tcW w:w="233"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2</w:t>
                  </w:r>
                </w:p>
              </w:tc>
              <w:tc>
                <w:tcPr>
                  <w:tcW w:w="521"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废劳保用品</w:t>
                  </w:r>
                </w:p>
              </w:tc>
              <w:tc>
                <w:tcPr>
                  <w:tcW w:w="696"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HW49</w:t>
                  </w:r>
                </w:p>
              </w:tc>
              <w:tc>
                <w:tcPr>
                  <w:tcW w:w="1035"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900-041-49</w:t>
                  </w:r>
                </w:p>
              </w:tc>
              <w:tc>
                <w:tcPr>
                  <w:tcW w:w="819" w:type="dxa"/>
                  <w:shd w:val="clear" w:color="auto" w:fill="auto"/>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0.01</w:t>
                  </w:r>
                </w:p>
              </w:tc>
              <w:tc>
                <w:tcPr>
                  <w:tcW w:w="504"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运行操作过程中</w:t>
                  </w:r>
                </w:p>
              </w:tc>
              <w:tc>
                <w:tcPr>
                  <w:tcW w:w="447"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固态</w:t>
                  </w:r>
                </w:p>
              </w:tc>
              <w:tc>
                <w:tcPr>
                  <w:tcW w:w="684"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棉织物、</w:t>
                  </w:r>
                  <w:r>
                    <w:rPr>
                      <w:rFonts w:hint="eastAsia"/>
                      <w:color w:val="auto"/>
                      <w:highlight w:val="none"/>
                    </w:rPr>
                    <w:t>硫酸、</w:t>
                  </w:r>
                  <w:r>
                    <w:rPr>
                      <w:rFonts w:hint="eastAsia"/>
                      <w:color w:val="auto"/>
                      <w:highlight w:val="none"/>
                      <w:lang w:val="en-US" w:eastAsia="zh-CN"/>
                    </w:rPr>
                    <w:t>硫酸</w:t>
                  </w:r>
                  <w:r>
                    <w:rPr>
                      <w:rFonts w:hint="eastAsia"/>
                      <w:color w:val="auto"/>
                      <w:highlight w:val="none"/>
                    </w:rPr>
                    <w:t>铅</w:t>
                  </w:r>
                  <w:r>
                    <w:rPr>
                      <w:rFonts w:hint="eastAsia"/>
                      <w:color w:val="auto"/>
                      <w:highlight w:val="none"/>
                      <w:lang w:eastAsia="zh-CN"/>
                    </w:rPr>
                    <w:t>、挥发性有机物</w:t>
                  </w:r>
                </w:p>
              </w:tc>
              <w:tc>
                <w:tcPr>
                  <w:tcW w:w="584"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硫酸、</w:t>
                  </w:r>
                  <w:r>
                    <w:rPr>
                      <w:rFonts w:hint="eastAsia"/>
                      <w:color w:val="auto"/>
                      <w:highlight w:val="none"/>
                      <w:lang w:val="en-US" w:eastAsia="zh-CN"/>
                    </w:rPr>
                    <w:t>硫酸</w:t>
                  </w:r>
                  <w:r>
                    <w:rPr>
                      <w:rFonts w:hint="eastAsia"/>
                      <w:color w:val="auto"/>
                      <w:highlight w:val="none"/>
                    </w:rPr>
                    <w:t>铅</w:t>
                  </w:r>
                  <w:r>
                    <w:rPr>
                      <w:rFonts w:hint="eastAsia"/>
                      <w:color w:val="auto"/>
                      <w:highlight w:val="none"/>
                      <w:lang w:eastAsia="zh-CN"/>
                    </w:rPr>
                    <w:t>、挥发性有机物</w:t>
                  </w:r>
                </w:p>
              </w:tc>
              <w:tc>
                <w:tcPr>
                  <w:tcW w:w="561"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工作日</w:t>
                  </w:r>
                </w:p>
              </w:tc>
              <w:tc>
                <w:tcPr>
                  <w:tcW w:w="604"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T</w:t>
                  </w:r>
                  <w:r>
                    <w:rPr>
                      <w:rFonts w:hint="eastAsia"/>
                      <w:color w:val="auto"/>
                      <w:highlight w:val="none"/>
                      <w:lang w:val="en-US" w:eastAsia="zh-CN"/>
                    </w:rPr>
                    <w:t>/In</w:t>
                  </w:r>
                </w:p>
              </w:tc>
              <w:tc>
                <w:tcPr>
                  <w:tcW w:w="560" w:type="dxa"/>
                  <w:vMerge w:val="continue"/>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p>
              </w:tc>
              <w:tc>
                <w:tcPr>
                  <w:tcW w:w="930" w:type="dxa"/>
                  <w:vMerge w:val="continue"/>
                  <w:vAlign w:val="center"/>
                </w:tcPr>
                <w:p>
                  <w:pPr>
                    <w:pStyle w:val="22"/>
                    <w:rPr>
                      <w:color w:val="auto"/>
                      <w:highlight w:val="none"/>
                    </w:rPr>
                  </w:pPr>
                </w:p>
              </w:tc>
            </w:tr>
          </w:tbl>
          <w:p>
            <w:pPr>
              <w:pStyle w:val="12"/>
              <w:ind w:firstLine="480"/>
              <w:rPr>
                <w:rFonts w:hint="eastAsia" w:eastAsia="宋体"/>
                <w:color w:val="auto"/>
                <w:highlight w:val="none"/>
                <w:lang w:val="en-US" w:eastAsia="zh-CN"/>
              </w:rPr>
            </w:pPr>
            <w:r>
              <w:rPr>
                <w:rFonts w:hint="eastAsia"/>
                <w:color w:val="auto"/>
                <w:highlight w:val="none"/>
                <w:lang w:val="en-US" w:eastAsia="zh-CN"/>
              </w:rPr>
              <w:t>（3）管理要求</w:t>
            </w:r>
          </w:p>
          <w:p>
            <w:pPr>
              <w:pStyle w:val="12"/>
              <w:ind w:firstLine="480"/>
              <w:rPr>
                <w:rFonts w:hint="default"/>
                <w:color w:val="auto"/>
                <w:highlight w:val="none"/>
                <w:lang w:val="en-US" w:eastAsia="zh-CN"/>
              </w:rPr>
            </w:pPr>
            <w:r>
              <w:rPr>
                <w:rFonts w:hint="eastAsia"/>
                <w:color w:val="auto"/>
                <w:highlight w:val="none"/>
                <w:lang w:val="en-US" w:eastAsia="zh-CN"/>
              </w:rPr>
              <w:t>1）总体要求</w:t>
            </w:r>
          </w:p>
          <w:p>
            <w:pPr>
              <w:pStyle w:val="12"/>
              <w:ind w:firstLine="480"/>
              <w:rPr>
                <w:rFonts w:hint="eastAsia"/>
                <w:color w:val="auto"/>
                <w:highlight w:val="none"/>
                <w:lang w:eastAsia="zh-CN"/>
              </w:rPr>
            </w:pPr>
            <w:r>
              <w:rPr>
                <w:rFonts w:hint="eastAsia"/>
                <w:color w:val="auto"/>
                <w:highlight w:val="none"/>
                <w:lang w:eastAsia="zh-CN"/>
              </w:rPr>
              <w:t>本项目危险废物年产生量为10吨以下、未纳入危险废物环境重点监管单位，因此属于危险废物登记管理单位，且该危废贮存场所仅供本公司自用，根据《危险废物贮存污染控制标准》（GB18597-2023）中要求，本项目应建设危险废物贮存点。</w:t>
            </w:r>
          </w:p>
          <w:p>
            <w:pPr>
              <w:pStyle w:val="12"/>
              <w:ind w:firstLine="480"/>
              <w:rPr>
                <w:rFonts w:hint="eastAsia"/>
                <w:color w:val="auto"/>
                <w:highlight w:val="none"/>
                <w:lang w:eastAsia="zh-CN"/>
              </w:rPr>
            </w:pPr>
            <w:r>
              <w:rPr>
                <w:rFonts w:hint="eastAsia"/>
                <w:color w:val="auto"/>
                <w:highlight w:val="none"/>
                <w:lang w:eastAsia="zh-CN"/>
              </w:rPr>
              <w:t>本项目贮存的危险废物为废润滑油、废铅蓄电池、废油桶等分类分区存放，不与相容的物质或材料接触。</w:t>
            </w:r>
          </w:p>
          <w:p>
            <w:pPr>
              <w:pStyle w:val="12"/>
              <w:ind w:firstLine="480"/>
              <w:rPr>
                <w:rFonts w:hint="eastAsia"/>
                <w:color w:val="auto"/>
                <w:highlight w:val="none"/>
                <w:lang w:eastAsia="zh-CN"/>
              </w:rPr>
            </w:pPr>
            <w:r>
              <w:rPr>
                <w:rFonts w:hint="eastAsia"/>
                <w:color w:val="auto"/>
                <w:highlight w:val="none"/>
                <w:lang w:eastAsia="zh-CN"/>
              </w:rPr>
              <w:t>本项目设计收集危险废物时采用铁桶、耐酸耐腐蚀箱等多种包装形式，危险废物贮存点内设置集液装置及排风扇等措施减少渗滤液及其衍生废物、渗漏液、粉尘、VOCs、酸雾、有毒有害大气污染物和刺激性气味气体等污染物的产生。</w:t>
            </w:r>
          </w:p>
          <w:p>
            <w:pPr>
              <w:pStyle w:val="12"/>
              <w:ind w:firstLine="480"/>
              <w:rPr>
                <w:rFonts w:hint="eastAsia"/>
                <w:color w:val="auto"/>
                <w:highlight w:val="none"/>
                <w:lang w:eastAsia="zh-CN"/>
              </w:rPr>
            </w:pPr>
            <w:r>
              <w:rPr>
                <w:rFonts w:hint="eastAsia"/>
                <w:color w:val="auto"/>
                <w:highlight w:val="none"/>
                <w:lang w:eastAsia="zh-CN"/>
              </w:rPr>
              <w:t>本项目贮存的危险废物为废润滑油、废铅蓄电池、废油桶等多种危险废物；均分类分区存放，不与相容的物质或材料接触。</w:t>
            </w:r>
          </w:p>
          <w:p>
            <w:pPr>
              <w:pStyle w:val="12"/>
              <w:ind w:firstLine="480"/>
              <w:rPr>
                <w:rFonts w:hint="eastAsia"/>
                <w:color w:val="auto"/>
                <w:highlight w:val="none"/>
                <w:lang w:eastAsia="zh-CN"/>
              </w:rPr>
            </w:pPr>
            <w:r>
              <w:rPr>
                <w:rFonts w:hint="eastAsia"/>
                <w:color w:val="auto"/>
                <w:highlight w:val="none"/>
                <w:lang w:eastAsia="zh-CN"/>
              </w:rPr>
              <w:t>本项目贮存场所、容器和包装物均按《危险废物识别标志设置技术规范》（HJ1276-2022）要求设置危险废物贮存场所标志、危险废物贮存分区标志和危险废物标签等危险废物识别标志。</w:t>
            </w:r>
          </w:p>
          <w:p>
            <w:pPr>
              <w:pStyle w:val="12"/>
              <w:ind w:firstLine="480"/>
              <w:rPr>
                <w:rFonts w:hint="default"/>
                <w:color w:val="auto"/>
                <w:highlight w:val="none"/>
                <w:lang w:val="en-US" w:eastAsia="zh-CN"/>
              </w:rPr>
            </w:pPr>
            <w:r>
              <w:rPr>
                <w:rFonts w:hint="eastAsia"/>
                <w:color w:val="auto"/>
                <w:highlight w:val="none"/>
                <w:lang w:val="en-US" w:eastAsia="zh-CN"/>
              </w:rPr>
              <w:t>2）容器和包装物污染控制要求</w:t>
            </w:r>
          </w:p>
          <w:p>
            <w:pPr>
              <w:pStyle w:val="12"/>
              <w:ind w:firstLine="480"/>
              <w:rPr>
                <w:rFonts w:hint="eastAsia"/>
                <w:color w:val="auto"/>
                <w:highlight w:val="none"/>
                <w:lang w:eastAsia="zh-CN"/>
              </w:rPr>
            </w:pPr>
            <w:r>
              <w:rPr>
                <w:rFonts w:hint="eastAsia"/>
                <w:color w:val="auto"/>
                <w:highlight w:val="none"/>
                <w:lang w:eastAsia="zh-CN"/>
              </w:rPr>
              <w:t>项目设计收集危险废物时采用铁桶、耐酸耐腐蚀箱等多种包装形式。本项目容器和包装物材质、内衬均与盛装的危险废物相容。</w:t>
            </w:r>
          </w:p>
          <w:p>
            <w:pPr>
              <w:pStyle w:val="12"/>
              <w:ind w:firstLine="480"/>
              <w:rPr>
                <w:rFonts w:hint="eastAsia"/>
                <w:color w:val="auto"/>
                <w:highlight w:val="none"/>
                <w:lang w:eastAsia="zh-CN"/>
              </w:rPr>
            </w:pPr>
            <w:r>
              <w:rPr>
                <w:rFonts w:hint="eastAsia"/>
                <w:color w:val="auto"/>
                <w:highlight w:val="none"/>
                <w:lang w:eastAsia="zh-CN"/>
              </w:rPr>
              <w:t>项目设计收集危险废物时采用铁桶、耐酸耐腐蚀箱等多种包装形式。本项目容器和包装物材质满足防渗、防漏、防腐和强度要求。</w:t>
            </w:r>
          </w:p>
          <w:p>
            <w:pPr>
              <w:pStyle w:val="12"/>
              <w:ind w:firstLine="480"/>
              <w:rPr>
                <w:rFonts w:hint="eastAsia"/>
                <w:color w:val="auto"/>
                <w:highlight w:val="none"/>
                <w:lang w:eastAsia="zh-CN"/>
              </w:rPr>
            </w:pPr>
            <w:r>
              <w:rPr>
                <w:rFonts w:hint="eastAsia"/>
                <w:color w:val="auto"/>
                <w:highlight w:val="none"/>
                <w:lang w:eastAsia="zh-CN"/>
              </w:rPr>
              <w:t>硬质容器和包装物及其支护结构堆叠码放时不应有明显变形，如发现变形、破损泄漏等情况应及时更换包装。</w:t>
            </w:r>
          </w:p>
          <w:p>
            <w:pPr>
              <w:pStyle w:val="12"/>
              <w:ind w:firstLine="480"/>
              <w:rPr>
                <w:rFonts w:hint="eastAsia"/>
                <w:color w:val="auto"/>
                <w:highlight w:val="none"/>
                <w:lang w:eastAsia="zh-CN"/>
              </w:rPr>
            </w:pPr>
            <w:r>
              <w:rPr>
                <w:rFonts w:hint="eastAsia"/>
                <w:color w:val="auto"/>
                <w:highlight w:val="none"/>
                <w:lang w:eastAsia="zh-CN"/>
              </w:rPr>
              <w:t>本项目不涉及柔性容器。</w:t>
            </w:r>
          </w:p>
          <w:p>
            <w:pPr>
              <w:pStyle w:val="12"/>
              <w:ind w:firstLine="480"/>
              <w:rPr>
                <w:rFonts w:hint="eastAsia"/>
                <w:color w:val="auto"/>
                <w:highlight w:val="none"/>
                <w:lang w:eastAsia="zh-CN"/>
              </w:rPr>
            </w:pPr>
            <w:r>
              <w:rPr>
                <w:rFonts w:hint="eastAsia"/>
                <w:color w:val="auto"/>
                <w:highlight w:val="none"/>
                <w:lang w:eastAsia="zh-CN"/>
              </w:rPr>
              <w:t>本项目采用铁桶盛装废润滑油留有适当的空间，可有效避免因温度变化等可能引发的收缩和膨胀，防止其导致容器渗漏或永久变形。</w:t>
            </w:r>
          </w:p>
          <w:p>
            <w:pPr>
              <w:pStyle w:val="12"/>
              <w:ind w:firstLine="480"/>
              <w:rPr>
                <w:rFonts w:hint="eastAsia"/>
                <w:color w:val="auto"/>
                <w:highlight w:val="none"/>
                <w:lang w:eastAsia="zh-CN"/>
              </w:rPr>
            </w:pPr>
            <w:r>
              <w:rPr>
                <w:rFonts w:hint="eastAsia"/>
                <w:color w:val="auto"/>
                <w:highlight w:val="none"/>
                <w:lang w:eastAsia="zh-CN"/>
              </w:rPr>
              <w:t>定期对容器和包装物外表面进行清洁，应保持容器和包装物外表面清洁。</w:t>
            </w:r>
          </w:p>
          <w:p>
            <w:pPr>
              <w:pStyle w:val="12"/>
              <w:ind w:firstLine="480"/>
              <w:rPr>
                <w:rFonts w:hint="default"/>
                <w:color w:val="auto"/>
                <w:highlight w:val="none"/>
                <w:lang w:val="en-US" w:eastAsia="zh-CN"/>
              </w:rPr>
            </w:pPr>
            <w:r>
              <w:rPr>
                <w:rFonts w:hint="eastAsia"/>
                <w:color w:val="auto"/>
                <w:highlight w:val="none"/>
                <w:lang w:val="en-US" w:eastAsia="zh-CN"/>
              </w:rPr>
              <w:t>3）贮存过程污染控制要求</w:t>
            </w:r>
          </w:p>
          <w:p>
            <w:pPr>
              <w:pStyle w:val="12"/>
              <w:ind w:firstLine="480"/>
              <w:rPr>
                <w:rFonts w:hint="eastAsia"/>
                <w:color w:val="auto"/>
                <w:highlight w:val="none"/>
                <w:lang w:eastAsia="zh-CN"/>
              </w:rPr>
            </w:pPr>
            <w:r>
              <w:rPr>
                <w:rFonts w:hint="eastAsia"/>
                <w:color w:val="auto"/>
                <w:highlight w:val="none"/>
                <w:lang w:eastAsia="zh-CN"/>
              </w:rPr>
              <w:t>本项目涉及常温常压下不易水解、不易挥发的固态危险废物为未破损废铅蓄电池，收集至托盘内贮存。</w:t>
            </w:r>
          </w:p>
          <w:p>
            <w:pPr>
              <w:pStyle w:val="12"/>
              <w:ind w:firstLine="480"/>
              <w:rPr>
                <w:rFonts w:hint="eastAsia"/>
                <w:color w:val="auto"/>
                <w:highlight w:val="none"/>
                <w:lang w:eastAsia="zh-CN"/>
              </w:rPr>
            </w:pPr>
            <w:r>
              <w:rPr>
                <w:rFonts w:hint="eastAsia"/>
                <w:color w:val="auto"/>
                <w:highlight w:val="none"/>
                <w:lang w:eastAsia="zh-CN"/>
              </w:rPr>
              <w:t>本项目涉及液态危险废物为废润滑油、破损电池产生的废电解液等危险废物均装入铁桶或者耐酸耐腐蚀桶内贮存。</w:t>
            </w:r>
          </w:p>
          <w:p>
            <w:pPr>
              <w:pStyle w:val="12"/>
              <w:ind w:firstLine="480"/>
              <w:rPr>
                <w:rFonts w:hint="eastAsia"/>
                <w:color w:val="auto"/>
                <w:highlight w:val="none"/>
                <w:lang w:eastAsia="zh-CN"/>
              </w:rPr>
            </w:pPr>
            <w:r>
              <w:rPr>
                <w:rFonts w:hint="eastAsia"/>
                <w:color w:val="auto"/>
                <w:highlight w:val="none"/>
                <w:lang w:eastAsia="zh-CN"/>
              </w:rPr>
              <w:t>本项目不涉及半固态危险废物。</w:t>
            </w:r>
          </w:p>
          <w:p>
            <w:pPr>
              <w:pStyle w:val="12"/>
              <w:ind w:firstLine="480"/>
              <w:rPr>
                <w:rFonts w:hint="eastAsia"/>
                <w:color w:val="auto"/>
                <w:highlight w:val="none"/>
                <w:lang w:eastAsia="zh-CN"/>
              </w:rPr>
            </w:pPr>
            <w:r>
              <w:rPr>
                <w:rFonts w:hint="eastAsia"/>
                <w:color w:val="auto"/>
                <w:highlight w:val="none"/>
                <w:lang w:eastAsia="zh-CN"/>
              </w:rPr>
              <w:t>本项目贮存危险废物产生VOCs、酸雾大气污染物和刺激性气味气体的危险废物通过加盖密封桶内贮存。</w:t>
            </w:r>
          </w:p>
          <w:p>
            <w:pPr>
              <w:pStyle w:val="12"/>
              <w:ind w:firstLine="480"/>
              <w:rPr>
                <w:rFonts w:hint="default"/>
                <w:color w:val="auto"/>
                <w:highlight w:val="none"/>
                <w:lang w:val="en-US" w:eastAsia="zh-CN"/>
              </w:rPr>
            </w:pPr>
            <w:r>
              <w:rPr>
                <w:rFonts w:hint="eastAsia"/>
                <w:color w:val="auto"/>
                <w:highlight w:val="none"/>
                <w:lang w:val="en-US" w:eastAsia="zh-CN"/>
              </w:rPr>
              <w:t>4）贮存点环境管理要求</w:t>
            </w:r>
          </w:p>
          <w:p>
            <w:pPr>
              <w:pStyle w:val="12"/>
              <w:ind w:firstLine="480"/>
              <w:rPr>
                <w:rFonts w:hint="eastAsia"/>
                <w:color w:val="auto"/>
                <w:highlight w:val="none"/>
                <w:lang w:eastAsia="zh-CN"/>
              </w:rPr>
            </w:pPr>
            <w:r>
              <w:rPr>
                <w:rFonts w:hint="eastAsia"/>
                <w:color w:val="auto"/>
                <w:highlight w:val="none"/>
                <w:lang w:eastAsia="zh-CN"/>
              </w:rPr>
              <w:t>本贮存点通过改造原有库房进行贮存，有固定的区域边界。</w:t>
            </w:r>
          </w:p>
          <w:p>
            <w:pPr>
              <w:pStyle w:val="12"/>
              <w:ind w:firstLine="480"/>
              <w:rPr>
                <w:rFonts w:hint="eastAsia"/>
                <w:color w:val="auto"/>
                <w:highlight w:val="none"/>
                <w:lang w:eastAsia="zh-CN"/>
              </w:rPr>
            </w:pPr>
            <w:r>
              <w:rPr>
                <w:rFonts w:hint="eastAsia"/>
                <w:color w:val="auto"/>
                <w:highlight w:val="none"/>
                <w:lang w:eastAsia="zh-CN"/>
              </w:rPr>
              <w:t>通过改造原有库房进行贮存危险废物，并设置导流渠和集液池（</w:t>
            </w:r>
            <w:r>
              <w:rPr>
                <w:rFonts w:hint="eastAsia"/>
                <w:color w:val="auto"/>
                <w:highlight w:val="none"/>
                <w:lang w:val="en-US" w:eastAsia="zh-CN"/>
              </w:rPr>
              <w:t>1m</w:t>
            </w:r>
            <w:r>
              <w:rPr>
                <w:rFonts w:hint="eastAsia"/>
                <w:color w:val="auto"/>
                <w:highlight w:val="none"/>
                <w:vertAlign w:val="superscript"/>
                <w:lang w:val="en-US" w:eastAsia="zh-CN"/>
              </w:rPr>
              <w:t>3</w:t>
            </w:r>
            <w:r>
              <w:rPr>
                <w:rFonts w:hint="eastAsia"/>
                <w:color w:val="auto"/>
                <w:highlight w:val="none"/>
                <w:lang w:eastAsia="zh-CN"/>
              </w:rPr>
              <w:t>）等措施，可满足防风、防雨、防晒和防止危险废物流失、扬散等措施。</w:t>
            </w:r>
          </w:p>
          <w:p>
            <w:pPr>
              <w:pStyle w:val="12"/>
              <w:ind w:firstLine="480"/>
              <w:rPr>
                <w:rFonts w:hint="eastAsia"/>
                <w:color w:val="auto"/>
                <w:highlight w:val="none"/>
                <w:lang w:eastAsia="zh-CN"/>
              </w:rPr>
            </w:pPr>
            <w:r>
              <w:rPr>
                <w:rFonts w:hint="eastAsia"/>
                <w:color w:val="auto"/>
                <w:highlight w:val="none"/>
                <w:lang w:eastAsia="zh-CN"/>
              </w:rPr>
              <w:t>贮存危险废物采用铁桶、耐酸耐腐蚀箱等多种包装形式贮存危险废物，不直接散堆。</w:t>
            </w:r>
          </w:p>
          <w:p>
            <w:pPr>
              <w:pStyle w:val="12"/>
              <w:ind w:firstLine="480"/>
              <w:rPr>
                <w:rFonts w:hint="eastAsia"/>
                <w:color w:val="auto"/>
                <w:highlight w:val="none"/>
                <w:lang w:eastAsia="zh-CN"/>
              </w:rPr>
            </w:pPr>
            <w:r>
              <w:rPr>
                <w:rFonts w:hint="eastAsia"/>
                <w:color w:val="auto"/>
                <w:highlight w:val="none"/>
                <w:lang w:eastAsia="zh-CN"/>
              </w:rPr>
              <w:t>根据危险废物形态、物理化学性质、包装形式等，采用铁桶、耐酸耐腐蚀箱等多种包装形式，危废贮存点内地面及裙脚进行防腐防渗处理，并设置集液设施，可达到防渗、防漏及防止流失等污染防治措施要求。项目贮存区地面、围堰采用坚固材料并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auto"/>
                <w:highlight w:val="none"/>
                <w:vertAlign w:val="superscript"/>
                <w:lang w:eastAsia="zh-CN"/>
              </w:rPr>
              <w:t>-7</w:t>
            </w:r>
            <w:r>
              <w:rPr>
                <w:rFonts w:hint="eastAsia"/>
                <w:color w:val="auto"/>
                <w:highlight w:val="none"/>
                <w:lang w:eastAsia="zh-CN"/>
              </w:rPr>
              <w:t>cm/s），或至少2mm厚高密度聚乙烯膜等人工防渗材料（渗透系数不大于10</w:t>
            </w:r>
            <w:r>
              <w:rPr>
                <w:rFonts w:hint="eastAsia"/>
                <w:color w:val="auto"/>
                <w:highlight w:val="none"/>
                <w:vertAlign w:val="superscript"/>
                <w:lang w:eastAsia="zh-CN"/>
              </w:rPr>
              <w:t>-10</w:t>
            </w:r>
            <w:r>
              <w:rPr>
                <w:rFonts w:hint="eastAsia"/>
                <w:color w:val="auto"/>
                <w:highlight w:val="none"/>
                <w:lang w:eastAsia="zh-CN"/>
              </w:rPr>
              <w:t>cm/s），或其他防渗性能等效的材料。</w:t>
            </w:r>
          </w:p>
          <w:p>
            <w:pPr>
              <w:pStyle w:val="12"/>
              <w:ind w:firstLine="480"/>
              <w:rPr>
                <w:rFonts w:hint="eastAsia"/>
                <w:color w:val="auto"/>
                <w:highlight w:val="none"/>
                <w:lang w:eastAsia="zh-CN"/>
              </w:rPr>
            </w:pPr>
            <w:r>
              <w:rPr>
                <w:rFonts w:hint="eastAsia"/>
                <w:color w:val="auto"/>
                <w:highlight w:val="none"/>
                <w:lang w:eastAsia="zh-CN"/>
              </w:rPr>
              <w:t>企业设置危险废物贮存制度，保证危险废物实时贮存量不超过3吨。</w:t>
            </w:r>
          </w:p>
          <w:p>
            <w:pPr>
              <w:pStyle w:val="12"/>
              <w:ind w:firstLine="480"/>
              <w:rPr>
                <w:rFonts w:hint="eastAsia" w:ascii="宋体" w:hAnsi="宋体" w:eastAsia="宋体"/>
                <w:color w:val="auto"/>
                <w:highlight w:val="none"/>
                <w:lang w:eastAsia="zh-CN"/>
              </w:rPr>
            </w:pPr>
            <w:r>
              <w:rPr>
                <w:rFonts w:hint="eastAsia" w:ascii="宋体" w:hAnsi="宋体"/>
                <w:color w:val="auto"/>
                <w:highlight w:val="none"/>
                <w:lang w:val="en-US" w:eastAsia="zh-CN"/>
              </w:rPr>
              <w:t>5）</w:t>
            </w:r>
            <w:r>
              <w:rPr>
                <w:rFonts w:hint="eastAsia" w:ascii="宋体" w:hAnsi="宋体"/>
                <w:color w:val="auto"/>
                <w:highlight w:val="none"/>
                <w:lang w:eastAsia="zh-CN"/>
              </w:rPr>
              <w:t>危险废物转移要求如下：</w:t>
            </w:r>
          </w:p>
          <w:p>
            <w:pPr>
              <w:pStyle w:val="12"/>
              <w:ind w:firstLine="480"/>
              <w:rPr>
                <w:rFonts w:hint="eastAsia"/>
                <w:color w:val="auto"/>
                <w:highlight w:val="none"/>
              </w:rPr>
            </w:pPr>
            <w:r>
              <w:rPr>
                <w:rFonts w:hint="eastAsia"/>
                <w:color w:val="auto"/>
                <w:highlight w:val="none"/>
              </w:rPr>
              <w:t>转移危险废物必须按照《危险废物转移管理办法》（部令第23号）</w:t>
            </w:r>
            <w:r>
              <w:rPr>
                <w:rFonts w:hint="eastAsia"/>
                <w:color w:val="auto"/>
                <w:highlight w:val="none"/>
                <w:lang w:eastAsia="zh-CN"/>
              </w:rPr>
              <w:t>，</w:t>
            </w:r>
            <w:r>
              <w:rPr>
                <w:rFonts w:hint="eastAsia"/>
                <w:color w:val="auto"/>
                <w:highlight w:val="none"/>
              </w:rPr>
              <w:t>具体要求如下：</w:t>
            </w:r>
          </w:p>
          <w:p>
            <w:pPr>
              <w:pStyle w:val="12"/>
              <w:ind w:firstLine="480"/>
              <w:rPr>
                <w:rFonts w:hint="eastAsia"/>
                <w:color w:val="auto"/>
                <w:highlight w:val="none"/>
              </w:rPr>
            </w:pPr>
            <w:r>
              <w:rPr>
                <w:rFonts w:hint="eastAsia" w:ascii="宋体" w:hAnsi="宋体"/>
                <w:color w:val="auto"/>
                <w:highlight w:val="none"/>
              </w:rPr>
              <w:t>①</w:t>
            </w:r>
            <w:r>
              <w:rPr>
                <w:rFonts w:hint="eastAsia"/>
                <w:color w:val="auto"/>
                <w:highlight w:val="none"/>
              </w:rPr>
              <w:t>危险废物转移联单应当根据危险废物管理计划中填报的危险废物转移等备案信息填写、运行。</w:t>
            </w:r>
          </w:p>
          <w:p>
            <w:pPr>
              <w:pStyle w:val="12"/>
              <w:ind w:firstLine="480"/>
              <w:rPr>
                <w:rFonts w:hint="eastAsia"/>
                <w:color w:val="auto"/>
                <w:highlight w:val="none"/>
              </w:rPr>
            </w:pPr>
            <w:r>
              <w:rPr>
                <w:rFonts w:hint="default" w:ascii="Times New Roman" w:hAnsi="Times New Roman" w:cs="Times New Roman"/>
                <w:color w:val="auto"/>
                <w:highlight w:val="none"/>
              </w:rPr>
              <w:t>②</w:t>
            </w:r>
            <w:r>
              <w:rPr>
                <w:rFonts w:hint="eastAsia"/>
                <w:color w:val="auto"/>
                <w:highlight w:val="none"/>
              </w:rPr>
              <w:t>危险废物转移联单实行全国统一编号</w:t>
            </w:r>
            <w:r>
              <w:rPr>
                <w:rFonts w:hint="eastAsia"/>
                <w:color w:val="auto"/>
                <w:highlight w:val="none"/>
                <w:lang w:eastAsia="zh-CN"/>
              </w:rPr>
              <w:t>，</w:t>
            </w:r>
            <w:r>
              <w:rPr>
                <w:rFonts w:hint="eastAsia"/>
                <w:color w:val="auto"/>
                <w:highlight w:val="none"/>
              </w:rPr>
              <w:t>编号由十四位阿拉伯数字组成。第一至四位数字为年份代码；第五</w:t>
            </w:r>
            <w:r>
              <w:rPr>
                <w:rFonts w:hint="eastAsia"/>
                <w:color w:val="auto"/>
                <w:highlight w:val="none"/>
                <w:lang w:eastAsia="zh-CN"/>
              </w:rPr>
              <w:t>，</w:t>
            </w:r>
            <w:r>
              <w:rPr>
                <w:rFonts w:hint="eastAsia"/>
                <w:color w:val="auto"/>
                <w:highlight w:val="none"/>
              </w:rPr>
              <w:t>六位数字为移出地省级行政区划代码；</w:t>
            </w:r>
            <w:r>
              <w:rPr>
                <w:rFonts w:hint="eastAsia"/>
                <w:color w:val="auto"/>
                <w:highlight w:val="none"/>
                <w:lang w:eastAsia="zh-CN"/>
              </w:rPr>
              <w:t>第七，</w:t>
            </w:r>
            <w:r>
              <w:rPr>
                <w:rFonts w:hint="eastAsia"/>
                <w:color w:val="auto"/>
                <w:highlight w:val="none"/>
              </w:rPr>
              <w:t>八位数字为移出地设区的市级行政区划代码；其余六位数字以移出地设区的市级行政区域为单位进行流水编号。</w:t>
            </w:r>
          </w:p>
          <w:p>
            <w:pPr>
              <w:pStyle w:val="12"/>
              <w:ind w:firstLine="480"/>
              <w:rPr>
                <w:rFonts w:hint="eastAsia"/>
                <w:color w:val="auto"/>
                <w:highlight w:val="none"/>
              </w:rPr>
            </w:pPr>
            <w:r>
              <w:rPr>
                <w:rFonts w:hint="default" w:ascii="Times New Roman" w:hAnsi="Times New Roman" w:cs="Times New Roman"/>
                <w:color w:val="auto"/>
                <w:highlight w:val="none"/>
              </w:rPr>
              <w:t>③</w:t>
            </w:r>
            <w:r>
              <w:rPr>
                <w:rFonts w:hint="eastAsia"/>
                <w:color w:val="auto"/>
                <w:highlight w:val="none"/>
              </w:rPr>
              <w:t>移出人每转移一车（船或者其他运输工具）次同类危险废物</w:t>
            </w:r>
            <w:r>
              <w:rPr>
                <w:rFonts w:hint="eastAsia"/>
                <w:color w:val="auto"/>
                <w:highlight w:val="none"/>
                <w:lang w:eastAsia="zh-CN"/>
              </w:rPr>
              <w:t>，</w:t>
            </w:r>
            <w:r>
              <w:rPr>
                <w:rFonts w:hint="eastAsia"/>
                <w:color w:val="auto"/>
                <w:highlight w:val="none"/>
              </w:rPr>
              <w:t>应当填写、运行一份危险废物转移联单；每车（船或者其他运输工具）次转移多类危险废物的</w:t>
            </w:r>
            <w:r>
              <w:rPr>
                <w:rFonts w:hint="eastAsia"/>
                <w:color w:val="auto"/>
                <w:highlight w:val="none"/>
                <w:lang w:eastAsia="zh-CN"/>
              </w:rPr>
              <w:t>，</w:t>
            </w:r>
            <w:r>
              <w:rPr>
                <w:rFonts w:hint="eastAsia"/>
                <w:color w:val="auto"/>
                <w:highlight w:val="none"/>
              </w:rPr>
              <w:t>可以填写、运行一份危险废物转移联单</w:t>
            </w:r>
            <w:r>
              <w:rPr>
                <w:rFonts w:hint="eastAsia"/>
                <w:color w:val="auto"/>
                <w:highlight w:val="none"/>
                <w:lang w:eastAsia="zh-CN"/>
              </w:rPr>
              <w:t>，</w:t>
            </w:r>
            <w:r>
              <w:rPr>
                <w:rFonts w:hint="eastAsia"/>
                <w:color w:val="auto"/>
                <w:highlight w:val="none"/>
              </w:rPr>
              <w:t>也可以每一类危险废物填写、运行一份危险废物转移联单。</w:t>
            </w:r>
          </w:p>
          <w:p>
            <w:pPr>
              <w:pStyle w:val="12"/>
              <w:ind w:firstLine="480"/>
              <w:rPr>
                <w:rFonts w:hint="eastAsia"/>
                <w:color w:val="auto"/>
                <w:highlight w:val="none"/>
              </w:rPr>
            </w:pPr>
            <w:r>
              <w:rPr>
                <w:rFonts w:hint="eastAsia" w:ascii="宋体" w:hAnsi="宋体"/>
                <w:color w:val="auto"/>
                <w:highlight w:val="none"/>
              </w:rPr>
              <w:t>④</w:t>
            </w:r>
            <w:r>
              <w:rPr>
                <w:rFonts w:hint="eastAsia"/>
                <w:color w:val="auto"/>
                <w:highlight w:val="none"/>
              </w:rPr>
              <w:t>使用同一车（船或者其他运输工具）一次为多个移出人转移危险废物的</w:t>
            </w:r>
            <w:r>
              <w:rPr>
                <w:rFonts w:hint="eastAsia"/>
                <w:color w:val="auto"/>
                <w:highlight w:val="none"/>
                <w:lang w:eastAsia="zh-CN"/>
              </w:rPr>
              <w:t>，</w:t>
            </w:r>
            <w:r>
              <w:rPr>
                <w:rFonts w:hint="eastAsia"/>
                <w:color w:val="auto"/>
                <w:highlight w:val="none"/>
              </w:rPr>
              <w:t>每个移出人应当分别填写、运行危险废物转移联单。</w:t>
            </w:r>
          </w:p>
          <w:p>
            <w:pPr>
              <w:pStyle w:val="12"/>
              <w:ind w:firstLine="480"/>
              <w:rPr>
                <w:rFonts w:hint="eastAsia"/>
                <w:color w:val="auto"/>
                <w:highlight w:val="none"/>
              </w:rPr>
            </w:pPr>
            <w:r>
              <w:rPr>
                <w:rFonts w:hint="eastAsia" w:ascii="宋体" w:hAnsi="宋体"/>
                <w:color w:val="auto"/>
                <w:highlight w:val="none"/>
              </w:rPr>
              <w:t>⑤</w:t>
            </w:r>
            <w:r>
              <w:rPr>
                <w:rFonts w:hint="eastAsia"/>
                <w:color w:val="auto"/>
                <w:highlight w:val="none"/>
              </w:rPr>
              <w:t>采用联运方式转移危险废物的</w:t>
            </w:r>
            <w:r>
              <w:rPr>
                <w:rFonts w:hint="eastAsia"/>
                <w:color w:val="auto"/>
                <w:highlight w:val="none"/>
                <w:lang w:eastAsia="zh-CN"/>
              </w:rPr>
              <w:t>，</w:t>
            </w:r>
            <w:r>
              <w:rPr>
                <w:rFonts w:hint="eastAsia"/>
                <w:color w:val="auto"/>
                <w:highlight w:val="none"/>
              </w:rPr>
              <w:t>前一承运人和后一承运人应当明确运输交接的时间和地点。后一承运人应当核实危险废物转移联单确定的移出人信息、前一承运人信息及危险废物相关信息。</w:t>
            </w:r>
          </w:p>
          <w:p>
            <w:pPr>
              <w:pStyle w:val="12"/>
              <w:ind w:firstLine="480"/>
              <w:rPr>
                <w:rFonts w:hint="eastAsia"/>
                <w:color w:val="auto"/>
                <w:highlight w:val="none"/>
              </w:rPr>
            </w:pPr>
            <w:r>
              <w:rPr>
                <w:rFonts w:hint="eastAsia" w:ascii="宋体" w:hAnsi="宋体"/>
                <w:color w:val="auto"/>
                <w:highlight w:val="none"/>
              </w:rPr>
              <w:t>⑥</w:t>
            </w:r>
            <w:r>
              <w:rPr>
                <w:rFonts w:hint="eastAsia"/>
                <w:color w:val="auto"/>
                <w:highlight w:val="none"/>
              </w:rPr>
              <w:t>接受人应当对运抵的危险废物进行核实验收</w:t>
            </w:r>
            <w:r>
              <w:rPr>
                <w:rFonts w:hint="eastAsia"/>
                <w:color w:val="auto"/>
                <w:highlight w:val="none"/>
                <w:lang w:eastAsia="zh-CN"/>
              </w:rPr>
              <w:t>，</w:t>
            </w:r>
            <w:r>
              <w:rPr>
                <w:rFonts w:hint="eastAsia"/>
                <w:color w:val="auto"/>
                <w:highlight w:val="none"/>
              </w:rPr>
              <w:t>并在接受之日起五个工作日内通过信息系统确认接受。</w:t>
            </w:r>
          </w:p>
          <w:p>
            <w:pPr>
              <w:pStyle w:val="12"/>
              <w:ind w:firstLine="480"/>
              <w:rPr>
                <w:rFonts w:hint="eastAsia"/>
                <w:color w:val="auto"/>
                <w:highlight w:val="none"/>
              </w:rPr>
            </w:pPr>
            <w:r>
              <w:rPr>
                <w:rFonts w:hint="eastAsia" w:ascii="宋体" w:hAnsi="宋体"/>
                <w:color w:val="auto"/>
                <w:highlight w:val="none"/>
              </w:rPr>
              <w:t>⑦</w:t>
            </w:r>
            <w:r>
              <w:rPr>
                <w:rFonts w:hint="eastAsia"/>
                <w:color w:val="auto"/>
                <w:highlight w:val="none"/>
              </w:rPr>
              <w:t>运抵的危险废物的名称、数量、特性、形态、包装方式与危险废物转移联单填写内容不符的</w:t>
            </w:r>
            <w:r>
              <w:rPr>
                <w:rFonts w:hint="eastAsia"/>
                <w:color w:val="auto"/>
                <w:highlight w:val="none"/>
                <w:lang w:eastAsia="zh-CN"/>
              </w:rPr>
              <w:t>，</w:t>
            </w:r>
            <w:r>
              <w:rPr>
                <w:rFonts w:hint="eastAsia"/>
                <w:color w:val="auto"/>
                <w:highlight w:val="none"/>
              </w:rPr>
              <w:t>接受人应当及时告知移出人</w:t>
            </w:r>
            <w:r>
              <w:rPr>
                <w:rFonts w:hint="eastAsia"/>
                <w:color w:val="auto"/>
                <w:highlight w:val="none"/>
                <w:lang w:eastAsia="zh-CN"/>
              </w:rPr>
              <w:t>，</w:t>
            </w:r>
            <w:r>
              <w:rPr>
                <w:rFonts w:hint="eastAsia"/>
                <w:color w:val="auto"/>
                <w:highlight w:val="none"/>
              </w:rPr>
              <w:t>视情况决定是否接受</w:t>
            </w:r>
            <w:r>
              <w:rPr>
                <w:rFonts w:hint="eastAsia"/>
                <w:color w:val="auto"/>
                <w:highlight w:val="none"/>
                <w:lang w:eastAsia="zh-CN"/>
              </w:rPr>
              <w:t>，</w:t>
            </w:r>
            <w:r>
              <w:rPr>
                <w:rFonts w:hint="eastAsia"/>
                <w:color w:val="auto"/>
                <w:highlight w:val="none"/>
              </w:rPr>
              <w:t>同时向接受地生态环境主管部门报告。</w:t>
            </w:r>
          </w:p>
          <w:p>
            <w:pPr>
              <w:pStyle w:val="12"/>
              <w:ind w:firstLine="480"/>
              <w:rPr>
                <w:rFonts w:hint="eastAsia"/>
                <w:color w:val="auto"/>
                <w:highlight w:val="none"/>
              </w:rPr>
            </w:pPr>
            <w:r>
              <w:rPr>
                <w:rFonts w:hint="default" w:ascii="Times New Roman" w:hAnsi="Times New Roman" w:eastAsia="微软雅黑" w:cs="Times New Roman"/>
                <w:color w:val="auto"/>
                <w:highlight w:val="none"/>
              </w:rPr>
              <w:fldChar w:fldCharType="begin"/>
            </w:r>
            <w:r>
              <w:rPr>
                <w:rFonts w:hint="default" w:ascii="Times New Roman" w:hAnsi="Times New Roman" w:eastAsia="微软雅黑" w:cs="Times New Roman"/>
                <w:color w:val="auto"/>
                <w:highlight w:val="none"/>
              </w:rPr>
              <w:instrText xml:space="preserve"> = 8 \* GB3 \* MERGEFORMAT </w:instrText>
            </w:r>
            <w:r>
              <w:rPr>
                <w:rFonts w:hint="default" w:ascii="Times New Roman" w:hAnsi="Times New Roman" w:eastAsia="微软雅黑" w:cs="Times New Roman"/>
                <w:color w:val="auto"/>
                <w:highlight w:val="none"/>
              </w:rPr>
              <w:fldChar w:fldCharType="separate"/>
            </w:r>
            <w:r>
              <w:rPr>
                <w:color w:val="auto"/>
                <w:highlight w:val="none"/>
              </w:rPr>
              <w:t>⑧</w:t>
            </w:r>
            <w:r>
              <w:rPr>
                <w:rFonts w:hint="default" w:ascii="Times New Roman" w:hAnsi="Times New Roman" w:eastAsia="微软雅黑" w:cs="Times New Roman"/>
                <w:color w:val="auto"/>
                <w:highlight w:val="none"/>
              </w:rPr>
              <w:fldChar w:fldCharType="end"/>
            </w:r>
            <w:r>
              <w:rPr>
                <w:rFonts w:hint="eastAsia"/>
                <w:color w:val="auto"/>
                <w:highlight w:val="none"/>
              </w:rPr>
              <w:t>对不通过车（船或者其他运输工具）</w:t>
            </w:r>
            <w:r>
              <w:rPr>
                <w:rFonts w:hint="eastAsia"/>
                <w:color w:val="auto"/>
                <w:highlight w:val="none"/>
                <w:lang w:eastAsia="zh-CN"/>
              </w:rPr>
              <w:t>，</w:t>
            </w:r>
            <w:r>
              <w:rPr>
                <w:rFonts w:hint="eastAsia"/>
                <w:color w:val="auto"/>
                <w:highlight w:val="none"/>
              </w:rPr>
              <w:t>且无法按次对危险废物计量的其他方式转移危险废物的</w:t>
            </w:r>
            <w:r>
              <w:rPr>
                <w:rFonts w:hint="eastAsia"/>
                <w:color w:val="auto"/>
                <w:highlight w:val="none"/>
                <w:lang w:eastAsia="zh-CN"/>
              </w:rPr>
              <w:t>，</w:t>
            </w:r>
            <w:r>
              <w:rPr>
                <w:rFonts w:hint="eastAsia"/>
                <w:color w:val="auto"/>
                <w:highlight w:val="none"/>
              </w:rPr>
              <w:t>移出人和</w:t>
            </w:r>
            <w:r>
              <w:rPr>
                <w:rFonts w:hint="eastAsia"/>
                <w:color w:val="auto"/>
                <w:highlight w:val="none"/>
                <w:lang w:eastAsia="zh-CN"/>
              </w:rPr>
              <w:t>接收</w:t>
            </w:r>
            <w:r>
              <w:rPr>
                <w:rFonts w:hint="eastAsia"/>
                <w:color w:val="auto"/>
                <w:highlight w:val="none"/>
              </w:rPr>
              <w:t>人应当分别配备计量记录设备</w:t>
            </w:r>
            <w:r>
              <w:rPr>
                <w:rFonts w:hint="eastAsia"/>
                <w:color w:val="auto"/>
                <w:highlight w:val="none"/>
                <w:lang w:eastAsia="zh-CN"/>
              </w:rPr>
              <w:t>，</w:t>
            </w:r>
            <w:r>
              <w:rPr>
                <w:rFonts w:hint="eastAsia"/>
                <w:color w:val="auto"/>
                <w:highlight w:val="none"/>
              </w:rPr>
              <w:t>将每天危险废物转移的种类、重量（数量）、形态和危险特性等信息纳入相关台账记录</w:t>
            </w:r>
            <w:r>
              <w:rPr>
                <w:rFonts w:hint="eastAsia"/>
                <w:color w:val="auto"/>
                <w:highlight w:val="none"/>
                <w:lang w:eastAsia="zh-CN"/>
              </w:rPr>
              <w:t>，</w:t>
            </w:r>
            <w:r>
              <w:rPr>
                <w:rFonts w:hint="eastAsia"/>
                <w:color w:val="auto"/>
                <w:highlight w:val="none"/>
              </w:rPr>
              <w:t>并根据所在地设区的市级以上地方生态环境主管部门的要求填写、运行危险废物转移联单。</w:t>
            </w:r>
          </w:p>
          <w:p>
            <w:pPr>
              <w:pStyle w:val="12"/>
              <w:ind w:firstLine="480"/>
              <w:rPr>
                <w:rFonts w:hint="eastAsia"/>
                <w:color w:val="auto"/>
                <w:highlight w:val="none"/>
              </w:rPr>
            </w:pPr>
            <w:r>
              <w:rPr>
                <w:rFonts w:hint="eastAsia"/>
                <w:color w:val="auto"/>
                <w:highlight w:val="none"/>
              </w:rPr>
              <w:fldChar w:fldCharType="begin"/>
            </w:r>
            <w:r>
              <w:rPr>
                <w:rFonts w:hint="eastAsia"/>
                <w:color w:val="auto"/>
                <w:highlight w:val="none"/>
              </w:rPr>
              <w:instrText xml:space="preserve"> = 9 \* GB3 \* MERGEFORMAT </w:instrText>
            </w:r>
            <w:r>
              <w:rPr>
                <w:rFonts w:hint="eastAsia"/>
                <w:color w:val="auto"/>
                <w:highlight w:val="none"/>
              </w:rPr>
              <w:fldChar w:fldCharType="separate"/>
            </w:r>
            <w:r>
              <w:rPr>
                <w:color w:val="auto"/>
                <w:highlight w:val="none"/>
              </w:rPr>
              <w:t>⑨</w:t>
            </w:r>
            <w:r>
              <w:rPr>
                <w:rFonts w:hint="eastAsia"/>
                <w:color w:val="auto"/>
                <w:highlight w:val="none"/>
              </w:rPr>
              <w:fldChar w:fldCharType="end"/>
            </w:r>
            <w:r>
              <w:rPr>
                <w:rFonts w:hint="eastAsia"/>
                <w:color w:val="auto"/>
                <w:highlight w:val="none"/>
              </w:rPr>
              <w:t>危险废物电子转移联单数据当在信息系统中至少保存十年。</w:t>
            </w:r>
          </w:p>
          <w:p>
            <w:pPr>
              <w:pStyle w:val="12"/>
              <w:ind w:firstLine="480"/>
              <w:rPr>
                <w:rFonts w:hint="eastAsia" w:ascii="宋体" w:hAnsi="宋体" w:eastAsia="宋体"/>
                <w:color w:val="auto"/>
                <w:highlight w:val="none"/>
                <w:lang w:eastAsia="zh-CN"/>
              </w:rPr>
            </w:pPr>
            <w:r>
              <w:rPr>
                <w:rFonts w:hint="eastAsia" w:ascii="宋体" w:hAnsi="宋体"/>
                <w:color w:val="auto"/>
                <w:highlight w:val="none"/>
                <w:lang w:val="en-US" w:eastAsia="zh-CN"/>
              </w:rPr>
              <w:t>6）</w:t>
            </w:r>
            <w:r>
              <w:rPr>
                <w:rFonts w:hint="eastAsia" w:ascii="宋体" w:hAnsi="宋体"/>
                <w:color w:val="auto"/>
                <w:highlight w:val="none"/>
                <w:lang w:eastAsia="zh-CN"/>
              </w:rPr>
              <w:t>台账要求如下：</w:t>
            </w:r>
          </w:p>
          <w:p>
            <w:pPr>
              <w:pStyle w:val="12"/>
              <w:ind w:firstLine="480"/>
              <w:rPr>
                <w:rFonts w:hint="eastAsia"/>
                <w:color w:val="auto"/>
                <w:highlight w:val="none"/>
              </w:rPr>
            </w:pPr>
            <w:r>
              <w:rPr>
                <w:rFonts w:hint="eastAsia"/>
                <w:color w:val="auto"/>
                <w:highlight w:val="none"/>
              </w:rPr>
              <w:t>危险废物管理台账分为电子管理台账和纸质管理台账两种形式。单位通过国家危险废物信息管理系统、企业自建信息管理系统或第三方平台等方式记录电子管理台账。</w:t>
            </w:r>
          </w:p>
          <w:p>
            <w:pPr>
              <w:pStyle w:val="12"/>
              <w:ind w:firstLine="480"/>
              <w:rPr>
                <w:rFonts w:hint="eastAsia"/>
                <w:color w:val="auto"/>
                <w:highlight w:val="none"/>
              </w:rPr>
            </w:pPr>
            <w:r>
              <w:rPr>
                <w:rFonts w:hint="eastAsia"/>
                <w:color w:val="auto"/>
                <w:highlight w:val="none"/>
              </w:rPr>
              <w:t>根据危险废物产生规律确定记录频次危险废物产生环节</w:t>
            </w:r>
            <w:r>
              <w:rPr>
                <w:rFonts w:hint="eastAsia"/>
                <w:color w:val="auto"/>
                <w:highlight w:val="none"/>
                <w:lang w:eastAsia="zh-CN"/>
              </w:rPr>
              <w:t>，</w:t>
            </w:r>
            <w:r>
              <w:rPr>
                <w:rFonts w:hint="eastAsia"/>
                <w:color w:val="auto"/>
                <w:highlight w:val="none"/>
              </w:rPr>
              <w:t>应记录产生批次编码、产生时间、危险废物名称、危险废物类别、危险废物代码、产生量、计量单位、容器/包装编码、容器/包装类型、容器/包装数量、产生危险废物设施编码、产生部门经办人、去向等。</w:t>
            </w:r>
          </w:p>
          <w:p>
            <w:pPr>
              <w:pStyle w:val="12"/>
              <w:ind w:firstLine="480"/>
              <w:rPr>
                <w:rFonts w:hint="eastAsia"/>
                <w:color w:val="auto"/>
                <w:highlight w:val="none"/>
              </w:rPr>
            </w:pPr>
            <w:r>
              <w:rPr>
                <w:rFonts w:hint="eastAsia"/>
                <w:color w:val="auto"/>
                <w:highlight w:val="none"/>
              </w:rPr>
              <w:t>危险废物入库环节</w:t>
            </w:r>
            <w:r>
              <w:rPr>
                <w:rFonts w:hint="eastAsia"/>
                <w:color w:val="auto"/>
                <w:highlight w:val="none"/>
                <w:lang w:eastAsia="zh-CN"/>
              </w:rPr>
              <w:t>，</w:t>
            </w:r>
            <w:r>
              <w:rPr>
                <w:rFonts w:hint="eastAsia"/>
                <w:color w:val="auto"/>
                <w:highlight w:val="none"/>
              </w:rPr>
              <w:t>应记录入库批次编码、入库时间、容器/包装编码、容器/包装类型、容器/包装数量、危险废物名称、危险废物类别、危险废物代码、入库量、计量单位、贮存设施编码、贮存设施类型、运送部门经办人、贮存部门经办人、产生批次编码等。</w:t>
            </w:r>
          </w:p>
          <w:p>
            <w:pPr>
              <w:pStyle w:val="12"/>
              <w:ind w:firstLine="480"/>
              <w:rPr>
                <w:rFonts w:hint="eastAsia"/>
                <w:color w:val="auto"/>
                <w:highlight w:val="none"/>
              </w:rPr>
            </w:pPr>
            <w:r>
              <w:rPr>
                <w:rFonts w:hint="eastAsia"/>
                <w:color w:val="auto"/>
                <w:highlight w:val="none"/>
              </w:rPr>
              <w:t>危险废物出库环节</w:t>
            </w:r>
            <w:r>
              <w:rPr>
                <w:rFonts w:hint="eastAsia"/>
                <w:color w:val="auto"/>
                <w:highlight w:val="none"/>
                <w:lang w:eastAsia="zh-CN"/>
              </w:rPr>
              <w:t>，</w:t>
            </w:r>
            <w:r>
              <w:rPr>
                <w:rFonts w:hint="eastAsia"/>
                <w:color w:val="auto"/>
                <w:highlight w:val="none"/>
              </w:rPr>
              <w:t xml:space="preserve">应记录出库批次编码、出库时间、容器/包装编码、容器/包装类型、容器/包装数量、危险废物名称、危险废物类别、危险废物代码、出库量、计量单位、贮存设施编码、贮存设施类型、出库部门经办人、运送部门经办人、入库批次编码、去向等。 </w:t>
            </w:r>
          </w:p>
          <w:p>
            <w:pPr>
              <w:pStyle w:val="12"/>
              <w:ind w:firstLine="480"/>
              <w:rPr>
                <w:rFonts w:hint="eastAsia"/>
                <w:color w:val="auto"/>
                <w:highlight w:val="none"/>
              </w:rPr>
            </w:pPr>
            <w:r>
              <w:rPr>
                <w:rFonts w:hint="eastAsia"/>
                <w:color w:val="auto"/>
                <w:highlight w:val="none"/>
              </w:rPr>
              <w:t>危险废物委外利用/处置环节</w:t>
            </w:r>
            <w:r>
              <w:rPr>
                <w:rFonts w:hint="eastAsia"/>
                <w:color w:val="auto"/>
                <w:highlight w:val="none"/>
                <w:lang w:eastAsia="zh-CN"/>
              </w:rPr>
              <w:t>，</w:t>
            </w:r>
            <w:r>
              <w:rPr>
                <w:rFonts w:hint="eastAsia"/>
                <w:color w:val="auto"/>
                <w:highlight w:val="none"/>
              </w:rPr>
              <w:t>应记录委外利用/处置批次编码、出厂时间、容器/包装编码、容器/包装类型、容器/包装数量、危险废物名称、危险废物类别、危险废物代码、委外利用/处置量、计量单位、利用/处置方式、接收单位类型、利用/处置单位名称、许可证编码/出口核准通知单编号、</w:t>
            </w:r>
            <w:r>
              <w:rPr>
                <w:rFonts w:hint="eastAsia"/>
                <w:color w:val="auto"/>
                <w:highlight w:val="none"/>
                <w:lang w:eastAsia="zh-CN"/>
              </w:rPr>
              <w:t>生产</w:t>
            </w:r>
            <w:r>
              <w:rPr>
                <w:rFonts w:hint="eastAsia"/>
                <w:color w:val="auto"/>
                <w:highlight w:val="none"/>
              </w:rPr>
              <w:t xml:space="preserve">批次编码/出库批次编码等。 </w:t>
            </w:r>
          </w:p>
          <w:p>
            <w:pPr>
              <w:pStyle w:val="12"/>
              <w:ind w:firstLine="480"/>
              <w:rPr>
                <w:rFonts w:hint="eastAsia"/>
                <w:color w:val="auto"/>
                <w:highlight w:val="none"/>
              </w:rPr>
            </w:pPr>
            <w:r>
              <w:rPr>
                <w:rFonts w:hint="eastAsia"/>
                <w:color w:val="auto"/>
                <w:highlight w:val="none"/>
              </w:rPr>
              <w:t>保存时间原则上应存档5年以上。产生危险废物的单位应定期通过国家危险废物信息管理系统向所在地生态环境主管部门申报危险废物的种类、产生量、流向、贮存、利用、处置等有关资料。</w:t>
            </w:r>
          </w:p>
          <w:p>
            <w:pPr>
              <w:pStyle w:val="12"/>
              <w:ind w:firstLine="480"/>
              <w:rPr>
                <w:rFonts w:hint="eastAsia"/>
                <w:color w:val="auto"/>
                <w:highlight w:val="none"/>
              </w:rPr>
            </w:pPr>
            <w:r>
              <w:rPr>
                <w:rFonts w:hint="eastAsia"/>
                <w:color w:val="auto"/>
                <w:highlight w:val="none"/>
              </w:rPr>
              <w:t>本项目危险废物管理台账可参照</w:t>
            </w:r>
            <w:r>
              <w:rPr>
                <w:color w:val="auto"/>
                <w:highlight w:val="none"/>
              </w:rPr>
              <w:t>《危险废物管理计划和管理台账制定技术导则》（HJ 1259-2022）</w:t>
            </w:r>
            <w:r>
              <w:rPr>
                <w:rFonts w:hint="eastAsia"/>
                <w:color w:val="auto"/>
                <w:highlight w:val="none"/>
              </w:rPr>
              <w:t>中附录B相关内容设置。</w:t>
            </w:r>
          </w:p>
          <w:p>
            <w:pPr>
              <w:pStyle w:val="12"/>
              <w:ind w:firstLine="480"/>
              <w:rPr>
                <w:rFonts w:hint="eastAsia" w:eastAsia="宋体"/>
                <w:color w:val="auto"/>
                <w:highlight w:val="none"/>
                <w:lang w:val="en-US" w:eastAsia="zh-CN"/>
              </w:rPr>
            </w:pPr>
            <w:r>
              <w:rPr>
                <w:rFonts w:hint="eastAsia"/>
                <w:color w:val="auto"/>
                <w:highlight w:val="none"/>
                <w:lang w:eastAsia="zh-CN"/>
              </w:rPr>
              <w:t>本项目贮存设施符合</w:t>
            </w:r>
            <w:r>
              <w:rPr>
                <w:rFonts w:hint="eastAsia"/>
                <w:color w:val="auto"/>
                <w:highlight w:val="none"/>
              </w:rPr>
              <w:t>《危险废物贮存污染控制标准》（GB 18597-2023）</w:t>
            </w:r>
            <w:r>
              <w:rPr>
                <w:rFonts w:hint="eastAsia"/>
                <w:color w:val="auto"/>
                <w:highlight w:val="none"/>
                <w:lang w:eastAsia="zh-CN"/>
              </w:rPr>
              <w:t>，转移遵照</w:t>
            </w:r>
            <w:r>
              <w:rPr>
                <w:rFonts w:hint="eastAsia"/>
                <w:color w:val="auto"/>
                <w:highlight w:val="none"/>
              </w:rPr>
              <w:t>《危险废物转移管理办法》（部令第23号）</w:t>
            </w:r>
            <w:r>
              <w:rPr>
                <w:rFonts w:hint="eastAsia"/>
                <w:color w:val="auto"/>
                <w:highlight w:val="none"/>
                <w:lang w:eastAsia="zh-CN"/>
              </w:rPr>
              <w:t>，台账符合</w:t>
            </w:r>
            <w:r>
              <w:rPr>
                <w:color w:val="auto"/>
                <w:highlight w:val="none"/>
              </w:rPr>
              <w:t>《危险废物管理计划和管理台账制定技术导则》（HJ 1259-2022）</w:t>
            </w:r>
            <w:r>
              <w:rPr>
                <w:rFonts w:hint="eastAsia"/>
                <w:color w:val="auto"/>
                <w:highlight w:val="none"/>
                <w:lang w:eastAsia="zh-CN"/>
              </w:rPr>
              <w:t>。</w:t>
            </w:r>
          </w:p>
          <w:p>
            <w:pPr>
              <w:pStyle w:val="12"/>
              <w:ind w:firstLine="480"/>
              <w:rPr>
                <w:color w:val="auto"/>
                <w:highlight w:val="none"/>
              </w:rPr>
            </w:pPr>
            <w:r>
              <w:rPr>
                <w:rFonts w:hint="eastAsia"/>
                <w:color w:val="auto"/>
                <w:highlight w:val="none"/>
              </w:rPr>
              <w:t>4.</w:t>
            </w:r>
            <w:r>
              <w:rPr>
                <w:rFonts w:hint="eastAsia"/>
                <w:color w:val="auto"/>
                <w:highlight w:val="none"/>
                <w:lang w:val="en-US" w:eastAsia="zh-CN"/>
              </w:rPr>
              <w:t>3</w:t>
            </w:r>
            <w:r>
              <w:rPr>
                <w:rFonts w:hint="eastAsia"/>
                <w:color w:val="auto"/>
                <w:highlight w:val="none"/>
              </w:rPr>
              <w:t>小结</w:t>
            </w:r>
          </w:p>
          <w:p>
            <w:pPr>
              <w:pStyle w:val="12"/>
              <w:ind w:firstLine="480"/>
              <w:rPr>
                <w:color w:val="auto"/>
                <w:highlight w:val="none"/>
              </w:rPr>
            </w:pPr>
            <w:r>
              <w:rPr>
                <w:color w:val="auto"/>
                <w:highlight w:val="none"/>
              </w:rPr>
              <w:t>综上所述</w:t>
            </w:r>
            <w:r>
              <w:rPr>
                <w:rFonts w:hint="eastAsia"/>
                <w:color w:val="auto"/>
                <w:highlight w:val="none"/>
                <w:lang w:eastAsia="zh-CN"/>
              </w:rPr>
              <w:t>，危险收集运行过产生的</w:t>
            </w:r>
            <w:r>
              <w:rPr>
                <w:color w:val="auto"/>
                <w:highlight w:val="none"/>
              </w:rPr>
              <w:t>固体废物均能做到合理处置</w:t>
            </w:r>
            <w:r>
              <w:rPr>
                <w:rFonts w:hint="eastAsia"/>
                <w:color w:val="auto"/>
                <w:highlight w:val="none"/>
                <w:lang w:eastAsia="zh-CN"/>
              </w:rPr>
              <w:t>，</w:t>
            </w:r>
            <w:r>
              <w:rPr>
                <w:color w:val="auto"/>
                <w:highlight w:val="none"/>
              </w:rPr>
              <w:t>项目在采取评价提出的措施后不会对环境造成二次污染</w:t>
            </w:r>
            <w:r>
              <w:rPr>
                <w:rFonts w:hint="eastAsia"/>
                <w:color w:val="auto"/>
                <w:highlight w:val="none"/>
                <w:lang w:eastAsia="zh-CN"/>
              </w:rPr>
              <w:t>，</w:t>
            </w:r>
            <w:r>
              <w:rPr>
                <w:color w:val="auto"/>
                <w:highlight w:val="none"/>
              </w:rPr>
              <w:t>治理措施可行。</w:t>
            </w:r>
          </w:p>
          <w:p>
            <w:pPr>
              <w:pStyle w:val="27"/>
              <w:ind w:firstLine="482"/>
              <w:rPr>
                <w:rFonts w:hint="default"/>
                <w:color w:val="auto"/>
                <w:highlight w:val="none"/>
              </w:rPr>
            </w:pPr>
            <w:r>
              <w:rPr>
                <w:rFonts w:hint="default"/>
                <w:color w:val="auto"/>
                <w:highlight w:val="none"/>
              </w:rPr>
              <w:t>5地下水</w:t>
            </w:r>
          </w:p>
          <w:p>
            <w:pPr>
              <w:pStyle w:val="12"/>
              <w:ind w:firstLine="480"/>
              <w:rPr>
                <w:color w:val="auto"/>
                <w:highlight w:val="none"/>
              </w:rPr>
            </w:pPr>
            <w:r>
              <w:rPr>
                <w:color w:val="auto"/>
                <w:highlight w:val="none"/>
              </w:rPr>
              <w:t>5.1</w:t>
            </w:r>
            <w:r>
              <w:rPr>
                <w:rFonts w:hint="eastAsia"/>
                <w:color w:val="auto"/>
                <w:highlight w:val="none"/>
              </w:rPr>
              <w:t>污染源、污染物类型</w:t>
            </w:r>
          </w:p>
          <w:p>
            <w:pPr>
              <w:pStyle w:val="12"/>
              <w:ind w:firstLine="480"/>
              <w:rPr>
                <w:rFonts w:hint="eastAsia" w:eastAsia="宋体"/>
                <w:color w:val="auto"/>
                <w:highlight w:val="none"/>
                <w:lang w:eastAsia="zh-CN"/>
              </w:rPr>
            </w:pPr>
            <w:r>
              <w:rPr>
                <w:rFonts w:hint="eastAsia"/>
                <w:color w:val="auto"/>
                <w:highlight w:val="none"/>
                <w:lang w:eastAsia="zh-CN"/>
              </w:rPr>
              <w:t>根据工程组成和环境影响分析，本项目生产运营过程中可能对地下水产生影响的污染源、污染物、污染物类型见下表。</w:t>
            </w:r>
          </w:p>
          <w:p>
            <w:pPr>
              <w:pStyle w:val="23"/>
              <w:numPr>
                <w:ilvl w:val="0"/>
                <w:numId w:val="2"/>
              </w:numPr>
              <w:tabs>
                <w:tab w:val="clear" w:pos="0"/>
                <w:tab w:val="clear" w:pos="420"/>
              </w:tabs>
              <w:ind w:left="0" w:leftChars="0" w:firstLine="0" w:firstLineChars="0"/>
              <w:rPr>
                <w:rFonts w:hint="default"/>
                <w:color w:val="auto"/>
                <w:highlight w:val="none"/>
                <w:lang w:val="en-US" w:eastAsia="zh-CN"/>
              </w:rPr>
            </w:pPr>
            <w:r>
              <w:rPr>
                <w:rFonts w:hint="eastAsia" w:ascii="Times New Roman" w:hAnsi="Times New Roman" w:eastAsia="宋体" w:cs="Times New Roman"/>
                <w:color w:val="auto"/>
                <w:highlight w:val="none"/>
                <w:lang w:val="en-US" w:eastAsia="zh-CN"/>
              </w:rPr>
              <w:t xml:space="preserve">   本</w:t>
            </w:r>
            <w:r>
              <w:rPr>
                <w:rFonts w:hint="eastAsia"/>
                <w:color w:val="auto"/>
                <w:highlight w:val="none"/>
                <w:lang w:val="en-US" w:eastAsia="zh-CN"/>
              </w:rPr>
              <w:t>项目地下水污染源、污染物和污染物类型表</w:t>
            </w:r>
          </w:p>
          <w:tbl>
            <w:tblPr>
              <w:tblStyle w:val="16"/>
              <w:tblW w:w="81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02"/>
              <w:gridCol w:w="2679"/>
              <w:gridCol w:w="32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02" w:type="dxa"/>
                  <w:tcBorders>
                    <w:tl2br w:val="nil"/>
                    <w:tr2bl w:val="nil"/>
                  </w:tcBorders>
                  <w:vAlign w:val="center"/>
                </w:tcPr>
                <w:p>
                  <w:pPr>
                    <w:pStyle w:val="25"/>
                    <w:bidi w:val="0"/>
                    <w:rPr>
                      <w:rFonts w:hint="eastAsia"/>
                      <w:color w:val="auto"/>
                      <w:highlight w:val="none"/>
                      <w:lang w:val="en-US" w:eastAsia="zh-CN"/>
                    </w:rPr>
                  </w:pPr>
                  <w:r>
                    <w:rPr>
                      <w:rFonts w:hint="eastAsia"/>
                      <w:color w:val="auto"/>
                      <w:highlight w:val="none"/>
                      <w:lang w:val="en-US" w:eastAsia="zh-CN"/>
                    </w:rPr>
                    <w:t>污染源</w:t>
                  </w:r>
                </w:p>
              </w:tc>
              <w:tc>
                <w:tcPr>
                  <w:tcW w:w="2679" w:type="dxa"/>
                  <w:tcBorders>
                    <w:tl2br w:val="nil"/>
                    <w:tr2bl w:val="nil"/>
                  </w:tcBorders>
                  <w:vAlign w:val="center"/>
                </w:tcPr>
                <w:p>
                  <w:pPr>
                    <w:pStyle w:val="25"/>
                    <w:bidi w:val="0"/>
                    <w:rPr>
                      <w:rFonts w:hint="eastAsia"/>
                      <w:color w:val="auto"/>
                      <w:highlight w:val="none"/>
                      <w:lang w:val="en-US" w:eastAsia="zh-CN"/>
                    </w:rPr>
                  </w:pPr>
                  <w:r>
                    <w:rPr>
                      <w:rFonts w:hint="eastAsia"/>
                      <w:color w:val="auto"/>
                      <w:highlight w:val="none"/>
                      <w:lang w:val="en-US" w:eastAsia="zh-CN"/>
                    </w:rPr>
                    <w:t>污染物</w:t>
                  </w:r>
                </w:p>
              </w:tc>
              <w:tc>
                <w:tcPr>
                  <w:tcW w:w="3205" w:type="dxa"/>
                  <w:tcBorders>
                    <w:tl2br w:val="nil"/>
                    <w:tr2bl w:val="nil"/>
                  </w:tcBorders>
                  <w:vAlign w:val="center"/>
                </w:tcPr>
                <w:p>
                  <w:pPr>
                    <w:pStyle w:val="25"/>
                    <w:bidi w:val="0"/>
                    <w:rPr>
                      <w:rFonts w:hint="eastAsia"/>
                      <w:color w:val="auto"/>
                      <w:highlight w:val="none"/>
                      <w:lang w:val="en-US" w:eastAsia="zh-CN"/>
                    </w:rPr>
                  </w:pPr>
                  <w:r>
                    <w:rPr>
                      <w:rFonts w:hint="eastAsia"/>
                      <w:color w:val="auto"/>
                      <w:highlight w:val="none"/>
                      <w:lang w:val="en-US" w:eastAsia="zh-CN"/>
                    </w:rPr>
                    <w:t>污染物类型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02"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危险废物贮存点</w:t>
                  </w:r>
                </w:p>
              </w:tc>
              <w:tc>
                <w:tcPr>
                  <w:tcW w:w="2679"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润滑油、电解液</w:t>
                  </w:r>
                </w:p>
              </w:tc>
              <w:tc>
                <w:tcPr>
                  <w:tcW w:w="3205" w:type="dxa"/>
                  <w:tcBorders>
                    <w:tl2br w:val="nil"/>
                    <w:tr2bl w:val="nil"/>
                  </w:tcBorders>
                  <w:vAlign w:val="center"/>
                </w:tcPr>
                <w:p>
                  <w:pPr>
                    <w:pStyle w:val="22"/>
                    <w:bidi w:val="0"/>
                    <w:rPr>
                      <w:rFonts w:hint="eastAsia"/>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非重金属、非持久性有机物</w:t>
                  </w:r>
                  <w:r>
                    <w:rPr>
                      <w:rFonts w:hint="eastAsia" w:eastAsia="宋体" w:cs="Times New Roman"/>
                      <w:bCs/>
                      <w:color w:val="auto"/>
                      <w:sz w:val="21"/>
                      <w:szCs w:val="21"/>
                      <w:highlight w:val="none"/>
                      <w:lang w:val="en-US" w:eastAsia="zh-CN"/>
                    </w:rPr>
                    <w:t>污染</w:t>
                  </w:r>
                </w:p>
              </w:tc>
            </w:tr>
          </w:tbl>
          <w:p>
            <w:pPr>
              <w:pStyle w:val="12"/>
              <w:ind w:firstLine="480"/>
              <w:rPr>
                <w:color w:val="auto"/>
                <w:highlight w:val="none"/>
              </w:rPr>
            </w:pPr>
            <w:r>
              <w:rPr>
                <w:color w:val="auto"/>
                <w:highlight w:val="none"/>
              </w:rPr>
              <w:t>5.2</w:t>
            </w:r>
            <w:r>
              <w:rPr>
                <w:rFonts w:hint="eastAsia"/>
                <w:color w:val="auto"/>
                <w:highlight w:val="none"/>
              </w:rPr>
              <w:t>污染途径</w:t>
            </w:r>
          </w:p>
          <w:p>
            <w:pPr>
              <w:pStyle w:val="12"/>
              <w:ind w:firstLine="480"/>
              <w:rPr>
                <w:rFonts w:hint="default"/>
                <w:color w:val="auto"/>
                <w:highlight w:val="none"/>
                <w:lang w:val="en-US" w:eastAsia="zh-CN"/>
              </w:rPr>
            </w:pPr>
            <w:r>
              <w:rPr>
                <w:rFonts w:hint="eastAsia"/>
                <w:color w:val="auto"/>
                <w:highlight w:val="none"/>
                <w:lang w:eastAsia="zh-CN"/>
              </w:rPr>
              <w:t>危险废物贮存点内的润滑油、废铅蓄电池破损产生的电解液发生泄漏，进入地下水造成污染。</w:t>
            </w:r>
          </w:p>
          <w:p>
            <w:pPr>
              <w:pStyle w:val="12"/>
              <w:ind w:firstLine="480"/>
              <w:rPr>
                <w:color w:val="auto"/>
                <w:highlight w:val="none"/>
              </w:rPr>
            </w:pPr>
            <w:r>
              <w:rPr>
                <w:rFonts w:hint="eastAsia"/>
                <w:color w:val="auto"/>
                <w:highlight w:val="none"/>
              </w:rPr>
              <w:t>5.3</w:t>
            </w:r>
            <w:r>
              <w:rPr>
                <w:color w:val="auto"/>
                <w:highlight w:val="none"/>
              </w:rPr>
              <w:t>防控措施</w:t>
            </w:r>
          </w:p>
          <w:p>
            <w:pPr>
              <w:pStyle w:val="12"/>
              <w:ind w:firstLine="480"/>
              <w:rPr>
                <w:color w:val="auto"/>
                <w:highlight w:val="none"/>
              </w:rPr>
            </w:pPr>
            <w:r>
              <w:rPr>
                <w:rFonts w:hint="eastAsia"/>
                <w:color w:val="auto"/>
                <w:highlight w:val="none"/>
              </w:rPr>
              <w:t>（1）为最大限度避免造成区域地下水污染，本项目采取如下污染控制措施：</w:t>
            </w:r>
          </w:p>
          <w:p>
            <w:pPr>
              <w:pStyle w:val="12"/>
              <w:ind w:firstLine="480"/>
              <w:rPr>
                <w:rFonts w:hint="eastAsia" w:eastAsia="宋体"/>
                <w:color w:val="auto"/>
                <w:highlight w:val="none"/>
                <w:lang w:eastAsia="zh-CN"/>
              </w:rPr>
            </w:pPr>
            <w:r>
              <w:rPr>
                <w:rFonts w:hint="eastAsia"/>
                <w:color w:val="auto"/>
                <w:highlight w:val="none"/>
                <w:lang w:val="en-US" w:eastAsia="zh-CN"/>
              </w:rPr>
              <w:t>1）</w:t>
            </w:r>
            <w:r>
              <w:rPr>
                <w:color w:val="auto"/>
                <w:highlight w:val="none"/>
              </w:rPr>
              <w:t>源头控制措施：</w:t>
            </w:r>
            <w:r>
              <w:rPr>
                <w:rFonts w:hint="eastAsia"/>
                <w:color w:val="auto"/>
                <w:highlight w:val="none"/>
                <w:lang w:eastAsia="zh-CN"/>
              </w:rPr>
              <w:t>定期对危险废物贮存点进行检查，发现地面或防渗层破损时及时处理。</w:t>
            </w:r>
          </w:p>
          <w:p>
            <w:pPr>
              <w:pStyle w:val="12"/>
              <w:ind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2)</w:t>
            </w:r>
            <w:r>
              <w:rPr>
                <w:rFonts w:hint="eastAsia" w:ascii="Times New Roman" w:eastAsia="宋体" w:cs="Times New Roman"/>
                <w:color w:val="auto"/>
                <w:highlight w:val="none"/>
                <w:lang w:val="en-US" w:eastAsia="zh-CN"/>
              </w:rPr>
              <w:t>分区</w:t>
            </w:r>
            <w:r>
              <w:rPr>
                <w:rFonts w:hint="default" w:ascii="Times New Roman" w:hAnsi="Times New Roman" w:eastAsia="宋体" w:cs="Times New Roman"/>
                <w:color w:val="auto"/>
                <w:highlight w:val="none"/>
              </w:rPr>
              <w:t>防控措施</w:t>
            </w:r>
            <w:r>
              <w:rPr>
                <w:rFonts w:hint="eastAsia" w:ascii="Times New Roman" w:hAnsi="Times New Roman" w:eastAsia="宋体" w:cs="Times New Roman"/>
                <w:color w:val="auto"/>
                <w:highlight w:val="none"/>
                <w:lang w:eastAsia="zh-CN"/>
              </w:rPr>
              <w:t>：</w:t>
            </w:r>
          </w:p>
          <w:p>
            <w:pPr>
              <w:pStyle w:val="12"/>
              <w:ind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本项目对地下水产生的影响的污染物主要来自危险废物贮存点，危险废物贮存点为重点防渗区。</w:t>
            </w:r>
          </w:p>
          <w:p>
            <w:pPr>
              <w:pStyle w:val="12"/>
              <w:ind w:firstLine="48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①</w:t>
            </w:r>
            <w:r>
              <w:rPr>
                <w:rFonts w:hint="eastAsia" w:ascii="Times New Roman" w:hAnsi="Times New Roman" w:cs="Times New Roman"/>
                <w:color w:val="auto"/>
                <w:highlight w:val="none"/>
                <w:lang w:eastAsia="zh-CN"/>
              </w:rPr>
              <w:t>重点防渗区</w:t>
            </w:r>
          </w:p>
          <w:p>
            <w:pPr>
              <w:pStyle w:val="1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危险废物贮存点为重点防渗区，</w:t>
            </w:r>
            <w:r>
              <w:rPr>
                <w:rFonts w:hint="eastAsia" w:ascii="Times New Roman" w:eastAsia="宋体" w:cs="Times New Roman"/>
                <w:color w:val="auto"/>
                <w:highlight w:val="none"/>
                <w:lang w:val="en-US" w:eastAsia="zh-CN"/>
              </w:rPr>
              <w:t>防渗参照《危险废物贮存污染控制标准》（GB 18597-2023），</w:t>
            </w:r>
            <w:r>
              <w:rPr>
                <w:rFonts w:hint="default" w:ascii="Times New Roman" w:hAnsi="Times New Roman" w:eastAsia="宋体" w:cs="Times New Roman"/>
                <w:color w:val="auto"/>
                <w:highlight w:val="none"/>
              </w:rPr>
              <w:t>基础防渗层为1</w:t>
            </w:r>
            <w:r>
              <w:rPr>
                <w:rFonts w:hint="eastAsia" w:ascii="Times New Roman" w:eastAsia="宋体" w:cs="Times New Roman"/>
                <w:color w:val="auto"/>
                <w:highlight w:val="none"/>
                <w:lang w:val="en-US" w:eastAsia="zh-CN"/>
              </w:rPr>
              <w:t>m</w:t>
            </w:r>
            <w:r>
              <w:rPr>
                <w:rFonts w:hint="default" w:ascii="Times New Roman" w:hAnsi="Times New Roman" w:eastAsia="宋体" w:cs="Times New Roman"/>
                <w:color w:val="auto"/>
                <w:highlight w:val="none"/>
              </w:rPr>
              <w:t>厚黏土层（渗透系数≤10</w:t>
            </w:r>
            <w:r>
              <w:rPr>
                <w:rFonts w:hint="default" w:ascii="Times New Roman" w:hAnsi="Times New Roman" w:eastAsia="宋体" w:cs="Times New Roman"/>
                <w:color w:val="auto"/>
                <w:highlight w:val="none"/>
                <w:vertAlign w:val="superscript"/>
              </w:rPr>
              <w:t>-7</w:t>
            </w:r>
            <w:r>
              <w:rPr>
                <w:rFonts w:hint="eastAsia" w:ascii="Times New Roman" w:eastAsia="宋体" w:cs="Times New Roman"/>
                <w:color w:val="auto"/>
                <w:highlight w:val="none"/>
                <w:vertAlign w:val="baseline"/>
                <w:lang w:val="en-US" w:eastAsia="zh-CN"/>
              </w:rPr>
              <w:t>cm</w:t>
            </w:r>
            <w:r>
              <w:rPr>
                <w:rFonts w:hint="default" w:ascii="Times New Roman" w:hAnsi="Times New Roman" w:eastAsia="宋体" w:cs="Times New Roman"/>
                <w:color w:val="auto"/>
                <w:highlight w:val="none"/>
              </w:rPr>
              <w:t>/秒），或至少2</w:t>
            </w:r>
            <w:r>
              <w:rPr>
                <w:rFonts w:hint="eastAsia" w:ascii="Times New Roman" w:eastAsia="宋体" w:cs="Times New Roman"/>
                <w:color w:val="auto"/>
                <w:highlight w:val="none"/>
                <w:lang w:val="en-US" w:eastAsia="zh-CN"/>
              </w:rPr>
              <w:t>mm</w:t>
            </w:r>
            <w:r>
              <w:rPr>
                <w:rFonts w:hint="default" w:ascii="Times New Roman" w:hAnsi="Times New Roman" w:eastAsia="宋体" w:cs="Times New Roman"/>
                <w:color w:val="auto"/>
                <w:highlight w:val="none"/>
              </w:rPr>
              <w:t>厚高密度聚乙烯膜等人工防渗材料（渗透系数不大于10</w:t>
            </w:r>
            <w:r>
              <w:rPr>
                <w:rFonts w:hint="default" w:ascii="Times New Roman" w:hAnsi="Times New Roman" w:eastAsia="宋体" w:cs="Times New Roman"/>
                <w:color w:val="auto"/>
                <w:highlight w:val="none"/>
                <w:vertAlign w:val="superscript"/>
              </w:rPr>
              <w:t xml:space="preserve">-10 </w:t>
            </w:r>
            <w:r>
              <w:rPr>
                <w:rFonts w:hint="default" w:ascii="Times New Roman" w:hAnsi="Times New Roman" w:eastAsia="宋体" w:cs="Times New Roman"/>
                <w:color w:val="auto"/>
                <w:highlight w:val="none"/>
              </w:rPr>
              <w:t>cm/s），或其他防渗性能等效的材料。</w:t>
            </w:r>
          </w:p>
          <w:p>
            <w:pPr>
              <w:pStyle w:val="12"/>
              <w:ind w:firstLine="480"/>
              <w:rPr>
                <w:color w:val="auto"/>
                <w:highlight w:val="none"/>
              </w:rPr>
            </w:pPr>
            <w:r>
              <w:rPr>
                <w:color w:val="auto"/>
                <w:highlight w:val="none"/>
              </w:rPr>
              <w:t>本项目分区防渗图见附图</w:t>
            </w:r>
            <w:r>
              <w:rPr>
                <w:rFonts w:hint="eastAsia"/>
                <w:color w:val="auto"/>
                <w:highlight w:val="none"/>
                <w:lang w:val="en-US" w:eastAsia="zh-CN"/>
              </w:rPr>
              <w:t>6</w:t>
            </w:r>
            <w:r>
              <w:rPr>
                <w:color w:val="auto"/>
                <w:highlight w:val="none"/>
              </w:rPr>
              <w:t>。</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地下水污染防控分区一览表</w:t>
            </w:r>
          </w:p>
          <w:tbl>
            <w:tblPr>
              <w:tblStyle w:val="15"/>
              <w:tblW w:w="8130"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
            <w:tblGrid>
              <w:gridCol w:w="439"/>
              <w:gridCol w:w="958"/>
              <w:gridCol w:w="1584"/>
              <w:gridCol w:w="1373"/>
              <w:gridCol w:w="377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trHeight w:val="122" w:hRule="atLeast"/>
              </w:trPr>
              <w:tc>
                <w:tcPr>
                  <w:tcW w:w="439" w:type="dxa"/>
                  <w:vAlign w:val="center"/>
                </w:tcPr>
                <w:p>
                  <w:pPr>
                    <w:pStyle w:val="25"/>
                    <w:rPr>
                      <w:rFonts w:hint="default"/>
                      <w:color w:val="auto"/>
                      <w:highlight w:val="none"/>
                    </w:rPr>
                  </w:pPr>
                  <w:r>
                    <w:rPr>
                      <w:rFonts w:hint="default"/>
                      <w:color w:val="auto"/>
                      <w:highlight w:val="none"/>
                    </w:rPr>
                    <w:t>序号</w:t>
                  </w:r>
                </w:p>
              </w:tc>
              <w:tc>
                <w:tcPr>
                  <w:tcW w:w="958" w:type="dxa"/>
                  <w:vAlign w:val="center"/>
                </w:tcPr>
                <w:p>
                  <w:pPr>
                    <w:pStyle w:val="25"/>
                    <w:rPr>
                      <w:rFonts w:hint="default"/>
                      <w:color w:val="auto"/>
                      <w:highlight w:val="none"/>
                    </w:rPr>
                  </w:pPr>
                  <w:r>
                    <w:rPr>
                      <w:rFonts w:hint="default"/>
                      <w:color w:val="auto"/>
                      <w:highlight w:val="none"/>
                    </w:rPr>
                    <w:t>污染防控分区</w:t>
                  </w:r>
                </w:p>
              </w:tc>
              <w:tc>
                <w:tcPr>
                  <w:tcW w:w="1584" w:type="dxa"/>
                  <w:vAlign w:val="center"/>
                </w:tcPr>
                <w:p>
                  <w:pPr>
                    <w:pStyle w:val="25"/>
                    <w:rPr>
                      <w:rFonts w:hint="default"/>
                      <w:color w:val="auto"/>
                      <w:highlight w:val="none"/>
                    </w:rPr>
                  </w:pPr>
                  <w:r>
                    <w:rPr>
                      <w:rFonts w:hint="default"/>
                      <w:color w:val="auto"/>
                      <w:highlight w:val="none"/>
                    </w:rPr>
                    <w:t>生产装置、单元名称</w:t>
                  </w:r>
                </w:p>
              </w:tc>
              <w:tc>
                <w:tcPr>
                  <w:tcW w:w="1373" w:type="dxa"/>
                  <w:vAlign w:val="center"/>
                </w:tcPr>
                <w:p>
                  <w:pPr>
                    <w:pStyle w:val="25"/>
                    <w:rPr>
                      <w:rFonts w:hint="default"/>
                      <w:color w:val="auto"/>
                      <w:highlight w:val="none"/>
                    </w:rPr>
                  </w:pPr>
                  <w:r>
                    <w:rPr>
                      <w:rFonts w:hint="default"/>
                      <w:color w:val="auto"/>
                      <w:highlight w:val="none"/>
                    </w:rPr>
                    <w:t>污染防控区域及部位</w:t>
                  </w:r>
                </w:p>
              </w:tc>
              <w:tc>
                <w:tcPr>
                  <w:tcW w:w="3776" w:type="dxa"/>
                  <w:vAlign w:val="center"/>
                </w:tcPr>
                <w:p>
                  <w:pPr>
                    <w:pStyle w:val="25"/>
                    <w:rPr>
                      <w:rFonts w:hint="default"/>
                      <w:color w:val="auto"/>
                      <w:highlight w:val="none"/>
                    </w:rPr>
                  </w:pPr>
                  <w:r>
                    <w:rPr>
                      <w:rFonts w:hint="default"/>
                      <w:color w:val="auto"/>
                      <w:highlight w:val="none"/>
                    </w:rPr>
                    <w:t>防渗要求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trHeight w:val="307" w:hRule="atLeast"/>
              </w:trPr>
              <w:tc>
                <w:tcPr>
                  <w:tcW w:w="439" w:type="dxa"/>
                  <w:vAlign w:val="center"/>
                </w:tcPr>
                <w:p>
                  <w:pPr>
                    <w:rPr>
                      <w:color w:val="auto"/>
                      <w:highlight w:val="none"/>
                    </w:rPr>
                  </w:pPr>
                  <w:r>
                    <w:rPr>
                      <w:rFonts w:hint="eastAsia"/>
                      <w:color w:val="auto"/>
                      <w:highlight w:val="none"/>
                    </w:rPr>
                    <w:t>1</w:t>
                  </w:r>
                </w:p>
              </w:tc>
              <w:tc>
                <w:tcPr>
                  <w:tcW w:w="958" w:type="dxa"/>
                  <w:vAlign w:val="center"/>
                </w:tcPr>
                <w:p>
                  <w:pPr>
                    <w:pStyle w:val="22"/>
                    <w:rPr>
                      <w:color w:val="auto"/>
                      <w:highlight w:val="none"/>
                    </w:rPr>
                  </w:pPr>
                  <w:r>
                    <w:rPr>
                      <w:rFonts w:hint="eastAsia"/>
                      <w:color w:val="auto"/>
                      <w:highlight w:val="none"/>
                    </w:rPr>
                    <w:t>重点防渗</w:t>
                  </w:r>
                </w:p>
              </w:tc>
              <w:tc>
                <w:tcPr>
                  <w:tcW w:w="1584" w:type="dxa"/>
                  <w:vAlign w:val="center"/>
                </w:tcPr>
                <w:p>
                  <w:pPr>
                    <w:pStyle w:val="22"/>
                    <w:rPr>
                      <w:color w:val="auto"/>
                      <w:highlight w:val="none"/>
                    </w:rPr>
                  </w:pPr>
                  <w:r>
                    <w:rPr>
                      <w:rFonts w:hint="eastAsia"/>
                      <w:color w:val="auto"/>
                      <w:highlight w:val="none"/>
                      <w:lang w:eastAsia="zh-CN"/>
                    </w:rPr>
                    <w:t>危险废物贮存点</w:t>
                  </w:r>
                  <w:r>
                    <w:rPr>
                      <w:rFonts w:hint="eastAsia"/>
                      <w:color w:val="auto"/>
                      <w:highlight w:val="none"/>
                    </w:rPr>
                    <w:t>（含</w:t>
                  </w:r>
                  <w:r>
                    <w:rPr>
                      <w:rFonts w:hint="eastAsia"/>
                      <w:color w:val="auto"/>
                      <w:highlight w:val="none"/>
                      <w:lang w:eastAsia="zh-CN"/>
                    </w:rPr>
                    <w:t>导流渠集液池</w:t>
                  </w:r>
                  <w:r>
                    <w:rPr>
                      <w:rFonts w:hint="eastAsia"/>
                      <w:color w:val="auto"/>
                      <w:highlight w:val="none"/>
                    </w:rPr>
                    <w:t>）</w:t>
                  </w:r>
                </w:p>
              </w:tc>
              <w:tc>
                <w:tcPr>
                  <w:tcW w:w="1373" w:type="dxa"/>
                  <w:vAlign w:val="center"/>
                </w:tcPr>
                <w:p>
                  <w:pPr>
                    <w:pStyle w:val="22"/>
                    <w:rPr>
                      <w:rFonts w:hint="eastAsia" w:eastAsiaTheme="minorEastAsia"/>
                      <w:color w:val="auto"/>
                      <w:highlight w:val="none"/>
                      <w:lang w:eastAsia="zh-CN"/>
                    </w:rPr>
                  </w:pPr>
                  <w:r>
                    <w:rPr>
                      <w:rFonts w:hint="eastAsia"/>
                      <w:color w:val="auto"/>
                      <w:highlight w:val="none"/>
                    </w:rPr>
                    <w:t>地面</w:t>
                  </w:r>
                  <w:r>
                    <w:rPr>
                      <w:rFonts w:hint="eastAsia"/>
                      <w:color w:val="auto"/>
                      <w:highlight w:val="none"/>
                      <w:lang w:eastAsia="zh-CN"/>
                    </w:rPr>
                    <w:t>、裙脚</w:t>
                  </w:r>
                </w:p>
              </w:tc>
              <w:tc>
                <w:tcPr>
                  <w:tcW w:w="3776" w:type="dxa"/>
                  <w:vAlign w:val="center"/>
                </w:tcPr>
                <w:p>
                  <w:pPr>
                    <w:pStyle w:val="22"/>
                    <w:rPr>
                      <w:color w:val="auto"/>
                      <w:highlight w:val="none"/>
                    </w:rPr>
                  </w:pPr>
                  <w:r>
                    <w:rPr>
                      <w:rFonts w:hint="eastAsia"/>
                      <w:color w:val="auto"/>
                      <w:highlight w:val="none"/>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auto"/>
                      <w:highlight w:val="none"/>
                      <w:vertAlign w:val="superscript"/>
                    </w:rPr>
                    <w:t>-7</w:t>
                  </w:r>
                  <w:r>
                    <w:rPr>
                      <w:rFonts w:hint="eastAsia"/>
                      <w:color w:val="auto"/>
                      <w:highlight w:val="none"/>
                    </w:rPr>
                    <w:t>cm/s），或至少2 mm厚高密度聚乙烯膜等人工防渗材料（渗透系数不大于10</w:t>
                  </w:r>
                  <w:r>
                    <w:rPr>
                      <w:rFonts w:hint="eastAsia"/>
                      <w:color w:val="auto"/>
                      <w:highlight w:val="none"/>
                      <w:vertAlign w:val="superscript"/>
                    </w:rPr>
                    <w:t>-10</w:t>
                  </w:r>
                  <w:r>
                    <w:rPr>
                      <w:rFonts w:hint="eastAsia"/>
                      <w:color w:val="auto"/>
                      <w:highlight w:val="none"/>
                    </w:rPr>
                    <w:t>cm/s）</w:t>
                  </w:r>
                </w:p>
              </w:tc>
            </w:tr>
          </w:tbl>
          <w:p>
            <w:pPr>
              <w:pStyle w:val="12"/>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采取上述措施后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本项目对周围地下水环境影响</w:t>
            </w:r>
            <w:r>
              <w:rPr>
                <w:rFonts w:hint="eastAsia" w:ascii="Times New Roman" w:hAnsi="Times New Roman" w:eastAsia="宋体" w:cs="Times New Roman"/>
                <w:color w:val="auto"/>
                <w:sz w:val="24"/>
                <w:szCs w:val="24"/>
                <w:highlight w:val="none"/>
                <w:lang w:val="en-US" w:eastAsia="zh-CN"/>
              </w:rPr>
              <w:t>较小</w:t>
            </w:r>
            <w:r>
              <w:rPr>
                <w:rFonts w:hint="default" w:ascii="Times New Roman" w:hAnsi="Times New Roman" w:eastAsia="宋体" w:cs="Times New Roman"/>
                <w:color w:val="auto"/>
                <w:sz w:val="24"/>
                <w:szCs w:val="24"/>
                <w:highlight w:val="none"/>
              </w:rPr>
              <w:t>。</w:t>
            </w:r>
          </w:p>
          <w:p>
            <w:pPr>
              <w:pStyle w:val="12"/>
              <w:ind w:firstLine="480"/>
              <w:rPr>
                <w:color w:val="auto"/>
                <w:highlight w:val="none"/>
              </w:rPr>
            </w:pPr>
            <w:r>
              <w:rPr>
                <w:rFonts w:hint="eastAsia"/>
                <w:color w:val="auto"/>
                <w:highlight w:val="none"/>
              </w:rPr>
              <w:t>5.4地下水跟踪监测</w:t>
            </w:r>
          </w:p>
          <w:p>
            <w:pPr>
              <w:pStyle w:val="12"/>
              <w:ind w:firstLine="480"/>
              <w:rPr>
                <w:rFonts w:hint="eastAsia" w:eastAsia="宋体"/>
                <w:color w:val="auto"/>
                <w:highlight w:val="none"/>
                <w:lang w:eastAsia="zh-CN"/>
              </w:rPr>
            </w:pPr>
            <w:r>
              <w:rPr>
                <w:rFonts w:hint="eastAsia"/>
                <w:color w:val="auto"/>
                <w:highlight w:val="none"/>
                <w:lang w:eastAsia="zh-CN"/>
              </w:rPr>
              <w:t>本项目为二道沟公司配套危险废物贮存项目，为</w:t>
            </w:r>
            <w:r>
              <w:rPr>
                <w:rFonts w:hint="eastAsia"/>
                <w:color w:val="auto"/>
                <w:highlight w:val="none"/>
              </w:rPr>
              <w:t>便于及时准确的掌握地下水水质变化情况</w:t>
            </w:r>
            <w:r>
              <w:rPr>
                <w:rFonts w:hint="eastAsia"/>
                <w:color w:val="auto"/>
                <w:highlight w:val="none"/>
                <w:lang w:eastAsia="zh-CN"/>
              </w:rPr>
              <w:t>，在地下水下流方向设地下水监测井。本项目建设单位作为土壤环境污染重点监管单位，已建立常态化环境监测机制，本项目优先选取厂界下游方向地下水监测井。所选点位同时满足：①空间分布覆盖地下水流场主径带与土壤污染扩散敏感区；②监测指标涵盖环评识别的特征污染物（如</w:t>
            </w:r>
            <w:r>
              <w:rPr>
                <w:rFonts w:hint="eastAsia"/>
                <w:color w:val="auto"/>
                <w:highlight w:val="none"/>
                <w:lang w:val="en-US" w:eastAsia="zh-CN"/>
              </w:rPr>
              <w:t>pH、</w:t>
            </w:r>
            <w:r>
              <w:rPr>
                <w:rFonts w:hint="eastAsia"/>
                <w:color w:val="auto"/>
                <w:highlight w:val="none"/>
                <w:lang w:eastAsia="zh-CN"/>
              </w:rPr>
              <w:t>石油烃、汞）；③检测数据可追溯至历年环境台账，具备污染溯源分析价值，符合环境影响评价跟踪监测的技术要求。检测点位图见附图</w:t>
            </w:r>
            <w:r>
              <w:rPr>
                <w:rFonts w:hint="eastAsia"/>
                <w:color w:val="auto"/>
                <w:highlight w:val="none"/>
                <w:lang w:val="en-US" w:eastAsia="zh-CN"/>
              </w:rPr>
              <w:t>8。</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地下水跟踪监测计划表</w:t>
            </w:r>
          </w:p>
          <w:tbl>
            <w:tblPr>
              <w:tblStyle w:val="15"/>
              <w:tblW w:w="8189"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
            <w:tblGrid>
              <w:gridCol w:w="1220"/>
              <w:gridCol w:w="695"/>
              <w:gridCol w:w="451"/>
              <w:gridCol w:w="588"/>
              <w:gridCol w:w="1168"/>
              <w:gridCol w:w="1142"/>
              <w:gridCol w:w="2679"/>
              <w:gridCol w:w="24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gridAfter w:val="1"/>
                <w:wAfter w:w="246" w:type="dxa"/>
                <w:trHeight w:val="122" w:hRule="atLeast"/>
                <w:jc w:val="center"/>
              </w:trPr>
              <w:tc>
                <w:tcPr>
                  <w:tcW w:w="1220" w:type="dxa"/>
                  <w:vAlign w:val="center"/>
                </w:tcPr>
                <w:p>
                  <w:pPr>
                    <w:pStyle w:val="25"/>
                    <w:rPr>
                      <w:rFonts w:hint="eastAsia" w:eastAsiaTheme="minorEastAsia"/>
                      <w:color w:val="auto"/>
                      <w:highlight w:val="none"/>
                      <w:lang w:eastAsia="zh-CN"/>
                    </w:rPr>
                  </w:pPr>
                  <w:r>
                    <w:rPr>
                      <w:rFonts w:hint="eastAsia"/>
                      <w:color w:val="auto"/>
                      <w:highlight w:val="none"/>
                      <w:lang w:eastAsia="zh-CN"/>
                    </w:rPr>
                    <w:t>环境要素</w:t>
                  </w:r>
                </w:p>
              </w:tc>
              <w:tc>
                <w:tcPr>
                  <w:tcW w:w="1734" w:type="dxa"/>
                  <w:gridSpan w:val="3"/>
                  <w:vAlign w:val="center"/>
                </w:tcPr>
                <w:p>
                  <w:pPr>
                    <w:pStyle w:val="25"/>
                    <w:rPr>
                      <w:rFonts w:hint="default"/>
                      <w:color w:val="auto"/>
                      <w:highlight w:val="none"/>
                    </w:rPr>
                  </w:pPr>
                  <w:r>
                    <w:rPr>
                      <w:color w:val="auto"/>
                      <w:highlight w:val="none"/>
                    </w:rPr>
                    <w:t>点位</w:t>
                  </w:r>
                </w:p>
              </w:tc>
              <w:tc>
                <w:tcPr>
                  <w:tcW w:w="1168" w:type="dxa"/>
                  <w:vAlign w:val="center"/>
                </w:tcPr>
                <w:p>
                  <w:pPr>
                    <w:pStyle w:val="25"/>
                    <w:rPr>
                      <w:rFonts w:hint="default"/>
                      <w:color w:val="auto"/>
                      <w:highlight w:val="none"/>
                    </w:rPr>
                  </w:pPr>
                  <w:r>
                    <w:rPr>
                      <w:color w:val="auto"/>
                      <w:highlight w:val="none"/>
                    </w:rPr>
                    <w:t>监测因子</w:t>
                  </w:r>
                </w:p>
              </w:tc>
              <w:tc>
                <w:tcPr>
                  <w:tcW w:w="1142" w:type="dxa"/>
                  <w:vAlign w:val="center"/>
                </w:tcPr>
                <w:p>
                  <w:pPr>
                    <w:pStyle w:val="25"/>
                    <w:rPr>
                      <w:rFonts w:hint="default"/>
                      <w:color w:val="auto"/>
                      <w:highlight w:val="none"/>
                    </w:rPr>
                  </w:pPr>
                  <w:r>
                    <w:rPr>
                      <w:color w:val="auto"/>
                      <w:highlight w:val="none"/>
                    </w:rPr>
                    <w:t>监测频次</w:t>
                  </w:r>
                </w:p>
              </w:tc>
              <w:tc>
                <w:tcPr>
                  <w:tcW w:w="2679" w:type="dxa"/>
                  <w:vAlign w:val="center"/>
                </w:tcPr>
                <w:p>
                  <w:pPr>
                    <w:pStyle w:val="25"/>
                    <w:rPr>
                      <w:rFonts w:hint="eastAsia" w:eastAsiaTheme="minorEastAsia"/>
                      <w:color w:val="auto"/>
                      <w:highlight w:val="none"/>
                      <w:lang w:eastAsia="zh-CN"/>
                    </w:rPr>
                  </w:pPr>
                  <w:r>
                    <w:rPr>
                      <w:rFonts w:hint="eastAsia"/>
                      <w:color w:val="auto"/>
                      <w:highlight w:val="none"/>
                      <w:lang w:eastAsia="zh-CN"/>
                    </w:rPr>
                    <w:t>执行标准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trHeight w:val="337" w:hRule="atLeast"/>
                <w:jc w:val="center"/>
              </w:trPr>
              <w:tc>
                <w:tcPr>
                  <w:tcW w:w="1220" w:type="dxa"/>
                  <w:vMerge w:val="restart"/>
                  <w:vAlign w:val="center"/>
                </w:tcPr>
                <w:p>
                  <w:pPr>
                    <w:pStyle w:val="22"/>
                    <w:rPr>
                      <w:rFonts w:hint="eastAsia" w:ascii="Times New Roman" w:hAnsi="Times New Roman" w:cs="Times New Roman"/>
                      <w:color w:val="auto"/>
                      <w:highlight w:val="none"/>
                    </w:rPr>
                  </w:pPr>
                  <w:r>
                    <w:rPr>
                      <w:rFonts w:hint="eastAsia" w:ascii="Times New Roman" w:hAnsi="Times New Roman" w:cs="Times New Roman"/>
                      <w:color w:val="auto"/>
                      <w:highlight w:val="none"/>
                    </w:rPr>
                    <w:t>地下水</w:t>
                  </w:r>
                </w:p>
              </w:tc>
              <w:tc>
                <w:tcPr>
                  <w:tcW w:w="695" w:type="dxa"/>
                  <w:vMerge w:val="restart"/>
                  <w:shd w:val="clear" w:color="auto" w:fill="auto"/>
                  <w:vAlign w:val="center"/>
                </w:tcPr>
                <w:p>
                  <w:pPr>
                    <w:pStyle w:val="2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eastAsia="zh-CN"/>
                    </w:rPr>
                    <w:t>污染扩散监控点</w:t>
                  </w:r>
                </w:p>
              </w:tc>
              <w:tc>
                <w:tcPr>
                  <w:tcW w:w="451" w:type="dxa"/>
                  <w:vMerge w:val="restart"/>
                  <w:shd w:val="clear" w:color="auto" w:fill="auto"/>
                  <w:vAlign w:val="center"/>
                </w:tcPr>
                <w:p>
                  <w:pPr>
                    <w:pStyle w:val="2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eastAsia="zh-CN"/>
                    </w:rPr>
                    <w:t>厂区内</w:t>
                  </w:r>
                </w:p>
              </w:tc>
              <w:tc>
                <w:tcPr>
                  <w:tcW w:w="588" w:type="dxa"/>
                  <w:vMerge w:val="restart"/>
                  <w:shd w:val="clear" w:color="auto" w:fill="auto"/>
                  <w:vAlign w:val="center"/>
                </w:tcPr>
                <w:p>
                  <w:pPr>
                    <w:pStyle w:val="2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w:t>
                  </w:r>
                </w:p>
              </w:tc>
              <w:tc>
                <w:tcPr>
                  <w:tcW w:w="1168" w:type="dxa"/>
                  <w:vAlign w:val="center"/>
                </w:tcPr>
                <w:p>
                  <w:pPr>
                    <w:pStyle w:val="22"/>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rPr>
                    <w:t>pH</w:t>
                  </w:r>
                </w:p>
              </w:tc>
              <w:tc>
                <w:tcPr>
                  <w:tcW w:w="1142" w:type="dxa"/>
                  <w:vMerge w:val="restart"/>
                  <w:vAlign w:val="center"/>
                </w:tcPr>
                <w:p>
                  <w:pPr>
                    <w:pStyle w:val="22"/>
                    <w:rPr>
                      <w:rFonts w:hint="eastAsia" w:ascii="Times New Roman" w:hAnsi="Times New Roman" w:cs="Times New Roman"/>
                      <w:color w:val="auto"/>
                      <w:highlight w:val="none"/>
                    </w:rPr>
                  </w:pPr>
                  <w:r>
                    <w:rPr>
                      <w:rFonts w:hint="eastAsia" w:ascii="Times New Roman" w:hAnsi="Times New Roman" w:cs="Times New Roman"/>
                      <w:color w:val="auto"/>
                      <w:highlight w:val="none"/>
                    </w:rPr>
                    <w:t>1年/次</w:t>
                  </w:r>
                </w:p>
              </w:tc>
              <w:tc>
                <w:tcPr>
                  <w:tcW w:w="2925" w:type="dxa"/>
                  <w:gridSpan w:val="2"/>
                  <w:vAlign w:val="center"/>
                </w:tcPr>
                <w:p>
                  <w:pPr>
                    <w:pStyle w:val="22"/>
                    <w:rPr>
                      <w:rFonts w:hint="eastAsia" w:ascii="Times New Roman" w:hAnsi="Times New Roman" w:cs="Times New Roman"/>
                      <w:color w:val="auto"/>
                      <w:highlight w:val="none"/>
                    </w:rPr>
                  </w:pPr>
                  <w:r>
                    <w:rPr>
                      <w:rFonts w:hint="eastAsia" w:ascii="Times New Roman" w:hAnsi="Times New Roman" w:cs="Times New Roman"/>
                      <w:color w:val="auto"/>
                      <w:highlight w:val="none"/>
                    </w:rPr>
                    <w:t>《地下水质量标准》（GB/T14848-2017）III类标准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trHeight w:val="337" w:hRule="atLeast"/>
                <w:jc w:val="center"/>
              </w:trPr>
              <w:tc>
                <w:tcPr>
                  <w:tcW w:w="1220" w:type="dxa"/>
                  <w:vMerge w:val="continue"/>
                  <w:vAlign w:val="center"/>
                </w:tcPr>
                <w:p>
                  <w:pPr>
                    <w:pStyle w:val="22"/>
                    <w:rPr>
                      <w:rFonts w:hint="eastAsia" w:ascii="Times New Roman" w:hAnsi="Times New Roman" w:cs="Times New Roman"/>
                      <w:color w:val="auto"/>
                      <w:highlight w:val="none"/>
                    </w:rPr>
                  </w:pPr>
                </w:p>
              </w:tc>
              <w:tc>
                <w:tcPr>
                  <w:tcW w:w="695" w:type="dxa"/>
                  <w:vMerge w:val="continue"/>
                  <w:vAlign w:val="center"/>
                </w:tcPr>
                <w:p>
                  <w:pPr>
                    <w:pStyle w:val="22"/>
                    <w:rPr>
                      <w:rFonts w:hint="eastAsia" w:ascii="Times New Roman" w:hAnsi="Times New Roman" w:cs="Times New Roman"/>
                      <w:color w:val="auto"/>
                      <w:highlight w:val="none"/>
                    </w:rPr>
                  </w:pPr>
                </w:p>
              </w:tc>
              <w:tc>
                <w:tcPr>
                  <w:tcW w:w="451" w:type="dxa"/>
                  <w:vMerge w:val="continue"/>
                  <w:vAlign w:val="center"/>
                </w:tcPr>
                <w:p>
                  <w:pPr>
                    <w:pStyle w:val="22"/>
                    <w:rPr>
                      <w:rFonts w:hint="eastAsia" w:ascii="Times New Roman" w:hAnsi="Times New Roman" w:cs="Times New Roman"/>
                      <w:color w:val="auto"/>
                      <w:highlight w:val="none"/>
                    </w:rPr>
                  </w:pPr>
                </w:p>
              </w:tc>
              <w:tc>
                <w:tcPr>
                  <w:tcW w:w="588" w:type="dxa"/>
                  <w:vMerge w:val="continue"/>
                  <w:vAlign w:val="center"/>
                </w:tcPr>
                <w:p>
                  <w:pPr>
                    <w:pStyle w:val="22"/>
                    <w:rPr>
                      <w:rFonts w:hint="eastAsia" w:ascii="Times New Roman" w:hAnsi="Times New Roman" w:cs="Times New Roman"/>
                      <w:color w:val="auto"/>
                      <w:highlight w:val="none"/>
                    </w:rPr>
                  </w:pPr>
                </w:p>
              </w:tc>
              <w:tc>
                <w:tcPr>
                  <w:tcW w:w="1168" w:type="dxa"/>
                  <w:vAlign w:val="center"/>
                </w:tcPr>
                <w:p>
                  <w:pPr>
                    <w:pStyle w:val="22"/>
                    <w:rPr>
                      <w:rFonts w:hint="eastAsia" w:ascii="Times New Roman" w:hAnsi="Times New Roman" w:cs="Times New Roman"/>
                      <w:color w:val="auto"/>
                      <w:highlight w:val="none"/>
                    </w:rPr>
                  </w:pPr>
                  <w:r>
                    <w:rPr>
                      <w:rFonts w:hint="eastAsia" w:ascii="Times New Roman" w:hAnsi="Times New Roman" w:cs="Times New Roman"/>
                      <w:color w:val="auto"/>
                      <w:highlight w:val="none"/>
                    </w:rPr>
                    <w:t>石油类</w:t>
                  </w:r>
                </w:p>
              </w:tc>
              <w:tc>
                <w:tcPr>
                  <w:tcW w:w="1142" w:type="dxa"/>
                  <w:vMerge w:val="continue"/>
                  <w:vAlign w:val="center"/>
                </w:tcPr>
                <w:p>
                  <w:pPr>
                    <w:pStyle w:val="22"/>
                    <w:rPr>
                      <w:rFonts w:hint="eastAsia" w:ascii="Times New Roman" w:hAnsi="Times New Roman" w:cs="Times New Roman"/>
                      <w:color w:val="auto"/>
                      <w:highlight w:val="none"/>
                    </w:rPr>
                  </w:pPr>
                </w:p>
              </w:tc>
              <w:tc>
                <w:tcPr>
                  <w:tcW w:w="2925" w:type="dxa"/>
                  <w:gridSpan w:val="2"/>
                  <w:vMerge w:val="restart"/>
                  <w:vAlign w:val="center"/>
                </w:tcPr>
                <w:p>
                  <w:pPr>
                    <w:pStyle w:val="22"/>
                    <w:rPr>
                      <w:rFonts w:hint="eastAsia" w:ascii="Times New Roman" w:hAnsi="Times New Roman" w:cs="Times New Roman"/>
                      <w:color w:val="auto"/>
                      <w:highlight w:val="none"/>
                    </w:rPr>
                  </w:pPr>
                  <w:r>
                    <w:rPr>
                      <w:rFonts w:hint="eastAsia" w:ascii="Times New Roman" w:hAnsi="Times New Roman" w:cs="Times New Roman"/>
                      <w:color w:val="auto"/>
                      <w:highlight w:val="none"/>
                      <w:lang w:eastAsia="zh-CN"/>
                    </w:rPr>
                    <w:t>《地表水环境质量标准》（</w:t>
                  </w:r>
                  <w:r>
                    <w:rPr>
                      <w:rFonts w:hint="eastAsia" w:ascii="Times New Roman" w:hAnsi="Times New Roman" w:cs="Times New Roman"/>
                      <w:color w:val="auto"/>
                      <w:highlight w:val="none"/>
                      <w:lang w:val="en-US" w:eastAsia="zh-CN"/>
                    </w:rPr>
                    <w:t>GB 3838-2002</w:t>
                  </w:r>
                  <w:r>
                    <w:rPr>
                      <w:rFonts w:hint="eastAsia" w:ascii="Times New Roman" w:hAnsi="Times New Roman" w:cs="Times New Roman"/>
                      <w:color w:val="auto"/>
                      <w:highlight w:val="none"/>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trHeight w:val="337" w:hRule="atLeast"/>
                <w:jc w:val="center"/>
              </w:trPr>
              <w:tc>
                <w:tcPr>
                  <w:tcW w:w="1220" w:type="dxa"/>
                  <w:vMerge w:val="continue"/>
                  <w:vAlign w:val="center"/>
                </w:tcPr>
                <w:p>
                  <w:pPr>
                    <w:pStyle w:val="22"/>
                    <w:rPr>
                      <w:rFonts w:hint="eastAsia" w:ascii="Times New Roman" w:hAnsi="Times New Roman" w:cs="Times New Roman"/>
                      <w:color w:val="auto"/>
                      <w:highlight w:val="none"/>
                    </w:rPr>
                  </w:pPr>
                </w:p>
              </w:tc>
              <w:tc>
                <w:tcPr>
                  <w:tcW w:w="695" w:type="dxa"/>
                  <w:vMerge w:val="continue"/>
                  <w:vAlign w:val="center"/>
                </w:tcPr>
                <w:p>
                  <w:pPr>
                    <w:pStyle w:val="22"/>
                    <w:rPr>
                      <w:rFonts w:hint="eastAsia" w:ascii="Times New Roman" w:hAnsi="Times New Roman" w:cs="Times New Roman"/>
                      <w:color w:val="auto"/>
                      <w:highlight w:val="none"/>
                    </w:rPr>
                  </w:pPr>
                </w:p>
              </w:tc>
              <w:tc>
                <w:tcPr>
                  <w:tcW w:w="451" w:type="dxa"/>
                  <w:vMerge w:val="continue"/>
                  <w:vAlign w:val="center"/>
                </w:tcPr>
                <w:p>
                  <w:pPr>
                    <w:pStyle w:val="22"/>
                    <w:rPr>
                      <w:rFonts w:hint="eastAsia" w:ascii="Times New Roman" w:hAnsi="Times New Roman" w:cs="Times New Roman"/>
                      <w:color w:val="auto"/>
                      <w:highlight w:val="none"/>
                    </w:rPr>
                  </w:pPr>
                </w:p>
              </w:tc>
              <w:tc>
                <w:tcPr>
                  <w:tcW w:w="588" w:type="dxa"/>
                  <w:vMerge w:val="continue"/>
                  <w:vAlign w:val="center"/>
                </w:tcPr>
                <w:p>
                  <w:pPr>
                    <w:pStyle w:val="22"/>
                    <w:rPr>
                      <w:rFonts w:hint="eastAsia" w:ascii="Times New Roman" w:hAnsi="Times New Roman" w:cs="Times New Roman"/>
                      <w:color w:val="auto"/>
                      <w:highlight w:val="none"/>
                    </w:rPr>
                  </w:pPr>
                </w:p>
              </w:tc>
              <w:tc>
                <w:tcPr>
                  <w:tcW w:w="1168" w:type="dxa"/>
                  <w:vAlign w:val="center"/>
                </w:tcPr>
                <w:p>
                  <w:pPr>
                    <w:pStyle w:val="22"/>
                    <w:rPr>
                      <w:rFonts w:hint="eastAsia" w:ascii="Times New Roman" w:hAnsi="Times New Roman" w:cs="Times New Roman" w:eastAsiaTheme="minorEastAsia"/>
                      <w:color w:val="auto"/>
                      <w:highlight w:val="none"/>
                      <w:lang w:eastAsia="zh-CN"/>
                    </w:rPr>
                  </w:pPr>
                  <w:r>
                    <w:rPr>
                      <w:rFonts w:hint="eastAsia" w:cs="Times New Roman"/>
                      <w:color w:val="auto"/>
                      <w:highlight w:val="none"/>
                      <w:lang w:eastAsia="zh-CN"/>
                    </w:rPr>
                    <w:t>汞</w:t>
                  </w:r>
                </w:p>
              </w:tc>
              <w:tc>
                <w:tcPr>
                  <w:tcW w:w="1142" w:type="dxa"/>
                  <w:vMerge w:val="continue"/>
                  <w:vAlign w:val="center"/>
                </w:tcPr>
                <w:p>
                  <w:pPr>
                    <w:pStyle w:val="22"/>
                    <w:rPr>
                      <w:rFonts w:hint="eastAsia" w:ascii="Times New Roman" w:hAnsi="Times New Roman" w:cs="Times New Roman"/>
                      <w:color w:val="auto"/>
                      <w:highlight w:val="none"/>
                    </w:rPr>
                  </w:pPr>
                </w:p>
              </w:tc>
              <w:tc>
                <w:tcPr>
                  <w:tcW w:w="2925" w:type="dxa"/>
                  <w:gridSpan w:val="2"/>
                  <w:vMerge w:val="continue"/>
                  <w:vAlign w:val="center"/>
                </w:tcPr>
                <w:p>
                  <w:pPr>
                    <w:pStyle w:val="22"/>
                    <w:rPr>
                      <w:rFonts w:hint="eastAsia" w:ascii="Times New Roman" w:hAnsi="Times New Roman" w:cs="Times New Roman"/>
                      <w:color w:val="auto"/>
                      <w:highlight w:val="none"/>
                    </w:rPr>
                  </w:pPr>
                </w:p>
              </w:tc>
            </w:tr>
          </w:tbl>
          <w:p>
            <w:pPr>
              <w:pStyle w:val="12"/>
              <w:ind w:firstLine="480"/>
              <w:rPr>
                <w:rFonts w:hint="default"/>
                <w:color w:val="auto"/>
                <w:highlight w:val="none"/>
              </w:rPr>
            </w:pPr>
            <w:r>
              <w:rPr>
                <w:rFonts w:hint="eastAsia"/>
                <w:color w:val="auto"/>
                <w:highlight w:val="none"/>
              </w:rPr>
              <w:t>采取上述措施后</w:t>
            </w:r>
            <w:r>
              <w:rPr>
                <w:rFonts w:hint="eastAsia"/>
                <w:color w:val="auto"/>
                <w:highlight w:val="none"/>
                <w:lang w:eastAsia="zh-CN"/>
              </w:rPr>
              <w:t>，</w:t>
            </w:r>
            <w:r>
              <w:rPr>
                <w:rFonts w:hint="eastAsia"/>
                <w:color w:val="auto"/>
                <w:highlight w:val="none"/>
              </w:rPr>
              <w:t>本项目对周围地下水环境影响不大。</w:t>
            </w:r>
          </w:p>
          <w:p>
            <w:pPr>
              <w:pStyle w:val="27"/>
              <w:ind w:firstLine="482"/>
              <w:rPr>
                <w:rFonts w:hint="default"/>
                <w:color w:val="auto"/>
                <w:highlight w:val="none"/>
              </w:rPr>
            </w:pPr>
            <w:r>
              <w:rPr>
                <w:rFonts w:hint="default"/>
                <w:color w:val="auto"/>
                <w:highlight w:val="none"/>
              </w:rPr>
              <w:t>6土壤</w:t>
            </w:r>
          </w:p>
          <w:p>
            <w:pPr>
              <w:pStyle w:val="12"/>
              <w:ind w:firstLine="480"/>
              <w:rPr>
                <w:rFonts w:hint="eastAsia"/>
                <w:color w:val="auto"/>
                <w:highlight w:val="none"/>
              </w:rPr>
            </w:pPr>
            <w:r>
              <w:rPr>
                <w:rFonts w:hint="eastAsia"/>
                <w:color w:val="auto"/>
                <w:highlight w:val="none"/>
              </w:rPr>
              <w:t>6.1污染源及类型</w:t>
            </w:r>
          </w:p>
          <w:p>
            <w:pPr>
              <w:pStyle w:val="12"/>
              <w:ind w:firstLine="480"/>
              <w:rPr>
                <w:rFonts w:hint="eastAsia"/>
                <w:color w:val="auto"/>
                <w:highlight w:val="none"/>
              </w:rPr>
            </w:pPr>
            <w:r>
              <w:rPr>
                <w:rFonts w:hint="eastAsia"/>
                <w:color w:val="auto"/>
                <w:highlight w:val="none"/>
              </w:rPr>
              <w:t>根据工程组成和环境影响分析，本项目生产运营过程中可能对土壤产生影响的污染源、污染物、污染物类型见下表。</w:t>
            </w:r>
          </w:p>
          <w:p>
            <w:pPr>
              <w:pStyle w:val="23"/>
              <w:numPr>
                <w:ilvl w:val="0"/>
                <w:numId w:val="2"/>
              </w:numPr>
              <w:tabs>
                <w:tab w:val="clear" w:pos="0"/>
                <w:tab w:val="clear" w:pos="420"/>
              </w:tabs>
              <w:ind w:left="0" w:leftChars="0" w:firstLine="0" w:firstLineChars="0"/>
              <w:rPr>
                <w:rFonts w:hint="default"/>
                <w:color w:val="auto"/>
                <w:highlight w:val="none"/>
                <w:lang w:val="en-US" w:eastAsia="zh-CN"/>
              </w:rPr>
            </w:pPr>
            <w:r>
              <w:rPr>
                <w:rFonts w:hint="eastAsia" w:ascii="Times New Roman" w:hAnsi="Times New Roman" w:eastAsia="宋体" w:cs="Times New Roman"/>
                <w:color w:val="auto"/>
                <w:highlight w:val="none"/>
                <w:lang w:val="en-US" w:eastAsia="zh-CN"/>
              </w:rPr>
              <w:t xml:space="preserve">   本</w:t>
            </w:r>
            <w:r>
              <w:rPr>
                <w:rFonts w:hint="eastAsia"/>
                <w:color w:val="auto"/>
                <w:highlight w:val="none"/>
                <w:lang w:val="en-US" w:eastAsia="zh-CN"/>
              </w:rPr>
              <w:t>项目土壤污染源、污染物和污染物类型表</w:t>
            </w:r>
          </w:p>
          <w:tbl>
            <w:tblPr>
              <w:tblStyle w:val="16"/>
              <w:tblW w:w="818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02"/>
              <w:gridCol w:w="2982"/>
              <w:gridCol w:w="29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02" w:type="dxa"/>
                  <w:tcBorders>
                    <w:tl2br w:val="nil"/>
                    <w:tr2bl w:val="nil"/>
                  </w:tcBorders>
                  <w:vAlign w:val="center"/>
                </w:tcPr>
                <w:p>
                  <w:pPr>
                    <w:pStyle w:val="25"/>
                    <w:bidi w:val="0"/>
                    <w:rPr>
                      <w:rFonts w:hint="eastAsia"/>
                      <w:color w:val="auto"/>
                      <w:highlight w:val="none"/>
                      <w:lang w:val="en-US" w:eastAsia="zh-CN"/>
                    </w:rPr>
                  </w:pPr>
                  <w:r>
                    <w:rPr>
                      <w:rFonts w:hint="eastAsia"/>
                      <w:color w:val="auto"/>
                      <w:highlight w:val="none"/>
                      <w:lang w:val="en-US" w:eastAsia="zh-CN"/>
                    </w:rPr>
                    <w:t>污染源</w:t>
                  </w:r>
                </w:p>
              </w:tc>
              <w:tc>
                <w:tcPr>
                  <w:tcW w:w="2982" w:type="dxa"/>
                  <w:tcBorders>
                    <w:tl2br w:val="nil"/>
                    <w:tr2bl w:val="nil"/>
                  </w:tcBorders>
                  <w:vAlign w:val="center"/>
                </w:tcPr>
                <w:p>
                  <w:pPr>
                    <w:pStyle w:val="25"/>
                    <w:bidi w:val="0"/>
                    <w:rPr>
                      <w:rFonts w:hint="eastAsia"/>
                      <w:color w:val="auto"/>
                      <w:highlight w:val="none"/>
                      <w:lang w:val="en-US" w:eastAsia="zh-CN"/>
                    </w:rPr>
                  </w:pPr>
                  <w:r>
                    <w:rPr>
                      <w:rFonts w:hint="eastAsia"/>
                      <w:color w:val="auto"/>
                      <w:highlight w:val="none"/>
                      <w:lang w:val="en-US" w:eastAsia="zh-CN"/>
                    </w:rPr>
                    <w:t>污染物</w:t>
                  </w:r>
                </w:p>
              </w:tc>
              <w:tc>
                <w:tcPr>
                  <w:tcW w:w="2902" w:type="dxa"/>
                  <w:tcBorders>
                    <w:tl2br w:val="nil"/>
                    <w:tr2bl w:val="nil"/>
                  </w:tcBorders>
                  <w:vAlign w:val="center"/>
                </w:tcPr>
                <w:p>
                  <w:pPr>
                    <w:pStyle w:val="25"/>
                    <w:bidi w:val="0"/>
                    <w:rPr>
                      <w:rFonts w:hint="eastAsia"/>
                      <w:color w:val="auto"/>
                      <w:highlight w:val="none"/>
                      <w:lang w:val="en-US" w:eastAsia="zh-CN"/>
                    </w:rPr>
                  </w:pPr>
                  <w:r>
                    <w:rPr>
                      <w:rFonts w:hint="eastAsia"/>
                      <w:color w:val="auto"/>
                      <w:highlight w:val="none"/>
                      <w:lang w:val="en-US" w:eastAsia="zh-CN"/>
                    </w:rPr>
                    <w:t>污染物类型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02" w:type="dxa"/>
                  <w:tcBorders>
                    <w:tl2br w:val="nil"/>
                    <w:tr2bl w:val="nil"/>
                  </w:tcBorders>
                  <w:vAlign w:val="center"/>
                </w:tcPr>
                <w:p>
                  <w:pPr>
                    <w:pStyle w:val="22"/>
                    <w:bidi w:val="0"/>
                    <w:rPr>
                      <w:rFonts w:hint="eastAsia"/>
                      <w:color w:val="auto"/>
                      <w:highlight w:val="none"/>
                      <w:lang w:val="en-US" w:eastAsia="zh-CN"/>
                    </w:rPr>
                  </w:pPr>
                  <w:r>
                    <w:rPr>
                      <w:rFonts w:hint="eastAsia"/>
                      <w:color w:val="auto"/>
                      <w:highlight w:val="none"/>
                      <w:lang w:val="en-US" w:eastAsia="zh-CN"/>
                    </w:rPr>
                    <w:t>危险废物贮存点</w:t>
                  </w:r>
                </w:p>
              </w:tc>
              <w:tc>
                <w:tcPr>
                  <w:tcW w:w="2982" w:type="dxa"/>
                  <w:tcBorders>
                    <w:tl2br w:val="nil"/>
                    <w:tr2bl w:val="nil"/>
                  </w:tcBorders>
                  <w:vAlign w:val="center"/>
                </w:tcPr>
                <w:p>
                  <w:pPr>
                    <w:pStyle w:val="22"/>
                    <w:bidi w:val="0"/>
                    <w:rPr>
                      <w:rFonts w:hint="default"/>
                      <w:color w:val="auto"/>
                      <w:highlight w:val="none"/>
                      <w:lang w:val="en-US" w:eastAsia="zh-CN"/>
                    </w:rPr>
                  </w:pPr>
                  <w:r>
                    <w:rPr>
                      <w:rFonts w:hint="eastAsia"/>
                      <w:color w:val="auto"/>
                      <w:highlight w:val="none"/>
                      <w:lang w:val="en-US" w:eastAsia="zh-CN"/>
                    </w:rPr>
                    <w:t>润滑油、电解液</w:t>
                  </w:r>
                </w:p>
              </w:tc>
              <w:tc>
                <w:tcPr>
                  <w:tcW w:w="2902" w:type="dxa"/>
                  <w:tcBorders>
                    <w:tl2br w:val="nil"/>
                    <w:tr2bl w:val="nil"/>
                  </w:tcBorders>
                  <w:vAlign w:val="center"/>
                </w:tcPr>
                <w:p>
                  <w:pPr>
                    <w:pStyle w:val="22"/>
                    <w:bidi w:val="0"/>
                    <w:rPr>
                      <w:rFonts w:hint="eastAsia"/>
                      <w:color w:val="auto"/>
                      <w:highlight w:val="none"/>
                      <w:lang w:val="en-US" w:eastAsia="zh-CN"/>
                    </w:rPr>
                  </w:pPr>
                  <w:r>
                    <w:rPr>
                      <w:rFonts w:hint="eastAsia" w:ascii="Times New Roman" w:hAnsi="Times New Roman" w:eastAsia="宋体" w:cs="Times New Roman"/>
                      <w:bCs/>
                      <w:color w:val="auto"/>
                      <w:sz w:val="21"/>
                      <w:szCs w:val="21"/>
                      <w:highlight w:val="none"/>
                      <w:lang w:val="en-US" w:eastAsia="zh-CN"/>
                    </w:rPr>
                    <w:t>非重金属、非持久性有机物</w:t>
                  </w:r>
                </w:p>
              </w:tc>
            </w:tr>
          </w:tbl>
          <w:p>
            <w:pPr>
              <w:pStyle w:val="12"/>
              <w:ind w:firstLine="480"/>
              <w:rPr>
                <w:rFonts w:hint="default" w:eastAsia="宋体"/>
                <w:color w:val="auto"/>
                <w:highlight w:val="none"/>
                <w:lang w:val="en-US" w:eastAsia="zh-CN"/>
              </w:rPr>
            </w:pPr>
            <w:r>
              <w:rPr>
                <w:rFonts w:hint="eastAsia"/>
                <w:color w:val="auto"/>
                <w:highlight w:val="none"/>
                <w:lang w:val="en-US" w:eastAsia="zh-CN"/>
              </w:rPr>
              <w:t>6.2土壤污染类型和污染途径</w:t>
            </w:r>
          </w:p>
          <w:p>
            <w:pPr>
              <w:pStyle w:val="12"/>
              <w:ind w:firstLine="480"/>
              <w:rPr>
                <w:rFonts w:hint="eastAsia"/>
                <w:color w:val="auto"/>
                <w:highlight w:val="none"/>
              </w:rPr>
            </w:pPr>
            <w:r>
              <w:rPr>
                <w:rFonts w:hint="eastAsia"/>
                <w:color w:val="auto"/>
                <w:highlight w:val="none"/>
              </w:rPr>
              <w:t>本项目可能造成的土壤污染类型和污染途径见下表。</w:t>
            </w:r>
          </w:p>
          <w:p>
            <w:pPr>
              <w:pStyle w:val="23"/>
              <w:numPr>
                <w:ilvl w:val="0"/>
                <w:numId w:val="2"/>
              </w:numPr>
              <w:tabs>
                <w:tab w:val="clear" w:pos="0"/>
                <w:tab w:val="clear" w:pos="420"/>
              </w:tabs>
              <w:ind w:left="0" w:leftChars="0" w:firstLine="0" w:firstLineChars="0"/>
              <w:rPr>
                <w:color w:val="auto"/>
                <w:highlight w:val="none"/>
              </w:rPr>
            </w:pPr>
            <w:r>
              <w:rPr>
                <w:color w:val="auto"/>
                <w:highlight w:val="none"/>
              </w:rPr>
              <w:t xml:space="preserve">   建设项目土壤环境影响类型与影响途径表</w:t>
            </w:r>
          </w:p>
          <w:tbl>
            <w:tblPr>
              <w:tblStyle w:val="15"/>
              <w:tblW w:w="818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7"/>
              <w:gridCol w:w="1811"/>
              <w:gridCol w:w="1345"/>
              <w:gridCol w:w="1345"/>
              <w:gridCol w:w="1345"/>
              <w:gridCol w:w="13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808" w:type="dxa"/>
                  <w:gridSpan w:val="2"/>
                  <w:vMerge w:val="restart"/>
                  <w:tcBorders>
                    <w:top w:val="single" w:color="auto" w:sz="12" w:space="0"/>
                    <w:left w:val="nil"/>
                    <w:bottom w:val="single" w:color="auto" w:sz="4" w:space="0"/>
                    <w:right w:val="single" w:color="auto" w:sz="4" w:space="0"/>
                  </w:tcBorders>
                  <w:vAlign w:val="center"/>
                </w:tcPr>
                <w:p>
                  <w:pPr>
                    <w:pStyle w:val="25"/>
                    <w:rPr>
                      <w:rFonts w:hint="default"/>
                      <w:color w:val="auto"/>
                      <w:highlight w:val="none"/>
                    </w:rPr>
                  </w:pPr>
                  <w:r>
                    <w:rPr>
                      <w:color w:val="auto"/>
                      <w:highlight w:val="none"/>
                    </w:rPr>
                    <w:t>不同时段</w:t>
                  </w:r>
                </w:p>
              </w:tc>
              <w:tc>
                <w:tcPr>
                  <w:tcW w:w="5381" w:type="dxa"/>
                  <w:gridSpan w:val="4"/>
                  <w:tcBorders>
                    <w:top w:val="single" w:color="auto" w:sz="12" w:space="0"/>
                    <w:left w:val="single" w:color="auto" w:sz="4" w:space="0"/>
                    <w:bottom w:val="single" w:color="auto" w:sz="4" w:space="0"/>
                    <w:right w:val="nil"/>
                  </w:tcBorders>
                  <w:vAlign w:val="center"/>
                </w:tcPr>
                <w:p>
                  <w:pPr>
                    <w:pStyle w:val="25"/>
                    <w:rPr>
                      <w:rFonts w:hint="default"/>
                      <w:color w:val="auto"/>
                      <w:highlight w:val="none"/>
                    </w:rPr>
                  </w:pPr>
                  <w:r>
                    <w:rPr>
                      <w:color w:val="auto"/>
                      <w:highlight w:val="none"/>
                    </w:rPr>
                    <w:t>污染影响型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808" w:type="dxa"/>
                  <w:gridSpan w:val="2"/>
                  <w:vMerge w:val="continue"/>
                  <w:tcBorders>
                    <w:top w:val="single" w:color="auto" w:sz="12" w:space="0"/>
                    <w:left w:val="nil"/>
                    <w:bottom w:val="single" w:color="auto" w:sz="4" w:space="0"/>
                    <w:right w:val="single" w:color="auto" w:sz="4" w:space="0"/>
                  </w:tcBorders>
                  <w:vAlign w:val="center"/>
                </w:tcPr>
                <w:p>
                  <w:pPr>
                    <w:pStyle w:val="22"/>
                    <w:rPr>
                      <w:color w:val="auto"/>
                      <w:highlight w:val="none"/>
                    </w:rPr>
                  </w:pPr>
                </w:p>
              </w:tc>
              <w:tc>
                <w:tcPr>
                  <w:tcW w:w="1345" w:type="dxa"/>
                  <w:tcBorders>
                    <w:top w:val="single" w:color="auto" w:sz="4" w:space="0"/>
                    <w:left w:val="single" w:color="auto" w:sz="4" w:space="0"/>
                    <w:bottom w:val="single" w:color="auto" w:sz="4" w:space="0"/>
                    <w:right w:val="single" w:color="auto" w:sz="4" w:space="0"/>
                  </w:tcBorders>
                  <w:vAlign w:val="center"/>
                </w:tcPr>
                <w:p>
                  <w:pPr>
                    <w:pStyle w:val="25"/>
                    <w:rPr>
                      <w:rFonts w:hint="default"/>
                      <w:color w:val="auto"/>
                      <w:highlight w:val="none"/>
                    </w:rPr>
                  </w:pPr>
                  <w:r>
                    <w:rPr>
                      <w:color w:val="auto"/>
                      <w:highlight w:val="none"/>
                    </w:rPr>
                    <w:t>大气沉降</w:t>
                  </w:r>
                </w:p>
              </w:tc>
              <w:tc>
                <w:tcPr>
                  <w:tcW w:w="1345" w:type="dxa"/>
                  <w:tcBorders>
                    <w:top w:val="single" w:color="auto" w:sz="4" w:space="0"/>
                    <w:left w:val="single" w:color="auto" w:sz="4" w:space="0"/>
                    <w:bottom w:val="single" w:color="auto" w:sz="4" w:space="0"/>
                    <w:right w:val="single" w:color="auto" w:sz="4" w:space="0"/>
                  </w:tcBorders>
                  <w:vAlign w:val="center"/>
                </w:tcPr>
                <w:p>
                  <w:pPr>
                    <w:pStyle w:val="25"/>
                    <w:rPr>
                      <w:rFonts w:hint="default"/>
                      <w:color w:val="auto"/>
                      <w:highlight w:val="none"/>
                    </w:rPr>
                  </w:pPr>
                  <w:r>
                    <w:rPr>
                      <w:color w:val="auto"/>
                      <w:highlight w:val="none"/>
                    </w:rPr>
                    <w:t>地面漫流</w:t>
                  </w:r>
                </w:p>
              </w:tc>
              <w:tc>
                <w:tcPr>
                  <w:tcW w:w="1345" w:type="dxa"/>
                  <w:tcBorders>
                    <w:top w:val="single" w:color="auto" w:sz="4" w:space="0"/>
                    <w:left w:val="single" w:color="auto" w:sz="4" w:space="0"/>
                    <w:bottom w:val="single" w:color="auto" w:sz="4" w:space="0"/>
                    <w:right w:val="single" w:color="auto" w:sz="4" w:space="0"/>
                  </w:tcBorders>
                  <w:vAlign w:val="center"/>
                </w:tcPr>
                <w:p>
                  <w:pPr>
                    <w:pStyle w:val="25"/>
                    <w:rPr>
                      <w:rFonts w:hint="default"/>
                      <w:color w:val="auto"/>
                      <w:highlight w:val="none"/>
                    </w:rPr>
                  </w:pPr>
                  <w:r>
                    <w:rPr>
                      <w:color w:val="auto"/>
                      <w:highlight w:val="none"/>
                    </w:rPr>
                    <w:t>垂直入渗</w:t>
                  </w:r>
                </w:p>
              </w:tc>
              <w:tc>
                <w:tcPr>
                  <w:tcW w:w="1346" w:type="dxa"/>
                  <w:tcBorders>
                    <w:top w:val="single" w:color="auto" w:sz="4" w:space="0"/>
                    <w:left w:val="single" w:color="auto" w:sz="4" w:space="0"/>
                    <w:bottom w:val="single" w:color="auto" w:sz="4" w:space="0"/>
                    <w:right w:val="nil"/>
                  </w:tcBorders>
                  <w:vAlign w:val="center"/>
                </w:tcPr>
                <w:p>
                  <w:pPr>
                    <w:pStyle w:val="25"/>
                    <w:rPr>
                      <w:rFonts w:hint="default"/>
                      <w:color w:val="auto"/>
                      <w:highlight w:val="none"/>
                    </w:rPr>
                  </w:pPr>
                  <w:r>
                    <w:rPr>
                      <w:color w:val="auto"/>
                      <w:highlight w:val="none"/>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2808" w:type="dxa"/>
                  <w:gridSpan w:val="2"/>
                  <w:tcBorders>
                    <w:top w:val="single" w:color="auto" w:sz="4" w:space="0"/>
                    <w:left w:val="nil"/>
                    <w:bottom w:val="single" w:color="auto" w:sz="4" w:space="0"/>
                    <w:right w:val="single" w:color="auto" w:sz="4" w:space="0"/>
                  </w:tcBorders>
                  <w:vAlign w:val="center"/>
                </w:tcPr>
                <w:p>
                  <w:pPr>
                    <w:pStyle w:val="22"/>
                    <w:rPr>
                      <w:color w:val="auto"/>
                      <w:highlight w:val="none"/>
                    </w:rPr>
                  </w:pPr>
                  <w:r>
                    <w:rPr>
                      <w:color w:val="auto"/>
                      <w:highlight w:val="none"/>
                    </w:rPr>
                    <w:t>建设期</w:t>
                  </w:r>
                </w:p>
              </w:tc>
              <w:tc>
                <w:tcPr>
                  <w:tcW w:w="1345"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w:t>
                  </w:r>
                </w:p>
              </w:tc>
              <w:tc>
                <w:tcPr>
                  <w:tcW w:w="1345"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w:t>
                  </w:r>
                </w:p>
              </w:tc>
              <w:tc>
                <w:tcPr>
                  <w:tcW w:w="1345"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w:t>
                  </w:r>
                </w:p>
              </w:tc>
              <w:tc>
                <w:tcPr>
                  <w:tcW w:w="1346" w:type="dxa"/>
                  <w:tcBorders>
                    <w:top w:val="single" w:color="auto" w:sz="4" w:space="0"/>
                    <w:left w:val="single" w:color="auto" w:sz="4" w:space="0"/>
                    <w:bottom w:val="single" w:color="auto" w:sz="4" w:space="0"/>
                    <w:right w:val="nil"/>
                  </w:tcBorders>
                  <w:vAlign w:val="center"/>
                </w:tcPr>
                <w:p>
                  <w:pPr>
                    <w:pStyle w:val="22"/>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997" w:type="dxa"/>
                  <w:tcBorders>
                    <w:top w:val="single" w:color="auto" w:sz="4" w:space="0"/>
                    <w:left w:val="nil"/>
                    <w:bottom w:val="single" w:color="auto" w:sz="4" w:space="0"/>
                    <w:right w:val="single" w:color="auto" w:sz="4" w:space="0"/>
                  </w:tcBorders>
                  <w:vAlign w:val="center"/>
                </w:tcPr>
                <w:p>
                  <w:pPr>
                    <w:pStyle w:val="22"/>
                    <w:rPr>
                      <w:color w:val="auto"/>
                      <w:highlight w:val="none"/>
                    </w:rPr>
                  </w:pPr>
                  <w:r>
                    <w:rPr>
                      <w:color w:val="auto"/>
                      <w:highlight w:val="none"/>
                    </w:rPr>
                    <w:t>运营期</w:t>
                  </w:r>
                </w:p>
              </w:tc>
              <w:tc>
                <w:tcPr>
                  <w:tcW w:w="1811" w:type="dxa"/>
                  <w:tcBorders>
                    <w:top w:val="single" w:color="auto" w:sz="4" w:space="0"/>
                    <w:left w:val="nil"/>
                    <w:bottom w:val="single" w:color="auto" w:sz="4" w:space="0"/>
                    <w:right w:val="single" w:color="auto" w:sz="4" w:space="0"/>
                  </w:tcBorders>
                  <w:vAlign w:val="center"/>
                </w:tcPr>
                <w:p>
                  <w:pPr>
                    <w:pStyle w:val="22"/>
                    <w:rPr>
                      <w:rFonts w:hint="eastAsia" w:eastAsiaTheme="minorEastAsia"/>
                      <w:color w:val="auto"/>
                      <w:highlight w:val="none"/>
                      <w:lang w:eastAsia="zh-CN"/>
                    </w:rPr>
                  </w:pPr>
                  <w:r>
                    <w:rPr>
                      <w:rFonts w:hint="eastAsia"/>
                      <w:color w:val="auto"/>
                      <w:highlight w:val="none"/>
                      <w:lang w:eastAsia="zh-CN"/>
                    </w:rPr>
                    <w:t>危险废物贮存点</w:t>
                  </w:r>
                </w:p>
              </w:tc>
              <w:tc>
                <w:tcPr>
                  <w:tcW w:w="1345" w:type="dxa"/>
                  <w:tcBorders>
                    <w:top w:val="single" w:color="auto" w:sz="4" w:space="0"/>
                    <w:left w:val="single" w:color="auto" w:sz="4" w:space="0"/>
                    <w:bottom w:val="single" w:color="auto" w:sz="4" w:space="0"/>
                    <w:right w:val="single" w:color="auto" w:sz="4" w:space="0"/>
                  </w:tcBorders>
                  <w:vAlign w:val="center"/>
                </w:tcPr>
                <w:p>
                  <w:pPr>
                    <w:pStyle w:val="22"/>
                    <w:rPr>
                      <w:rFonts w:hint="eastAsia" w:eastAsiaTheme="minorEastAsia"/>
                      <w:color w:val="auto"/>
                      <w:highlight w:val="none"/>
                      <w:lang w:eastAsia="zh-CN"/>
                    </w:rPr>
                  </w:pPr>
                  <w:r>
                    <w:rPr>
                      <w:rFonts w:hint="eastAsia"/>
                      <w:color w:val="auto"/>
                      <w:highlight w:val="none"/>
                      <w:lang w:val="en-US" w:eastAsia="zh-CN"/>
                    </w:rPr>
                    <w:t>/</w:t>
                  </w:r>
                </w:p>
              </w:tc>
              <w:tc>
                <w:tcPr>
                  <w:tcW w:w="1345"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w:t>
                  </w:r>
                </w:p>
              </w:tc>
              <w:tc>
                <w:tcPr>
                  <w:tcW w:w="1345"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w:t>
                  </w:r>
                </w:p>
              </w:tc>
              <w:tc>
                <w:tcPr>
                  <w:tcW w:w="1346" w:type="dxa"/>
                  <w:tcBorders>
                    <w:top w:val="single" w:color="auto" w:sz="4" w:space="0"/>
                    <w:left w:val="single" w:color="auto" w:sz="4" w:space="0"/>
                    <w:bottom w:val="single" w:color="auto" w:sz="4" w:space="0"/>
                    <w:right w:val="nil"/>
                  </w:tcBorders>
                  <w:vAlign w:val="center"/>
                </w:tcPr>
                <w:p>
                  <w:pPr>
                    <w:pStyle w:val="22"/>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808" w:type="dxa"/>
                  <w:gridSpan w:val="2"/>
                  <w:tcBorders>
                    <w:top w:val="single" w:color="auto" w:sz="4" w:space="0"/>
                    <w:left w:val="nil"/>
                    <w:bottom w:val="single" w:color="auto" w:sz="4" w:space="0"/>
                    <w:right w:val="single" w:color="auto" w:sz="4" w:space="0"/>
                  </w:tcBorders>
                  <w:vAlign w:val="center"/>
                </w:tcPr>
                <w:p>
                  <w:pPr>
                    <w:pStyle w:val="22"/>
                    <w:rPr>
                      <w:color w:val="auto"/>
                      <w:highlight w:val="none"/>
                    </w:rPr>
                  </w:pPr>
                  <w:r>
                    <w:rPr>
                      <w:color w:val="auto"/>
                      <w:highlight w:val="none"/>
                    </w:rPr>
                    <w:t>服务期满后</w:t>
                  </w:r>
                </w:p>
              </w:tc>
              <w:tc>
                <w:tcPr>
                  <w:tcW w:w="1345"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w:t>
                  </w:r>
                </w:p>
              </w:tc>
              <w:tc>
                <w:tcPr>
                  <w:tcW w:w="1345"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w:t>
                  </w:r>
                </w:p>
              </w:tc>
              <w:tc>
                <w:tcPr>
                  <w:tcW w:w="1345" w:type="dxa"/>
                  <w:tcBorders>
                    <w:top w:val="single" w:color="auto" w:sz="4" w:space="0"/>
                    <w:left w:val="single" w:color="auto" w:sz="4" w:space="0"/>
                    <w:bottom w:val="single" w:color="auto" w:sz="4" w:space="0"/>
                    <w:right w:val="single" w:color="auto" w:sz="4" w:space="0"/>
                  </w:tcBorders>
                  <w:vAlign w:val="center"/>
                </w:tcPr>
                <w:p>
                  <w:pPr>
                    <w:pStyle w:val="22"/>
                    <w:rPr>
                      <w:color w:val="auto"/>
                      <w:highlight w:val="none"/>
                    </w:rPr>
                  </w:pPr>
                  <w:r>
                    <w:rPr>
                      <w:color w:val="auto"/>
                      <w:highlight w:val="none"/>
                    </w:rPr>
                    <w:t>/</w:t>
                  </w:r>
                </w:p>
              </w:tc>
              <w:tc>
                <w:tcPr>
                  <w:tcW w:w="1346" w:type="dxa"/>
                  <w:tcBorders>
                    <w:top w:val="single" w:color="auto" w:sz="4" w:space="0"/>
                    <w:left w:val="single" w:color="auto" w:sz="4" w:space="0"/>
                    <w:bottom w:val="single" w:color="auto" w:sz="4" w:space="0"/>
                    <w:right w:val="nil"/>
                  </w:tcBorders>
                  <w:vAlign w:val="center"/>
                </w:tcPr>
                <w:p>
                  <w:pPr>
                    <w:pStyle w:val="22"/>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189" w:type="dxa"/>
                  <w:gridSpan w:val="6"/>
                  <w:tcBorders>
                    <w:top w:val="single" w:color="auto" w:sz="4" w:space="0"/>
                    <w:left w:val="nil"/>
                    <w:bottom w:val="single" w:color="auto" w:sz="12" w:space="0"/>
                    <w:right w:val="nil"/>
                  </w:tcBorders>
                  <w:vAlign w:val="center"/>
                </w:tcPr>
                <w:p>
                  <w:pPr>
                    <w:pStyle w:val="22"/>
                    <w:rPr>
                      <w:color w:val="auto"/>
                      <w:highlight w:val="none"/>
                    </w:rPr>
                  </w:pPr>
                  <w:r>
                    <w:rPr>
                      <w:color w:val="auto"/>
                      <w:highlight w:val="none"/>
                    </w:rPr>
                    <w:t>注：在可能产生的土壤环境影响类型处打</w:t>
                  </w:r>
                  <w:r>
                    <w:rPr>
                      <w:rFonts w:hint="eastAsia"/>
                      <w:color w:val="auto"/>
                      <w:highlight w:val="none"/>
                    </w:rPr>
                    <w:t>“</w:t>
                  </w:r>
                  <w:r>
                    <w:rPr>
                      <w:color w:val="auto"/>
                      <w:highlight w:val="none"/>
                    </w:rPr>
                    <w:t>√</w:t>
                  </w:r>
                  <w:r>
                    <w:rPr>
                      <w:rFonts w:hint="eastAsia"/>
                      <w:color w:val="auto"/>
                      <w:highlight w:val="none"/>
                    </w:rPr>
                    <w:t>”</w:t>
                  </w:r>
                </w:p>
              </w:tc>
            </w:tr>
          </w:tbl>
          <w:p>
            <w:pPr>
              <w:pStyle w:val="12"/>
              <w:ind w:firstLine="480"/>
              <w:rPr>
                <w:color w:val="auto"/>
                <w:highlight w:val="none"/>
              </w:rPr>
            </w:pPr>
            <w:r>
              <w:rPr>
                <w:rFonts w:hint="eastAsia"/>
                <w:color w:val="auto"/>
                <w:highlight w:val="none"/>
              </w:rPr>
              <w:t>6.</w:t>
            </w:r>
            <w:r>
              <w:rPr>
                <w:rFonts w:hint="eastAsia"/>
                <w:color w:val="auto"/>
                <w:highlight w:val="none"/>
                <w:lang w:val="en-US" w:eastAsia="zh-CN"/>
              </w:rPr>
              <w:t>3</w:t>
            </w:r>
            <w:r>
              <w:rPr>
                <w:rFonts w:hint="eastAsia"/>
                <w:color w:val="auto"/>
                <w:highlight w:val="none"/>
              </w:rPr>
              <w:t>土壤污染防控措施</w:t>
            </w:r>
          </w:p>
          <w:p>
            <w:pPr>
              <w:pStyle w:val="12"/>
              <w:ind w:firstLine="480"/>
              <w:rPr>
                <w:rFonts w:hint="eastAsia" w:eastAsia="宋体"/>
                <w:color w:val="auto"/>
                <w:highlight w:val="none"/>
                <w:lang w:eastAsia="zh-CN"/>
              </w:rPr>
            </w:pPr>
            <w:r>
              <w:rPr>
                <w:rFonts w:hint="eastAsia"/>
                <w:color w:val="auto"/>
                <w:highlight w:val="none"/>
                <w:lang w:eastAsia="zh-CN"/>
              </w:rPr>
              <w:t>本项目主要为废气排放和危险废物贮存点贮存废润滑油泄漏及废铅蓄电池电池破损导致电解液泄漏可能会造成土壤污染，本评价提出以下控制措施：</w:t>
            </w:r>
          </w:p>
          <w:p>
            <w:pPr>
              <w:pStyle w:val="12"/>
              <w:ind w:firstLine="480"/>
              <w:rPr>
                <w:rFonts w:hint="default" w:eastAsia="宋体"/>
                <w:color w:val="auto"/>
                <w:highlight w:val="none"/>
                <w:lang w:val="en-US" w:eastAsia="zh-CN"/>
              </w:rPr>
            </w:pPr>
            <w:r>
              <w:rPr>
                <w:rFonts w:hint="eastAsia"/>
                <w:color w:val="auto"/>
                <w:highlight w:val="none"/>
                <w:lang w:val="en-US" w:eastAsia="zh-CN"/>
              </w:rPr>
              <w:t>1.源头控制措施</w:t>
            </w:r>
          </w:p>
          <w:p>
            <w:pPr>
              <w:pStyle w:val="12"/>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firstLine="480"/>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①</w:t>
            </w:r>
            <w:r>
              <w:rPr>
                <w:rFonts w:hint="eastAsia" w:ascii="Times New Roman" w:hAnsi="Times New Roman" w:eastAsia="宋体" w:cs="Times New Roman"/>
                <w:color w:val="auto"/>
                <w:highlight w:val="none"/>
                <w:lang w:eastAsia="zh-CN"/>
              </w:rPr>
              <w:t>定期检查保证危险废物密封贮存</w:t>
            </w:r>
            <w:r>
              <w:rPr>
                <w:rFonts w:hint="eastAsia" w:ascii="Times New Roman" w:eastAsia="宋体" w:cs="Times New Roman"/>
                <w:color w:val="auto"/>
                <w:highlight w:val="none"/>
                <w:lang w:eastAsia="zh-CN"/>
              </w:rPr>
              <w:t>。</w:t>
            </w:r>
          </w:p>
          <w:p>
            <w:pPr>
              <w:pStyle w:val="12"/>
              <w:ind w:firstLine="480"/>
              <w:rPr>
                <w:color w:val="auto"/>
                <w:highlight w:val="none"/>
              </w:rPr>
            </w:pPr>
            <w:r>
              <w:rPr>
                <w:rFonts w:hint="default" w:ascii="Times New Roman" w:hAnsi="Times New Roman" w:eastAsia="宋体" w:cs="Times New Roman"/>
                <w:color w:val="auto"/>
                <w:highlight w:val="none"/>
                <w:lang w:eastAsia="zh-CN"/>
              </w:rPr>
              <w:t>②</w:t>
            </w:r>
            <w:r>
              <w:rPr>
                <w:rFonts w:hint="eastAsia"/>
                <w:color w:val="auto"/>
                <w:highlight w:val="none"/>
                <w:lang w:eastAsia="zh-CN"/>
              </w:rPr>
              <w:t>定期对危险废物贮存点进行检查，发现地面或防渗层破损时及时处理。</w:t>
            </w:r>
          </w:p>
          <w:p>
            <w:pPr>
              <w:pStyle w:val="12"/>
              <w:ind w:firstLine="480"/>
              <w:rPr>
                <w:color w:val="auto"/>
                <w:highlight w:val="none"/>
              </w:rPr>
            </w:pPr>
            <w:r>
              <w:rPr>
                <w:rFonts w:hint="eastAsia"/>
                <w:color w:val="auto"/>
                <w:highlight w:val="none"/>
                <w:lang w:val="en-US" w:eastAsia="zh-CN"/>
              </w:rPr>
              <w:t>2.</w:t>
            </w:r>
            <w:r>
              <w:rPr>
                <w:rFonts w:hint="eastAsia"/>
                <w:color w:val="auto"/>
                <w:highlight w:val="none"/>
              </w:rPr>
              <w:t>过程防控措施</w:t>
            </w:r>
          </w:p>
          <w:p>
            <w:pPr>
              <w:pStyle w:val="12"/>
              <w:ind w:firstLine="480"/>
              <w:rPr>
                <w:rFonts w:hint="eastAsia" w:eastAsia="宋体"/>
                <w:color w:val="auto"/>
                <w:highlight w:val="none"/>
                <w:lang w:eastAsia="zh-CN"/>
              </w:rPr>
            </w:pPr>
            <w:r>
              <w:rPr>
                <w:rFonts w:hint="default" w:ascii="Times New Roman" w:hAnsi="Times New Roman" w:cs="Times New Roman"/>
                <w:color w:val="auto"/>
                <w:highlight w:val="none"/>
              </w:rPr>
              <w:t>①</w:t>
            </w:r>
            <w:r>
              <w:rPr>
                <w:rFonts w:hint="eastAsia"/>
                <w:color w:val="auto"/>
                <w:highlight w:val="none"/>
                <w:lang w:eastAsia="zh-CN"/>
              </w:rPr>
              <w:t>对危险废物贮存点设施集液池，防止泄漏的废润滑油等形成地面漫流污染土壤。</w:t>
            </w:r>
          </w:p>
          <w:p>
            <w:pPr>
              <w:pStyle w:val="12"/>
              <w:ind w:firstLine="480"/>
              <w:rPr>
                <w:color w:val="auto"/>
                <w:highlight w:val="none"/>
              </w:rPr>
            </w:pPr>
            <w:r>
              <w:rPr>
                <w:rFonts w:hint="default" w:ascii="Times New Roman" w:hAnsi="Times New Roman" w:eastAsia="宋体" w:cs="Times New Roman"/>
                <w:color w:val="auto"/>
                <w:highlight w:val="none"/>
                <w:lang w:eastAsia="zh-CN"/>
              </w:rPr>
              <w:t>②</w:t>
            </w:r>
            <w:r>
              <w:rPr>
                <w:rFonts w:hint="eastAsia" w:ascii="Times New Roman" w:hAnsi="Times New Roman" w:eastAsia="宋体" w:cs="Times New Roman"/>
                <w:color w:val="auto"/>
                <w:highlight w:val="none"/>
                <w:lang w:eastAsia="zh-CN"/>
              </w:rPr>
              <w:t>本项目危险废物贮存点为重点防渗区，按相关要求采取分区防渗，防止泄漏的物料进入深层土壤。</w:t>
            </w:r>
          </w:p>
          <w:p>
            <w:pPr>
              <w:pStyle w:val="12"/>
              <w:ind w:firstLine="480"/>
              <w:rPr>
                <w:color w:val="auto"/>
                <w:highlight w:val="none"/>
              </w:rPr>
            </w:pPr>
            <w:r>
              <w:rPr>
                <w:rFonts w:hint="eastAsia"/>
                <w:color w:val="auto"/>
                <w:highlight w:val="none"/>
              </w:rPr>
              <w:t>采取上述措施后，本项目对周围土壤影响较小。</w:t>
            </w:r>
          </w:p>
          <w:p>
            <w:pPr>
              <w:pStyle w:val="12"/>
              <w:ind w:firstLine="480"/>
              <w:rPr>
                <w:color w:val="auto"/>
                <w:highlight w:val="none"/>
              </w:rPr>
            </w:pPr>
            <w:r>
              <w:rPr>
                <w:rFonts w:hint="eastAsia"/>
                <w:color w:val="auto"/>
                <w:highlight w:val="none"/>
              </w:rPr>
              <w:t>6.</w:t>
            </w:r>
            <w:r>
              <w:rPr>
                <w:rFonts w:hint="eastAsia"/>
                <w:color w:val="auto"/>
                <w:highlight w:val="none"/>
                <w:lang w:val="en-US" w:eastAsia="zh-CN"/>
              </w:rPr>
              <w:t>3</w:t>
            </w:r>
            <w:r>
              <w:rPr>
                <w:rFonts w:hint="eastAsia"/>
                <w:color w:val="auto"/>
                <w:highlight w:val="none"/>
              </w:rPr>
              <w:t>土壤跟踪监测</w:t>
            </w:r>
          </w:p>
          <w:p>
            <w:pPr>
              <w:pStyle w:val="12"/>
              <w:ind w:firstLine="480"/>
              <w:rPr>
                <w:rFonts w:hint="default"/>
                <w:color w:val="auto"/>
                <w:highlight w:val="none"/>
                <w:lang w:val="en-US"/>
              </w:rPr>
            </w:pPr>
            <w:r>
              <w:rPr>
                <w:rFonts w:hint="eastAsia"/>
                <w:color w:val="auto"/>
                <w:highlight w:val="none"/>
                <w:lang w:eastAsia="zh-CN"/>
              </w:rPr>
              <w:t>本项目建设单位作为土壤环境污染重点监管单位，已建立常态化环境监测机制，依据《建设用地土壤污染风险管控标准》（GB36600-2018）等规范要求，优先选用邻近厂区边界且空间分布合理的现有监测点位。所选点位可有效覆盖污染源扩散路径，其监测指标与环评特征污染物清单相匹配，监测数据具有可比性，符合环境影响评价跟踪监测的技术要求。检测点位图见附图</w:t>
            </w:r>
            <w:r>
              <w:rPr>
                <w:rFonts w:hint="eastAsia"/>
                <w:color w:val="auto"/>
                <w:highlight w:val="none"/>
                <w:lang w:val="en-US" w:eastAsia="zh-CN"/>
              </w:rPr>
              <w:t>8。</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土壤跟踪监测计划表</w:t>
            </w:r>
          </w:p>
          <w:tbl>
            <w:tblPr>
              <w:tblStyle w:val="15"/>
              <w:tblW w:w="8186"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
            <w:tblGrid>
              <w:gridCol w:w="704"/>
              <w:gridCol w:w="906"/>
              <w:gridCol w:w="1445"/>
              <w:gridCol w:w="1171"/>
              <w:gridCol w:w="1171"/>
              <w:gridCol w:w="278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trHeight w:val="295" w:hRule="atLeast"/>
                <w:jc w:val="center"/>
              </w:trPr>
              <w:tc>
                <w:tcPr>
                  <w:tcW w:w="704" w:type="dxa"/>
                  <w:vAlign w:val="center"/>
                </w:tcPr>
                <w:p>
                  <w:pPr>
                    <w:pStyle w:val="25"/>
                    <w:rPr>
                      <w:rFonts w:hint="default"/>
                      <w:color w:val="auto"/>
                      <w:highlight w:val="none"/>
                    </w:rPr>
                  </w:pPr>
                  <w:r>
                    <w:rPr>
                      <w:color w:val="auto"/>
                      <w:highlight w:val="none"/>
                    </w:rPr>
                    <w:t>序号</w:t>
                  </w:r>
                </w:p>
              </w:tc>
              <w:tc>
                <w:tcPr>
                  <w:tcW w:w="906" w:type="dxa"/>
                  <w:vAlign w:val="center"/>
                </w:tcPr>
                <w:p>
                  <w:pPr>
                    <w:pStyle w:val="25"/>
                    <w:rPr>
                      <w:rFonts w:hint="default"/>
                      <w:color w:val="auto"/>
                      <w:highlight w:val="none"/>
                    </w:rPr>
                  </w:pPr>
                  <w:r>
                    <w:rPr>
                      <w:color w:val="auto"/>
                      <w:highlight w:val="none"/>
                    </w:rPr>
                    <w:t>点位</w:t>
                  </w:r>
                </w:p>
              </w:tc>
              <w:tc>
                <w:tcPr>
                  <w:tcW w:w="1445" w:type="dxa"/>
                  <w:vAlign w:val="center"/>
                </w:tcPr>
                <w:p>
                  <w:pPr>
                    <w:pStyle w:val="25"/>
                    <w:rPr>
                      <w:rFonts w:hint="default"/>
                      <w:color w:val="auto"/>
                      <w:highlight w:val="none"/>
                    </w:rPr>
                  </w:pPr>
                  <w:r>
                    <w:rPr>
                      <w:color w:val="auto"/>
                      <w:highlight w:val="none"/>
                    </w:rPr>
                    <w:t>监测因子</w:t>
                  </w:r>
                </w:p>
              </w:tc>
              <w:tc>
                <w:tcPr>
                  <w:tcW w:w="1171" w:type="dxa"/>
                  <w:vAlign w:val="center"/>
                </w:tcPr>
                <w:p>
                  <w:pPr>
                    <w:pStyle w:val="25"/>
                    <w:rPr>
                      <w:rFonts w:hint="default"/>
                      <w:color w:val="auto"/>
                      <w:highlight w:val="none"/>
                    </w:rPr>
                  </w:pPr>
                  <w:r>
                    <w:rPr>
                      <w:color w:val="auto"/>
                      <w:highlight w:val="none"/>
                    </w:rPr>
                    <w:t>监测深度</w:t>
                  </w:r>
                </w:p>
              </w:tc>
              <w:tc>
                <w:tcPr>
                  <w:tcW w:w="1171" w:type="dxa"/>
                  <w:vAlign w:val="center"/>
                </w:tcPr>
                <w:p>
                  <w:pPr>
                    <w:pStyle w:val="25"/>
                    <w:rPr>
                      <w:rFonts w:hint="default"/>
                      <w:color w:val="auto"/>
                      <w:highlight w:val="none"/>
                    </w:rPr>
                  </w:pPr>
                  <w:r>
                    <w:rPr>
                      <w:color w:val="auto"/>
                      <w:highlight w:val="none"/>
                    </w:rPr>
                    <w:t>监测频次</w:t>
                  </w:r>
                </w:p>
              </w:tc>
              <w:tc>
                <w:tcPr>
                  <w:tcW w:w="2789" w:type="dxa"/>
                  <w:vAlign w:val="center"/>
                </w:tcPr>
                <w:p>
                  <w:pPr>
                    <w:pStyle w:val="25"/>
                    <w:rPr>
                      <w:rFonts w:hint="default"/>
                      <w:color w:val="auto"/>
                      <w:highlight w:val="none"/>
                    </w:rPr>
                  </w:pPr>
                  <w:r>
                    <w:rPr>
                      <w:color w:val="auto"/>
                      <w:highlight w:val="none"/>
                    </w:rPr>
                    <w:t>执行标准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trHeight w:val="835" w:hRule="atLeast"/>
                <w:jc w:val="center"/>
              </w:trPr>
              <w:tc>
                <w:tcPr>
                  <w:tcW w:w="704" w:type="dxa"/>
                  <w:vAlign w:val="center"/>
                </w:tcPr>
                <w:p>
                  <w:pPr>
                    <w:jc w:val="center"/>
                    <w:rPr>
                      <w:color w:val="auto"/>
                      <w:highlight w:val="none"/>
                    </w:rPr>
                  </w:pPr>
                  <w:r>
                    <w:rPr>
                      <w:rFonts w:hint="eastAsia"/>
                      <w:color w:val="auto"/>
                      <w:highlight w:val="none"/>
                    </w:rPr>
                    <w:t>1</w:t>
                  </w:r>
                </w:p>
              </w:tc>
              <w:tc>
                <w:tcPr>
                  <w:tcW w:w="906" w:type="dxa"/>
                  <w:vAlign w:val="center"/>
                </w:tcPr>
                <w:p>
                  <w:pPr>
                    <w:pStyle w:val="22"/>
                    <w:rPr>
                      <w:color w:val="auto"/>
                      <w:highlight w:val="none"/>
                    </w:rPr>
                  </w:pPr>
                  <w:r>
                    <w:rPr>
                      <w:rFonts w:hint="eastAsia"/>
                      <w:color w:val="auto"/>
                      <w:highlight w:val="none"/>
                    </w:rPr>
                    <w:t>厂区内</w:t>
                  </w:r>
                </w:p>
              </w:tc>
              <w:tc>
                <w:tcPr>
                  <w:tcW w:w="1445" w:type="dxa"/>
                  <w:vAlign w:val="center"/>
                </w:tcPr>
                <w:p>
                  <w:pPr>
                    <w:pStyle w:val="22"/>
                    <w:rPr>
                      <w:rFonts w:hint="eastAsia" w:eastAsiaTheme="minorEastAsia"/>
                      <w:color w:val="auto"/>
                      <w:highlight w:val="none"/>
                      <w:lang w:eastAsia="zh-CN"/>
                    </w:rPr>
                  </w:pPr>
                  <w:r>
                    <w:rPr>
                      <w:rFonts w:hint="eastAsia"/>
                      <w:color w:val="auto"/>
                      <w:highlight w:val="none"/>
                    </w:rPr>
                    <w:t>pH、石油类</w:t>
                  </w:r>
                  <w:r>
                    <w:rPr>
                      <w:rFonts w:hint="eastAsia"/>
                      <w:color w:val="auto"/>
                      <w:highlight w:val="none"/>
                      <w:lang w:eastAsia="zh-CN"/>
                    </w:rPr>
                    <w:t>、汞</w:t>
                  </w:r>
                </w:p>
              </w:tc>
              <w:tc>
                <w:tcPr>
                  <w:tcW w:w="1171" w:type="dxa"/>
                  <w:vAlign w:val="center"/>
                </w:tcPr>
                <w:p>
                  <w:pPr>
                    <w:pStyle w:val="22"/>
                    <w:rPr>
                      <w:color w:val="auto"/>
                      <w:highlight w:val="none"/>
                    </w:rPr>
                  </w:pPr>
                  <w:r>
                    <w:rPr>
                      <w:rFonts w:hint="eastAsia"/>
                      <w:color w:val="auto"/>
                      <w:highlight w:val="none"/>
                    </w:rPr>
                    <w:t>0-0.5m</w:t>
                  </w:r>
                </w:p>
              </w:tc>
              <w:tc>
                <w:tcPr>
                  <w:tcW w:w="1171" w:type="dxa"/>
                  <w:vAlign w:val="center"/>
                </w:tcPr>
                <w:p>
                  <w:pPr>
                    <w:pStyle w:val="22"/>
                    <w:rPr>
                      <w:color w:val="auto"/>
                      <w:highlight w:val="none"/>
                    </w:rPr>
                  </w:pPr>
                  <w:r>
                    <w:rPr>
                      <w:rFonts w:hint="eastAsia"/>
                      <w:color w:val="auto"/>
                      <w:highlight w:val="none"/>
                    </w:rPr>
                    <w:t>1年/次</w:t>
                  </w:r>
                </w:p>
              </w:tc>
              <w:tc>
                <w:tcPr>
                  <w:tcW w:w="2789" w:type="dxa"/>
                  <w:vAlign w:val="center"/>
                </w:tcPr>
                <w:p>
                  <w:pPr>
                    <w:pStyle w:val="22"/>
                    <w:rPr>
                      <w:color w:val="auto"/>
                      <w:highlight w:val="none"/>
                    </w:rPr>
                  </w:pPr>
                  <w:r>
                    <w:rPr>
                      <w:rFonts w:hint="eastAsia"/>
                      <w:color w:val="auto"/>
                      <w:highlight w:val="none"/>
                    </w:rPr>
                    <w:t>《土壤环境质量建设用地土壤污染风险管控标准（试行）》（GB36600-2018）</w:t>
                  </w:r>
                </w:p>
              </w:tc>
            </w:tr>
          </w:tbl>
          <w:p>
            <w:pPr>
              <w:pStyle w:val="27"/>
              <w:ind w:firstLine="482"/>
              <w:rPr>
                <w:rFonts w:hint="default"/>
                <w:color w:val="auto"/>
                <w:highlight w:val="none"/>
              </w:rPr>
            </w:pPr>
            <w:r>
              <w:rPr>
                <w:rFonts w:hint="default"/>
                <w:color w:val="auto"/>
                <w:highlight w:val="none"/>
              </w:rPr>
              <w:t>7环境风险</w:t>
            </w:r>
          </w:p>
          <w:p>
            <w:pPr>
              <w:pStyle w:val="12"/>
              <w:ind w:firstLine="480"/>
              <w:rPr>
                <w:color w:val="auto"/>
                <w:highlight w:val="none"/>
              </w:rPr>
            </w:pPr>
            <w:r>
              <w:rPr>
                <w:color w:val="auto"/>
                <w:highlight w:val="none"/>
              </w:rPr>
              <w:t>环境风险是指突发性事故对环境（或健康）的危害程度。建设项目环境风险评价</w:t>
            </w:r>
            <w:r>
              <w:rPr>
                <w:rFonts w:hint="eastAsia"/>
                <w:color w:val="auto"/>
                <w:highlight w:val="none"/>
                <w:lang w:eastAsia="zh-CN"/>
              </w:rPr>
              <w:t>，</w:t>
            </w:r>
            <w:r>
              <w:rPr>
                <w:color w:val="auto"/>
                <w:highlight w:val="none"/>
              </w:rPr>
              <w:t>主要是对建设项目建设和运行期间发生的可预测突发性事件或事故（一般不包括人为破坏及自然灾害）引起有毒有害、易燃易爆等物质泄漏</w:t>
            </w:r>
            <w:r>
              <w:rPr>
                <w:rFonts w:hint="eastAsia"/>
                <w:color w:val="auto"/>
                <w:highlight w:val="none"/>
                <w:lang w:eastAsia="zh-CN"/>
              </w:rPr>
              <w:t>，</w:t>
            </w:r>
            <w:r>
              <w:rPr>
                <w:color w:val="auto"/>
                <w:highlight w:val="none"/>
              </w:rPr>
              <w:t>或突发事件产生的新的有毒有害物质</w:t>
            </w:r>
            <w:r>
              <w:rPr>
                <w:rFonts w:hint="eastAsia"/>
                <w:color w:val="auto"/>
                <w:highlight w:val="none"/>
                <w:lang w:eastAsia="zh-CN"/>
              </w:rPr>
              <w:t>，</w:t>
            </w:r>
            <w:r>
              <w:rPr>
                <w:color w:val="auto"/>
                <w:highlight w:val="none"/>
              </w:rPr>
              <w:t>所造成的对人身安全与环境的影响和损害</w:t>
            </w:r>
            <w:r>
              <w:rPr>
                <w:rFonts w:hint="eastAsia"/>
                <w:color w:val="auto"/>
                <w:highlight w:val="none"/>
                <w:lang w:eastAsia="zh-CN"/>
              </w:rPr>
              <w:t>，</w:t>
            </w:r>
            <w:r>
              <w:rPr>
                <w:color w:val="auto"/>
                <w:highlight w:val="none"/>
              </w:rPr>
              <w:t>进行评估</w:t>
            </w:r>
            <w:r>
              <w:rPr>
                <w:rFonts w:hint="eastAsia"/>
                <w:color w:val="auto"/>
                <w:highlight w:val="none"/>
                <w:lang w:eastAsia="zh-CN"/>
              </w:rPr>
              <w:t>，</w:t>
            </w:r>
            <w:r>
              <w:rPr>
                <w:color w:val="auto"/>
                <w:highlight w:val="none"/>
              </w:rPr>
              <w:t>提出防范、应急与减缓措施</w:t>
            </w:r>
            <w:r>
              <w:rPr>
                <w:rFonts w:hint="eastAsia"/>
                <w:color w:val="auto"/>
                <w:highlight w:val="none"/>
                <w:lang w:eastAsia="zh-CN"/>
              </w:rPr>
              <w:t>，</w:t>
            </w:r>
            <w:r>
              <w:rPr>
                <w:color w:val="auto"/>
                <w:highlight w:val="none"/>
              </w:rPr>
              <w:t>以使建设项目事故率、损失和环境影响达到可接受水平。</w:t>
            </w:r>
          </w:p>
          <w:p>
            <w:pPr>
              <w:pStyle w:val="12"/>
              <w:ind w:firstLine="480"/>
              <w:rPr>
                <w:color w:val="auto"/>
                <w:highlight w:val="none"/>
              </w:rPr>
            </w:pPr>
            <w:r>
              <w:rPr>
                <w:rFonts w:hint="eastAsia"/>
                <w:color w:val="auto"/>
                <w:highlight w:val="none"/>
              </w:rPr>
              <w:t>7.1环境危险物质调查</w:t>
            </w:r>
          </w:p>
          <w:p>
            <w:pPr>
              <w:pStyle w:val="12"/>
              <w:ind w:firstLine="480"/>
              <w:rPr>
                <w:rFonts w:hint="eastAsia" w:eastAsia="宋体"/>
                <w:color w:val="auto"/>
                <w:highlight w:val="none"/>
                <w:lang w:eastAsia="zh-CN"/>
              </w:rPr>
            </w:pPr>
            <w:r>
              <w:rPr>
                <w:rFonts w:hint="eastAsia"/>
                <w:color w:val="auto"/>
                <w:highlight w:val="none"/>
              </w:rPr>
              <w:t>对照《建设项目环境风险评价技术导则》（HJ169-2018）附录B中的危险物质名称及临界量情况</w:t>
            </w:r>
            <w:r>
              <w:rPr>
                <w:rFonts w:hint="eastAsia"/>
                <w:color w:val="auto"/>
                <w:highlight w:val="none"/>
                <w:lang w:eastAsia="zh-CN"/>
              </w:rPr>
              <w:t>，</w:t>
            </w:r>
            <w:r>
              <w:rPr>
                <w:rFonts w:hint="eastAsia"/>
                <w:color w:val="auto"/>
                <w:highlight w:val="none"/>
              </w:rPr>
              <w:t>本项目所涉及的</w:t>
            </w:r>
            <w:r>
              <w:rPr>
                <w:rFonts w:hint="eastAsia"/>
                <w:color w:val="auto"/>
                <w:highlight w:val="none"/>
                <w:lang w:eastAsia="zh-CN"/>
              </w:rPr>
              <w:t>危险</w:t>
            </w:r>
            <w:r>
              <w:rPr>
                <w:rFonts w:hint="eastAsia"/>
                <w:color w:val="auto"/>
                <w:highlight w:val="none"/>
              </w:rPr>
              <w:t>物质为</w:t>
            </w:r>
            <w:r>
              <w:rPr>
                <w:rFonts w:hint="eastAsia"/>
                <w:color w:val="auto"/>
                <w:highlight w:val="none"/>
                <w:lang w:eastAsia="zh-CN"/>
              </w:rPr>
              <w:t>收集贮存废润滑油、废油桶中残留废油、废电解液</w:t>
            </w:r>
            <w:r>
              <w:rPr>
                <w:rFonts w:hint="eastAsia"/>
                <w:color w:val="auto"/>
                <w:highlight w:val="none"/>
              </w:rPr>
              <w:t>等</w:t>
            </w:r>
            <w:r>
              <w:rPr>
                <w:rFonts w:hint="eastAsia"/>
                <w:color w:val="auto"/>
                <w:highlight w:val="none"/>
                <w:lang w:eastAsia="zh-CN"/>
              </w:rPr>
              <w:t>危险废物。</w:t>
            </w:r>
          </w:p>
          <w:p>
            <w:pPr>
              <w:pStyle w:val="12"/>
              <w:ind w:firstLine="480"/>
              <w:rPr>
                <w:color w:val="auto"/>
                <w:highlight w:val="none"/>
              </w:rPr>
            </w:pPr>
            <w:r>
              <w:rPr>
                <w:rFonts w:hint="eastAsia"/>
                <w:color w:val="auto"/>
                <w:highlight w:val="none"/>
              </w:rPr>
              <w:t>计算所涉及的每种危险物质在厂界内的最大存在总量与其附录 B中对应临界量的比值Q。在不同厂区的同一种物质</w:t>
            </w:r>
            <w:r>
              <w:rPr>
                <w:rFonts w:hint="eastAsia"/>
                <w:color w:val="auto"/>
                <w:highlight w:val="none"/>
                <w:lang w:eastAsia="zh-CN"/>
              </w:rPr>
              <w:t>，</w:t>
            </w:r>
            <w:r>
              <w:rPr>
                <w:rFonts w:hint="eastAsia"/>
                <w:color w:val="auto"/>
                <w:highlight w:val="none"/>
              </w:rPr>
              <w:t>按其在厂界内的最大存在总量计算。当只涉及一种危险物质时</w:t>
            </w:r>
            <w:r>
              <w:rPr>
                <w:rFonts w:hint="eastAsia"/>
                <w:color w:val="auto"/>
                <w:highlight w:val="none"/>
                <w:lang w:eastAsia="zh-CN"/>
              </w:rPr>
              <w:t>，</w:t>
            </w:r>
            <w:r>
              <w:rPr>
                <w:rFonts w:hint="eastAsia"/>
                <w:color w:val="auto"/>
                <w:highlight w:val="none"/>
              </w:rPr>
              <w:t>计算该物质的总量与其临界量比值</w:t>
            </w:r>
            <w:r>
              <w:rPr>
                <w:rFonts w:hint="eastAsia"/>
                <w:color w:val="auto"/>
                <w:highlight w:val="none"/>
                <w:lang w:eastAsia="zh-CN"/>
              </w:rPr>
              <w:t>，</w:t>
            </w:r>
            <w:r>
              <w:rPr>
                <w:rFonts w:hint="eastAsia"/>
                <w:color w:val="auto"/>
                <w:highlight w:val="none"/>
              </w:rPr>
              <w:t>即为 Q；当存在多种危险物质时</w:t>
            </w:r>
            <w:r>
              <w:rPr>
                <w:rFonts w:hint="eastAsia"/>
                <w:color w:val="auto"/>
                <w:highlight w:val="none"/>
                <w:lang w:eastAsia="zh-CN"/>
              </w:rPr>
              <w:t>，</w:t>
            </w:r>
            <w:r>
              <w:rPr>
                <w:rFonts w:hint="eastAsia"/>
                <w:color w:val="auto"/>
                <w:highlight w:val="none"/>
              </w:rPr>
              <w:t>按下式计算物质总量与临界值比值（Q）：</w:t>
            </w:r>
          </w:p>
          <w:p>
            <w:pPr>
              <w:pStyle w:val="12"/>
              <w:ind w:firstLine="480"/>
              <w:jc w:val="center"/>
              <w:rPr>
                <w:color w:val="auto"/>
                <w:highlight w:val="none"/>
              </w:rPr>
            </w:pPr>
            <w:r>
              <w:rPr>
                <w:color w:val="auto"/>
                <w:position w:val="-30"/>
                <w:highlight w:val="none"/>
              </w:rPr>
              <w:object>
                <v:shape id="_x0000_i1027" o:spt="75" type="#_x0000_t75" style="height:34.3pt;width:109.7pt;" o:ole="t" filled="f" o:preferrelative="t" stroked="f" coordsize="21600,21600">
                  <v:path/>
                  <v:fill on="f" focussize="0,0"/>
                  <v:stroke on="f"/>
                  <v:imagedata r:id="rId19" o:title=""/>
                  <o:lock v:ext="edit" aspectratio="t"/>
                  <w10:wrap type="none"/>
                  <w10:anchorlock/>
                </v:shape>
                <o:OLEObject Type="Embed" ProgID="Equation.KSEE3" ShapeID="_x0000_i1027" DrawAspect="Content" ObjectID="_1468075727" r:id="rId18">
                  <o:LockedField>false</o:LockedField>
                </o:OLEObject>
              </w:object>
            </w:r>
          </w:p>
          <w:p>
            <w:pPr>
              <w:pStyle w:val="12"/>
              <w:ind w:firstLine="480"/>
              <w:rPr>
                <w:color w:val="auto"/>
                <w:highlight w:val="none"/>
              </w:rPr>
            </w:pPr>
            <w:r>
              <w:rPr>
                <w:rFonts w:hint="eastAsia"/>
                <w:color w:val="auto"/>
                <w:highlight w:val="none"/>
              </w:rPr>
              <w:t>中：q</w:t>
            </w:r>
            <w:r>
              <w:rPr>
                <w:rFonts w:hint="eastAsia"/>
                <w:color w:val="auto"/>
                <w:highlight w:val="none"/>
                <w:vertAlign w:val="subscript"/>
              </w:rPr>
              <w:t>1</w:t>
            </w:r>
            <w:r>
              <w:rPr>
                <w:rFonts w:hint="eastAsia"/>
                <w:color w:val="auto"/>
                <w:highlight w:val="none"/>
              </w:rPr>
              <w:t>、q</w:t>
            </w:r>
            <w:r>
              <w:rPr>
                <w:rFonts w:hint="eastAsia"/>
                <w:color w:val="auto"/>
                <w:highlight w:val="none"/>
                <w:vertAlign w:val="subscript"/>
              </w:rPr>
              <w:t>2</w:t>
            </w:r>
            <w:r>
              <w:rPr>
                <w:rFonts w:hint="eastAsia"/>
                <w:color w:val="auto"/>
                <w:highlight w:val="none"/>
              </w:rPr>
              <w:t>……qn——每种危险物质的最大存在总量</w:t>
            </w:r>
            <w:r>
              <w:rPr>
                <w:rFonts w:hint="eastAsia"/>
                <w:color w:val="auto"/>
                <w:highlight w:val="none"/>
                <w:lang w:eastAsia="zh-CN"/>
              </w:rPr>
              <w:t>，</w:t>
            </w:r>
            <w:r>
              <w:rPr>
                <w:rFonts w:hint="eastAsia"/>
                <w:color w:val="auto"/>
                <w:highlight w:val="none"/>
              </w:rPr>
              <w:t>t。</w:t>
            </w:r>
          </w:p>
          <w:p>
            <w:pPr>
              <w:pStyle w:val="12"/>
              <w:ind w:firstLine="480"/>
              <w:rPr>
                <w:color w:val="auto"/>
                <w:highlight w:val="none"/>
              </w:rPr>
            </w:pPr>
            <w:r>
              <w:rPr>
                <w:rFonts w:hint="eastAsia"/>
                <w:color w:val="auto"/>
                <w:highlight w:val="none"/>
              </w:rPr>
              <w:t>Q</w:t>
            </w:r>
            <w:r>
              <w:rPr>
                <w:rFonts w:hint="eastAsia"/>
                <w:color w:val="auto"/>
                <w:highlight w:val="none"/>
                <w:vertAlign w:val="subscript"/>
              </w:rPr>
              <w:t>1</w:t>
            </w:r>
            <w:r>
              <w:rPr>
                <w:rFonts w:hint="eastAsia"/>
                <w:color w:val="auto"/>
                <w:highlight w:val="none"/>
              </w:rPr>
              <w:t>、Q</w:t>
            </w:r>
            <w:r>
              <w:rPr>
                <w:rFonts w:hint="eastAsia"/>
                <w:color w:val="auto"/>
                <w:highlight w:val="none"/>
                <w:vertAlign w:val="subscript"/>
              </w:rPr>
              <w:t>2</w:t>
            </w:r>
            <w:r>
              <w:rPr>
                <w:rFonts w:hint="eastAsia"/>
                <w:color w:val="auto"/>
                <w:highlight w:val="none"/>
              </w:rPr>
              <w:t>……Qn——每种危险物质的临界量</w:t>
            </w:r>
            <w:r>
              <w:rPr>
                <w:rFonts w:hint="eastAsia"/>
                <w:color w:val="auto"/>
                <w:highlight w:val="none"/>
                <w:lang w:eastAsia="zh-CN"/>
              </w:rPr>
              <w:t>，</w:t>
            </w:r>
            <w:r>
              <w:rPr>
                <w:rFonts w:hint="eastAsia"/>
                <w:color w:val="auto"/>
                <w:highlight w:val="none"/>
              </w:rPr>
              <w:t>t。</w:t>
            </w:r>
          </w:p>
          <w:p>
            <w:pPr>
              <w:pStyle w:val="12"/>
              <w:ind w:firstLine="480"/>
              <w:rPr>
                <w:color w:val="auto"/>
                <w:highlight w:val="none"/>
              </w:rPr>
            </w:pPr>
            <w:r>
              <w:rPr>
                <w:rFonts w:hint="eastAsia"/>
                <w:color w:val="auto"/>
                <w:highlight w:val="none"/>
              </w:rPr>
              <w:t>当Q&lt;1时</w:t>
            </w:r>
            <w:r>
              <w:rPr>
                <w:rFonts w:hint="eastAsia"/>
                <w:color w:val="auto"/>
                <w:highlight w:val="none"/>
                <w:lang w:eastAsia="zh-CN"/>
              </w:rPr>
              <w:t>，</w:t>
            </w:r>
            <w:r>
              <w:rPr>
                <w:rFonts w:hint="eastAsia"/>
                <w:color w:val="auto"/>
                <w:highlight w:val="none"/>
              </w:rPr>
              <w:t>该项目环境风险潜势为Ⅰ。</w:t>
            </w:r>
          </w:p>
          <w:p>
            <w:pPr>
              <w:pStyle w:val="12"/>
              <w:ind w:firstLine="480"/>
              <w:rPr>
                <w:color w:val="auto"/>
                <w:highlight w:val="none"/>
              </w:rPr>
            </w:pPr>
            <w:r>
              <w:rPr>
                <w:rFonts w:hint="eastAsia"/>
                <w:color w:val="auto"/>
                <w:highlight w:val="none"/>
              </w:rPr>
              <w:t>当Q≥1时</w:t>
            </w:r>
            <w:r>
              <w:rPr>
                <w:rFonts w:hint="eastAsia"/>
                <w:color w:val="auto"/>
                <w:highlight w:val="none"/>
                <w:lang w:eastAsia="zh-CN"/>
              </w:rPr>
              <w:t>，</w:t>
            </w:r>
            <w:r>
              <w:rPr>
                <w:rFonts w:hint="eastAsia"/>
                <w:color w:val="auto"/>
                <w:highlight w:val="none"/>
              </w:rPr>
              <w:t>将Q值划分为：（1）1≤Q&lt;10；（2）10≤Q&lt;100；（3）Q≥100</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本项目涉及的危险物质及Q值计算一览表</w:t>
            </w:r>
          </w:p>
          <w:tbl>
            <w:tblPr>
              <w:tblStyle w:val="16"/>
              <w:tblW w:w="818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1"/>
              <w:gridCol w:w="995"/>
              <w:gridCol w:w="2059"/>
              <w:gridCol w:w="1936"/>
              <w:gridCol w:w="1355"/>
              <w:gridCol w:w="10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8" w:hRule="atLeast"/>
                <w:jc w:val="center"/>
              </w:trPr>
              <w:tc>
                <w:tcPr>
                  <w:tcW w:w="741" w:type="dxa"/>
                  <w:tcBorders>
                    <w:tl2br w:val="nil"/>
                    <w:tr2bl w:val="nil"/>
                  </w:tcBorders>
                  <w:vAlign w:val="center"/>
                </w:tcPr>
                <w:p>
                  <w:pPr>
                    <w:pStyle w:val="25"/>
                    <w:rPr>
                      <w:rFonts w:hint="default"/>
                      <w:color w:val="auto"/>
                      <w:highlight w:val="none"/>
                    </w:rPr>
                  </w:pPr>
                  <w:r>
                    <w:rPr>
                      <w:color w:val="auto"/>
                      <w:highlight w:val="none"/>
                    </w:rPr>
                    <w:t>序号</w:t>
                  </w:r>
                </w:p>
              </w:tc>
              <w:tc>
                <w:tcPr>
                  <w:tcW w:w="995" w:type="dxa"/>
                  <w:tcBorders>
                    <w:tl2br w:val="nil"/>
                    <w:tr2bl w:val="nil"/>
                  </w:tcBorders>
                  <w:vAlign w:val="center"/>
                </w:tcPr>
                <w:p>
                  <w:pPr>
                    <w:pStyle w:val="25"/>
                    <w:rPr>
                      <w:rFonts w:hint="default"/>
                      <w:color w:val="auto"/>
                      <w:highlight w:val="none"/>
                    </w:rPr>
                  </w:pPr>
                  <w:r>
                    <w:rPr>
                      <w:color w:val="auto"/>
                      <w:highlight w:val="none"/>
                    </w:rPr>
                    <w:t>风险源</w:t>
                  </w:r>
                </w:p>
              </w:tc>
              <w:tc>
                <w:tcPr>
                  <w:tcW w:w="2059" w:type="dxa"/>
                  <w:tcBorders>
                    <w:tl2br w:val="nil"/>
                    <w:tr2bl w:val="nil"/>
                  </w:tcBorders>
                  <w:vAlign w:val="center"/>
                </w:tcPr>
                <w:p>
                  <w:pPr>
                    <w:pStyle w:val="25"/>
                    <w:rPr>
                      <w:rFonts w:hint="default"/>
                      <w:color w:val="auto"/>
                      <w:highlight w:val="none"/>
                    </w:rPr>
                  </w:pPr>
                  <w:r>
                    <w:rPr>
                      <w:color w:val="auto"/>
                      <w:highlight w:val="none"/>
                    </w:rPr>
                    <w:t>名称</w:t>
                  </w:r>
                </w:p>
              </w:tc>
              <w:tc>
                <w:tcPr>
                  <w:tcW w:w="1936" w:type="dxa"/>
                  <w:tcBorders>
                    <w:tl2br w:val="nil"/>
                    <w:tr2bl w:val="nil"/>
                  </w:tcBorders>
                  <w:vAlign w:val="center"/>
                </w:tcPr>
                <w:p>
                  <w:pPr>
                    <w:pStyle w:val="25"/>
                    <w:rPr>
                      <w:rFonts w:hint="default"/>
                      <w:color w:val="auto"/>
                      <w:highlight w:val="none"/>
                    </w:rPr>
                  </w:pPr>
                  <w:r>
                    <w:rPr>
                      <w:color w:val="auto"/>
                      <w:highlight w:val="none"/>
                    </w:rPr>
                    <w:t>最大存在量/（t）</w:t>
                  </w:r>
                </w:p>
              </w:tc>
              <w:tc>
                <w:tcPr>
                  <w:tcW w:w="1355" w:type="dxa"/>
                  <w:tcBorders>
                    <w:tl2br w:val="nil"/>
                    <w:tr2bl w:val="nil"/>
                  </w:tcBorders>
                  <w:vAlign w:val="center"/>
                </w:tcPr>
                <w:p>
                  <w:pPr>
                    <w:pStyle w:val="25"/>
                    <w:rPr>
                      <w:rFonts w:hint="default"/>
                      <w:color w:val="auto"/>
                      <w:highlight w:val="none"/>
                    </w:rPr>
                  </w:pPr>
                  <w:r>
                    <w:rPr>
                      <w:color w:val="auto"/>
                      <w:highlight w:val="none"/>
                    </w:rPr>
                    <w:t>临界量（t）</w:t>
                  </w:r>
                </w:p>
              </w:tc>
              <w:tc>
                <w:tcPr>
                  <w:tcW w:w="1096" w:type="dxa"/>
                  <w:tcBorders>
                    <w:tl2br w:val="nil"/>
                    <w:tr2bl w:val="nil"/>
                  </w:tcBorders>
                  <w:vAlign w:val="center"/>
                </w:tcPr>
                <w:p>
                  <w:pPr>
                    <w:pStyle w:val="25"/>
                    <w:rPr>
                      <w:rFonts w:hint="default"/>
                      <w:color w:val="auto"/>
                      <w:highlight w:val="none"/>
                    </w:rPr>
                  </w:pPr>
                  <w:r>
                    <w:rPr>
                      <w:color w:val="auto"/>
                      <w:highlight w:val="none"/>
                    </w:rPr>
                    <w:t>qi/Qi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70" w:hRule="atLeast"/>
                <w:jc w:val="center"/>
              </w:trPr>
              <w:tc>
                <w:tcPr>
                  <w:tcW w:w="741" w:type="dxa"/>
                  <w:vMerge w:val="restart"/>
                  <w:tcBorders>
                    <w:tl2br w:val="nil"/>
                    <w:tr2bl w:val="nil"/>
                  </w:tcBorders>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1</w:t>
                  </w:r>
                </w:p>
              </w:tc>
              <w:tc>
                <w:tcPr>
                  <w:tcW w:w="995" w:type="dxa"/>
                  <w:vMerge w:val="restart"/>
                  <w:tcBorders>
                    <w:tl2br w:val="nil"/>
                    <w:tr2bl w:val="nil"/>
                  </w:tcBorders>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危险废物贮存点</w:t>
                  </w:r>
                </w:p>
              </w:tc>
              <w:tc>
                <w:tcPr>
                  <w:tcW w:w="2059"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eastAsia="zh-CN"/>
                    </w:rPr>
                    <w:t>废润滑油、废油桶</w:t>
                  </w:r>
                  <w:r>
                    <w:rPr>
                      <w:rFonts w:hint="eastAsia"/>
                      <w:color w:val="auto"/>
                      <w:highlight w:val="none"/>
                      <w:vertAlign w:val="superscript"/>
                      <w:lang w:val="en-US" w:eastAsia="zh-CN"/>
                    </w:rPr>
                    <w:t>1</w:t>
                  </w:r>
                </w:p>
              </w:tc>
              <w:tc>
                <w:tcPr>
                  <w:tcW w:w="1936" w:type="dxa"/>
                  <w:tcBorders>
                    <w:tl2br w:val="nil"/>
                    <w:tr2bl w:val="nil"/>
                  </w:tcBorders>
                  <w:vAlign w:val="center"/>
                </w:tcPr>
                <w:p>
                  <w:pPr>
                    <w:pStyle w:val="22"/>
                    <w:rPr>
                      <w:rFonts w:hint="default"/>
                      <w:color w:val="auto"/>
                      <w:highlight w:val="none"/>
                      <w:lang w:val="en-US" w:eastAsia="zh-CN"/>
                    </w:rPr>
                  </w:pPr>
                  <w:r>
                    <w:rPr>
                      <w:rFonts w:hint="eastAsia"/>
                      <w:color w:val="auto"/>
                      <w:highlight w:val="none"/>
                      <w:lang w:val="en-US" w:eastAsia="zh-CN"/>
                    </w:rPr>
                    <w:t>0.818</w:t>
                  </w:r>
                </w:p>
              </w:tc>
              <w:tc>
                <w:tcPr>
                  <w:tcW w:w="1355"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2500</w:t>
                  </w:r>
                </w:p>
              </w:tc>
              <w:tc>
                <w:tcPr>
                  <w:tcW w:w="1096" w:type="dxa"/>
                  <w:tcBorders>
                    <w:tl2br w:val="nil"/>
                    <w:tr2bl w:val="nil"/>
                  </w:tcBorders>
                  <w:vAlign w:val="center"/>
                </w:tcPr>
                <w:p>
                  <w:pPr>
                    <w:pStyle w:val="22"/>
                    <w:rPr>
                      <w:rFonts w:hint="default"/>
                      <w:color w:val="auto"/>
                      <w:highlight w:val="none"/>
                      <w:lang w:val="en-US" w:eastAsia="zh-CN"/>
                    </w:rPr>
                  </w:pPr>
                  <w:r>
                    <w:rPr>
                      <w:rFonts w:hint="eastAsia"/>
                      <w:color w:val="auto"/>
                      <w:highlight w:val="none"/>
                      <w:lang w:val="en-US" w:eastAsia="zh-CN"/>
                    </w:rPr>
                    <w:t>0.00033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70" w:hRule="atLeast"/>
                <w:jc w:val="center"/>
              </w:trPr>
              <w:tc>
                <w:tcPr>
                  <w:tcW w:w="741" w:type="dxa"/>
                  <w:vMerge w:val="continue"/>
                  <w:tcBorders>
                    <w:tl2br w:val="nil"/>
                    <w:tr2bl w:val="nil"/>
                  </w:tcBorders>
                  <w:vAlign w:val="center"/>
                </w:tcPr>
                <w:p>
                  <w:pPr>
                    <w:pStyle w:val="22"/>
                    <w:rPr>
                      <w:rFonts w:hint="eastAsia"/>
                      <w:color w:val="auto"/>
                      <w:highlight w:val="none"/>
                    </w:rPr>
                  </w:pPr>
                </w:p>
              </w:tc>
              <w:tc>
                <w:tcPr>
                  <w:tcW w:w="995" w:type="dxa"/>
                  <w:vMerge w:val="continue"/>
                  <w:tcBorders>
                    <w:tl2br w:val="nil"/>
                    <w:tr2bl w:val="nil"/>
                  </w:tcBorders>
                  <w:vAlign w:val="center"/>
                </w:tcPr>
                <w:p>
                  <w:pPr>
                    <w:pStyle w:val="22"/>
                    <w:rPr>
                      <w:rFonts w:hint="eastAsia"/>
                      <w:color w:val="auto"/>
                      <w:highlight w:val="none"/>
                    </w:rPr>
                  </w:pPr>
                </w:p>
              </w:tc>
              <w:tc>
                <w:tcPr>
                  <w:tcW w:w="2059" w:type="dxa"/>
                  <w:tcBorders>
                    <w:tl2br w:val="nil"/>
                    <w:tr2bl w:val="nil"/>
                  </w:tcBorders>
                  <w:vAlign w:val="center"/>
                </w:tcPr>
                <w:p>
                  <w:pPr>
                    <w:pStyle w:val="22"/>
                    <w:rPr>
                      <w:rFonts w:hint="default"/>
                      <w:color w:val="auto"/>
                      <w:highlight w:val="none"/>
                      <w:lang w:val="en-US" w:eastAsia="zh-CN"/>
                    </w:rPr>
                  </w:pPr>
                  <w:r>
                    <w:rPr>
                      <w:rFonts w:hint="eastAsia"/>
                      <w:color w:val="auto"/>
                      <w:highlight w:val="none"/>
                      <w:lang w:eastAsia="zh-CN"/>
                    </w:rPr>
                    <w:t>电解液中硫酸</w:t>
                  </w:r>
                  <w:r>
                    <w:rPr>
                      <w:rFonts w:hint="eastAsia"/>
                      <w:color w:val="auto"/>
                      <w:highlight w:val="none"/>
                      <w:vertAlign w:val="superscript"/>
                      <w:lang w:val="en-US" w:eastAsia="zh-CN"/>
                    </w:rPr>
                    <w:t>2</w:t>
                  </w:r>
                </w:p>
              </w:tc>
              <w:tc>
                <w:tcPr>
                  <w:tcW w:w="1936" w:type="dxa"/>
                  <w:tcBorders>
                    <w:tl2br w:val="nil"/>
                    <w:tr2bl w:val="nil"/>
                  </w:tcBorders>
                  <w:vAlign w:val="center"/>
                </w:tcPr>
                <w:p>
                  <w:pPr>
                    <w:pStyle w:val="22"/>
                    <w:rPr>
                      <w:rFonts w:hint="default"/>
                      <w:color w:val="auto"/>
                      <w:highlight w:val="none"/>
                      <w:lang w:val="en-US" w:eastAsia="zh-CN"/>
                    </w:rPr>
                  </w:pPr>
                  <w:r>
                    <w:rPr>
                      <w:rFonts w:hint="eastAsia"/>
                      <w:color w:val="auto"/>
                      <w:highlight w:val="none"/>
                      <w:lang w:val="en-US" w:eastAsia="zh-CN"/>
                    </w:rPr>
                    <w:t>0.05</w:t>
                  </w:r>
                </w:p>
              </w:tc>
              <w:tc>
                <w:tcPr>
                  <w:tcW w:w="1355" w:type="dxa"/>
                  <w:tcBorders>
                    <w:tl2br w:val="nil"/>
                    <w:tr2bl w:val="nil"/>
                  </w:tcBorders>
                  <w:vAlign w:val="center"/>
                </w:tcPr>
                <w:p>
                  <w:pPr>
                    <w:pStyle w:val="22"/>
                    <w:rPr>
                      <w:rFonts w:hint="default"/>
                      <w:color w:val="auto"/>
                      <w:highlight w:val="none"/>
                      <w:lang w:val="en-US" w:eastAsia="zh-CN"/>
                    </w:rPr>
                  </w:pPr>
                  <w:r>
                    <w:rPr>
                      <w:rFonts w:hint="eastAsia"/>
                      <w:color w:val="auto"/>
                      <w:highlight w:val="none"/>
                      <w:lang w:val="en-US" w:eastAsia="zh-CN"/>
                    </w:rPr>
                    <w:t>10</w:t>
                  </w:r>
                </w:p>
              </w:tc>
              <w:tc>
                <w:tcPr>
                  <w:tcW w:w="1096" w:type="dxa"/>
                  <w:tcBorders>
                    <w:tl2br w:val="nil"/>
                    <w:tr2bl w:val="nil"/>
                  </w:tcBorders>
                  <w:vAlign w:val="center"/>
                </w:tcPr>
                <w:p>
                  <w:pPr>
                    <w:pStyle w:val="22"/>
                    <w:rPr>
                      <w:rFonts w:hint="default"/>
                      <w:color w:val="auto"/>
                      <w:highlight w:val="none"/>
                      <w:lang w:val="en-US" w:eastAsia="zh-CN"/>
                    </w:rPr>
                  </w:pPr>
                  <w:r>
                    <w:rPr>
                      <w:rFonts w:hint="eastAsia"/>
                      <w:color w:val="auto"/>
                      <w:highlight w:val="none"/>
                      <w:lang w:val="en-US" w:eastAsia="zh-CN"/>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8" w:hRule="atLeast"/>
                <w:jc w:val="center"/>
              </w:trPr>
              <w:tc>
                <w:tcPr>
                  <w:tcW w:w="1736" w:type="dxa"/>
                  <w:gridSpan w:val="2"/>
                  <w:tcBorders>
                    <w:tl2br w:val="nil"/>
                    <w:tr2bl w:val="nil"/>
                  </w:tcBorders>
                  <w:vAlign w:val="center"/>
                </w:tcPr>
                <w:p>
                  <w:pPr>
                    <w:pStyle w:val="22"/>
                    <w:rPr>
                      <w:color w:val="auto"/>
                      <w:highlight w:val="none"/>
                    </w:rPr>
                  </w:pPr>
                  <w:r>
                    <w:rPr>
                      <w:rFonts w:hint="eastAsia"/>
                      <w:color w:val="auto"/>
                      <w:highlight w:val="none"/>
                      <w:lang w:val="en-US" w:eastAsia="zh-CN"/>
                    </w:rPr>
                    <w:t>Q值</w:t>
                  </w:r>
                  <w:r>
                    <w:rPr>
                      <w:rFonts w:hint="eastAsia"/>
                      <w:color w:val="auto"/>
                      <w:highlight w:val="none"/>
                    </w:rPr>
                    <w:t>合计</w:t>
                  </w:r>
                </w:p>
              </w:tc>
              <w:tc>
                <w:tcPr>
                  <w:tcW w:w="2059"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val="en-US" w:eastAsia="zh-CN"/>
                    </w:rPr>
                    <w:t>/</w:t>
                  </w:r>
                </w:p>
              </w:tc>
              <w:tc>
                <w:tcPr>
                  <w:tcW w:w="1936"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w:t>
                  </w:r>
                </w:p>
              </w:tc>
              <w:tc>
                <w:tcPr>
                  <w:tcW w:w="1355"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w:t>
                  </w:r>
                </w:p>
              </w:tc>
              <w:tc>
                <w:tcPr>
                  <w:tcW w:w="1096"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0.00533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182" w:type="dxa"/>
                  <w:gridSpan w:val="6"/>
                  <w:tcBorders>
                    <w:tl2br w:val="nil"/>
                    <w:tr2bl w:val="nil"/>
                  </w:tcBorders>
                  <w:vAlign w:val="center"/>
                </w:tcPr>
                <w:p>
                  <w:pPr>
                    <w:pStyle w:val="22"/>
                    <w:jc w:val="both"/>
                    <w:rPr>
                      <w:rFonts w:hint="default"/>
                      <w:color w:val="auto"/>
                      <w:highlight w:val="none"/>
                      <w:lang w:val="en-US" w:eastAsia="zh-CN"/>
                    </w:rPr>
                  </w:pPr>
                  <w:r>
                    <w:rPr>
                      <w:rFonts w:hint="eastAsia"/>
                      <w:color w:val="auto"/>
                      <w:highlight w:val="none"/>
                      <w:lang w:val="en-US" w:eastAsia="zh-CN"/>
                    </w:rPr>
                    <w:t>1：废油桶中以最大贮存量中残油计，约为0.0159t</w:t>
                  </w:r>
                </w:p>
                <w:p>
                  <w:pPr>
                    <w:pStyle w:val="22"/>
                    <w:jc w:val="both"/>
                    <w:rPr>
                      <w:rFonts w:hint="default"/>
                      <w:color w:val="auto"/>
                      <w:highlight w:val="none"/>
                      <w:lang w:val="en-US" w:eastAsia="zh-CN"/>
                    </w:rPr>
                  </w:pPr>
                  <w:r>
                    <w:rPr>
                      <w:rFonts w:hint="eastAsia"/>
                      <w:color w:val="auto"/>
                      <w:highlight w:val="none"/>
                      <w:lang w:val="en-US" w:eastAsia="zh-CN"/>
                    </w:rPr>
                    <w:t>2：硫酸最大存在量根据废电解液中硫酸进行核算，项目厂区铅蓄电池最大贮存量为1t，电解液含量按10%计，电解液中硫酸比例为40%，则电解液最大存在量约为0.04t；废电解液量为0.026t/a，硫酸量为0.01t/a；则全厂电解液中硫酸为0.05</w:t>
                  </w:r>
                </w:p>
              </w:tc>
            </w:tr>
          </w:tbl>
          <w:p>
            <w:pPr>
              <w:pStyle w:val="12"/>
              <w:ind w:firstLine="480"/>
              <w:rPr>
                <w:color w:val="auto"/>
                <w:highlight w:val="none"/>
              </w:rPr>
            </w:pPr>
            <w:r>
              <w:rPr>
                <w:rFonts w:hint="eastAsia"/>
                <w:color w:val="auto"/>
                <w:highlight w:val="none"/>
              </w:rPr>
              <w:t>经计算</w:t>
            </w:r>
            <w:r>
              <w:rPr>
                <w:rFonts w:hint="eastAsia"/>
                <w:color w:val="auto"/>
                <w:highlight w:val="none"/>
                <w:lang w:eastAsia="zh-CN"/>
              </w:rPr>
              <w:t>，</w:t>
            </w:r>
            <w:r>
              <w:rPr>
                <w:rFonts w:hint="eastAsia"/>
                <w:color w:val="auto"/>
                <w:highlight w:val="none"/>
              </w:rPr>
              <w:t>本项目风险物质Q值为</w:t>
            </w:r>
            <w:r>
              <w:rPr>
                <w:rFonts w:hint="eastAsia"/>
                <w:color w:val="auto"/>
                <w:highlight w:val="none"/>
                <w:lang w:val="en-US" w:eastAsia="zh-CN"/>
              </w:rPr>
              <w:t>0.00533</w:t>
            </w:r>
            <w:r>
              <w:rPr>
                <w:rFonts w:hint="eastAsia"/>
                <w:color w:val="auto"/>
                <w:highlight w:val="none"/>
                <w:lang w:eastAsia="zh-CN"/>
              </w:rPr>
              <w:t>，</w:t>
            </w:r>
            <w:r>
              <w:rPr>
                <w:rFonts w:hint="eastAsia"/>
                <w:color w:val="auto"/>
                <w:highlight w:val="none"/>
              </w:rPr>
              <w:t>Q＜1。</w:t>
            </w:r>
            <w:r>
              <w:rPr>
                <w:rFonts w:hint="eastAsia"/>
                <w:color w:val="auto"/>
                <w:highlight w:val="none"/>
                <w:lang w:eastAsia="zh-CN"/>
              </w:rPr>
              <w:t>无需设置风险专项评价</w:t>
            </w:r>
            <w:r>
              <w:rPr>
                <w:rFonts w:hint="eastAsia"/>
                <w:color w:val="auto"/>
                <w:highlight w:val="none"/>
              </w:rPr>
              <w:t>。</w:t>
            </w:r>
          </w:p>
          <w:p>
            <w:pPr>
              <w:pStyle w:val="12"/>
              <w:ind w:firstLine="480"/>
              <w:rPr>
                <w:color w:val="auto"/>
                <w:highlight w:val="none"/>
              </w:rPr>
            </w:pPr>
            <w:r>
              <w:rPr>
                <w:color w:val="auto"/>
                <w:highlight w:val="none"/>
              </w:rPr>
              <w:t>7.2</w:t>
            </w:r>
            <w:r>
              <w:rPr>
                <w:rFonts w:hint="eastAsia"/>
                <w:color w:val="auto"/>
                <w:highlight w:val="none"/>
              </w:rPr>
              <w:t>风险源分布情况及影响途径</w:t>
            </w:r>
          </w:p>
          <w:p>
            <w:pPr>
              <w:pStyle w:val="12"/>
              <w:ind w:firstLine="480"/>
              <w:rPr>
                <w:rFonts w:hint="eastAsia"/>
                <w:color w:val="auto"/>
                <w:highlight w:val="none"/>
              </w:rPr>
            </w:pPr>
            <w:r>
              <w:rPr>
                <w:rFonts w:hint="eastAsia"/>
                <w:color w:val="auto"/>
                <w:highlight w:val="none"/>
              </w:rPr>
              <w:t>本项目危险物质、风险源分布情况及风险影响途径见下表。</w:t>
            </w:r>
          </w:p>
          <w:p>
            <w:pPr>
              <w:pStyle w:val="23"/>
              <w:numPr>
                <w:ilvl w:val="0"/>
                <w:numId w:val="2"/>
              </w:numPr>
              <w:tabs>
                <w:tab w:val="clear" w:pos="0"/>
                <w:tab w:val="clear" w:pos="420"/>
              </w:tabs>
              <w:ind w:left="0" w:leftChars="0" w:firstLine="0" w:firstLineChars="0"/>
              <w:rPr>
                <w:color w:val="auto"/>
                <w:highlight w:val="none"/>
              </w:rPr>
            </w:pPr>
            <w:r>
              <w:rPr>
                <w:rFonts w:hint="eastAsia"/>
                <w:color w:val="auto"/>
                <w:highlight w:val="none"/>
              </w:rPr>
              <w:t xml:space="preserve">   本项目危险物质、风险源的分布情况及风险影响途径</w:t>
            </w:r>
          </w:p>
          <w:tbl>
            <w:tblPr>
              <w:tblStyle w:val="15"/>
              <w:tblW w:w="8181" w:type="dxa"/>
              <w:jc w:val="center"/>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
            <w:tblGrid>
              <w:gridCol w:w="1007"/>
              <w:gridCol w:w="1428"/>
              <w:gridCol w:w="961"/>
              <w:gridCol w:w="941"/>
              <w:gridCol w:w="1922"/>
              <w:gridCol w:w="192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trHeight w:val="310" w:hRule="atLeast"/>
                <w:jc w:val="center"/>
              </w:trPr>
              <w:tc>
                <w:tcPr>
                  <w:tcW w:w="1007" w:type="dxa"/>
                  <w:vAlign w:val="center"/>
                </w:tcPr>
                <w:p>
                  <w:pPr>
                    <w:pStyle w:val="25"/>
                    <w:rPr>
                      <w:rFonts w:hint="eastAsia" w:eastAsiaTheme="minorEastAsia"/>
                      <w:color w:val="auto"/>
                      <w:highlight w:val="none"/>
                      <w:lang w:eastAsia="zh-CN"/>
                    </w:rPr>
                  </w:pPr>
                  <w:r>
                    <w:rPr>
                      <w:rFonts w:hint="eastAsia"/>
                      <w:color w:val="auto"/>
                      <w:highlight w:val="none"/>
                      <w:lang w:eastAsia="zh-CN"/>
                    </w:rPr>
                    <w:t>风险源</w:t>
                  </w:r>
                </w:p>
              </w:tc>
              <w:tc>
                <w:tcPr>
                  <w:tcW w:w="1428" w:type="dxa"/>
                  <w:vAlign w:val="center"/>
                </w:tcPr>
                <w:p>
                  <w:pPr>
                    <w:pStyle w:val="25"/>
                    <w:rPr>
                      <w:rFonts w:hint="eastAsia" w:eastAsiaTheme="minorEastAsia"/>
                      <w:color w:val="auto"/>
                      <w:highlight w:val="none"/>
                      <w:lang w:eastAsia="zh-CN"/>
                    </w:rPr>
                  </w:pPr>
                  <w:r>
                    <w:rPr>
                      <w:rFonts w:hint="eastAsia"/>
                      <w:color w:val="auto"/>
                      <w:highlight w:val="none"/>
                      <w:lang w:eastAsia="zh-CN"/>
                    </w:rPr>
                    <w:t>风险源分布情况</w:t>
                  </w:r>
                </w:p>
              </w:tc>
              <w:tc>
                <w:tcPr>
                  <w:tcW w:w="961" w:type="dxa"/>
                  <w:vAlign w:val="center"/>
                </w:tcPr>
                <w:p>
                  <w:pPr>
                    <w:pStyle w:val="25"/>
                    <w:rPr>
                      <w:rFonts w:hint="eastAsia" w:eastAsiaTheme="minorEastAsia"/>
                      <w:color w:val="auto"/>
                      <w:highlight w:val="none"/>
                      <w:lang w:eastAsia="zh-CN"/>
                    </w:rPr>
                  </w:pPr>
                  <w:r>
                    <w:rPr>
                      <w:rFonts w:hint="eastAsia"/>
                      <w:color w:val="auto"/>
                      <w:highlight w:val="none"/>
                      <w:lang w:eastAsia="zh-CN"/>
                    </w:rPr>
                    <w:t>主要危险物质</w:t>
                  </w:r>
                </w:p>
              </w:tc>
              <w:tc>
                <w:tcPr>
                  <w:tcW w:w="941" w:type="dxa"/>
                  <w:vAlign w:val="center"/>
                </w:tcPr>
                <w:p>
                  <w:pPr>
                    <w:pStyle w:val="25"/>
                    <w:rPr>
                      <w:rFonts w:hint="eastAsia" w:eastAsiaTheme="minorEastAsia"/>
                      <w:color w:val="auto"/>
                      <w:highlight w:val="none"/>
                      <w:lang w:eastAsia="zh-CN"/>
                    </w:rPr>
                  </w:pPr>
                  <w:r>
                    <w:rPr>
                      <w:rFonts w:hint="eastAsia"/>
                      <w:color w:val="auto"/>
                      <w:highlight w:val="none"/>
                      <w:lang w:eastAsia="zh-CN"/>
                    </w:rPr>
                    <w:t>环境风险类型</w:t>
                  </w:r>
                </w:p>
              </w:tc>
              <w:tc>
                <w:tcPr>
                  <w:tcW w:w="1922" w:type="dxa"/>
                  <w:vAlign w:val="center"/>
                </w:tcPr>
                <w:p>
                  <w:pPr>
                    <w:pStyle w:val="25"/>
                    <w:rPr>
                      <w:rFonts w:hint="eastAsia" w:eastAsiaTheme="minorEastAsia"/>
                      <w:color w:val="auto"/>
                      <w:highlight w:val="none"/>
                      <w:lang w:eastAsia="zh-CN"/>
                    </w:rPr>
                  </w:pPr>
                  <w:r>
                    <w:rPr>
                      <w:rFonts w:hint="eastAsia"/>
                      <w:color w:val="auto"/>
                      <w:highlight w:val="none"/>
                      <w:lang w:eastAsia="zh-CN"/>
                    </w:rPr>
                    <w:t>风险影响途径</w:t>
                  </w:r>
                </w:p>
              </w:tc>
              <w:tc>
                <w:tcPr>
                  <w:tcW w:w="1922" w:type="dxa"/>
                  <w:vAlign w:val="center"/>
                </w:tcPr>
                <w:p>
                  <w:pPr>
                    <w:pStyle w:val="25"/>
                    <w:rPr>
                      <w:rFonts w:hint="eastAsia"/>
                      <w:color w:val="auto"/>
                      <w:highlight w:val="none"/>
                      <w:lang w:eastAsia="zh-CN"/>
                    </w:rPr>
                  </w:pPr>
                  <w:r>
                    <w:rPr>
                      <w:rFonts w:hint="eastAsia"/>
                      <w:color w:val="auto"/>
                      <w:highlight w:val="none"/>
                      <w:lang w:eastAsia="zh-CN"/>
                    </w:rPr>
                    <w:t>可能受到影响的环境目标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trHeight w:val="356" w:hRule="atLeast"/>
                <w:jc w:val="center"/>
              </w:trPr>
              <w:tc>
                <w:tcPr>
                  <w:tcW w:w="1007" w:type="dxa"/>
                  <w:vMerge w:val="restart"/>
                  <w:vAlign w:val="center"/>
                </w:tcPr>
                <w:p>
                  <w:pPr>
                    <w:pStyle w:val="22"/>
                    <w:rPr>
                      <w:rFonts w:hint="eastAsia" w:ascii="Times New Roman" w:hAnsi="Times New Roman" w:cs="Times New Roman" w:eastAsiaTheme="minorEastAsia"/>
                      <w:color w:val="auto"/>
                      <w:highlight w:val="none"/>
                      <w:lang w:eastAsia="zh-CN"/>
                    </w:rPr>
                  </w:pPr>
                  <w:r>
                    <w:rPr>
                      <w:rFonts w:hint="eastAsia" w:ascii="Times New Roman" w:hAnsi="Times New Roman" w:cs="Times New Roman"/>
                      <w:color w:val="auto"/>
                      <w:highlight w:val="none"/>
                      <w:lang w:val="en-US" w:eastAsia="zh-CN"/>
                    </w:rPr>
                    <w:t>危险废物贮存点</w:t>
                  </w:r>
                </w:p>
              </w:tc>
              <w:tc>
                <w:tcPr>
                  <w:tcW w:w="1428" w:type="dxa"/>
                  <w:shd w:val="clear" w:color="auto" w:fill="auto"/>
                  <w:vAlign w:val="center"/>
                </w:tcPr>
                <w:p>
                  <w:pPr>
                    <w:pStyle w:val="2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eastAsia="zh-CN"/>
                    </w:rPr>
                    <w:t>废润滑油贮存桶</w:t>
                  </w:r>
                </w:p>
              </w:tc>
              <w:tc>
                <w:tcPr>
                  <w:tcW w:w="961" w:type="dxa"/>
                  <w:vAlign w:val="center"/>
                </w:tcPr>
                <w:p>
                  <w:pPr>
                    <w:pStyle w:val="22"/>
                    <w:rPr>
                      <w:rFonts w:hint="eastAsia" w:ascii="Times New Roman" w:hAnsi="Times New Roman" w:cs="Times New Roman" w:eastAsiaTheme="minorEastAsia"/>
                      <w:color w:val="auto"/>
                      <w:highlight w:val="none"/>
                      <w:lang w:eastAsia="zh-CN"/>
                    </w:rPr>
                  </w:pPr>
                  <w:r>
                    <w:rPr>
                      <w:rFonts w:hint="eastAsia" w:ascii="Times New Roman" w:hAnsi="Times New Roman" w:cs="Times New Roman"/>
                      <w:color w:val="auto"/>
                      <w:highlight w:val="none"/>
                      <w:lang w:eastAsia="zh-CN"/>
                    </w:rPr>
                    <w:t>废润滑油</w:t>
                  </w:r>
                </w:p>
              </w:tc>
              <w:tc>
                <w:tcPr>
                  <w:tcW w:w="941" w:type="dxa"/>
                  <w:vAlign w:val="center"/>
                </w:tcPr>
                <w:p>
                  <w:pPr>
                    <w:pStyle w:val="22"/>
                    <w:rPr>
                      <w:rFonts w:hint="eastAsia" w:ascii="Times New Roman" w:hAnsi="Times New Roman" w:cs="Times New Roman"/>
                      <w:color w:val="auto"/>
                      <w:highlight w:val="none"/>
                    </w:rPr>
                  </w:pPr>
                  <w:r>
                    <w:rPr>
                      <w:rFonts w:hint="eastAsia" w:ascii="Times New Roman" w:hAnsi="Times New Roman" w:eastAsia="宋体" w:cs="Times New Roman"/>
                      <w:color w:val="auto"/>
                      <w:sz w:val="21"/>
                      <w:szCs w:val="21"/>
                      <w:highlight w:val="none"/>
                      <w:lang w:val="en-US" w:eastAsia="zh-CN"/>
                    </w:rPr>
                    <w:t>火灾、泄漏</w:t>
                  </w:r>
                </w:p>
              </w:tc>
              <w:tc>
                <w:tcPr>
                  <w:tcW w:w="1922" w:type="dxa"/>
                  <w:vAlign w:val="center"/>
                </w:tcPr>
                <w:p>
                  <w:pPr>
                    <w:pStyle w:val="22"/>
                    <w:rPr>
                      <w:rFonts w:hint="eastAsia" w:ascii="Times New Roman" w:hAnsi="Times New Roman" w:cs="Times New Roman"/>
                      <w:color w:val="auto"/>
                      <w:highlight w:val="none"/>
                    </w:rPr>
                  </w:pPr>
                  <w:r>
                    <w:rPr>
                      <w:rFonts w:hint="eastAsia" w:ascii="Times New Roman" w:hAnsi="Times New Roman" w:eastAsia="宋体" w:cs="Times New Roman"/>
                      <w:color w:val="auto"/>
                      <w:sz w:val="21"/>
                      <w:szCs w:val="21"/>
                      <w:highlight w:val="none"/>
                      <w:lang w:val="en-US" w:eastAsia="zh-CN"/>
                    </w:rPr>
                    <w:t>发生火灾后废气直接进入环境空气、发生火灾后消防废水由地表径流或雨水管网进入地表水、垂直入渗进入地下水；发生泄漏后由地表径流或雨水管网进入地表水、垂直入渗进入地下水</w:t>
                  </w:r>
                </w:p>
              </w:tc>
              <w:tc>
                <w:tcPr>
                  <w:tcW w:w="1922" w:type="dxa"/>
                  <w:vAlign w:val="center"/>
                </w:tcPr>
                <w:p>
                  <w:pPr>
                    <w:pStyle w:val="22"/>
                    <w:rPr>
                      <w:rFonts w:hint="eastAsia"/>
                      <w:color w:val="auto"/>
                      <w:highlight w:val="none"/>
                    </w:rPr>
                  </w:pPr>
                  <w:r>
                    <w:rPr>
                      <w:rFonts w:hint="eastAsia" w:ascii="Times New Roman" w:hAnsi="Times New Roman" w:eastAsia="宋体" w:cs="Times New Roman"/>
                      <w:color w:val="auto"/>
                      <w:sz w:val="21"/>
                      <w:szCs w:val="21"/>
                      <w:highlight w:val="none"/>
                      <w:lang w:val="en-US" w:eastAsia="zh-CN"/>
                    </w:rPr>
                    <w:t>周边环境空气、地表水、地下水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trHeight w:val="356" w:hRule="atLeast"/>
                <w:jc w:val="center"/>
              </w:trPr>
              <w:tc>
                <w:tcPr>
                  <w:tcW w:w="1007" w:type="dxa"/>
                  <w:vMerge w:val="continue"/>
                  <w:vAlign w:val="center"/>
                </w:tcPr>
                <w:p>
                  <w:pPr>
                    <w:pStyle w:val="22"/>
                    <w:rPr>
                      <w:rFonts w:hint="eastAsia" w:ascii="Times New Roman" w:hAnsi="Times New Roman" w:cs="Times New Roman" w:eastAsiaTheme="minorEastAsia"/>
                      <w:color w:val="auto"/>
                      <w:highlight w:val="none"/>
                      <w:lang w:eastAsia="zh-CN"/>
                    </w:rPr>
                  </w:pPr>
                </w:p>
              </w:tc>
              <w:tc>
                <w:tcPr>
                  <w:tcW w:w="1428" w:type="dxa"/>
                  <w:shd w:val="clear" w:color="auto" w:fill="auto"/>
                  <w:vAlign w:val="center"/>
                </w:tcPr>
                <w:p>
                  <w:pPr>
                    <w:pStyle w:val="2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eastAsia="zh-CN"/>
                    </w:rPr>
                    <w:t>废铅蓄电池贮存托盘</w:t>
                  </w:r>
                </w:p>
              </w:tc>
              <w:tc>
                <w:tcPr>
                  <w:tcW w:w="961" w:type="dxa"/>
                  <w:vAlign w:val="center"/>
                </w:tcPr>
                <w:p>
                  <w:pPr>
                    <w:pStyle w:val="22"/>
                    <w:rPr>
                      <w:rFonts w:hint="eastAsia" w:ascii="Times New Roman" w:hAnsi="Times New Roman" w:cs="Times New Roman" w:eastAsiaTheme="minorEastAsia"/>
                      <w:color w:val="auto"/>
                      <w:highlight w:val="none"/>
                      <w:lang w:eastAsia="zh-CN"/>
                    </w:rPr>
                  </w:pPr>
                  <w:r>
                    <w:rPr>
                      <w:rFonts w:hint="eastAsia" w:ascii="Times New Roman" w:hAnsi="Times New Roman" w:cs="Times New Roman"/>
                      <w:color w:val="auto"/>
                      <w:highlight w:val="none"/>
                      <w:lang w:eastAsia="zh-CN"/>
                    </w:rPr>
                    <w:t>硫酸</w:t>
                  </w:r>
                </w:p>
              </w:tc>
              <w:tc>
                <w:tcPr>
                  <w:tcW w:w="941" w:type="dxa"/>
                  <w:vAlign w:val="center"/>
                </w:tcPr>
                <w:p>
                  <w:pPr>
                    <w:pStyle w:val="22"/>
                    <w:rPr>
                      <w:rFonts w:hint="eastAsia" w:ascii="Times New Roman" w:hAnsi="Times New Roman" w:cs="Times New Roman"/>
                      <w:color w:val="auto"/>
                      <w:highlight w:val="none"/>
                    </w:rPr>
                  </w:pPr>
                  <w:r>
                    <w:rPr>
                      <w:rFonts w:hint="eastAsia" w:ascii="Times New Roman" w:hAnsi="Times New Roman" w:eastAsia="宋体" w:cs="Times New Roman"/>
                      <w:color w:val="auto"/>
                      <w:sz w:val="21"/>
                      <w:szCs w:val="21"/>
                      <w:highlight w:val="none"/>
                      <w:lang w:val="en-US" w:eastAsia="zh-CN"/>
                    </w:rPr>
                    <w:t>泄漏</w:t>
                  </w:r>
                </w:p>
              </w:tc>
              <w:tc>
                <w:tcPr>
                  <w:tcW w:w="1922" w:type="dxa"/>
                  <w:vAlign w:val="center"/>
                </w:tcPr>
                <w:p>
                  <w:pPr>
                    <w:pStyle w:val="22"/>
                    <w:rPr>
                      <w:rFonts w:hint="eastAsia" w:ascii="Times New Roman" w:hAnsi="Times New Roman" w:cs="Times New Roman"/>
                      <w:color w:val="auto"/>
                      <w:highlight w:val="none"/>
                    </w:rPr>
                  </w:pPr>
                  <w:r>
                    <w:rPr>
                      <w:rFonts w:hint="eastAsia" w:ascii="Times New Roman" w:hAnsi="Times New Roman" w:eastAsia="宋体" w:cs="Times New Roman"/>
                      <w:color w:val="auto"/>
                      <w:sz w:val="21"/>
                      <w:szCs w:val="21"/>
                      <w:highlight w:val="none"/>
                      <w:lang w:val="en-US" w:eastAsia="zh-CN"/>
                    </w:rPr>
                    <w:t>发生泄漏后由地表径流或雨水管网进入地表水、垂直入渗进入地下水</w:t>
                  </w:r>
                </w:p>
              </w:tc>
              <w:tc>
                <w:tcPr>
                  <w:tcW w:w="1922" w:type="dxa"/>
                  <w:vAlign w:val="center"/>
                </w:tcPr>
                <w:p>
                  <w:pPr>
                    <w:pStyle w:val="22"/>
                    <w:rPr>
                      <w:rFonts w:hint="eastAsia"/>
                      <w:color w:val="auto"/>
                      <w:highlight w:val="none"/>
                    </w:rPr>
                  </w:pPr>
                  <w:r>
                    <w:rPr>
                      <w:rFonts w:hint="eastAsia" w:ascii="Times New Roman" w:hAnsi="Times New Roman" w:eastAsia="宋体" w:cs="Times New Roman"/>
                      <w:color w:val="auto"/>
                      <w:sz w:val="21"/>
                      <w:szCs w:val="21"/>
                      <w:highlight w:val="none"/>
                      <w:lang w:val="en-US" w:eastAsia="zh-CN"/>
                    </w:rPr>
                    <w:t>周边地表水、地下水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Ex>
              <w:trPr>
                <w:trHeight w:val="356" w:hRule="atLeast"/>
                <w:jc w:val="center"/>
              </w:trPr>
              <w:tc>
                <w:tcPr>
                  <w:tcW w:w="1007" w:type="dxa"/>
                  <w:vMerge w:val="continue"/>
                  <w:vAlign w:val="center"/>
                </w:tcPr>
                <w:p>
                  <w:pPr>
                    <w:pStyle w:val="22"/>
                    <w:rPr>
                      <w:rFonts w:hint="default" w:ascii="Times New Roman" w:hAnsi="Times New Roman" w:cs="Times New Roman" w:eastAsiaTheme="minorEastAsia"/>
                      <w:color w:val="auto"/>
                      <w:highlight w:val="none"/>
                      <w:lang w:val="en-US" w:eastAsia="zh-CN"/>
                    </w:rPr>
                  </w:pPr>
                </w:p>
              </w:tc>
              <w:tc>
                <w:tcPr>
                  <w:tcW w:w="1428" w:type="dxa"/>
                  <w:shd w:val="clear" w:color="auto" w:fill="auto"/>
                  <w:vAlign w:val="center"/>
                </w:tcPr>
                <w:p>
                  <w:pPr>
                    <w:pStyle w:val="2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电解液贮存箱</w:t>
                  </w:r>
                </w:p>
              </w:tc>
              <w:tc>
                <w:tcPr>
                  <w:tcW w:w="961" w:type="dxa"/>
                  <w:vAlign w:val="center"/>
                </w:tcPr>
                <w:p>
                  <w:pPr>
                    <w:pStyle w:val="22"/>
                    <w:rPr>
                      <w:rFonts w:hint="eastAsia" w:ascii="Times New Roman" w:hAnsi="Times New Roman" w:cs="Times New Roman" w:eastAsiaTheme="minorEastAsia"/>
                      <w:color w:val="auto"/>
                      <w:highlight w:val="none"/>
                      <w:lang w:eastAsia="zh-CN"/>
                    </w:rPr>
                  </w:pPr>
                  <w:r>
                    <w:rPr>
                      <w:rFonts w:hint="eastAsia" w:ascii="Times New Roman" w:hAnsi="Times New Roman" w:cs="Times New Roman"/>
                      <w:color w:val="auto"/>
                      <w:highlight w:val="none"/>
                      <w:lang w:eastAsia="zh-CN"/>
                    </w:rPr>
                    <w:t>硫酸</w:t>
                  </w:r>
                </w:p>
              </w:tc>
              <w:tc>
                <w:tcPr>
                  <w:tcW w:w="941" w:type="dxa"/>
                  <w:vAlign w:val="center"/>
                </w:tcPr>
                <w:p>
                  <w:pPr>
                    <w:pStyle w:val="22"/>
                    <w:rPr>
                      <w:rFonts w:hint="eastAsia" w:ascii="Times New Roman" w:hAnsi="Times New Roman" w:cs="Times New Roman"/>
                      <w:color w:val="auto"/>
                      <w:highlight w:val="none"/>
                    </w:rPr>
                  </w:pPr>
                  <w:r>
                    <w:rPr>
                      <w:rFonts w:hint="eastAsia" w:ascii="Times New Roman" w:hAnsi="Times New Roman" w:eastAsia="宋体" w:cs="Times New Roman"/>
                      <w:color w:val="auto"/>
                      <w:sz w:val="21"/>
                      <w:szCs w:val="21"/>
                      <w:highlight w:val="none"/>
                      <w:lang w:val="en-US" w:eastAsia="zh-CN"/>
                    </w:rPr>
                    <w:t>泄漏</w:t>
                  </w:r>
                </w:p>
              </w:tc>
              <w:tc>
                <w:tcPr>
                  <w:tcW w:w="1922" w:type="dxa"/>
                  <w:vAlign w:val="center"/>
                </w:tcPr>
                <w:p>
                  <w:pPr>
                    <w:pStyle w:val="22"/>
                    <w:rPr>
                      <w:rFonts w:hint="eastAsia" w:ascii="Times New Roman" w:hAnsi="Times New Roman" w:cs="Times New Roman"/>
                      <w:color w:val="auto"/>
                      <w:highlight w:val="none"/>
                    </w:rPr>
                  </w:pPr>
                  <w:r>
                    <w:rPr>
                      <w:rFonts w:hint="eastAsia" w:ascii="Times New Roman" w:hAnsi="Times New Roman" w:eastAsia="宋体" w:cs="Times New Roman"/>
                      <w:color w:val="auto"/>
                      <w:sz w:val="21"/>
                      <w:szCs w:val="21"/>
                      <w:highlight w:val="none"/>
                      <w:lang w:val="en-US" w:eastAsia="zh-CN"/>
                    </w:rPr>
                    <w:t>发生泄漏后由地表径流或雨水管网进入地表水、垂直入渗进入地下水</w:t>
                  </w:r>
                </w:p>
              </w:tc>
              <w:tc>
                <w:tcPr>
                  <w:tcW w:w="1922" w:type="dxa"/>
                  <w:vAlign w:val="center"/>
                </w:tcPr>
                <w:p>
                  <w:pPr>
                    <w:pStyle w:val="22"/>
                    <w:rPr>
                      <w:rFonts w:hint="eastAsia"/>
                      <w:color w:val="auto"/>
                      <w:highlight w:val="none"/>
                    </w:rPr>
                  </w:pPr>
                  <w:r>
                    <w:rPr>
                      <w:rFonts w:hint="eastAsia" w:ascii="Times New Roman" w:hAnsi="Times New Roman" w:eastAsia="宋体" w:cs="Times New Roman"/>
                      <w:color w:val="auto"/>
                      <w:sz w:val="21"/>
                      <w:szCs w:val="21"/>
                      <w:highlight w:val="none"/>
                      <w:lang w:val="en-US" w:eastAsia="zh-CN"/>
                    </w:rPr>
                    <w:t>周边地表水、地下水</w:t>
                  </w:r>
                </w:p>
              </w:tc>
            </w:tr>
          </w:tbl>
          <w:p>
            <w:pPr>
              <w:pStyle w:val="12"/>
              <w:ind w:firstLine="480"/>
              <w:rPr>
                <w:rFonts w:hint="eastAsia" w:eastAsia="宋体"/>
                <w:color w:val="auto"/>
                <w:highlight w:val="none"/>
                <w:lang w:eastAsia="zh-CN"/>
              </w:rPr>
            </w:pPr>
            <w:r>
              <w:rPr>
                <w:rFonts w:hint="eastAsia"/>
                <w:color w:val="auto"/>
                <w:highlight w:val="none"/>
                <w:lang w:val="en-US" w:eastAsia="zh-CN"/>
              </w:rPr>
              <w:t>7.3</w:t>
            </w:r>
            <w:r>
              <w:rPr>
                <w:rFonts w:hint="eastAsia"/>
                <w:color w:val="auto"/>
                <w:highlight w:val="none"/>
                <w:lang w:eastAsia="zh-CN"/>
              </w:rPr>
              <w:t>环境风险防范措施</w:t>
            </w:r>
          </w:p>
          <w:p>
            <w:pPr>
              <w:pStyle w:val="12"/>
              <w:ind w:firstLine="480"/>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）项目选址、总图布置和建筑风险防范措施</w:t>
            </w:r>
          </w:p>
          <w:p>
            <w:pPr>
              <w:pStyle w:val="12"/>
              <w:ind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eastAsia="zh-CN"/>
              </w:rPr>
              <w:t>选址：本项目厂址位于</w:t>
            </w:r>
            <w:r>
              <w:rPr>
                <w:rFonts w:hint="eastAsia" w:cs="Times New Roman"/>
                <w:color w:val="auto"/>
                <w:highlight w:val="none"/>
                <w:lang w:eastAsia="zh-CN"/>
              </w:rPr>
              <w:t>二道沟公司</w:t>
            </w:r>
            <w:r>
              <w:rPr>
                <w:rFonts w:hint="eastAsia" w:ascii="Times New Roman" w:hAnsi="Times New Roman" w:eastAsia="宋体" w:cs="Times New Roman"/>
                <w:color w:val="auto"/>
                <w:highlight w:val="none"/>
                <w:lang w:eastAsia="zh-CN"/>
              </w:rPr>
              <w:t>，项目不在生态保护红线区域、永久基本农田和其他需要特别保护的区域。</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平面布置：在平面布置图上，项目按照</w:t>
            </w:r>
            <w:r>
              <w:rPr>
                <w:rFonts w:hint="eastAsia"/>
                <w:color w:val="auto"/>
                <w:sz w:val="24"/>
                <w:szCs w:val="24"/>
                <w:highlight w:val="none"/>
              </w:rPr>
              <w:t>《建筑设计防火规范》（</w:t>
            </w:r>
            <w:r>
              <w:rPr>
                <w:rFonts w:hint="default"/>
                <w:color w:val="auto"/>
                <w:sz w:val="24"/>
                <w:szCs w:val="24"/>
                <w:highlight w:val="none"/>
              </w:rPr>
              <w:t>GB50016-2014</w:t>
            </w:r>
            <w:r>
              <w:rPr>
                <w:rFonts w:hint="eastAsia"/>
                <w:color w:val="auto"/>
                <w:sz w:val="24"/>
                <w:szCs w:val="24"/>
                <w:highlight w:val="none"/>
              </w:rPr>
              <w:t>）等文件中相应防火等级和建筑防火间距要求来设置本项目</w:t>
            </w:r>
            <w:r>
              <w:rPr>
                <w:rFonts w:hint="eastAsia"/>
                <w:color w:val="auto"/>
                <w:sz w:val="24"/>
                <w:szCs w:val="24"/>
                <w:highlight w:val="none"/>
                <w:lang w:eastAsia="zh-CN"/>
              </w:rPr>
              <w:t>各危险废物贮存区</w:t>
            </w:r>
            <w:r>
              <w:rPr>
                <w:rFonts w:hint="eastAsia"/>
                <w:color w:val="auto"/>
                <w:sz w:val="24"/>
                <w:szCs w:val="24"/>
                <w:highlight w:val="none"/>
              </w:rPr>
              <w:t>之间的防火间距。在厂区总平面布置中配套建设应急救援设施、救援通道、应急疏散避难所等防护设施</w:t>
            </w:r>
            <w:r>
              <w:rPr>
                <w:rFonts w:hint="eastAsia"/>
                <w:color w:val="auto"/>
                <w:sz w:val="24"/>
                <w:szCs w:val="24"/>
                <w:highlight w:val="none"/>
                <w:lang w:eastAsia="zh-CN"/>
              </w:rPr>
              <w:t>。</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3）建筑安全防范措施：根据火灾危险性等级和防火、防爆要求，建议建筑物的防火等级均</w:t>
            </w:r>
            <w:r>
              <w:rPr>
                <w:rFonts w:hint="eastAsia" w:cs="Times New Roman"/>
                <w:color w:val="auto"/>
                <w:highlight w:val="none"/>
                <w:lang w:val="en-US" w:eastAsia="zh-CN"/>
              </w:rPr>
              <w:t>采用</w:t>
            </w:r>
            <w:r>
              <w:rPr>
                <w:rFonts w:hint="eastAsia" w:ascii="Times New Roman" w:hAnsi="Times New Roman" w:eastAsia="宋体" w:cs="Times New Roman"/>
                <w:color w:val="auto"/>
                <w:highlight w:val="none"/>
                <w:lang w:val="en-US" w:eastAsia="zh-CN"/>
              </w:rPr>
              <w:t>国家现行规范要求按耐火等级设计满足建筑防火要求；凡禁火区均设置明显标志牌；易燃易爆物料均储存在阴凉、通风处，远离火源，避免与强氧化剂接触；安全出口及安全疏散距离应符合《建筑设计防火规范》（GB50016-2014）和《石油化工企业设计防火规范》（GB50160-2018）的要求。</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（2）危险废物贮运风险防范措施</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1）加强车间通风、保持车间干燥；</w:t>
            </w:r>
          </w:p>
          <w:p>
            <w:pPr>
              <w:pStyle w:val="1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2）设置有毒有害气体监控设施，一旦有异常情况可立即做出应急反应；</w:t>
            </w:r>
          </w:p>
          <w:p>
            <w:pPr>
              <w:pStyle w:val="1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3）配备专职人员对危险废物贮存点管理和监测</w:t>
            </w:r>
            <w:r>
              <w:rPr>
                <w:rFonts w:hint="eastAsia" w:ascii="Times New Roman" w:hAnsi="Times New Roman" w:eastAsia="宋体" w:cs="Times New Roman"/>
                <w:color w:val="auto"/>
                <w:sz w:val="24"/>
                <w:szCs w:val="24"/>
                <w:highlight w:val="none"/>
              </w:rPr>
              <w:t>，须考核合格后上岗</w:t>
            </w:r>
            <w:r>
              <w:rPr>
                <w:rFonts w:hint="eastAsia" w:ascii="Times New Roman" w:hAnsi="Times New Roman" w:eastAsia="宋体" w:cs="Times New Roman"/>
                <w:color w:val="auto"/>
                <w:highlight w:val="none"/>
                <w:lang w:val="en-US" w:eastAsia="zh-CN"/>
              </w:rPr>
              <w:t>。</w:t>
            </w:r>
          </w:p>
          <w:p>
            <w:pPr>
              <w:pStyle w:val="1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4）危险废物贮存点内严禁吸烟和使用明火。装卸、搬运危险废物时应按照规定进行，做到轻装轻卸，严禁摔、碰、撞击、倾斜和滚动；</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5）各危险废物分区存放，不得混合存放；</w:t>
            </w:r>
          </w:p>
          <w:p>
            <w:pPr>
              <w:pStyle w:val="12"/>
              <w:ind w:firstLine="480"/>
              <w:rPr>
                <w:rFonts w:hint="eastAsia"/>
                <w:color w:val="auto"/>
                <w:highlight w:val="none"/>
                <w:lang w:eastAsia="zh-CN"/>
              </w:rPr>
            </w:pPr>
            <w:r>
              <w:rPr>
                <w:rFonts w:hint="eastAsia"/>
                <w:color w:val="auto"/>
                <w:highlight w:val="none"/>
                <w:lang w:val="en-US" w:eastAsia="zh-CN"/>
              </w:rPr>
              <w:t>6）</w:t>
            </w:r>
            <w:r>
              <w:rPr>
                <w:rFonts w:hint="eastAsia"/>
                <w:color w:val="auto"/>
                <w:highlight w:val="none"/>
              </w:rPr>
              <w:t>装运危险废物的车辆应有遮阳、控温、防爆、防火、防水等措施</w:t>
            </w:r>
            <w:r>
              <w:rPr>
                <w:rFonts w:hint="eastAsia"/>
                <w:color w:val="auto"/>
                <w:highlight w:val="none"/>
                <w:lang w:eastAsia="zh-CN"/>
              </w:rPr>
              <w:t>；</w:t>
            </w:r>
          </w:p>
          <w:p>
            <w:pPr>
              <w:pStyle w:val="12"/>
              <w:ind w:firstLine="480"/>
              <w:rPr>
                <w:rFonts w:hint="default" w:ascii="Times New Roman" w:hAnsi="Times New Roman" w:eastAsia="宋体" w:cs="Times New Roman"/>
                <w:color w:val="auto"/>
                <w:highlight w:val="none"/>
                <w:lang w:val="en-US" w:eastAsia="zh-CN"/>
              </w:rPr>
            </w:pPr>
            <w:r>
              <w:rPr>
                <w:rFonts w:hint="eastAsia"/>
                <w:color w:val="auto"/>
                <w:highlight w:val="none"/>
                <w:lang w:val="en-US" w:eastAsia="zh-CN"/>
              </w:rPr>
              <w:t>7</w:t>
            </w:r>
            <w:r>
              <w:rPr>
                <w:rFonts w:hint="eastAsia"/>
                <w:color w:val="auto"/>
                <w:highlight w:val="none"/>
                <w:lang w:eastAsia="zh-CN"/>
              </w:rPr>
              <w:t>）</w:t>
            </w:r>
            <w:r>
              <w:rPr>
                <w:rFonts w:hint="eastAsia"/>
                <w:color w:val="auto"/>
                <w:highlight w:val="none"/>
              </w:rPr>
              <w:t>每辆车设有明显的防火标志</w:t>
            </w:r>
            <w:r>
              <w:rPr>
                <w:rFonts w:hint="eastAsia"/>
                <w:color w:val="auto"/>
                <w:highlight w:val="none"/>
                <w:lang w:eastAsia="zh-CN"/>
              </w:rPr>
              <w:t>，</w:t>
            </w:r>
            <w:r>
              <w:rPr>
                <w:rFonts w:hint="eastAsia"/>
                <w:color w:val="auto"/>
                <w:highlight w:val="none"/>
              </w:rPr>
              <w:t>并配备相应的防泄漏设施</w:t>
            </w:r>
            <w:r>
              <w:rPr>
                <w:rFonts w:hint="eastAsia" w:ascii="Times New Roman" w:hAnsi="Times New Roman" w:eastAsia="宋体" w:cs="Times New Roman"/>
                <w:color w:val="auto"/>
                <w:highlight w:val="none"/>
                <w:lang w:val="en-US" w:eastAsia="zh-CN"/>
              </w:rPr>
              <w:t>。</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（3）危险废物贮存过程风险防范</w:t>
            </w:r>
          </w:p>
          <w:p>
            <w:pPr>
              <w:pStyle w:val="1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1）应急措施</w:t>
            </w:r>
          </w:p>
          <w:p>
            <w:pPr>
              <w:pStyle w:val="1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危险废物贮存点设置</w:t>
            </w:r>
            <w:r>
              <w:rPr>
                <w:rFonts w:hint="default" w:ascii="Times New Roman" w:hAnsi="Times New Roman" w:eastAsia="宋体" w:cs="Times New Roman"/>
                <w:color w:val="auto"/>
                <w:highlight w:val="none"/>
                <w:lang w:eastAsia="zh-CN"/>
              </w:rPr>
              <w:t>截流槽、导流渠及</w:t>
            </w:r>
            <w:r>
              <w:rPr>
                <w:rFonts w:hint="eastAsia" w:ascii="Times New Roman" w:hAnsi="Times New Roman" w:eastAsia="宋体" w:cs="Times New Roman"/>
                <w:color w:val="auto"/>
                <w:highlight w:val="none"/>
                <w:lang w:eastAsia="zh-CN"/>
              </w:rPr>
              <w:t>集液池</w:t>
            </w:r>
            <w:r>
              <w:rPr>
                <w:rFonts w:hint="default" w:ascii="Times New Roman" w:hAnsi="Times New Roman" w:eastAsia="宋体" w:cs="Times New Roman"/>
                <w:color w:val="auto"/>
                <w:highlight w:val="none"/>
                <w:lang w:eastAsia="zh-CN"/>
              </w:rPr>
              <w:t>，</w:t>
            </w:r>
            <w:r>
              <w:rPr>
                <w:rFonts w:hint="eastAsia" w:cs="Times New Roman"/>
                <w:color w:val="auto"/>
                <w:highlight w:val="none"/>
                <w:lang w:eastAsia="zh-CN"/>
              </w:rPr>
              <w:t>参照</w:t>
            </w:r>
            <w:r>
              <w:rPr>
                <w:rFonts w:hint="eastAsia" w:ascii="Times New Roman" w:eastAsia="宋体" w:cs="Times New Roman"/>
                <w:color w:val="auto"/>
                <w:highlight w:val="none"/>
                <w:lang w:val="en-US" w:eastAsia="zh-CN"/>
              </w:rPr>
              <w:t>《危险废物贮存污染控制标准》（GB 18597-2023）中“贮存液态危险废物的，应具有液体泄漏堵截设施，堵截设施最小容积不应低于对应贮存区域最大液态废物容器容积或液态废物总储量 1/10（二者取较大者）；用于贮存可能产生渗滤液的危险废物的贮存库或贮存分区应设计渗滤液收集设施，收集设施容积应满足渗滤液的收集要求”，本项目最大液态容器容积为200L废润滑桶，容积为0.2m</w:t>
            </w:r>
            <w:r>
              <w:rPr>
                <w:rFonts w:hint="eastAsia" w:ascii="Times New Roman" w:eastAsia="宋体" w:cs="Times New Roman"/>
                <w:color w:val="auto"/>
                <w:highlight w:val="none"/>
                <w:vertAlign w:val="superscript"/>
                <w:lang w:val="en-US" w:eastAsia="zh-CN"/>
              </w:rPr>
              <w:t>3</w:t>
            </w:r>
            <w:r>
              <w:rPr>
                <w:rFonts w:hint="eastAsia" w:ascii="Times New Roman" w:eastAsia="宋体" w:cs="Times New Roman"/>
                <w:color w:val="auto"/>
                <w:highlight w:val="none"/>
                <w:lang w:val="en-US" w:eastAsia="zh-CN"/>
              </w:rPr>
              <w:t>（润滑油密度按照0.89g/cm</w:t>
            </w:r>
            <w:r>
              <w:rPr>
                <w:rFonts w:hint="eastAsia" w:ascii="Times New Roman" w:eastAsia="宋体" w:cs="Times New Roman"/>
                <w:color w:val="auto"/>
                <w:highlight w:val="none"/>
                <w:vertAlign w:val="superscript"/>
                <w:lang w:val="en-US" w:eastAsia="zh-CN"/>
              </w:rPr>
              <w:t>3</w:t>
            </w:r>
            <w:r>
              <w:rPr>
                <w:rFonts w:hint="eastAsia" w:ascii="Times New Roman" w:eastAsia="宋体" w:cs="Times New Roman"/>
                <w:color w:val="auto"/>
                <w:highlight w:val="none"/>
                <w:lang w:val="en-US" w:eastAsia="zh-CN"/>
              </w:rPr>
              <w:t>计）；贮存区域最大液态废物总储量为0.8t，综合判断，本</w:t>
            </w:r>
            <w:r>
              <w:rPr>
                <w:rFonts w:hint="eastAsia" w:ascii="Times New Roman" w:hAnsi="Times New Roman" w:eastAsia="宋体" w:cs="Times New Roman"/>
                <w:color w:val="auto"/>
                <w:highlight w:val="none"/>
                <w:lang w:eastAsia="zh-CN"/>
              </w:rPr>
              <w:t>项目集液池</w:t>
            </w:r>
            <w:r>
              <w:rPr>
                <w:rFonts w:hint="eastAsia" w:cs="Times New Roman"/>
                <w:color w:val="auto"/>
                <w:highlight w:val="none"/>
                <w:lang w:eastAsia="zh-CN"/>
              </w:rPr>
              <w:t>设置</w:t>
            </w:r>
            <w:r>
              <w:rPr>
                <w:rFonts w:hint="eastAsia" w:ascii="Times New Roman" w:hAnsi="Times New Roman" w:eastAsia="宋体" w:cs="Times New Roman"/>
                <w:color w:val="auto"/>
                <w:highlight w:val="none"/>
                <w:lang w:eastAsia="zh-CN"/>
              </w:rPr>
              <w:t>容积为</w:t>
            </w:r>
            <w:r>
              <w:rPr>
                <w:rFonts w:hint="eastAsia"/>
                <w:color w:val="auto"/>
                <w:highlight w:val="none"/>
                <w:lang w:val="en-US" w:eastAsia="zh-CN"/>
              </w:rPr>
              <w:t>1</w:t>
            </w:r>
            <w:r>
              <w:rPr>
                <w:rFonts w:hint="eastAsia" w:ascii="Times New Roman" w:hAnsi="Times New Roman" w:eastAsia="宋体" w:cs="Times New Roman"/>
                <w:color w:val="auto"/>
                <w:highlight w:val="none"/>
                <w:lang w:val="en-US" w:eastAsia="zh-CN"/>
              </w:rPr>
              <w:t>m</w:t>
            </w:r>
            <w:r>
              <w:rPr>
                <w:rFonts w:hint="eastAsia" w:ascii="Times New Roman" w:hAnsi="Times New Roman" w:eastAsia="宋体" w:cs="Times New Roman"/>
                <w:color w:val="auto"/>
                <w:highlight w:val="none"/>
                <w:vertAlign w:val="superscript"/>
                <w:lang w:val="en-US" w:eastAsia="zh-CN"/>
              </w:rPr>
              <w:t>3</w:t>
            </w:r>
            <w:r>
              <w:rPr>
                <w:rFonts w:hint="eastAsia" w:cs="Times New Roman"/>
                <w:color w:val="auto"/>
                <w:highlight w:val="none"/>
                <w:lang w:val="en-US" w:eastAsia="zh-CN"/>
              </w:rPr>
              <w:t>，可满足收集集液池要求。</w:t>
            </w:r>
          </w:p>
          <w:p>
            <w:pPr>
              <w:pStyle w:val="1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2）地面防渗</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危险废物贮存点（含导流渠集液池）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 m厚黏土层（渗透系数不大于10</w:t>
            </w:r>
            <w:r>
              <w:rPr>
                <w:rFonts w:hint="eastAsia" w:ascii="Times New Roman" w:hAnsi="Times New Roman" w:eastAsia="宋体" w:cs="Times New Roman"/>
                <w:color w:val="auto"/>
                <w:highlight w:val="none"/>
                <w:vertAlign w:val="superscript"/>
                <w:lang w:val="en-US" w:eastAsia="zh-CN"/>
              </w:rPr>
              <w:t>-7</w:t>
            </w:r>
            <w:r>
              <w:rPr>
                <w:rFonts w:hint="eastAsia" w:ascii="Times New Roman" w:hAnsi="Times New Roman" w:eastAsia="宋体" w:cs="Times New Roman"/>
                <w:color w:val="auto"/>
                <w:highlight w:val="none"/>
                <w:lang w:val="en-US" w:eastAsia="zh-CN"/>
              </w:rPr>
              <w:t>cm/s），或至少2mm厚高密度聚乙烯膜等人工防渗材料（渗透系数不大于10</w:t>
            </w:r>
            <w:r>
              <w:rPr>
                <w:rFonts w:hint="eastAsia" w:ascii="Times New Roman" w:hAnsi="Times New Roman" w:eastAsia="宋体" w:cs="Times New Roman"/>
                <w:color w:val="auto"/>
                <w:highlight w:val="none"/>
                <w:vertAlign w:val="superscript"/>
                <w:lang w:val="en-US" w:eastAsia="zh-CN"/>
              </w:rPr>
              <w:t>-10</w:t>
            </w:r>
            <w:r>
              <w:rPr>
                <w:rFonts w:hint="eastAsia" w:ascii="Times New Roman" w:hAnsi="Times New Roman" w:eastAsia="宋体" w:cs="Times New Roman"/>
                <w:color w:val="auto"/>
                <w:highlight w:val="none"/>
                <w:lang w:val="en-US" w:eastAsia="zh-CN"/>
              </w:rPr>
              <w:t>cm/s），或其他防渗性能等效的材料。</w:t>
            </w:r>
          </w:p>
          <w:p>
            <w:pPr>
              <w:pStyle w:val="12"/>
              <w:bidi w:val="0"/>
              <w:rPr>
                <w:rFonts w:hint="eastAsia" w:eastAsia="宋体"/>
                <w:color w:val="auto"/>
                <w:highlight w:val="none"/>
                <w:lang w:eastAsia="zh-CN"/>
              </w:rPr>
            </w:pPr>
            <w:r>
              <w:rPr>
                <w:rFonts w:hint="eastAsia"/>
                <w:color w:val="auto"/>
                <w:highlight w:val="none"/>
                <w:lang w:val="en-US" w:eastAsia="zh-CN"/>
              </w:rPr>
              <w:t>3)</w:t>
            </w:r>
            <w:r>
              <w:rPr>
                <w:rFonts w:hint="eastAsia"/>
                <w:color w:val="auto"/>
                <w:highlight w:val="none"/>
                <w:lang w:eastAsia="zh-CN"/>
              </w:rPr>
              <w:t>危险废物贮存点</w:t>
            </w:r>
            <w:r>
              <w:rPr>
                <w:rFonts w:hint="eastAsia"/>
                <w:color w:val="auto"/>
                <w:highlight w:val="none"/>
              </w:rPr>
              <w:t>旁禁止有热源和明火</w:t>
            </w:r>
            <w:r>
              <w:rPr>
                <w:rFonts w:hint="eastAsia"/>
                <w:color w:val="auto"/>
                <w:highlight w:val="none"/>
                <w:lang w:eastAsia="zh-CN"/>
              </w:rPr>
              <w:t>，</w:t>
            </w:r>
            <w:r>
              <w:rPr>
                <w:rFonts w:hint="eastAsia"/>
                <w:color w:val="auto"/>
                <w:highlight w:val="none"/>
              </w:rPr>
              <w:t>禁止员工在厂内吸烟</w:t>
            </w:r>
            <w:r>
              <w:rPr>
                <w:rFonts w:hint="eastAsia"/>
                <w:color w:val="auto"/>
                <w:highlight w:val="none"/>
                <w:lang w:eastAsia="zh-CN"/>
              </w:rPr>
              <w:t>；</w:t>
            </w:r>
          </w:p>
          <w:p>
            <w:pPr>
              <w:pStyle w:val="12"/>
              <w:bidi w:val="0"/>
              <w:rPr>
                <w:rFonts w:hint="eastAsia" w:eastAsia="宋体"/>
                <w:color w:val="auto"/>
                <w:highlight w:val="none"/>
                <w:lang w:eastAsia="zh-CN"/>
              </w:rPr>
            </w:pPr>
            <w:r>
              <w:rPr>
                <w:rFonts w:hint="eastAsia"/>
                <w:color w:val="auto"/>
                <w:highlight w:val="none"/>
                <w:lang w:val="en-US" w:eastAsia="zh-CN"/>
              </w:rPr>
              <w:t>4）</w:t>
            </w:r>
            <w:r>
              <w:rPr>
                <w:rFonts w:hint="eastAsia"/>
                <w:color w:val="auto"/>
                <w:highlight w:val="none"/>
                <w:lang w:eastAsia="zh-CN"/>
              </w:rPr>
              <w:t>危险废物贮存点</w:t>
            </w:r>
            <w:r>
              <w:rPr>
                <w:rFonts w:hint="eastAsia"/>
                <w:color w:val="auto"/>
                <w:highlight w:val="none"/>
              </w:rPr>
              <w:t>必须设有明显的禁火标志</w:t>
            </w:r>
            <w:r>
              <w:rPr>
                <w:rFonts w:hint="eastAsia"/>
                <w:color w:val="auto"/>
                <w:highlight w:val="none"/>
                <w:lang w:eastAsia="zh-CN"/>
              </w:rPr>
              <w:t>；</w:t>
            </w:r>
          </w:p>
          <w:p>
            <w:pPr>
              <w:pStyle w:val="12"/>
              <w:ind w:firstLine="480"/>
              <w:rPr>
                <w:rFonts w:hint="eastAsia" w:ascii="Times New Roman" w:hAnsi="Times New Roman" w:eastAsia="宋体" w:cs="Times New Roman"/>
                <w:color w:val="auto"/>
                <w:highlight w:val="none"/>
                <w:lang w:val="en-US" w:eastAsia="zh-CN"/>
              </w:rPr>
            </w:pPr>
            <w:r>
              <w:rPr>
                <w:rFonts w:hint="eastAsia"/>
                <w:color w:val="auto"/>
                <w:highlight w:val="none"/>
                <w:lang w:val="en-US" w:eastAsia="zh-CN"/>
              </w:rPr>
              <w:t>5）</w:t>
            </w:r>
            <w:r>
              <w:rPr>
                <w:rFonts w:hint="eastAsia"/>
                <w:color w:val="auto"/>
                <w:highlight w:val="none"/>
              </w:rPr>
              <w:t>项目</w:t>
            </w:r>
            <w:r>
              <w:rPr>
                <w:rFonts w:hint="eastAsia"/>
                <w:color w:val="auto"/>
                <w:highlight w:val="none"/>
                <w:lang w:eastAsia="zh-CN"/>
              </w:rPr>
              <w:t>危险废物贮存点</w:t>
            </w:r>
            <w:r>
              <w:rPr>
                <w:rFonts w:hint="eastAsia"/>
                <w:color w:val="auto"/>
                <w:highlight w:val="none"/>
              </w:rPr>
              <w:t>的消防设施、用电设施等必须符合国家规定的安全要求</w:t>
            </w:r>
            <w:r>
              <w:rPr>
                <w:rFonts w:hint="eastAsia"/>
                <w:color w:val="auto"/>
                <w:highlight w:val="none"/>
                <w:lang w:eastAsia="zh-CN"/>
              </w:rPr>
              <w:t>。</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（4）大气风险防范措施</w:t>
            </w:r>
          </w:p>
          <w:p>
            <w:pPr>
              <w:pStyle w:val="1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1）安全管理措施</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企业应严格按照有关危险废物贮存等国家有关规定，在设计、设备选材、生产、安全管理等方面应加强对易燃易爆物质的管理，同时应加强对各种火源的管理，防止火灾爆炸事故的发生。本项目潜在风险较高的风险源是各种易发生泄漏的装置设备等，在生产过程中应做好对设备的维护、检修，切实杜绝“跑、冒、滴、漏”现象发生，同时应加强关键部位的安全防护、报警措施，</w:t>
            </w:r>
            <w:r>
              <w:rPr>
                <w:rFonts w:hint="eastAsia" w:cs="Times New Roman"/>
                <w:color w:val="auto"/>
                <w:highlight w:val="none"/>
                <w:lang w:val="en-US" w:eastAsia="zh-CN"/>
              </w:rPr>
              <w:t>以便及时发现</w:t>
            </w:r>
            <w:r>
              <w:rPr>
                <w:rFonts w:hint="eastAsia" w:ascii="Times New Roman" w:hAnsi="Times New Roman" w:eastAsia="宋体" w:cs="Times New Roman"/>
                <w:color w:val="auto"/>
                <w:highlight w:val="none"/>
                <w:lang w:val="en-US" w:eastAsia="zh-CN"/>
              </w:rPr>
              <w:t>事故隐患，采取有效的应对措施以防事故的发生，确保安全生产。</w:t>
            </w:r>
          </w:p>
          <w:p>
            <w:pPr>
              <w:pStyle w:val="1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2）防火防爆措施</w:t>
            </w:r>
          </w:p>
          <w:p>
            <w:pPr>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消防要求设置室内、室外消火栓。根据各建筑物的使用性质，按《建筑物灭火器配置设计规范》（GBJ140-90）规定，分别配置足量的手提式干粉灭火器、泡沫灭火器、二氧化碳灭火器及推车式泡沫（或干粉）灭火器等消防器材。界区内的消防及检修通道与界区外的主要道路及消防道路相通，确保消防通道通畅。</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在建、构筑物的设计中，建、构筑物的耐火等级、层数、长度、占地面积、防火间距、防爆及安全疏散等均按规定进行设计。</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对与危险废物直接接触的设备、阀门选用合适的耐腐蚀材料制作。建构筑物设计采用耐腐蚀的建筑材料和涂料。</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（5）突发环境事件应急预案</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本项目建成后，建设单位应当及时修订突发环境事件应急预案，涵盖事故风险分析、应急指挥机构及职责、应急处置设备与设施、应急处置方案、报警及联系方式、事故应急救援终止程序等一系列内容。</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应急预案的内容和要求见下表。</w:t>
            </w:r>
          </w:p>
          <w:p>
            <w:pPr>
              <w:rPr>
                <w:rFonts w:hint="eastAsia"/>
                <w:color w:val="auto"/>
                <w:highlight w:val="none"/>
                <w:lang w:val="en-US" w:eastAsia="zh-CN"/>
              </w:rPr>
            </w:pPr>
          </w:p>
          <w:p>
            <w:pPr>
              <w:pStyle w:val="23"/>
              <w:numPr>
                <w:ilvl w:val="0"/>
                <w:numId w:val="2"/>
              </w:numPr>
              <w:tabs>
                <w:tab w:val="clear" w:pos="0"/>
                <w:tab w:val="clear" w:pos="420"/>
              </w:tabs>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应急预案的内容和要求要点</w:t>
            </w:r>
          </w:p>
          <w:tbl>
            <w:tblPr>
              <w:tblStyle w:val="16"/>
              <w:tblW w:w="818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022"/>
              <w:gridCol w:w="64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tcBorders>
                    <w:tl2br w:val="nil"/>
                    <w:tr2bl w:val="nil"/>
                  </w:tcBorders>
                </w:tcPr>
                <w:p>
                  <w:pPr>
                    <w:pStyle w:val="25"/>
                    <w:bidi w:val="0"/>
                    <w:rPr>
                      <w:rFonts w:hint="eastAsia"/>
                      <w:color w:val="auto"/>
                      <w:highlight w:val="none"/>
                      <w:lang w:val="en-US" w:eastAsia="zh-CN"/>
                    </w:rPr>
                  </w:pPr>
                  <w:r>
                    <w:rPr>
                      <w:rFonts w:hint="eastAsia"/>
                      <w:color w:val="auto"/>
                      <w:highlight w:val="none"/>
                      <w:lang w:val="en-US" w:eastAsia="zh-CN"/>
                    </w:rPr>
                    <w:t>序号</w:t>
                  </w:r>
                </w:p>
              </w:tc>
              <w:tc>
                <w:tcPr>
                  <w:tcW w:w="1022" w:type="dxa"/>
                  <w:tcBorders>
                    <w:tl2br w:val="nil"/>
                    <w:tr2bl w:val="nil"/>
                  </w:tcBorders>
                </w:tcPr>
                <w:p>
                  <w:pPr>
                    <w:pStyle w:val="25"/>
                    <w:bidi w:val="0"/>
                    <w:rPr>
                      <w:rFonts w:hint="eastAsia"/>
                      <w:color w:val="auto"/>
                      <w:highlight w:val="none"/>
                      <w:lang w:val="en-US" w:eastAsia="zh-CN"/>
                    </w:rPr>
                  </w:pPr>
                  <w:r>
                    <w:rPr>
                      <w:rFonts w:hint="eastAsia"/>
                      <w:color w:val="auto"/>
                      <w:highlight w:val="none"/>
                      <w:lang w:val="en-US" w:eastAsia="zh-CN"/>
                    </w:rPr>
                    <w:t>项目</w:t>
                  </w:r>
                </w:p>
              </w:tc>
              <w:tc>
                <w:tcPr>
                  <w:tcW w:w="6442" w:type="dxa"/>
                  <w:tcBorders>
                    <w:tl2br w:val="nil"/>
                    <w:tr2bl w:val="nil"/>
                  </w:tcBorders>
                </w:tcPr>
                <w:p>
                  <w:pPr>
                    <w:pStyle w:val="25"/>
                    <w:bidi w:val="0"/>
                    <w:rPr>
                      <w:rFonts w:hint="eastAsia"/>
                      <w:color w:val="auto"/>
                      <w:highlight w:val="none"/>
                      <w:lang w:val="en-US" w:eastAsia="zh-CN"/>
                    </w:rPr>
                  </w:pPr>
                  <w:r>
                    <w:rPr>
                      <w:rFonts w:hint="eastAsia"/>
                      <w:color w:val="auto"/>
                      <w:highlight w:val="none"/>
                      <w:lang w:val="en-US" w:eastAsia="zh-CN"/>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tcBorders>
                    <w:tl2br w:val="nil"/>
                    <w:tr2bl w:val="nil"/>
                  </w:tcBorders>
                  <w:shd w:val="clear" w:color="auto" w:fill="auto"/>
                  <w:vAlign w:val="center"/>
                </w:tcPr>
                <w:p>
                  <w:pPr>
                    <w:pStyle w:val="22"/>
                    <w:bidi w:val="0"/>
                    <w:rPr>
                      <w:rFonts w:hint="eastAsia"/>
                      <w:color w:val="auto"/>
                      <w:highlight w:val="none"/>
                      <w:lang w:val="en-US" w:eastAsia="zh-CN"/>
                    </w:rPr>
                  </w:pPr>
                  <w:r>
                    <w:rPr>
                      <w:rFonts w:hint="default"/>
                      <w:color w:val="auto"/>
                      <w:highlight w:val="none"/>
                    </w:rPr>
                    <w:t>1</w:t>
                  </w:r>
                </w:p>
              </w:tc>
              <w:tc>
                <w:tcPr>
                  <w:tcW w:w="1022" w:type="dxa"/>
                  <w:tcBorders>
                    <w:tl2br w:val="nil"/>
                    <w:tr2bl w:val="nil"/>
                  </w:tcBorders>
                  <w:shd w:val="clear" w:color="auto" w:fill="auto"/>
                  <w:vAlign w:val="center"/>
                </w:tcPr>
                <w:p>
                  <w:pPr>
                    <w:pStyle w:val="22"/>
                    <w:bidi w:val="0"/>
                    <w:rPr>
                      <w:rFonts w:hint="eastAsia"/>
                      <w:color w:val="auto"/>
                      <w:highlight w:val="none"/>
                      <w:lang w:val="en-US" w:eastAsia="zh-CN"/>
                    </w:rPr>
                  </w:pPr>
                  <w:r>
                    <w:rPr>
                      <w:rFonts w:hint="default"/>
                      <w:color w:val="auto"/>
                      <w:highlight w:val="none"/>
                    </w:rPr>
                    <w:t>总则</w:t>
                  </w:r>
                </w:p>
              </w:tc>
              <w:tc>
                <w:tcPr>
                  <w:tcW w:w="6442" w:type="dxa"/>
                  <w:tcBorders>
                    <w:tl2br w:val="nil"/>
                    <w:tr2bl w:val="nil"/>
                  </w:tcBorders>
                  <w:shd w:val="clear" w:color="auto" w:fill="auto"/>
                  <w:vAlign w:val="center"/>
                </w:tcPr>
                <w:p>
                  <w:pPr>
                    <w:pStyle w:val="22"/>
                    <w:bidi w:val="0"/>
                    <w:rPr>
                      <w:rFonts w:hint="eastAsia"/>
                      <w:color w:val="auto"/>
                      <w:highlight w:val="none"/>
                      <w:lang w:val="en-US" w:eastAsia="zh-CN"/>
                    </w:rPr>
                  </w:pPr>
                  <w:r>
                    <w:rPr>
                      <w:rFonts w:hint="default"/>
                      <w:color w:val="auto"/>
                      <w:highlight w:val="none"/>
                    </w:rPr>
                    <w:t>简述应急预案编制的目的、作用、编制依据、适用范围、应急预案体系构成情况等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tcBorders>
                    <w:tl2br w:val="nil"/>
                    <w:tr2bl w:val="nil"/>
                  </w:tcBorders>
                  <w:shd w:val="clear" w:color="auto" w:fill="auto"/>
                  <w:vAlign w:val="center"/>
                </w:tcPr>
                <w:p>
                  <w:pPr>
                    <w:pStyle w:val="22"/>
                    <w:bidi w:val="0"/>
                    <w:rPr>
                      <w:rFonts w:hint="eastAsia"/>
                      <w:color w:val="auto"/>
                      <w:highlight w:val="none"/>
                      <w:lang w:val="en-US" w:eastAsia="zh-CN"/>
                    </w:rPr>
                  </w:pPr>
                  <w:r>
                    <w:rPr>
                      <w:rFonts w:hint="default"/>
                      <w:color w:val="auto"/>
                      <w:highlight w:val="none"/>
                    </w:rPr>
                    <w:t>2</w:t>
                  </w:r>
                </w:p>
              </w:tc>
              <w:tc>
                <w:tcPr>
                  <w:tcW w:w="1022" w:type="dxa"/>
                  <w:tcBorders>
                    <w:tl2br w:val="nil"/>
                    <w:tr2bl w:val="nil"/>
                  </w:tcBorders>
                  <w:shd w:val="clear" w:color="auto" w:fill="auto"/>
                  <w:vAlign w:val="center"/>
                </w:tcPr>
                <w:p>
                  <w:pPr>
                    <w:pStyle w:val="22"/>
                    <w:bidi w:val="0"/>
                    <w:rPr>
                      <w:rFonts w:hint="eastAsia"/>
                      <w:color w:val="auto"/>
                      <w:highlight w:val="none"/>
                      <w:lang w:val="en-US" w:eastAsia="zh-CN"/>
                    </w:rPr>
                  </w:pPr>
                  <w:r>
                    <w:rPr>
                      <w:rFonts w:hint="default"/>
                      <w:color w:val="auto"/>
                      <w:highlight w:val="none"/>
                    </w:rPr>
                    <w:t>基本情况</w:t>
                  </w:r>
                </w:p>
              </w:tc>
              <w:tc>
                <w:tcPr>
                  <w:tcW w:w="6442" w:type="dxa"/>
                  <w:tcBorders>
                    <w:tl2br w:val="nil"/>
                    <w:tr2bl w:val="nil"/>
                  </w:tcBorders>
                  <w:shd w:val="clear" w:color="auto" w:fill="auto"/>
                  <w:vAlign w:val="center"/>
                </w:tcPr>
                <w:p>
                  <w:pPr>
                    <w:pStyle w:val="22"/>
                    <w:bidi w:val="0"/>
                    <w:rPr>
                      <w:rFonts w:hint="eastAsia"/>
                      <w:color w:val="auto"/>
                      <w:highlight w:val="none"/>
                      <w:lang w:val="en-US" w:eastAsia="zh-CN"/>
                    </w:rPr>
                  </w:pPr>
                  <w:r>
                    <w:rPr>
                      <w:rFonts w:hint="default"/>
                      <w:color w:val="auto"/>
                      <w:highlight w:val="none"/>
                    </w:rPr>
                    <w:t>阐述项目基本情况、环境污染事故危险源基本情况、周边环境状况及环境保护目标调查结果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3</w:t>
                  </w:r>
                </w:p>
              </w:tc>
              <w:tc>
                <w:tcPr>
                  <w:tcW w:w="102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环境风险评价</w:t>
                  </w:r>
                </w:p>
              </w:tc>
              <w:tc>
                <w:tcPr>
                  <w:tcW w:w="644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主要阐述项目存在的危险源及环境风险评价结果，以及可能发生事故的后果及波及范围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4</w:t>
                  </w:r>
                </w:p>
              </w:tc>
              <w:tc>
                <w:tcPr>
                  <w:tcW w:w="102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组织机构和职责</w:t>
                  </w:r>
                </w:p>
              </w:tc>
              <w:tc>
                <w:tcPr>
                  <w:tcW w:w="6442" w:type="dxa"/>
                  <w:shd w:val="clear" w:color="auto" w:fill="auto"/>
                  <w:vAlign w:val="center"/>
                </w:tcPr>
                <w:p>
                  <w:pPr>
                    <w:pStyle w:val="22"/>
                    <w:bidi w:val="0"/>
                    <w:rPr>
                      <w:rFonts w:hint="default"/>
                      <w:color w:val="auto"/>
                      <w:highlight w:val="none"/>
                    </w:rPr>
                  </w:pPr>
                  <w:r>
                    <w:rPr>
                      <w:rFonts w:hint="default"/>
                      <w:color w:val="auto"/>
                      <w:highlight w:val="none"/>
                    </w:rPr>
                    <w:t>一级～企业：成立公司应急指挥小组，由公司最高领导层担任小组长，负责现场全面指挥，专业救援队伍负责事故控制、救援和善后处理</w:t>
                  </w:r>
                </w:p>
                <w:p>
                  <w:pPr>
                    <w:pStyle w:val="22"/>
                    <w:bidi w:val="0"/>
                    <w:rPr>
                      <w:rFonts w:hint="default"/>
                      <w:color w:val="auto"/>
                      <w:highlight w:val="none"/>
                    </w:rPr>
                  </w:pPr>
                  <w:r>
                    <w:rPr>
                      <w:rFonts w:hint="default"/>
                      <w:color w:val="auto"/>
                      <w:highlight w:val="none"/>
                    </w:rPr>
                    <w:t>二级～工业区：工业区应急中心负责工业区现场全面指挥，救援队伍负责事故所在区控制、监测、救援、善后处理</w:t>
                  </w:r>
                </w:p>
                <w:p>
                  <w:pPr>
                    <w:pStyle w:val="22"/>
                    <w:bidi w:val="0"/>
                    <w:rPr>
                      <w:rFonts w:hint="default"/>
                      <w:color w:val="auto"/>
                      <w:highlight w:val="none"/>
                    </w:rPr>
                  </w:pPr>
                  <w:r>
                    <w:rPr>
                      <w:rFonts w:hint="default"/>
                      <w:color w:val="auto"/>
                      <w:highlight w:val="none"/>
                    </w:rPr>
                    <w:t>三级～</w:t>
                  </w:r>
                  <w:r>
                    <w:rPr>
                      <w:rFonts w:hint="eastAsia"/>
                      <w:color w:val="auto"/>
                      <w:highlight w:val="none"/>
                      <w:lang w:val="en-US" w:eastAsia="zh-CN"/>
                    </w:rPr>
                    <w:t>北票市</w:t>
                  </w:r>
                  <w:r>
                    <w:rPr>
                      <w:rFonts w:hint="default"/>
                      <w:color w:val="auto"/>
                      <w:highlight w:val="none"/>
                    </w:rPr>
                    <w:t>：应急中心负责工业区附近地区全面指挥、救援、管制、疏散，专业救援队伍负责对工业区专业救援队伍的支援</w:t>
                  </w:r>
                </w:p>
                <w:p>
                  <w:pPr>
                    <w:pStyle w:val="22"/>
                    <w:bidi w:val="0"/>
                    <w:rPr>
                      <w:rFonts w:hint="eastAsia"/>
                      <w:color w:val="auto"/>
                      <w:highlight w:val="none"/>
                      <w:lang w:val="en-US" w:eastAsia="zh-CN"/>
                    </w:rPr>
                  </w:pPr>
                  <w:r>
                    <w:rPr>
                      <w:rFonts w:hint="default"/>
                      <w:color w:val="auto"/>
                      <w:highlight w:val="none"/>
                    </w:rPr>
                    <w:t>联动关系：一级～二级～三级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5</w:t>
                  </w:r>
                </w:p>
              </w:tc>
              <w:tc>
                <w:tcPr>
                  <w:tcW w:w="102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预防与预警</w:t>
                  </w:r>
                </w:p>
              </w:tc>
              <w:tc>
                <w:tcPr>
                  <w:tcW w:w="644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明确对危险源监测监控的方式、方法以及采取的预防措施，明确事故预警的条件、方式、方法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6</w:t>
                  </w:r>
                </w:p>
              </w:tc>
              <w:tc>
                <w:tcPr>
                  <w:tcW w:w="102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信息报告和通报</w:t>
                  </w:r>
                </w:p>
              </w:tc>
              <w:tc>
                <w:tcPr>
                  <w:tcW w:w="644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按照《国家突发环境事件应急预案》及国家有关规定，明确信息报告时段和发布的程序、内容和方式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7</w:t>
                  </w:r>
                </w:p>
              </w:tc>
              <w:tc>
                <w:tcPr>
                  <w:tcW w:w="102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应急响应和救援措施</w:t>
                  </w:r>
                </w:p>
              </w:tc>
              <w:tc>
                <w:tcPr>
                  <w:tcW w:w="644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建立分级响应机制，明确污染事故现场应急救援措施说明，包括污染源控制方案、污染治理应急方案、应急救援方式、方法及安全保护措施以及应急救援队伍调度及物</w:t>
                  </w:r>
                  <w:r>
                    <w:rPr>
                      <w:rFonts w:hint="eastAsia"/>
                      <w:color w:val="auto"/>
                      <w:highlight w:val="none"/>
                      <w:lang w:eastAsia="zh-CN"/>
                    </w:rPr>
                    <w:t>资</w:t>
                  </w:r>
                  <w:r>
                    <w:rPr>
                      <w:rFonts w:hint="default"/>
                      <w:color w:val="auto"/>
                      <w:highlight w:val="none"/>
                    </w:rPr>
                    <w:t>保障供应程序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8</w:t>
                  </w:r>
                </w:p>
              </w:tc>
              <w:tc>
                <w:tcPr>
                  <w:tcW w:w="102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应急监测</w:t>
                  </w:r>
                </w:p>
              </w:tc>
              <w:tc>
                <w:tcPr>
                  <w:tcW w:w="644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明确应急监测方案，由专业队伍负责对事故现场进行侦查监测，对事故性质、参数与后果进行评估，为指挥部门提供决策依据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9</w:t>
                  </w:r>
                </w:p>
              </w:tc>
              <w:tc>
                <w:tcPr>
                  <w:tcW w:w="1022" w:type="dxa"/>
                  <w:shd w:val="clear" w:color="auto" w:fill="auto"/>
                  <w:vAlign w:val="center"/>
                </w:tcPr>
                <w:p>
                  <w:pPr>
                    <w:pStyle w:val="22"/>
                    <w:bidi w:val="0"/>
                    <w:rPr>
                      <w:rFonts w:hint="default"/>
                      <w:color w:val="auto"/>
                      <w:highlight w:val="none"/>
                    </w:rPr>
                  </w:pPr>
                  <w:r>
                    <w:rPr>
                      <w:rFonts w:hint="default"/>
                      <w:color w:val="auto"/>
                      <w:highlight w:val="none"/>
                    </w:rPr>
                    <w:t>现场保护</w:t>
                  </w:r>
                </w:p>
                <w:p>
                  <w:pPr>
                    <w:pStyle w:val="22"/>
                    <w:bidi w:val="0"/>
                    <w:rPr>
                      <w:rFonts w:hint="eastAsia"/>
                      <w:color w:val="auto"/>
                      <w:highlight w:val="none"/>
                      <w:lang w:val="en-US" w:eastAsia="zh-CN"/>
                    </w:rPr>
                  </w:pPr>
                  <w:r>
                    <w:rPr>
                      <w:rFonts w:hint="default"/>
                      <w:color w:val="auto"/>
                      <w:highlight w:val="none"/>
                    </w:rPr>
                    <w:t>及现场洗消</w:t>
                  </w:r>
                </w:p>
              </w:tc>
              <w:tc>
                <w:tcPr>
                  <w:tcW w:w="644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明确事故现场保护措施、现场净化方式方法、事故现场洗消工作负责人和专业队伍，并明确洗消后二次污染的防治方案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10</w:t>
                  </w:r>
                </w:p>
              </w:tc>
              <w:tc>
                <w:tcPr>
                  <w:tcW w:w="102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应急终止</w:t>
                  </w:r>
                </w:p>
              </w:tc>
              <w:tc>
                <w:tcPr>
                  <w:tcW w:w="644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明确应急终止条件、程序以及终止后的跟踪监测和评估方案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11</w:t>
                  </w:r>
                </w:p>
              </w:tc>
              <w:tc>
                <w:tcPr>
                  <w:tcW w:w="102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应急终止后的行动</w:t>
                  </w:r>
                </w:p>
              </w:tc>
              <w:tc>
                <w:tcPr>
                  <w:tcW w:w="644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事故危险解除通知、应急过程评价、事故原因调查等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12</w:t>
                  </w:r>
                </w:p>
              </w:tc>
              <w:tc>
                <w:tcPr>
                  <w:tcW w:w="102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善后处置</w:t>
                  </w:r>
                </w:p>
              </w:tc>
              <w:tc>
                <w:tcPr>
                  <w:tcW w:w="644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受灾人员的安置和损失赔偿，环境污染事故中长期环境影响评估，补偿和对遭受污染的生态进行恢复等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13</w:t>
                  </w:r>
                </w:p>
              </w:tc>
              <w:tc>
                <w:tcPr>
                  <w:tcW w:w="102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应急培训和演习</w:t>
                  </w:r>
                </w:p>
              </w:tc>
              <w:tc>
                <w:tcPr>
                  <w:tcW w:w="644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应急计划制定后，平时安排人员培训与训练，并对工厂邻近地区开展公众教育、培训和发布有关信息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20"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14</w:t>
                  </w:r>
                </w:p>
              </w:tc>
              <w:tc>
                <w:tcPr>
                  <w:tcW w:w="102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保障措施</w:t>
                  </w:r>
                </w:p>
              </w:tc>
              <w:tc>
                <w:tcPr>
                  <w:tcW w:w="6442" w:type="dxa"/>
                  <w:shd w:val="clear" w:color="auto" w:fill="auto"/>
                  <w:vAlign w:val="center"/>
                </w:tcPr>
                <w:p>
                  <w:pPr>
                    <w:pStyle w:val="22"/>
                    <w:bidi w:val="0"/>
                    <w:rPr>
                      <w:rFonts w:hint="eastAsia"/>
                      <w:color w:val="auto"/>
                      <w:highlight w:val="none"/>
                      <w:lang w:val="en-US" w:eastAsia="zh-CN"/>
                    </w:rPr>
                  </w:pPr>
                  <w:r>
                    <w:rPr>
                      <w:rFonts w:hint="default"/>
                      <w:color w:val="auto"/>
                      <w:highlight w:val="none"/>
                    </w:rPr>
                    <w:t>建立信息通信系统和维护方案，明确各类应急响应的人力资源，明确应急物资装备以及应急专项经费，并应明确技术、医疗、后勤、交通运输的保障</w:t>
                  </w:r>
                </w:p>
              </w:tc>
            </w:tr>
          </w:tbl>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（6）小结</w:t>
            </w:r>
          </w:p>
          <w:p>
            <w:pPr>
              <w:pStyle w:val="12"/>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综上所述，针对项目存在的环境风险，本次评价进行了简要的分析，并在此基础上提出了相应的风险防范措施和事故风险应急预案，项目在运营期认真执行各项防范措施等，可以将环境风险降到最低，本项目的环境风险是可以接受的。</w:t>
            </w:r>
          </w:p>
          <w:p>
            <w:pPr>
              <w:pStyle w:val="27"/>
              <w:ind w:firstLine="482"/>
              <w:rPr>
                <w:rFonts w:hint="default"/>
                <w:color w:val="auto"/>
                <w:highlight w:val="none"/>
              </w:rPr>
            </w:pPr>
            <w:r>
              <w:rPr>
                <w:color w:val="auto"/>
                <w:highlight w:val="none"/>
              </w:rPr>
              <w:t>8运输对沿途敏感目标的环境的影响</w:t>
            </w:r>
          </w:p>
          <w:p>
            <w:pPr>
              <w:pStyle w:val="12"/>
              <w:ind w:firstLine="480"/>
              <w:rPr>
                <w:color w:val="auto"/>
                <w:highlight w:val="none"/>
              </w:rPr>
            </w:pPr>
            <w:r>
              <w:rPr>
                <w:rFonts w:hint="eastAsia"/>
                <w:color w:val="auto"/>
                <w:highlight w:val="none"/>
              </w:rPr>
              <w:t>本项目仅贮存本单位</w:t>
            </w:r>
            <w:r>
              <w:rPr>
                <w:rFonts w:hint="eastAsia"/>
                <w:color w:val="auto"/>
                <w:highlight w:val="none"/>
                <w:lang w:eastAsia="zh-CN"/>
              </w:rPr>
              <w:t>产生</w:t>
            </w:r>
            <w:r>
              <w:rPr>
                <w:rFonts w:hint="eastAsia"/>
                <w:color w:val="auto"/>
                <w:highlight w:val="none"/>
              </w:rPr>
              <w:t>的</w:t>
            </w:r>
            <w:r>
              <w:rPr>
                <w:rFonts w:hint="eastAsia"/>
                <w:color w:val="auto"/>
                <w:highlight w:val="none"/>
                <w:lang w:eastAsia="zh-CN"/>
              </w:rPr>
              <w:t>危险废物，因产废地点多而分散，因此由</w:t>
            </w:r>
            <w:r>
              <w:rPr>
                <w:rFonts w:hint="eastAsia"/>
                <w:color w:val="auto"/>
                <w:highlight w:val="none"/>
              </w:rPr>
              <w:t>各回收</w:t>
            </w:r>
            <w:r>
              <w:rPr>
                <w:rFonts w:hint="eastAsia"/>
                <w:color w:val="auto"/>
                <w:highlight w:val="none"/>
                <w:lang w:eastAsia="zh-CN"/>
              </w:rPr>
              <w:t>地点收集转运至本项目危险废物贮存点。本项目属于厂区内部转运，</w:t>
            </w:r>
            <w:r>
              <w:rPr>
                <w:rFonts w:hint="eastAsia"/>
                <w:color w:val="auto"/>
                <w:highlight w:val="none"/>
              </w:rPr>
              <w:t>总体原则为：综合考虑厂区的实际情况确定转运路线，尽量避开办公区和生活区。</w:t>
            </w:r>
          </w:p>
          <w:p>
            <w:pPr>
              <w:pStyle w:val="27"/>
              <w:ind w:firstLine="482"/>
              <w:rPr>
                <w:rFonts w:hint="default"/>
                <w:color w:val="auto"/>
                <w:highlight w:val="none"/>
              </w:rPr>
            </w:pPr>
            <w:r>
              <w:rPr>
                <w:color w:val="auto"/>
                <w:highlight w:val="none"/>
              </w:rPr>
              <w:t>9生态影响分析</w:t>
            </w:r>
          </w:p>
          <w:p>
            <w:pPr>
              <w:pStyle w:val="12"/>
              <w:ind w:firstLine="480"/>
              <w:rPr>
                <w:rFonts w:hint="eastAsia"/>
                <w:color w:val="auto"/>
                <w:highlight w:val="none"/>
              </w:rPr>
            </w:pPr>
            <w:r>
              <w:rPr>
                <w:rFonts w:hint="eastAsia"/>
                <w:color w:val="auto"/>
                <w:highlight w:val="none"/>
              </w:rPr>
              <w:t>本项目位于</w:t>
            </w:r>
            <w:r>
              <w:rPr>
                <w:rFonts w:hint="eastAsia"/>
                <w:color w:val="auto"/>
                <w:highlight w:val="none"/>
                <w:lang w:eastAsia="zh-CN"/>
              </w:rPr>
              <w:t>二道沟金矿厂区</w:t>
            </w:r>
            <w:r>
              <w:rPr>
                <w:rFonts w:hint="eastAsia"/>
                <w:color w:val="auto"/>
                <w:highlight w:val="none"/>
              </w:rPr>
              <w:t>内</w:t>
            </w:r>
            <w:r>
              <w:rPr>
                <w:rFonts w:hint="eastAsia"/>
                <w:color w:val="auto"/>
                <w:highlight w:val="none"/>
                <w:lang w:eastAsia="zh-CN"/>
              </w:rPr>
              <w:t>，</w:t>
            </w:r>
            <w:r>
              <w:rPr>
                <w:rFonts w:hint="eastAsia"/>
                <w:color w:val="auto"/>
                <w:highlight w:val="none"/>
              </w:rPr>
              <w:t>不新增</w:t>
            </w:r>
            <w:r>
              <w:rPr>
                <w:rFonts w:hint="eastAsia"/>
                <w:color w:val="auto"/>
                <w:highlight w:val="none"/>
                <w:lang w:eastAsia="zh-CN"/>
              </w:rPr>
              <w:t>矿区外</w:t>
            </w:r>
            <w:r>
              <w:rPr>
                <w:rFonts w:hint="eastAsia"/>
                <w:color w:val="auto"/>
                <w:highlight w:val="none"/>
              </w:rPr>
              <w:t>用地。不涉及生态环境保护目标</w:t>
            </w:r>
            <w:r>
              <w:rPr>
                <w:rFonts w:hint="eastAsia"/>
                <w:color w:val="auto"/>
                <w:highlight w:val="none"/>
                <w:lang w:eastAsia="zh-CN"/>
              </w:rPr>
              <w:t>，</w:t>
            </w:r>
            <w:r>
              <w:rPr>
                <w:rFonts w:hint="eastAsia"/>
                <w:color w:val="auto"/>
                <w:highlight w:val="none"/>
              </w:rPr>
              <w:t>不开展生态环境影响评价。</w:t>
            </w:r>
          </w:p>
          <w:p>
            <w:pPr>
              <w:pStyle w:val="12"/>
              <w:ind w:firstLine="480"/>
              <w:rPr>
                <w:rFonts w:hint="eastAsia" w:ascii="Times New Roman" w:hAnsi="Times New Roman" w:eastAsia="宋体" w:cs="Times New Roman"/>
                <w:b/>
                <w:bCs/>
                <w:color w:val="auto"/>
                <w:kern w:val="44"/>
                <w:sz w:val="24"/>
                <w:szCs w:val="30"/>
                <w:highlight w:val="none"/>
                <w:lang w:val="en-US" w:eastAsia="zh-CN" w:bidi="ar-SA"/>
              </w:rPr>
            </w:pPr>
            <w:r>
              <w:rPr>
                <w:rFonts w:hint="eastAsia" w:ascii="Times New Roman" w:hAnsi="Times New Roman" w:eastAsia="宋体" w:cs="Times New Roman"/>
                <w:b/>
                <w:bCs/>
                <w:color w:val="auto"/>
                <w:kern w:val="44"/>
                <w:sz w:val="24"/>
                <w:szCs w:val="30"/>
                <w:highlight w:val="none"/>
                <w:lang w:val="en-US" w:eastAsia="zh-CN" w:bidi="ar-SA"/>
              </w:rPr>
              <w:t>10三本账</w:t>
            </w:r>
          </w:p>
          <w:p>
            <w:pPr>
              <w:pStyle w:val="23"/>
              <w:numPr>
                <w:ilvl w:val="0"/>
                <w:numId w:val="2"/>
              </w:numPr>
              <w:tabs>
                <w:tab w:val="clear" w:pos="0"/>
                <w:tab w:val="clear" w:pos="420"/>
              </w:tabs>
              <w:ind w:left="0" w:leftChars="0" w:firstLine="0" w:firstLineChars="0"/>
              <w:rPr>
                <w:color w:val="auto"/>
                <w:highlight w:val="none"/>
              </w:rPr>
            </w:pPr>
            <w:r>
              <w:rPr>
                <w:color w:val="auto"/>
                <w:highlight w:val="none"/>
              </w:rPr>
              <w:t xml:space="preserve">   </w:t>
            </w:r>
            <w:r>
              <w:rPr>
                <w:rFonts w:hint="eastAsia"/>
                <w:color w:val="auto"/>
                <w:highlight w:val="none"/>
                <w:lang w:eastAsia="zh-CN"/>
              </w:rPr>
              <w:t>项目“三本账”表</w:t>
            </w:r>
          </w:p>
          <w:tbl>
            <w:tblPr>
              <w:tblStyle w:val="15"/>
              <w:tblW w:w="817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525"/>
              <w:gridCol w:w="941"/>
              <w:gridCol w:w="1034"/>
              <w:gridCol w:w="1047"/>
              <w:gridCol w:w="1427"/>
              <w:gridCol w:w="15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679" w:type="dxa"/>
                  <w:vMerge w:val="restart"/>
                  <w:vAlign w:val="center"/>
                </w:tcPr>
                <w:p>
                  <w:pPr>
                    <w:pStyle w:val="25"/>
                    <w:rPr>
                      <w:rFonts w:hint="eastAsia" w:eastAsiaTheme="minorEastAsia"/>
                      <w:color w:val="auto"/>
                      <w:highlight w:val="none"/>
                      <w:lang w:eastAsia="zh-CN"/>
                    </w:rPr>
                  </w:pPr>
                  <w:r>
                    <w:rPr>
                      <w:rFonts w:hint="eastAsia"/>
                      <w:color w:val="auto"/>
                      <w:highlight w:val="none"/>
                      <w:lang w:eastAsia="zh-CN"/>
                    </w:rPr>
                    <w:t>污染因素</w:t>
                  </w:r>
                </w:p>
              </w:tc>
              <w:tc>
                <w:tcPr>
                  <w:tcW w:w="1525" w:type="dxa"/>
                  <w:vMerge w:val="restart"/>
                  <w:vAlign w:val="center"/>
                </w:tcPr>
                <w:p>
                  <w:pPr>
                    <w:pStyle w:val="25"/>
                    <w:rPr>
                      <w:rFonts w:hint="eastAsia" w:eastAsiaTheme="minorEastAsia"/>
                      <w:color w:val="auto"/>
                      <w:highlight w:val="none"/>
                      <w:lang w:eastAsia="zh-CN"/>
                    </w:rPr>
                  </w:pPr>
                  <w:r>
                    <w:rPr>
                      <w:rFonts w:hint="eastAsia"/>
                      <w:color w:val="auto"/>
                      <w:highlight w:val="none"/>
                      <w:lang w:eastAsia="zh-CN"/>
                    </w:rPr>
                    <w:t>污染物名称</w:t>
                  </w:r>
                </w:p>
              </w:tc>
              <w:tc>
                <w:tcPr>
                  <w:tcW w:w="3022" w:type="dxa"/>
                  <w:gridSpan w:val="3"/>
                  <w:vAlign w:val="center"/>
                </w:tcPr>
                <w:p>
                  <w:pPr>
                    <w:pStyle w:val="25"/>
                    <w:rPr>
                      <w:rFonts w:hint="eastAsia"/>
                      <w:color w:val="auto"/>
                      <w:highlight w:val="none"/>
                      <w:lang w:val="en-US" w:eastAsia="zh-CN"/>
                    </w:rPr>
                  </w:pPr>
                  <w:r>
                    <w:rPr>
                      <w:rFonts w:hint="eastAsia"/>
                      <w:color w:val="auto"/>
                      <w:highlight w:val="none"/>
                      <w:lang w:eastAsia="zh-CN"/>
                    </w:rPr>
                    <w:t>污染物排放量</w:t>
                  </w:r>
                  <w:r>
                    <w:rPr>
                      <w:rFonts w:hint="eastAsia"/>
                      <w:color w:val="auto"/>
                      <w:highlight w:val="none"/>
                      <w:lang w:val="en-US" w:eastAsia="zh-CN"/>
                    </w:rPr>
                    <w:t>t/a</w:t>
                  </w:r>
                </w:p>
                <w:p>
                  <w:pPr>
                    <w:pStyle w:val="25"/>
                    <w:rPr>
                      <w:rFonts w:hint="default"/>
                      <w:color w:val="auto"/>
                      <w:highlight w:val="none"/>
                      <w:lang w:val="en-US" w:eastAsia="zh-CN"/>
                    </w:rPr>
                  </w:pPr>
                  <w:r>
                    <w:rPr>
                      <w:rFonts w:hint="eastAsia"/>
                      <w:color w:val="auto"/>
                      <w:highlight w:val="none"/>
                      <w:lang w:val="en-US" w:eastAsia="zh-CN"/>
                    </w:rPr>
                    <w:t>（固体废物产生量）</w:t>
                  </w:r>
                </w:p>
              </w:tc>
              <w:tc>
                <w:tcPr>
                  <w:tcW w:w="1427" w:type="dxa"/>
                  <w:vMerge w:val="restart"/>
                  <w:vAlign w:val="center"/>
                </w:tcPr>
                <w:p>
                  <w:pPr>
                    <w:pStyle w:val="25"/>
                    <w:rPr>
                      <w:rFonts w:hint="default" w:eastAsiaTheme="minorEastAsia"/>
                      <w:color w:val="auto"/>
                      <w:highlight w:val="none"/>
                      <w:lang w:val="en-US" w:eastAsia="zh-CN"/>
                    </w:rPr>
                  </w:pPr>
                  <w:r>
                    <w:rPr>
                      <w:rFonts w:hint="eastAsia"/>
                      <w:color w:val="auto"/>
                      <w:highlight w:val="none"/>
                      <w:lang w:eastAsia="zh-CN"/>
                    </w:rPr>
                    <w:t>“以新带老”削减量</w:t>
                  </w:r>
                  <w:r>
                    <w:rPr>
                      <w:rFonts w:hint="eastAsia"/>
                      <w:color w:val="auto"/>
                      <w:highlight w:val="none"/>
                      <w:lang w:val="en-US" w:eastAsia="zh-CN"/>
                    </w:rPr>
                    <w:t>t/a</w:t>
                  </w:r>
                </w:p>
              </w:tc>
              <w:tc>
                <w:tcPr>
                  <w:tcW w:w="1525" w:type="dxa"/>
                  <w:vMerge w:val="restart"/>
                  <w:vAlign w:val="center"/>
                </w:tcPr>
                <w:p>
                  <w:pPr>
                    <w:pStyle w:val="25"/>
                    <w:rPr>
                      <w:rFonts w:hint="default" w:eastAsiaTheme="minorEastAsia"/>
                      <w:color w:val="auto"/>
                      <w:highlight w:val="none"/>
                      <w:lang w:val="en-US" w:eastAsia="zh-CN"/>
                    </w:rPr>
                  </w:pPr>
                  <w:r>
                    <w:rPr>
                      <w:rFonts w:hint="eastAsia"/>
                      <w:color w:val="auto"/>
                      <w:highlight w:val="none"/>
                      <w:lang w:eastAsia="zh-CN"/>
                    </w:rPr>
                    <w:t>增减变化</w:t>
                  </w:r>
                  <w:r>
                    <w:rPr>
                      <w:rFonts w:hint="eastAsia"/>
                      <w:color w:val="auto"/>
                      <w:highlight w:val="none"/>
                      <w:lang w:val="en-US" w:eastAsia="zh-CN"/>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9" w:type="dxa"/>
                  <w:vMerge w:val="continue"/>
                  <w:vAlign w:val="center"/>
                </w:tcPr>
                <w:p>
                  <w:pPr>
                    <w:pStyle w:val="25"/>
                    <w:rPr>
                      <w:color w:val="auto"/>
                      <w:highlight w:val="none"/>
                    </w:rPr>
                  </w:pPr>
                </w:p>
              </w:tc>
              <w:tc>
                <w:tcPr>
                  <w:tcW w:w="1525" w:type="dxa"/>
                  <w:vMerge w:val="continue"/>
                  <w:vAlign w:val="center"/>
                </w:tcPr>
                <w:p>
                  <w:pPr>
                    <w:pStyle w:val="25"/>
                    <w:rPr>
                      <w:color w:val="auto"/>
                      <w:highlight w:val="none"/>
                    </w:rPr>
                  </w:pPr>
                </w:p>
              </w:tc>
              <w:tc>
                <w:tcPr>
                  <w:tcW w:w="941" w:type="dxa"/>
                  <w:vAlign w:val="center"/>
                </w:tcPr>
                <w:p>
                  <w:pPr>
                    <w:pStyle w:val="25"/>
                    <w:rPr>
                      <w:rFonts w:hint="eastAsia" w:eastAsiaTheme="minorEastAsia"/>
                      <w:color w:val="auto"/>
                      <w:highlight w:val="none"/>
                      <w:lang w:eastAsia="zh-CN"/>
                    </w:rPr>
                  </w:pPr>
                  <w:r>
                    <w:rPr>
                      <w:rFonts w:hint="eastAsia"/>
                      <w:color w:val="auto"/>
                      <w:highlight w:val="none"/>
                      <w:lang w:eastAsia="zh-CN"/>
                    </w:rPr>
                    <w:t>技改前</w:t>
                  </w:r>
                </w:p>
              </w:tc>
              <w:tc>
                <w:tcPr>
                  <w:tcW w:w="1034" w:type="dxa"/>
                  <w:vAlign w:val="center"/>
                </w:tcPr>
                <w:p>
                  <w:pPr>
                    <w:pStyle w:val="25"/>
                    <w:rPr>
                      <w:rFonts w:hint="eastAsia" w:eastAsiaTheme="minorEastAsia"/>
                      <w:color w:val="auto"/>
                      <w:highlight w:val="none"/>
                      <w:lang w:eastAsia="zh-CN"/>
                    </w:rPr>
                  </w:pPr>
                  <w:r>
                    <w:rPr>
                      <w:rFonts w:hint="eastAsia"/>
                      <w:color w:val="auto"/>
                      <w:highlight w:val="none"/>
                      <w:lang w:eastAsia="zh-CN"/>
                    </w:rPr>
                    <w:t>本项目</w:t>
                  </w:r>
                </w:p>
              </w:tc>
              <w:tc>
                <w:tcPr>
                  <w:tcW w:w="1047" w:type="dxa"/>
                  <w:vAlign w:val="center"/>
                </w:tcPr>
                <w:p>
                  <w:pPr>
                    <w:pStyle w:val="25"/>
                    <w:rPr>
                      <w:rFonts w:hint="eastAsia" w:eastAsiaTheme="minorEastAsia"/>
                      <w:color w:val="auto"/>
                      <w:highlight w:val="none"/>
                      <w:lang w:eastAsia="zh-CN"/>
                    </w:rPr>
                  </w:pPr>
                  <w:r>
                    <w:rPr>
                      <w:rFonts w:hint="eastAsia"/>
                      <w:color w:val="auto"/>
                      <w:highlight w:val="none"/>
                      <w:lang w:eastAsia="zh-CN"/>
                    </w:rPr>
                    <w:t>技改后全厂</w:t>
                  </w:r>
                </w:p>
              </w:tc>
              <w:tc>
                <w:tcPr>
                  <w:tcW w:w="1427" w:type="dxa"/>
                  <w:vMerge w:val="continue"/>
                  <w:vAlign w:val="center"/>
                </w:tcPr>
                <w:p>
                  <w:pPr>
                    <w:pStyle w:val="25"/>
                    <w:rPr>
                      <w:color w:val="auto"/>
                      <w:highlight w:val="none"/>
                    </w:rPr>
                  </w:pPr>
                </w:p>
              </w:tc>
              <w:tc>
                <w:tcPr>
                  <w:tcW w:w="1525" w:type="dxa"/>
                  <w:vMerge w:val="continue"/>
                  <w:vAlign w:val="center"/>
                </w:tcPr>
                <w:p>
                  <w:pPr>
                    <w:pStyle w:val="25"/>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679" w:type="dxa"/>
                  <w:vMerge w:val="restart"/>
                  <w:vAlign w:val="center"/>
                </w:tcPr>
                <w:p>
                  <w:pPr>
                    <w:pStyle w:val="22"/>
                    <w:rPr>
                      <w:rFonts w:hint="eastAsia" w:eastAsiaTheme="minorEastAsia"/>
                      <w:color w:val="auto"/>
                      <w:highlight w:val="none"/>
                      <w:lang w:eastAsia="zh-CN"/>
                    </w:rPr>
                  </w:pPr>
                  <w:r>
                    <w:rPr>
                      <w:rFonts w:hint="eastAsia"/>
                      <w:color w:val="auto"/>
                      <w:highlight w:val="none"/>
                      <w:lang w:eastAsia="zh-CN"/>
                    </w:rPr>
                    <w:t>废气</w:t>
                  </w:r>
                </w:p>
              </w:tc>
              <w:tc>
                <w:tcPr>
                  <w:tcW w:w="1525"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非甲烷总烃</w:t>
                  </w:r>
                </w:p>
              </w:tc>
              <w:tc>
                <w:tcPr>
                  <w:tcW w:w="941"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0.00696</w:t>
                  </w:r>
                </w:p>
              </w:tc>
              <w:tc>
                <w:tcPr>
                  <w:tcW w:w="1034"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047" w:type="dxa"/>
                  <w:shd w:val="clear" w:color="auto" w:fill="auto"/>
                  <w:vAlign w:val="center"/>
                </w:tcPr>
                <w:p>
                  <w:pPr>
                    <w:pStyle w:val="22"/>
                    <w:ind w:firstLine="0" w:firstLineChars="0"/>
                    <w:rPr>
                      <w:rFonts w:hint="default" w:ascii="Times New Roman" w:hAnsi="Times New Roman" w:cs="Times New Roman" w:eastAsiaTheme="minorEastAsia"/>
                      <w:b/>
                      <w:bCs/>
                      <w:color w:val="auto"/>
                      <w:kern w:val="2"/>
                      <w:sz w:val="21"/>
                      <w:szCs w:val="21"/>
                      <w:highlight w:val="none"/>
                      <w:lang w:val="en-US" w:eastAsia="zh-CN" w:bidi="ar-SA"/>
                    </w:rPr>
                  </w:pPr>
                  <w:r>
                    <w:rPr>
                      <w:rFonts w:hint="eastAsia"/>
                      <w:color w:val="auto"/>
                      <w:highlight w:val="none"/>
                      <w:lang w:val="en-US" w:eastAsia="zh-CN"/>
                    </w:rPr>
                    <w:t>0.00696</w:t>
                  </w:r>
                </w:p>
              </w:tc>
              <w:tc>
                <w:tcPr>
                  <w:tcW w:w="1427"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25"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679" w:type="dxa"/>
                  <w:vMerge w:val="continue"/>
                  <w:vAlign w:val="center"/>
                </w:tcPr>
                <w:p>
                  <w:pPr>
                    <w:pStyle w:val="22"/>
                    <w:rPr>
                      <w:rFonts w:hint="eastAsia"/>
                      <w:color w:val="auto"/>
                      <w:highlight w:val="none"/>
                      <w:lang w:eastAsia="zh-CN"/>
                    </w:rPr>
                  </w:pPr>
                </w:p>
              </w:tc>
              <w:tc>
                <w:tcPr>
                  <w:tcW w:w="1525"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highlight w:val="none"/>
                      <w:lang w:eastAsia="zh-CN"/>
                    </w:rPr>
                    <w:t>颗粒物</w:t>
                  </w:r>
                </w:p>
              </w:tc>
              <w:tc>
                <w:tcPr>
                  <w:tcW w:w="941"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42.914</w:t>
                  </w:r>
                </w:p>
              </w:tc>
              <w:tc>
                <w:tcPr>
                  <w:tcW w:w="1034" w:type="dxa"/>
                  <w:shd w:val="clear" w:color="auto" w:fill="auto"/>
                  <w:vAlign w:val="center"/>
                </w:tcPr>
                <w:p>
                  <w:pPr>
                    <w:pStyle w:val="22"/>
                    <w:ind w:firstLine="0" w:firstLineChars="0"/>
                    <w:rPr>
                      <w:rFonts w:hint="default"/>
                      <w:color w:val="auto"/>
                      <w:highlight w:val="none"/>
                      <w:lang w:val="en-US" w:eastAsia="zh-CN"/>
                    </w:rPr>
                  </w:pPr>
                  <w:r>
                    <w:rPr>
                      <w:rFonts w:hint="eastAsia"/>
                      <w:color w:val="auto"/>
                      <w:highlight w:val="none"/>
                      <w:lang w:val="en-US" w:eastAsia="zh-CN"/>
                    </w:rPr>
                    <w:t>-</w:t>
                  </w:r>
                </w:p>
              </w:tc>
              <w:tc>
                <w:tcPr>
                  <w:tcW w:w="1047" w:type="dxa"/>
                  <w:shd w:val="clear" w:color="auto" w:fill="auto"/>
                  <w:vAlign w:val="center"/>
                </w:tcPr>
                <w:p>
                  <w:pPr>
                    <w:pStyle w:val="22"/>
                    <w:bidi w:val="0"/>
                    <w:ind w:firstLine="0" w:firstLineChars="0"/>
                    <w:rPr>
                      <w:rFonts w:hint="eastAsia"/>
                      <w:color w:val="auto"/>
                      <w:highlight w:val="none"/>
                      <w:lang w:val="en-US" w:eastAsia="zh-CN"/>
                    </w:rPr>
                  </w:pPr>
                  <w:r>
                    <w:rPr>
                      <w:rFonts w:hint="eastAsia" w:cs="Times New Roman"/>
                      <w:color w:val="auto"/>
                      <w:kern w:val="2"/>
                      <w:sz w:val="21"/>
                      <w:szCs w:val="21"/>
                      <w:highlight w:val="none"/>
                      <w:lang w:val="en-US" w:eastAsia="zh-CN" w:bidi="ar-SA"/>
                    </w:rPr>
                    <w:t>42.914</w:t>
                  </w:r>
                </w:p>
              </w:tc>
              <w:tc>
                <w:tcPr>
                  <w:tcW w:w="1427" w:type="dxa"/>
                  <w:shd w:val="clear" w:color="auto" w:fill="auto"/>
                  <w:vAlign w:val="center"/>
                </w:tcPr>
                <w:p>
                  <w:pPr>
                    <w:pStyle w:val="22"/>
                    <w:ind w:firstLine="0" w:firstLineChars="0"/>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25" w:type="dxa"/>
                  <w:shd w:val="clear" w:color="auto" w:fill="auto"/>
                  <w:vAlign w:val="center"/>
                </w:tcPr>
                <w:p>
                  <w:pPr>
                    <w:pStyle w:val="22"/>
                    <w:ind w:firstLine="0" w:firstLineChars="0"/>
                    <w:rPr>
                      <w:rFonts w:hint="eastAsia"/>
                      <w:color w:val="auto"/>
                      <w:highlight w:val="none"/>
                      <w:lang w:val="en-US" w:eastAsia="zh-CN"/>
                    </w:rPr>
                  </w:pPr>
                  <w:r>
                    <w:rPr>
                      <w:rFonts w:hint="eastAsia" w:cs="Times New Roman"/>
                      <w:color w:val="auto"/>
                      <w:kern w:val="2"/>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679" w:type="dxa"/>
                  <w:vAlign w:val="center"/>
                </w:tcPr>
                <w:p>
                  <w:pPr>
                    <w:pStyle w:val="22"/>
                    <w:rPr>
                      <w:rFonts w:hint="eastAsia"/>
                      <w:color w:val="auto"/>
                      <w:highlight w:val="none"/>
                      <w:lang w:eastAsia="zh-CN"/>
                    </w:rPr>
                  </w:pPr>
                  <w:r>
                    <w:rPr>
                      <w:rFonts w:hint="eastAsia"/>
                      <w:color w:val="auto"/>
                      <w:highlight w:val="none"/>
                      <w:lang w:eastAsia="zh-CN"/>
                    </w:rPr>
                    <w:t>废水</w:t>
                  </w:r>
                </w:p>
              </w:tc>
              <w:tc>
                <w:tcPr>
                  <w:tcW w:w="1525" w:type="dxa"/>
                  <w:shd w:val="clear" w:color="auto" w:fill="auto"/>
                  <w:vAlign w:val="center"/>
                </w:tcPr>
                <w:p>
                  <w:pPr>
                    <w:pStyle w:val="22"/>
                    <w:bidi w:val="0"/>
                    <w:ind w:firstLine="0" w:firstLineChars="0"/>
                    <w:rPr>
                      <w:rFonts w:hint="eastAsia"/>
                      <w:color w:val="auto"/>
                      <w:highlight w:val="none"/>
                      <w:lang w:eastAsia="zh-CN"/>
                    </w:rPr>
                  </w:pPr>
                  <w:r>
                    <w:rPr>
                      <w:rFonts w:hint="eastAsia" w:cs="Times New Roman"/>
                      <w:color w:val="auto"/>
                      <w:highlight w:val="none"/>
                      <w:lang w:val="en-US" w:eastAsia="zh-CN"/>
                    </w:rPr>
                    <w:t>COD</w:t>
                  </w:r>
                </w:p>
              </w:tc>
              <w:tc>
                <w:tcPr>
                  <w:tcW w:w="941" w:type="dxa"/>
                  <w:shd w:val="clear" w:color="auto" w:fill="auto"/>
                  <w:vAlign w:val="center"/>
                </w:tcPr>
                <w:p>
                  <w:pPr>
                    <w:pStyle w:val="22"/>
                    <w:bidi w:val="0"/>
                    <w:ind w:firstLine="0" w:firstLineChars="0"/>
                    <w:rPr>
                      <w:rFonts w:hint="eastAsia"/>
                      <w:color w:val="auto"/>
                      <w:highlight w:val="none"/>
                      <w:lang w:val="en-US" w:eastAsia="zh-CN"/>
                    </w:rPr>
                  </w:pPr>
                  <w:r>
                    <w:rPr>
                      <w:rFonts w:hint="eastAsia" w:cs="Times New Roman"/>
                      <w:color w:val="auto"/>
                      <w:kern w:val="2"/>
                      <w:sz w:val="21"/>
                      <w:szCs w:val="21"/>
                      <w:highlight w:val="none"/>
                      <w:lang w:val="en-US" w:eastAsia="zh-CN" w:bidi="ar-SA"/>
                    </w:rPr>
                    <w:t>13.0023</w:t>
                  </w:r>
                </w:p>
              </w:tc>
              <w:tc>
                <w:tcPr>
                  <w:tcW w:w="1034" w:type="dxa"/>
                  <w:shd w:val="clear" w:color="auto" w:fill="auto"/>
                  <w:vAlign w:val="center"/>
                </w:tcPr>
                <w:p>
                  <w:pPr>
                    <w:pStyle w:val="22"/>
                    <w:ind w:firstLine="0" w:firstLineChars="0"/>
                    <w:rPr>
                      <w:rFonts w:hint="default"/>
                      <w:color w:val="auto"/>
                      <w:highlight w:val="none"/>
                      <w:lang w:val="en-US" w:eastAsia="zh-CN"/>
                    </w:rPr>
                  </w:pPr>
                  <w:r>
                    <w:rPr>
                      <w:rFonts w:hint="eastAsia"/>
                      <w:color w:val="auto"/>
                      <w:highlight w:val="none"/>
                      <w:lang w:val="en-US" w:eastAsia="zh-CN"/>
                    </w:rPr>
                    <w:t>-</w:t>
                  </w:r>
                </w:p>
              </w:tc>
              <w:tc>
                <w:tcPr>
                  <w:tcW w:w="1047" w:type="dxa"/>
                  <w:shd w:val="clear" w:color="auto" w:fill="auto"/>
                  <w:vAlign w:val="center"/>
                </w:tcPr>
                <w:p>
                  <w:pPr>
                    <w:pStyle w:val="22"/>
                    <w:ind w:firstLine="0" w:firstLineChars="0"/>
                    <w:rPr>
                      <w:rFonts w:hint="default"/>
                      <w:color w:val="auto"/>
                      <w:highlight w:val="none"/>
                      <w:lang w:val="en-US" w:eastAsia="zh-CN"/>
                    </w:rPr>
                  </w:pPr>
                  <w:r>
                    <w:rPr>
                      <w:rFonts w:hint="eastAsia" w:cs="Times New Roman"/>
                      <w:color w:val="auto"/>
                      <w:kern w:val="2"/>
                      <w:sz w:val="21"/>
                      <w:szCs w:val="21"/>
                      <w:highlight w:val="none"/>
                      <w:lang w:val="en-US" w:eastAsia="zh-CN" w:bidi="ar-SA"/>
                    </w:rPr>
                    <w:t>13.0023</w:t>
                  </w:r>
                </w:p>
              </w:tc>
              <w:tc>
                <w:tcPr>
                  <w:tcW w:w="1427" w:type="dxa"/>
                  <w:shd w:val="clear" w:color="auto" w:fill="auto"/>
                  <w:vAlign w:val="center"/>
                </w:tcPr>
                <w:p>
                  <w:pPr>
                    <w:pStyle w:val="22"/>
                    <w:ind w:firstLine="0" w:firstLineChars="0"/>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25" w:type="dxa"/>
                  <w:shd w:val="clear" w:color="auto" w:fill="auto"/>
                  <w:vAlign w:val="center"/>
                </w:tcPr>
                <w:p>
                  <w:pPr>
                    <w:pStyle w:val="22"/>
                    <w:ind w:firstLine="0" w:firstLineChars="0"/>
                    <w:rPr>
                      <w:rFonts w:hint="eastAsia"/>
                      <w:color w:val="auto"/>
                      <w:highlight w:val="none"/>
                      <w:lang w:val="en-US" w:eastAsia="zh-CN"/>
                    </w:rPr>
                  </w:pPr>
                  <w:r>
                    <w:rPr>
                      <w:rFonts w:hint="eastAsia" w:cs="Times New Roman"/>
                      <w:color w:val="auto"/>
                      <w:kern w:val="2"/>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679" w:type="dxa"/>
                  <w:vMerge w:val="restart"/>
                  <w:vAlign w:val="center"/>
                </w:tcPr>
                <w:p>
                  <w:pPr>
                    <w:pStyle w:val="22"/>
                    <w:rPr>
                      <w:rFonts w:hint="eastAsia" w:eastAsiaTheme="minorEastAsia"/>
                      <w:color w:val="auto"/>
                      <w:highlight w:val="none"/>
                      <w:lang w:eastAsia="zh-CN"/>
                    </w:rPr>
                  </w:pPr>
                  <w:r>
                    <w:rPr>
                      <w:rFonts w:hint="eastAsia"/>
                      <w:color w:val="auto"/>
                      <w:highlight w:val="none"/>
                      <w:lang w:eastAsia="zh-CN"/>
                    </w:rPr>
                    <w:t>固体废物</w:t>
                  </w:r>
                </w:p>
              </w:tc>
              <w:tc>
                <w:tcPr>
                  <w:tcW w:w="1525"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highlight w:val="none"/>
                      <w:lang w:val="en-US" w:eastAsia="zh-CN"/>
                    </w:rPr>
                    <w:t>尾矿</w:t>
                  </w:r>
                </w:p>
              </w:tc>
              <w:tc>
                <w:tcPr>
                  <w:tcW w:w="941"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20.5833万</w:t>
                  </w:r>
                </w:p>
              </w:tc>
              <w:tc>
                <w:tcPr>
                  <w:tcW w:w="1034" w:type="dxa"/>
                  <w:shd w:val="clear" w:color="auto" w:fill="auto"/>
                  <w:vAlign w:val="center"/>
                </w:tcPr>
                <w:p>
                  <w:pPr>
                    <w:pStyle w:val="22"/>
                    <w:ind w:firstLine="0" w:firstLineChars="0"/>
                    <w:rPr>
                      <w:rFonts w:hint="eastAsia"/>
                      <w:color w:val="auto"/>
                      <w:highlight w:val="none"/>
                      <w:lang w:val="en-US" w:eastAsia="zh-CN"/>
                    </w:rPr>
                  </w:pPr>
                </w:p>
              </w:tc>
              <w:tc>
                <w:tcPr>
                  <w:tcW w:w="1047" w:type="dxa"/>
                  <w:shd w:val="clear" w:color="auto" w:fill="auto"/>
                  <w:vAlign w:val="center"/>
                </w:tcPr>
                <w:p>
                  <w:pPr>
                    <w:pStyle w:val="22"/>
                    <w:bidi w:val="0"/>
                    <w:ind w:firstLine="0" w:firstLineChars="0"/>
                    <w:rPr>
                      <w:rFonts w:hint="eastAsia"/>
                      <w:color w:val="auto"/>
                      <w:highlight w:val="none"/>
                      <w:lang w:val="en-US" w:eastAsia="zh-CN"/>
                    </w:rPr>
                  </w:pPr>
                  <w:r>
                    <w:rPr>
                      <w:rFonts w:hint="eastAsia" w:cs="Times New Roman"/>
                      <w:color w:val="auto"/>
                      <w:kern w:val="2"/>
                      <w:sz w:val="21"/>
                      <w:szCs w:val="21"/>
                      <w:highlight w:val="none"/>
                      <w:lang w:val="en-US" w:eastAsia="zh-CN" w:bidi="ar-SA"/>
                    </w:rPr>
                    <w:t>20.5833万</w:t>
                  </w:r>
                </w:p>
              </w:tc>
              <w:tc>
                <w:tcPr>
                  <w:tcW w:w="1427" w:type="dxa"/>
                  <w:shd w:val="clear" w:color="auto" w:fill="auto"/>
                  <w:vAlign w:val="center"/>
                </w:tcPr>
                <w:p>
                  <w:pPr>
                    <w:pStyle w:val="22"/>
                    <w:ind w:firstLine="0" w:firstLineChars="0"/>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25" w:type="dxa"/>
                  <w:shd w:val="clear" w:color="auto" w:fill="auto"/>
                  <w:vAlign w:val="center"/>
                </w:tcPr>
                <w:p>
                  <w:pPr>
                    <w:pStyle w:val="22"/>
                    <w:ind w:firstLine="0" w:firstLineChars="0"/>
                    <w:rPr>
                      <w:rFonts w:hint="eastAsia"/>
                      <w:color w:val="auto"/>
                      <w:highlight w:val="none"/>
                      <w:lang w:val="en-US" w:eastAsia="zh-CN"/>
                    </w:rPr>
                  </w:pPr>
                  <w:r>
                    <w:rPr>
                      <w:rFonts w:hint="eastAsia" w:cs="Times New Roman"/>
                      <w:color w:val="auto"/>
                      <w:kern w:val="2"/>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679" w:type="dxa"/>
                  <w:vMerge w:val="continue"/>
                  <w:vAlign w:val="center"/>
                </w:tcPr>
                <w:p>
                  <w:pPr>
                    <w:pStyle w:val="22"/>
                    <w:rPr>
                      <w:rFonts w:hint="eastAsia"/>
                      <w:color w:val="auto"/>
                      <w:highlight w:val="none"/>
                      <w:lang w:eastAsia="zh-CN"/>
                    </w:rPr>
                  </w:pPr>
                </w:p>
              </w:tc>
              <w:tc>
                <w:tcPr>
                  <w:tcW w:w="1525"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highlight w:val="none"/>
                      <w:lang w:eastAsia="zh-CN"/>
                    </w:rPr>
                    <w:t>废石</w:t>
                  </w:r>
                </w:p>
              </w:tc>
              <w:tc>
                <w:tcPr>
                  <w:tcW w:w="941"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6.2万</w:t>
                  </w:r>
                </w:p>
              </w:tc>
              <w:tc>
                <w:tcPr>
                  <w:tcW w:w="1034" w:type="dxa"/>
                  <w:shd w:val="clear" w:color="auto" w:fill="auto"/>
                  <w:vAlign w:val="center"/>
                </w:tcPr>
                <w:p>
                  <w:pPr>
                    <w:pStyle w:val="22"/>
                    <w:ind w:firstLine="0" w:firstLineChars="0"/>
                    <w:rPr>
                      <w:rFonts w:hint="eastAsia"/>
                      <w:color w:val="auto"/>
                      <w:highlight w:val="none"/>
                      <w:lang w:val="en-US" w:eastAsia="zh-CN"/>
                    </w:rPr>
                  </w:pPr>
                </w:p>
              </w:tc>
              <w:tc>
                <w:tcPr>
                  <w:tcW w:w="1047" w:type="dxa"/>
                  <w:shd w:val="clear" w:color="auto" w:fill="auto"/>
                  <w:vAlign w:val="center"/>
                </w:tcPr>
                <w:p>
                  <w:pPr>
                    <w:pStyle w:val="22"/>
                    <w:bidi w:val="0"/>
                    <w:ind w:firstLine="0" w:firstLineChars="0"/>
                    <w:rPr>
                      <w:rFonts w:hint="eastAsia"/>
                      <w:color w:val="auto"/>
                      <w:highlight w:val="none"/>
                      <w:lang w:val="en-US" w:eastAsia="zh-CN"/>
                    </w:rPr>
                  </w:pPr>
                  <w:r>
                    <w:rPr>
                      <w:rFonts w:hint="eastAsia" w:cs="Times New Roman"/>
                      <w:color w:val="auto"/>
                      <w:kern w:val="2"/>
                      <w:sz w:val="21"/>
                      <w:szCs w:val="21"/>
                      <w:highlight w:val="none"/>
                      <w:lang w:val="en-US" w:eastAsia="zh-CN" w:bidi="ar-SA"/>
                    </w:rPr>
                    <w:t>6.2万</w:t>
                  </w:r>
                </w:p>
              </w:tc>
              <w:tc>
                <w:tcPr>
                  <w:tcW w:w="1427" w:type="dxa"/>
                  <w:shd w:val="clear" w:color="auto" w:fill="auto"/>
                  <w:vAlign w:val="center"/>
                </w:tcPr>
                <w:p>
                  <w:pPr>
                    <w:pStyle w:val="22"/>
                    <w:ind w:firstLine="0" w:firstLineChars="0"/>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25" w:type="dxa"/>
                  <w:shd w:val="clear" w:color="auto" w:fill="auto"/>
                  <w:vAlign w:val="center"/>
                </w:tcPr>
                <w:p>
                  <w:pPr>
                    <w:pStyle w:val="22"/>
                    <w:ind w:firstLine="0" w:firstLineChars="0"/>
                    <w:rPr>
                      <w:rFonts w:hint="eastAsia"/>
                      <w:color w:val="auto"/>
                      <w:highlight w:val="none"/>
                      <w:lang w:val="en-US" w:eastAsia="zh-CN"/>
                    </w:rPr>
                  </w:pPr>
                  <w:r>
                    <w:rPr>
                      <w:rFonts w:hint="eastAsia" w:cs="Times New Roman"/>
                      <w:color w:val="auto"/>
                      <w:kern w:val="2"/>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jc w:val="center"/>
              </w:trPr>
              <w:tc>
                <w:tcPr>
                  <w:tcW w:w="679" w:type="dxa"/>
                  <w:vMerge w:val="continue"/>
                  <w:vAlign w:val="center"/>
                </w:tcPr>
                <w:p>
                  <w:pPr>
                    <w:pStyle w:val="22"/>
                    <w:rPr>
                      <w:rFonts w:hint="eastAsia" w:eastAsiaTheme="minorEastAsia"/>
                      <w:color w:val="auto"/>
                      <w:highlight w:val="none"/>
                      <w:lang w:eastAsia="zh-CN"/>
                    </w:rPr>
                  </w:pPr>
                </w:p>
              </w:tc>
              <w:tc>
                <w:tcPr>
                  <w:tcW w:w="1525" w:type="dxa"/>
                  <w:vAlign w:val="center"/>
                </w:tcPr>
                <w:p>
                  <w:pPr>
                    <w:pStyle w:val="22"/>
                    <w:bidi w:val="0"/>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废润滑油</w:t>
                  </w:r>
                </w:p>
              </w:tc>
              <w:tc>
                <w:tcPr>
                  <w:tcW w:w="941" w:type="dxa"/>
                  <w:shd w:val="clear" w:color="auto" w:fill="auto"/>
                  <w:vAlign w:val="center"/>
                </w:tcPr>
                <w:p>
                  <w:pPr>
                    <w:pStyle w:val="22"/>
                    <w:ind w:firstLine="0"/>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1.81</w:t>
                  </w:r>
                </w:p>
              </w:tc>
              <w:tc>
                <w:tcPr>
                  <w:tcW w:w="1034"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w:t>
                  </w:r>
                </w:p>
              </w:tc>
              <w:tc>
                <w:tcPr>
                  <w:tcW w:w="1047" w:type="dxa"/>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1.81</w:t>
                  </w:r>
                </w:p>
              </w:tc>
              <w:tc>
                <w:tcPr>
                  <w:tcW w:w="1427"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w:t>
                  </w:r>
                </w:p>
              </w:tc>
              <w:tc>
                <w:tcPr>
                  <w:tcW w:w="1525"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9" w:type="dxa"/>
                  <w:vMerge w:val="continue"/>
                  <w:vAlign w:val="center"/>
                </w:tcPr>
                <w:p>
                  <w:pPr>
                    <w:pStyle w:val="22"/>
                    <w:rPr>
                      <w:rFonts w:hint="eastAsia"/>
                      <w:color w:val="auto"/>
                      <w:highlight w:val="none"/>
                      <w:lang w:eastAsia="zh-CN"/>
                    </w:rPr>
                  </w:pPr>
                </w:p>
              </w:tc>
              <w:tc>
                <w:tcPr>
                  <w:tcW w:w="1525" w:type="dxa"/>
                  <w:vAlign w:val="center"/>
                </w:tcPr>
                <w:p>
                  <w:pPr>
                    <w:pStyle w:val="22"/>
                    <w:bidi w:val="0"/>
                    <w:rPr>
                      <w:rFonts w:hint="eastAsia"/>
                      <w:color w:val="auto"/>
                      <w:highlight w:val="none"/>
                      <w:lang w:eastAsia="zh-CN"/>
                    </w:rPr>
                  </w:pPr>
                  <w:r>
                    <w:rPr>
                      <w:rFonts w:hint="eastAsia"/>
                      <w:color w:val="auto"/>
                      <w:highlight w:val="none"/>
                      <w:lang w:eastAsia="zh-CN"/>
                    </w:rPr>
                    <w:t>废油桶</w:t>
                  </w:r>
                </w:p>
              </w:tc>
              <w:tc>
                <w:tcPr>
                  <w:tcW w:w="941" w:type="dxa"/>
                  <w:shd w:val="clear" w:color="auto" w:fill="auto"/>
                  <w:vAlign w:val="center"/>
                </w:tcPr>
                <w:p>
                  <w:pPr>
                    <w:pStyle w:val="22"/>
                    <w:ind w:firstLine="0"/>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1.29</w:t>
                  </w:r>
                </w:p>
              </w:tc>
              <w:tc>
                <w:tcPr>
                  <w:tcW w:w="1034" w:type="dxa"/>
                  <w:vAlign w:val="center"/>
                </w:tcPr>
                <w:p>
                  <w:pPr>
                    <w:pStyle w:val="22"/>
                    <w:rPr>
                      <w:rFonts w:hint="default"/>
                      <w:color w:val="auto"/>
                      <w:highlight w:val="none"/>
                      <w:lang w:val="en-US" w:eastAsia="zh-CN"/>
                    </w:rPr>
                  </w:pPr>
                  <w:r>
                    <w:rPr>
                      <w:rFonts w:hint="eastAsia"/>
                      <w:color w:val="auto"/>
                      <w:highlight w:val="none"/>
                      <w:lang w:val="en-US" w:eastAsia="zh-CN"/>
                    </w:rPr>
                    <w:t>-</w:t>
                  </w:r>
                </w:p>
              </w:tc>
              <w:tc>
                <w:tcPr>
                  <w:tcW w:w="1047" w:type="dxa"/>
                  <w:vAlign w:val="center"/>
                </w:tcPr>
                <w:p>
                  <w:pPr>
                    <w:pStyle w:val="22"/>
                    <w:ind w:firstLine="0" w:firstLineChars="0"/>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1.29</w:t>
                  </w:r>
                </w:p>
              </w:tc>
              <w:tc>
                <w:tcPr>
                  <w:tcW w:w="1427" w:type="dxa"/>
                  <w:vAlign w:val="center"/>
                </w:tcPr>
                <w:p>
                  <w:pPr>
                    <w:pStyle w:val="22"/>
                    <w:rPr>
                      <w:rFonts w:hint="default"/>
                      <w:color w:val="auto"/>
                      <w:highlight w:val="none"/>
                      <w:lang w:val="en-US" w:eastAsia="zh-CN"/>
                    </w:rPr>
                  </w:pPr>
                  <w:r>
                    <w:rPr>
                      <w:rFonts w:hint="eastAsia"/>
                      <w:color w:val="auto"/>
                      <w:highlight w:val="none"/>
                      <w:lang w:val="en-US" w:eastAsia="zh-CN"/>
                    </w:rPr>
                    <w:t>-</w:t>
                  </w:r>
                </w:p>
              </w:tc>
              <w:tc>
                <w:tcPr>
                  <w:tcW w:w="1525" w:type="dxa"/>
                  <w:vAlign w:val="center"/>
                </w:tcPr>
                <w:p>
                  <w:pPr>
                    <w:pStyle w:val="22"/>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9" w:type="dxa"/>
                  <w:vMerge w:val="continue"/>
                  <w:vAlign w:val="center"/>
                </w:tcPr>
                <w:p>
                  <w:pPr>
                    <w:pStyle w:val="22"/>
                    <w:rPr>
                      <w:color w:val="auto"/>
                      <w:highlight w:val="none"/>
                    </w:rPr>
                  </w:pPr>
                </w:p>
              </w:tc>
              <w:tc>
                <w:tcPr>
                  <w:tcW w:w="1525" w:type="dxa"/>
                  <w:vAlign w:val="center"/>
                </w:tcPr>
                <w:p>
                  <w:pPr>
                    <w:pStyle w:val="22"/>
                    <w:bidi w:val="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废铅蓄电池</w:t>
                  </w:r>
                </w:p>
              </w:tc>
              <w:tc>
                <w:tcPr>
                  <w:tcW w:w="941" w:type="dxa"/>
                  <w:shd w:val="clear" w:color="auto" w:fill="auto"/>
                  <w:vAlign w:val="center"/>
                </w:tcPr>
                <w:p>
                  <w:pPr>
                    <w:pStyle w:val="22"/>
                    <w:ind w:firstLine="0"/>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5.72</w:t>
                  </w:r>
                </w:p>
              </w:tc>
              <w:tc>
                <w:tcPr>
                  <w:tcW w:w="1034"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w:t>
                  </w:r>
                </w:p>
              </w:tc>
              <w:tc>
                <w:tcPr>
                  <w:tcW w:w="1047" w:type="dxa"/>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5.72</w:t>
                  </w:r>
                </w:p>
              </w:tc>
              <w:tc>
                <w:tcPr>
                  <w:tcW w:w="1427"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w:t>
                  </w:r>
                </w:p>
              </w:tc>
              <w:tc>
                <w:tcPr>
                  <w:tcW w:w="1525"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9" w:type="dxa"/>
                  <w:vMerge w:val="continue"/>
                  <w:vAlign w:val="center"/>
                </w:tcPr>
                <w:p>
                  <w:pPr>
                    <w:pStyle w:val="22"/>
                    <w:rPr>
                      <w:color w:val="auto"/>
                      <w:highlight w:val="none"/>
                    </w:rPr>
                  </w:pPr>
                </w:p>
              </w:tc>
              <w:tc>
                <w:tcPr>
                  <w:tcW w:w="1525" w:type="dxa"/>
                  <w:vAlign w:val="center"/>
                </w:tcPr>
                <w:p>
                  <w:pPr>
                    <w:pStyle w:val="22"/>
                    <w:bidi w:val="0"/>
                    <w:rPr>
                      <w:rFonts w:hint="eastAsia"/>
                      <w:color w:val="auto"/>
                      <w:highlight w:val="none"/>
                      <w:lang w:eastAsia="zh-CN"/>
                    </w:rPr>
                  </w:pPr>
                  <w:r>
                    <w:rPr>
                      <w:rFonts w:hint="eastAsia"/>
                      <w:color w:val="auto"/>
                      <w:highlight w:val="none"/>
                      <w:lang w:eastAsia="zh-CN"/>
                    </w:rPr>
                    <w:t>废油漆桶</w:t>
                  </w:r>
                </w:p>
              </w:tc>
              <w:tc>
                <w:tcPr>
                  <w:tcW w:w="941" w:type="dxa"/>
                  <w:shd w:val="clear" w:color="auto" w:fill="auto"/>
                  <w:vAlign w:val="center"/>
                </w:tcPr>
                <w:p>
                  <w:pPr>
                    <w:pStyle w:val="22"/>
                    <w:ind w:firstLine="0"/>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w:t>
                  </w:r>
                </w:p>
              </w:tc>
              <w:tc>
                <w:tcPr>
                  <w:tcW w:w="1034" w:type="dxa"/>
                  <w:vAlign w:val="center"/>
                </w:tcPr>
                <w:p>
                  <w:pPr>
                    <w:pStyle w:val="22"/>
                    <w:rPr>
                      <w:rFonts w:hint="default"/>
                      <w:color w:val="auto"/>
                      <w:highlight w:val="none"/>
                      <w:lang w:val="en-US" w:eastAsia="zh-CN"/>
                    </w:rPr>
                  </w:pPr>
                  <w:r>
                    <w:rPr>
                      <w:rFonts w:hint="eastAsia"/>
                      <w:color w:val="auto"/>
                      <w:highlight w:val="none"/>
                      <w:lang w:val="en-US" w:eastAsia="zh-CN"/>
                    </w:rPr>
                    <w:t>-</w:t>
                  </w:r>
                </w:p>
              </w:tc>
              <w:tc>
                <w:tcPr>
                  <w:tcW w:w="1047" w:type="dxa"/>
                  <w:vAlign w:val="center"/>
                </w:tcPr>
                <w:p>
                  <w:pPr>
                    <w:pStyle w:val="22"/>
                    <w:ind w:firstLine="0" w:firstLineChars="0"/>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w:t>
                  </w:r>
                </w:p>
              </w:tc>
              <w:tc>
                <w:tcPr>
                  <w:tcW w:w="1427" w:type="dxa"/>
                  <w:vAlign w:val="center"/>
                </w:tcPr>
                <w:p>
                  <w:pPr>
                    <w:pStyle w:val="22"/>
                    <w:rPr>
                      <w:rFonts w:hint="default"/>
                      <w:color w:val="auto"/>
                      <w:highlight w:val="none"/>
                      <w:lang w:val="en-US" w:eastAsia="zh-CN"/>
                    </w:rPr>
                  </w:pPr>
                  <w:r>
                    <w:rPr>
                      <w:rFonts w:hint="eastAsia"/>
                      <w:color w:val="auto"/>
                      <w:highlight w:val="none"/>
                      <w:lang w:val="en-US" w:eastAsia="zh-CN"/>
                    </w:rPr>
                    <w:t>-</w:t>
                  </w:r>
                </w:p>
              </w:tc>
              <w:tc>
                <w:tcPr>
                  <w:tcW w:w="1525" w:type="dxa"/>
                  <w:vAlign w:val="center"/>
                </w:tcPr>
                <w:p>
                  <w:pPr>
                    <w:pStyle w:val="22"/>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9" w:type="dxa"/>
                  <w:vMerge w:val="continue"/>
                  <w:vAlign w:val="center"/>
                </w:tcPr>
                <w:p>
                  <w:pPr>
                    <w:pStyle w:val="22"/>
                    <w:rPr>
                      <w:color w:val="auto"/>
                      <w:highlight w:val="none"/>
                    </w:rPr>
                  </w:pPr>
                </w:p>
              </w:tc>
              <w:tc>
                <w:tcPr>
                  <w:tcW w:w="1525" w:type="dxa"/>
                  <w:vAlign w:val="center"/>
                </w:tcPr>
                <w:p>
                  <w:pPr>
                    <w:pStyle w:val="22"/>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废电解液</w:t>
                  </w:r>
                </w:p>
              </w:tc>
              <w:tc>
                <w:tcPr>
                  <w:tcW w:w="941" w:type="dxa"/>
                  <w:vAlign w:val="center"/>
                </w:tcPr>
                <w:p>
                  <w:pPr>
                    <w:pStyle w:val="22"/>
                    <w:ind w:firstLine="0" w:firstLineChars="0"/>
                    <w:rPr>
                      <w:rFonts w:hint="default" w:eastAsiaTheme="minorEastAsia"/>
                      <w:color w:val="auto"/>
                      <w:highlight w:val="none"/>
                      <w:lang w:val="en-US" w:eastAsia="zh-CN"/>
                    </w:rPr>
                  </w:pPr>
                  <w:r>
                    <w:rPr>
                      <w:rFonts w:hint="eastAsia" w:cs="Times New Roman"/>
                      <w:color w:val="auto"/>
                      <w:kern w:val="2"/>
                      <w:sz w:val="21"/>
                      <w:szCs w:val="21"/>
                      <w:highlight w:val="none"/>
                      <w:lang w:val="en-US" w:eastAsia="zh-CN" w:bidi="ar-SA"/>
                    </w:rPr>
                    <w:t>0.026</w:t>
                  </w:r>
                </w:p>
              </w:tc>
              <w:tc>
                <w:tcPr>
                  <w:tcW w:w="1034" w:type="dxa"/>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047" w:type="dxa"/>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0.026</w:t>
                  </w:r>
                </w:p>
              </w:tc>
              <w:tc>
                <w:tcPr>
                  <w:tcW w:w="1427"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w:t>
                  </w:r>
                </w:p>
              </w:tc>
              <w:tc>
                <w:tcPr>
                  <w:tcW w:w="1525"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79" w:type="dxa"/>
                  <w:vMerge w:val="continue"/>
                </w:tcPr>
                <w:p>
                  <w:pPr>
                    <w:pStyle w:val="22"/>
                    <w:rPr>
                      <w:color w:val="auto"/>
                      <w:highlight w:val="none"/>
                    </w:rPr>
                  </w:pPr>
                </w:p>
              </w:tc>
              <w:tc>
                <w:tcPr>
                  <w:tcW w:w="1525"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废劳保用品</w:t>
                  </w:r>
                </w:p>
              </w:tc>
              <w:tc>
                <w:tcPr>
                  <w:tcW w:w="941" w:type="dxa"/>
                  <w:vAlign w:val="top"/>
                </w:tcPr>
                <w:p>
                  <w:pPr>
                    <w:pStyle w:val="22"/>
                    <w:ind w:firstLine="0" w:firstLineChars="0"/>
                    <w:rPr>
                      <w:rFonts w:hint="default" w:eastAsiaTheme="minorEastAsia"/>
                      <w:color w:val="auto"/>
                      <w:highlight w:val="none"/>
                      <w:lang w:val="en-US" w:eastAsia="zh-CN"/>
                    </w:rPr>
                  </w:pPr>
                  <w:r>
                    <w:rPr>
                      <w:rFonts w:hint="eastAsia" w:cs="Times New Roman"/>
                      <w:color w:val="auto"/>
                      <w:kern w:val="2"/>
                      <w:sz w:val="21"/>
                      <w:szCs w:val="21"/>
                      <w:highlight w:val="none"/>
                      <w:lang w:val="en-US" w:eastAsia="zh-CN" w:bidi="ar-SA"/>
                    </w:rPr>
                    <w:t>0.01</w:t>
                  </w:r>
                </w:p>
              </w:tc>
              <w:tc>
                <w:tcPr>
                  <w:tcW w:w="1034" w:type="dxa"/>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047" w:type="dxa"/>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0.01</w:t>
                  </w:r>
                </w:p>
              </w:tc>
              <w:tc>
                <w:tcPr>
                  <w:tcW w:w="1427" w:type="dxa"/>
                </w:tcPr>
                <w:p>
                  <w:pPr>
                    <w:pStyle w:val="22"/>
                    <w:rPr>
                      <w:rFonts w:hint="default" w:eastAsiaTheme="minorEastAsia"/>
                      <w:color w:val="auto"/>
                      <w:highlight w:val="none"/>
                      <w:lang w:val="en-US" w:eastAsia="zh-CN"/>
                    </w:rPr>
                  </w:pPr>
                </w:p>
              </w:tc>
              <w:tc>
                <w:tcPr>
                  <w:tcW w:w="1525"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r>
          </w:tbl>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highlight w:val="none"/>
              </w:rPr>
            </w:pPr>
          </w:p>
          <w:p>
            <w:pPr>
              <w:pStyle w:val="12"/>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auto"/>
              <w:rPr>
                <w:color w:val="auto"/>
                <w:highlight w:val="none"/>
              </w:rPr>
            </w:pPr>
          </w:p>
          <w:p>
            <w:pPr>
              <w:rPr>
                <w:color w:val="auto"/>
                <w:highlight w:val="none"/>
              </w:rPr>
            </w:pPr>
          </w:p>
        </w:tc>
      </w:tr>
    </w:tbl>
    <w:p>
      <w:pPr>
        <w:rPr>
          <w:color w:val="auto"/>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五、</w:t>
      </w:r>
      <w:bookmarkStart w:id="6" w:name="_Hlk54167917"/>
      <w:r>
        <w:rPr>
          <w:rFonts w:hint="eastAsia" w:ascii="黑体" w:hAnsi="黑体" w:eastAsia="黑体"/>
          <w:snapToGrid w:val="0"/>
          <w:color w:val="auto"/>
          <w:sz w:val="30"/>
          <w:szCs w:val="30"/>
          <w:highlight w:val="none"/>
        </w:rPr>
        <w:t>环境保护措施监督检查清单</w:t>
      </w:r>
      <w:bookmarkEnd w:id="6"/>
    </w:p>
    <w:tbl>
      <w:tblPr>
        <w:tblStyle w:val="15"/>
        <w:tblW w:w="9060"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89"/>
        <w:gridCol w:w="677"/>
        <w:gridCol w:w="1668"/>
        <w:gridCol w:w="1253"/>
        <w:gridCol w:w="1742"/>
        <w:gridCol w:w="243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89" w:type="dxa"/>
            <w:tcBorders>
              <w:tl2br w:val="single" w:color="auto" w:sz="4" w:space="0"/>
            </w:tcBorders>
          </w:tcPr>
          <w:p>
            <w:pPr>
              <w:adjustRightInd w:val="0"/>
              <w:snapToGrid w:val="0"/>
              <w:jc w:val="right"/>
              <w:rPr>
                <w:rFonts w:ascii="宋体" w:hAnsi="宋体" w:cs="宋体"/>
                <w:color w:val="auto"/>
                <w:szCs w:val="21"/>
                <w:highlight w:val="none"/>
              </w:rPr>
            </w:pPr>
            <w:r>
              <w:rPr>
                <w:rFonts w:hint="eastAsia" w:ascii="宋体" w:hAnsi="宋体" w:cs="宋体"/>
                <w:color w:val="auto"/>
                <w:szCs w:val="21"/>
                <w:highlight w:val="none"/>
              </w:rPr>
              <w:t>内容</w:t>
            </w:r>
          </w:p>
          <w:p>
            <w:pPr>
              <w:adjustRightInd w:val="0"/>
              <w:snapToGrid w:val="0"/>
              <w:rPr>
                <w:rFonts w:ascii="宋体" w:hAnsi="宋体" w:cs="宋体"/>
                <w:color w:val="auto"/>
                <w:szCs w:val="21"/>
                <w:highlight w:val="none"/>
              </w:rPr>
            </w:pPr>
            <w:r>
              <w:rPr>
                <w:rFonts w:hint="eastAsia" w:ascii="宋体" w:hAnsi="宋体" w:cs="宋体"/>
                <w:color w:val="auto"/>
                <w:szCs w:val="21"/>
                <w:highlight w:val="none"/>
              </w:rPr>
              <w:t>要素</w:t>
            </w:r>
          </w:p>
        </w:tc>
        <w:tc>
          <w:tcPr>
            <w:tcW w:w="2345" w:type="dxa"/>
            <w:gridSpan w:val="2"/>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排放口(编号、</w:t>
            </w:r>
          </w:p>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名称)/污染源</w:t>
            </w:r>
          </w:p>
        </w:tc>
        <w:tc>
          <w:tcPr>
            <w:tcW w:w="1253"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污染物项目</w:t>
            </w:r>
          </w:p>
        </w:tc>
        <w:tc>
          <w:tcPr>
            <w:tcW w:w="1742"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环境保护措施</w:t>
            </w:r>
          </w:p>
        </w:tc>
        <w:tc>
          <w:tcPr>
            <w:tcW w:w="2431"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89" w:type="dxa"/>
            <w:vAlign w:val="center"/>
          </w:tcPr>
          <w:p>
            <w:pPr>
              <w:adjustRightInd w:val="0"/>
              <w:snapToGrid w:val="0"/>
              <w:jc w:val="center"/>
              <w:rPr>
                <w:rFonts w:ascii="宋体" w:hAnsi="宋体" w:cs="宋体"/>
                <w:color w:val="auto"/>
                <w:sz w:val="24"/>
                <w:szCs w:val="24"/>
                <w:highlight w:val="none"/>
              </w:rPr>
            </w:pPr>
            <w:r>
              <w:rPr>
                <w:rFonts w:hint="eastAsia" w:ascii="宋体" w:hAnsi="宋体" w:cs="宋体"/>
                <w:color w:val="auto"/>
                <w:sz w:val="24"/>
                <w:szCs w:val="24"/>
                <w:highlight w:val="none"/>
              </w:rPr>
              <w:t>大气环境</w:t>
            </w:r>
          </w:p>
        </w:tc>
        <w:tc>
          <w:tcPr>
            <w:tcW w:w="677" w:type="dxa"/>
            <w:vAlign w:val="center"/>
          </w:tcPr>
          <w:p>
            <w:pPr>
              <w:pStyle w:val="22"/>
              <w:rPr>
                <w:color w:val="auto"/>
                <w:sz w:val="24"/>
                <w:szCs w:val="24"/>
                <w:highlight w:val="none"/>
              </w:rPr>
            </w:pPr>
            <w:r>
              <w:rPr>
                <w:rFonts w:hint="eastAsia"/>
                <w:color w:val="auto"/>
                <w:sz w:val="24"/>
                <w:szCs w:val="24"/>
                <w:highlight w:val="none"/>
              </w:rPr>
              <w:t>无组织</w:t>
            </w:r>
          </w:p>
        </w:tc>
        <w:tc>
          <w:tcPr>
            <w:tcW w:w="1668"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4"/>
                <w:szCs w:val="24"/>
                <w:highlight w:val="none"/>
                <w:lang w:val="en-US" w:eastAsia="zh-CN" w:bidi="ar-SA"/>
              </w:rPr>
            </w:pPr>
            <w:r>
              <w:rPr>
                <w:rFonts w:hint="eastAsia"/>
                <w:color w:val="auto"/>
                <w:sz w:val="24"/>
                <w:szCs w:val="24"/>
                <w:highlight w:val="none"/>
                <w:lang w:eastAsia="zh-CN"/>
              </w:rPr>
              <w:t>贮存</w:t>
            </w:r>
            <w:r>
              <w:rPr>
                <w:rFonts w:hint="eastAsia"/>
                <w:color w:val="auto"/>
                <w:sz w:val="24"/>
                <w:szCs w:val="24"/>
                <w:highlight w:val="none"/>
              </w:rPr>
              <w:t>产生的挥发性有机物废气</w:t>
            </w:r>
          </w:p>
        </w:tc>
        <w:tc>
          <w:tcPr>
            <w:tcW w:w="1253"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4"/>
                <w:szCs w:val="24"/>
                <w:highlight w:val="none"/>
                <w:lang w:val="en-US" w:eastAsia="zh-CN" w:bidi="ar-SA"/>
              </w:rPr>
            </w:pPr>
            <w:r>
              <w:rPr>
                <w:rFonts w:hint="eastAsia"/>
                <w:color w:val="auto"/>
                <w:sz w:val="24"/>
                <w:szCs w:val="24"/>
                <w:highlight w:val="none"/>
                <w:lang w:eastAsia="zh-CN"/>
              </w:rPr>
              <w:t>非甲烷总烃</w:t>
            </w:r>
          </w:p>
        </w:tc>
        <w:tc>
          <w:tcPr>
            <w:tcW w:w="1742"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4"/>
                <w:szCs w:val="24"/>
                <w:highlight w:val="none"/>
                <w:lang w:val="en-US" w:eastAsia="zh-CN" w:bidi="ar-SA"/>
              </w:rPr>
            </w:pPr>
            <w:r>
              <w:rPr>
                <w:rFonts w:hint="eastAsia"/>
                <w:color w:val="auto"/>
                <w:sz w:val="24"/>
                <w:szCs w:val="24"/>
                <w:highlight w:val="none"/>
                <w:lang w:eastAsia="zh-CN"/>
              </w:rPr>
              <w:t>加盖贮存、排风扇</w:t>
            </w:r>
          </w:p>
        </w:tc>
        <w:tc>
          <w:tcPr>
            <w:tcW w:w="2431" w:type="dxa"/>
            <w:vAlign w:val="center"/>
          </w:tcPr>
          <w:p>
            <w:pPr>
              <w:pStyle w:val="22"/>
              <w:rPr>
                <w:color w:val="auto"/>
                <w:sz w:val="24"/>
                <w:szCs w:val="24"/>
                <w:highlight w:val="none"/>
              </w:rPr>
            </w:pPr>
            <w:r>
              <w:rPr>
                <w:rFonts w:hint="eastAsia"/>
                <w:color w:val="auto"/>
                <w:sz w:val="24"/>
                <w:szCs w:val="24"/>
                <w:highlight w:val="none"/>
              </w:rPr>
              <w:t>《大气污染物综合排放标准》（GB16297-1996）</w:t>
            </w:r>
            <w:r>
              <w:rPr>
                <w:rFonts w:hint="eastAsia"/>
                <w:color w:val="auto"/>
                <w:sz w:val="24"/>
                <w:szCs w:val="24"/>
                <w:highlight w:val="none"/>
                <w:lang w:eastAsia="zh-CN"/>
              </w:rPr>
              <w:t>、</w:t>
            </w:r>
            <w:r>
              <w:rPr>
                <w:rFonts w:hint="eastAsia"/>
                <w:color w:val="auto"/>
                <w:sz w:val="24"/>
                <w:szCs w:val="24"/>
                <w:highlight w:val="none"/>
              </w:rPr>
              <w:t>《挥发性有机物无组织排放控制标准》（GB 37822-2019） 厂房外监控点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289" w:type="dxa"/>
            <w:vAlign w:val="center"/>
          </w:tcPr>
          <w:p>
            <w:pPr>
              <w:adjustRightInd w:val="0"/>
              <w:snapToGrid w:val="0"/>
              <w:jc w:val="center"/>
              <w:rPr>
                <w:rFonts w:ascii="宋体" w:hAnsi="宋体" w:cs="宋体"/>
                <w:color w:val="auto"/>
                <w:sz w:val="24"/>
                <w:szCs w:val="24"/>
                <w:highlight w:val="none"/>
              </w:rPr>
            </w:pPr>
            <w:r>
              <w:rPr>
                <w:rFonts w:hint="eastAsia" w:ascii="宋体" w:hAnsi="宋体" w:cs="宋体"/>
                <w:color w:val="auto"/>
                <w:sz w:val="24"/>
                <w:szCs w:val="24"/>
                <w:highlight w:val="none"/>
              </w:rPr>
              <w:t>地表水环境</w:t>
            </w:r>
          </w:p>
        </w:tc>
        <w:tc>
          <w:tcPr>
            <w:tcW w:w="7771" w:type="dxa"/>
            <w:gridSpan w:val="5"/>
            <w:vAlign w:val="center"/>
          </w:tcPr>
          <w:p>
            <w:pPr>
              <w:jc w:val="center"/>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本项目员工为现有员工调配，不新增劳动定员，无新增生活污水</w:t>
            </w:r>
          </w:p>
          <w:p>
            <w:pPr>
              <w:jc w:val="center"/>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排放，无生产废水排放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89" w:type="dxa"/>
            <w:vAlign w:val="center"/>
          </w:tcPr>
          <w:p>
            <w:pPr>
              <w:adjustRightInd w:val="0"/>
              <w:snapToGrid w:val="0"/>
              <w:jc w:val="center"/>
              <w:rPr>
                <w:rFonts w:ascii="宋体" w:hAnsi="宋体" w:cs="宋体"/>
                <w:color w:val="auto"/>
                <w:sz w:val="24"/>
                <w:szCs w:val="24"/>
                <w:highlight w:val="none"/>
              </w:rPr>
            </w:pPr>
            <w:r>
              <w:rPr>
                <w:rFonts w:hint="eastAsia" w:ascii="宋体" w:hAnsi="宋体" w:cs="宋体"/>
                <w:color w:val="auto"/>
                <w:sz w:val="24"/>
                <w:szCs w:val="24"/>
                <w:highlight w:val="none"/>
              </w:rPr>
              <w:t>声环境</w:t>
            </w:r>
          </w:p>
        </w:tc>
        <w:tc>
          <w:tcPr>
            <w:tcW w:w="2345" w:type="dxa"/>
            <w:gridSpan w:val="2"/>
            <w:vAlign w:val="center"/>
          </w:tcPr>
          <w:p>
            <w:pPr>
              <w:pStyle w:val="22"/>
              <w:rPr>
                <w:color w:val="auto"/>
                <w:sz w:val="24"/>
                <w:szCs w:val="24"/>
                <w:highlight w:val="none"/>
              </w:rPr>
            </w:pPr>
            <w:r>
              <w:rPr>
                <w:rFonts w:hint="eastAsia"/>
                <w:color w:val="auto"/>
                <w:sz w:val="24"/>
                <w:szCs w:val="24"/>
                <w:highlight w:val="none"/>
              </w:rPr>
              <w:t>厂界噪声</w:t>
            </w:r>
          </w:p>
        </w:tc>
        <w:tc>
          <w:tcPr>
            <w:tcW w:w="1253" w:type="dxa"/>
            <w:vAlign w:val="center"/>
          </w:tcPr>
          <w:p>
            <w:pPr>
              <w:pStyle w:val="22"/>
              <w:rPr>
                <w:color w:val="auto"/>
                <w:sz w:val="24"/>
                <w:szCs w:val="24"/>
                <w:highlight w:val="none"/>
              </w:rPr>
            </w:pPr>
            <w:r>
              <w:rPr>
                <w:rFonts w:hint="eastAsia"/>
                <w:color w:val="auto"/>
                <w:sz w:val="24"/>
                <w:szCs w:val="24"/>
                <w:highlight w:val="none"/>
              </w:rPr>
              <w:t>Leq（A）</w:t>
            </w:r>
          </w:p>
        </w:tc>
        <w:tc>
          <w:tcPr>
            <w:tcW w:w="1742" w:type="dxa"/>
            <w:vAlign w:val="center"/>
          </w:tcPr>
          <w:p>
            <w:pPr>
              <w:pStyle w:val="22"/>
              <w:rPr>
                <w:color w:val="auto"/>
                <w:sz w:val="24"/>
                <w:szCs w:val="24"/>
                <w:highlight w:val="none"/>
              </w:rPr>
            </w:pPr>
            <w:r>
              <w:rPr>
                <w:rFonts w:hint="eastAsia"/>
                <w:color w:val="auto"/>
                <w:sz w:val="24"/>
                <w:szCs w:val="24"/>
                <w:highlight w:val="none"/>
              </w:rPr>
              <w:t>选用低噪声设备、基础减振，设置隔音罩等</w:t>
            </w:r>
          </w:p>
        </w:tc>
        <w:tc>
          <w:tcPr>
            <w:tcW w:w="2431" w:type="dxa"/>
            <w:vAlign w:val="center"/>
          </w:tcPr>
          <w:p>
            <w:pPr>
              <w:pStyle w:val="22"/>
              <w:rPr>
                <w:color w:val="auto"/>
                <w:sz w:val="24"/>
                <w:szCs w:val="24"/>
                <w:highlight w:val="none"/>
              </w:rPr>
            </w:pPr>
            <w:r>
              <w:rPr>
                <w:rFonts w:hint="eastAsia"/>
                <w:color w:val="auto"/>
                <w:sz w:val="24"/>
                <w:szCs w:val="24"/>
                <w:highlight w:val="none"/>
              </w:rPr>
              <w:t>《工业企业厂界环境噪声排放标准》（GB 12348-2008）</w:t>
            </w:r>
            <w:r>
              <w:rPr>
                <w:rFonts w:hint="eastAsia"/>
                <w:color w:val="auto"/>
                <w:sz w:val="24"/>
                <w:szCs w:val="24"/>
                <w:highlight w:val="none"/>
                <w:lang w:val="en-US" w:eastAsia="zh-CN"/>
              </w:rPr>
              <w:t>2</w:t>
            </w:r>
            <w:r>
              <w:rPr>
                <w:rFonts w:hint="eastAsia"/>
                <w:color w:val="auto"/>
                <w:sz w:val="24"/>
                <w:szCs w:val="24"/>
                <w:highlight w:val="none"/>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1289" w:type="dxa"/>
            <w:vAlign w:val="center"/>
          </w:tcPr>
          <w:p>
            <w:pPr>
              <w:adjustRightInd w:val="0"/>
              <w:snapToGrid w:val="0"/>
              <w:jc w:val="center"/>
              <w:rPr>
                <w:rFonts w:ascii="宋体" w:hAnsi="宋体" w:cs="宋体"/>
                <w:color w:val="auto"/>
                <w:sz w:val="24"/>
                <w:szCs w:val="24"/>
                <w:highlight w:val="none"/>
              </w:rPr>
            </w:pPr>
            <w:r>
              <w:rPr>
                <w:rFonts w:hint="eastAsia" w:ascii="宋体" w:hAnsi="宋体" w:cs="宋体"/>
                <w:color w:val="auto"/>
                <w:sz w:val="24"/>
                <w:szCs w:val="24"/>
                <w:highlight w:val="none"/>
              </w:rPr>
              <w:t>电磁辐射</w:t>
            </w:r>
          </w:p>
        </w:tc>
        <w:tc>
          <w:tcPr>
            <w:tcW w:w="2345" w:type="dxa"/>
            <w:gridSpan w:val="2"/>
            <w:vAlign w:val="center"/>
          </w:tcPr>
          <w:p>
            <w:pPr>
              <w:jc w:val="center"/>
              <w:rPr>
                <w:rFonts w:eastAsiaTheme="minorEastAsia"/>
                <w:color w:val="auto"/>
                <w:sz w:val="24"/>
                <w:szCs w:val="24"/>
                <w:highlight w:val="none"/>
              </w:rPr>
            </w:pPr>
            <w:r>
              <w:rPr>
                <w:rFonts w:hint="eastAsia"/>
                <w:color w:val="auto"/>
                <w:sz w:val="24"/>
                <w:szCs w:val="24"/>
                <w:highlight w:val="none"/>
              </w:rPr>
              <w:t>/</w:t>
            </w:r>
          </w:p>
        </w:tc>
        <w:tc>
          <w:tcPr>
            <w:tcW w:w="1253" w:type="dxa"/>
            <w:vAlign w:val="center"/>
          </w:tcPr>
          <w:p>
            <w:pPr>
              <w:jc w:val="center"/>
              <w:rPr>
                <w:rFonts w:eastAsiaTheme="minorEastAsia"/>
                <w:color w:val="auto"/>
                <w:sz w:val="24"/>
                <w:szCs w:val="24"/>
                <w:highlight w:val="none"/>
              </w:rPr>
            </w:pPr>
            <w:r>
              <w:rPr>
                <w:rFonts w:hint="eastAsia"/>
                <w:color w:val="auto"/>
                <w:sz w:val="24"/>
                <w:szCs w:val="24"/>
                <w:highlight w:val="none"/>
              </w:rPr>
              <w:t>/</w:t>
            </w:r>
          </w:p>
        </w:tc>
        <w:tc>
          <w:tcPr>
            <w:tcW w:w="1742" w:type="dxa"/>
            <w:vAlign w:val="center"/>
          </w:tcPr>
          <w:p>
            <w:pPr>
              <w:jc w:val="center"/>
              <w:rPr>
                <w:rFonts w:eastAsiaTheme="minorEastAsia"/>
                <w:color w:val="auto"/>
                <w:sz w:val="24"/>
                <w:szCs w:val="24"/>
                <w:highlight w:val="none"/>
              </w:rPr>
            </w:pPr>
            <w:r>
              <w:rPr>
                <w:rFonts w:hint="eastAsia"/>
                <w:color w:val="auto"/>
                <w:sz w:val="24"/>
                <w:szCs w:val="24"/>
                <w:highlight w:val="none"/>
              </w:rPr>
              <w:t>/</w:t>
            </w:r>
          </w:p>
        </w:tc>
        <w:tc>
          <w:tcPr>
            <w:tcW w:w="2431" w:type="dxa"/>
            <w:vAlign w:val="center"/>
          </w:tcPr>
          <w:p>
            <w:pPr>
              <w:jc w:val="center"/>
              <w:rPr>
                <w:rFonts w:eastAsiaTheme="minorEastAsia"/>
                <w:color w:val="auto"/>
                <w:sz w:val="24"/>
                <w:szCs w:val="24"/>
                <w:highlight w:val="none"/>
              </w:rPr>
            </w:pPr>
            <w:r>
              <w:rPr>
                <w:rFonts w:hint="eastAsia"/>
                <w:color w:val="auto"/>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13" w:hRule="atLeast"/>
          <w:jc w:val="center"/>
        </w:trPr>
        <w:tc>
          <w:tcPr>
            <w:tcW w:w="1289"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固体废物</w:t>
            </w:r>
          </w:p>
        </w:tc>
        <w:tc>
          <w:tcPr>
            <w:tcW w:w="7771" w:type="dxa"/>
            <w:gridSpan w:val="5"/>
            <w:vAlign w:val="center"/>
          </w:tcPr>
          <w:p>
            <w:pPr>
              <w:pStyle w:val="12"/>
              <w:ind w:firstLine="480"/>
              <w:rPr>
                <w:color w:val="auto"/>
                <w:highlight w:val="none"/>
              </w:rPr>
            </w:pPr>
            <w:r>
              <w:rPr>
                <w:rFonts w:hint="eastAsia"/>
                <w:color w:val="auto"/>
                <w:highlight w:val="none"/>
                <w:lang w:eastAsia="zh-CN"/>
              </w:rPr>
              <w:t>本项目为二道沟公司配套建设的危险废物贮存点项目，危险废物分为两部分，一部分为收集和存储二道沟公司产生的废润滑油、废油桶、废铅蓄电池、废油漆桶，另一部分为</w:t>
            </w:r>
            <w:r>
              <w:rPr>
                <w:rFonts w:hint="eastAsia"/>
                <w:color w:val="auto"/>
                <w:highlight w:val="none"/>
                <w:lang w:val="en-US" w:eastAsia="zh-CN"/>
              </w:rPr>
              <w:t>进行收集和储存运营过程中产生的</w:t>
            </w:r>
            <w:r>
              <w:rPr>
                <w:rFonts w:hint="eastAsia"/>
                <w:color w:val="auto"/>
                <w:highlight w:val="none"/>
                <w:lang w:eastAsia="zh-CN"/>
              </w:rPr>
              <w:t>废电解液、废劳保用品等危险废物。根据种类和特性针对危险废物进行分区贮存，定期委托有资质单位进行处置。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0" w:hRule="atLeast"/>
          <w:jc w:val="center"/>
        </w:trPr>
        <w:tc>
          <w:tcPr>
            <w:tcW w:w="1289"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土壤及地下水污染防治措施</w:t>
            </w:r>
          </w:p>
        </w:tc>
        <w:tc>
          <w:tcPr>
            <w:tcW w:w="7771" w:type="dxa"/>
            <w:gridSpan w:val="5"/>
            <w:vAlign w:val="center"/>
          </w:tcPr>
          <w:p>
            <w:pPr>
              <w:pStyle w:val="12"/>
              <w:ind w:firstLine="480"/>
              <w:rPr>
                <w:rFonts w:hint="default"/>
                <w:color w:val="auto"/>
                <w:highlight w:val="none"/>
                <w:lang w:val="en-US" w:eastAsia="zh-CN"/>
              </w:rPr>
            </w:pPr>
            <w:r>
              <w:rPr>
                <w:rFonts w:hint="eastAsia"/>
                <w:color w:val="auto"/>
                <w:highlight w:val="none"/>
                <w:lang w:val="en-US" w:eastAsia="zh-CN"/>
              </w:rPr>
              <w:t>1、定期对危险废物贮存点进行检查，发现地面或防渗层破损时及时处理。</w:t>
            </w:r>
          </w:p>
          <w:p>
            <w:pPr>
              <w:pStyle w:val="12"/>
              <w:ind w:firstLine="480"/>
              <w:rPr>
                <w:rFonts w:hint="eastAsia" w:eastAsia="宋体"/>
                <w:color w:val="auto"/>
                <w:highlight w:val="none"/>
                <w:lang w:eastAsia="zh-CN"/>
              </w:rPr>
            </w:pPr>
            <w:r>
              <w:rPr>
                <w:rFonts w:hint="eastAsia"/>
                <w:color w:val="auto"/>
                <w:highlight w:val="none"/>
                <w:lang w:val="en-US" w:eastAsia="zh-CN"/>
              </w:rPr>
              <w:t>2、</w:t>
            </w:r>
            <w:r>
              <w:rPr>
                <w:rFonts w:hint="eastAsia"/>
                <w:color w:val="auto"/>
                <w:highlight w:val="none"/>
                <w:lang w:eastAsia="zh-CN"/>
              </w:rPr>
              <w:t>危险废物贮存点地面及裙脚</w:t>
            </w:r>
            <w:r>
              <w:rPr>
                <w:rFonts w:hint="eastAsia"/>
                <w:color w:val="auto"/>
                <w:highlight w:val="none"/>
              </w:rPr>
              <w:t>采取防渗</w:t>
            </w:r>
            <w:r>
              <w:rPr>
                <w:rFonts w:hint="eastAsia"/>
                <w:color w:val="auto"/>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68" w:hRule="atLeast"/>
          <w:jc w:val="center"/>
        </w:trPr>
        <w:tc>
          <w:tcPr>
            <w:tcW w:w="1289" w:type="dxa"/>
            <w:vAlign w:val="center"/>
          </w:tcPr>
          <w:p>
            <w:pPr>
              <w:adjustRightInd w:val="0"/>
              <w:snapToGrid w:val="0"/>
              <w:jc w:val="center"/>
              <w:rPr>
                <w:rFonts w:ascii="宋体" w:hAnsi="宋体" w:cs="宋体"/>
                <w:color w:val="auto"/>
                <w:szCs w:val="21"/>
                <w:highlight w:val="none"/>
              </w:rPr>
            </w:pPr>
            <w:r>
              <w:rPr>
                <w:rFonts w:hint="eastAsia" w:ascii="宋体" w:hAnsi="宋体" w:cs="宋体"/>
                <w:color w:val="auto"/>
                <w:szCs w:val="21"/>
                <w:highlight w:val="none"/>
              </w:rPr>
              <w:t>生态保护措施</w:t>
            </w:r>
          </w:p>
        </w:tc>
        <w:tc>
          <w:tcPr>
            <w:tcW w:w="7771" w:type="dxa"/>
            <w:gridSpan w:val="5"/>
            <w:vAlign w:val="center"/>
          </w:tcPr>
          <w:p>
            <w:pPr>
              <w:pStyle w:val="12"/>
              <w:ind w:firstLine="480"/>
              <w:rPr>
                <w:color w:val="auto"/>
                <w:highlight w:val="none"/>
              </w:rPr>
            </w:pPr>
            <w:r>
              <w:rPr>
                <w:rFonts w:hint="eastAsia"/>
                <w:color w:val="auto"/>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276" w:hRule="atLeast"/>
          <w:jc w:val="center"/>
        </w:trPr>
        <w:tc>
          <w:tcPr>
            <w:tcW w:w="1289" w:type="dxa"/>
            <w:vAlign w:val="center"/>
          </w:tcPr>
          <w:p>
            <w:pPr>
              <w:adjustRightInd w:val="0"/>
              <w:snapToGrid w:val="0"/>
              <w:jc w:val="center"/>
              <w:rPr>
                <w:rFonts w:ascii="宋体" w:hAnsi="宋体" w:cs="宋体"/>
                <w:color w:val="auto"/>
                <w:spacing w:val="-8"/>
                <w:szCs w:val="21"/>
                <w:highlight w:val="none"/>
              </w:rPr>
            </w:pPr>
            <w:r>
              <w:rPr>
                <w:rFonts w:hint="eastAsia" w:ascii="宋体" w:hAnsi="宋体" w:cs="宋体"/>
                <w:color w:val="auto"/>
                <w:spacing w:val="-8"/>
                <w:szCs w:val="21"/>
                <w:highlight w:val="none"/>
              </w:rPr>
              <w:t>环境风险</w:t>
            </w:r>
          </w:p>
          <w:p>
            <w:pPr>
              <w:adjustRightInd w:val="0"/>
              <w:snapToGrid w:val="0"/>
              <w:jc w:val="center"/>
              <w:rPr>
                <w:rFonts w:ascii="宋体" w:hAnsi="宋体" w:cs="宋体"/>
                <w:color w:val="auto"/>
                <w:spacing w:val="-8"/>
                <w:szCs w:val="21"/>
                <w:highlight w:val="none"/>
              </w:rPr>
            </w:pPr>
            <w:r>
              <w:rPr>
                <w:rFonts w:hint="eastAsia" w:ascii="宋体" w:hAnsi="宋体" w:cs="宋体"/>
                <w:color w:val="auto"/>
                <w:spacing w:val="-8"/>
                <w:szCs w:val="21"/>
                <w:highlight w:val="none"/>
              </w:rPr>
              <w:t>防范措施</w:t>
            </w:r>
          </w:p>
        </w:tc>
        <w:tc>
          <w:tcPr>
            <w:tcW w:w="7771" w:type="dxa"/>
            <w:gridSpan w:val="5"/>
            <w:vAlign w:val="center"/>
          </w:tcPr>
          <w:p>
            <w:pPr>
              <w:pStyle w:val="12"/>
              <w:ind w:firstLine="480"/>
              <w:rPr>
                <w:color w:val="auto"/>
                <w:highlight w:val="none"/>
              </w:rPr>
            </w:pPr>
            <w:r>
              <w:rPr>
                <w:rFonts w:hint="eastAsia"/>
                <w:color w:val="auto"/>
                <w:highlight w:val="none"/>
              </w:rPr>
              <w:t>1）设导流渠、</w:t>
            </w:r>
            <w:r>
              <w:rPr>
                <w:rFonts w:hint="eastAsia"/>
                <w:color w:val="auto"/>
                <w:highlight w:val="none"/>
                <w:lang w:eastAsia="zh-CN"/>
              </w:rPr>
              <w:t>集液池</w:t>
            </w:r>
            <w:r>
              <w:rPr>
                <w:rFonts w:hint="eastAsia"/>
                <w:color w:val="auto"/>
                <w:highlight w:val="none"/>
              </w:rPr>
              <w:t>；</w:t>
            </w:r>
          </w:p>
          <w:p>
            <w:pPr>
              <w:pStyle w:val="12"/>
              <w:ind w:firstLine="480"/>
              <w:rPr>
                <w:rFonts w:hint="eastAsia" w:ascii="Times New Roman" w:hAnsi="Times New Roman" w:eastAsia="宋体" w:cs="Times New Roman"/>
                <w:color w:val="auto"/>
                <w:highlight w:val="none"/>
                <w:lang w:eastAsia="zh-CN"/>
              </w:rPr>
            </w:pPr>
            <w:r>
              <w:rPr>
                <w:rFonts w:hint="eastAsia"/>
                <w:color w:val="auto"/>
                <w:highlight w:val="none"/>
              </w:rPr>
              <w:t>2）</w:t>
            </w:r>
            <w:r>
              <w:rPr>
                <w:rFonts w:hint="eastAsia"/>
                <w:color w:val="auto"/>
                <w:highlight w:val="none"/>
                <w:lang w:eastAsia="zh-CN"/>
              </w:rPr>
              <w:t>地面及裙</w:t>
            </w:r>
            <w:r>
              <w:rPr>
                <w:rFonts w:hint="eastAsia" w:ascii="Times New Roman" w:hAnsi="Times New Roman" w:eastAsia="宋体" w:cs="Times New Roman"/>
                <w:color w:val="auto"/>
                <w:highlight w:val="none"/>
                <w:lang w:eastAsia="zh-CN"/>
              </w:rPr>
              <w:t>角做好防渗、防腐蚀处理；</w:t>
            </w:r>
          </w:p>
          <w:p>
            <w:pPr>
              <w:pStyle w:val="12"/>
              <w:ind w:firstLine="480"/>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3）设有明显的禁火标志等；</w:t>
            </w:r>
          </w:p>
          <w:p>
            <w:pPr>
              <w:pStyle w:val="12"/>
              <w:ind w:firstLine="480"/>
              <w:rPr>
                <w:color w:val="auto"/>
                <w:highlight w:val="none"/>
              </w:rPr>
            </w:pPr>
            <w:r>
              <w:rPr>
                <w:rFonts w:hint="eastAsia" w:ascii="Times New Roman" w:hAnsi="Times New Roman" w:eastAsia="宋体" w:cs="Times New Roman"/>
                <w:color w:val="auto"/>
                <w:highlight w:val="none"/>
                <w:lang w:eastAsia="zh-CN"/>
              </w:rPr>
              <w:t>4）制定突发环境事故应急预案。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002" w:hRule="atLeast"/>
          <w:jc w:val="center"/>
        </w:trPr>
        <w:tc>
          <w:tcPr>
            <w:tcW w:w="1289" w:type="dxa"/>
            <w:vAlign w:val="center"/>
          </w:tcPr>
          <w:p>
            <w:pPr>
              <w:adjustRightInd w:val="0"/>
              <w:snapToGrid w:val="0"/>
              <w:jc w:val="center"/>
              <w:rPr>
                <w:rFonts w:ascii="宋体" w:hAnsi="宋体" w:cs="宋体"/>
                <w:color w:val="auto"/>
                <w:spacing w:val="-8"/>
                <w:szCs w:val="21"/>
                <w:highlight w:val="none"/>
              </w:rPr>
            </w:pPr>
            <w:r>
              <w:rPr>
                <w:rFonts w:hint="eastAsia" w:ascii="宋体" w:hAnsi="宋体" w:cs="宋体"/>
                <w:color w:val="auto"/>
                <w:spacing w:val="-8"/>
                <w:szCs w:val="21"/>
                <w:highlight w:val="none"/>
              </w:rPr>
              <w:t>其他环境</w:t>
            </w:r>
          </w:p>
          <w:p>
            <w:pPr>
              <w:adjustRightInd w:val="0"/>
              <w:snapToGrid w:val="0"/>
              <w:jc w:val="center"/>
              <w:rPr>
                <w:rFonts w:ascii="宋体" w:hAnsi="宋体" w:cs="宋体"/>
                <w:color w:val="auto"/>
                <w:spacing w:val="-8"/>
                <w:szCs w:val="21"/>
                <w:highlight w:val="none"/>
              </w:rPr>
            </w:pPr>
            <w:r>
              <w:rPr>
                <w:rFonts w:hint="eastAsia" w:ascii="宋体" w:hAnsi="宋体" w:cs="宋体"/>
                <w:color w:val="auto"/>
                <w:spacing w:val="-8"/>
                <w:szCs w:val="21"/>
                <w:highlight w:val="none"/>
              </w:rPr>
              <w:t>管理要求</w:t>
            </w:r>
          </w:p>
        </w:tc>
        <w:tc>
          <w:tcPr>
            <w:tcW w:w="7771" w:type="dxa"/>
            <w:gridSpan w:val="5"/>
            <w:vAlign w:val="center"/>
          </w:tcPr>
          <w:p>
            <w:pPr>
              <w:pStyle w:val="27"/>
              <w:ind w:firstLine="482"/>
              <w:rPr>
                <w:rFonts w:hint="default"/>
                <w:color w:val="auto"/>
                <w:highlight w:val="none"/>
              </w:rPr>
            </w:pPr>
            <w:r>
              <w:rPr>
                <w:color w:val="auto"/>
                <w:highlight w:val="none"/>
              </w:rPr>
              <w:t>1环保投资</w:t>
            </w:r>
          </w:p>
          <w:p>
            <w:pPr>
              <w:pStyle w:val="12"/>
              <w:ind w:firstLine="480"/>
              <w:rPr>
                <w:color w:val="auto"/>
                <w:highlight w:val="none"/>
              </w:rPr>
            </w:pPr>
            <w:r>
              <w:rPr>
                <w:color w:val="auto"/>
                <w:highlight w:val="none"/>
              </w:rPr>
              <w:t>项目总投资</w:t>
            </w:r>
            <w:r>
              <w:rPr>
                <w:rFonts w:hint="eastAsia"/>
                <w:color w:val="auto"/>
                <w:highlight w:val="none"/>
                <w:lang w:val="en-US" w:eastAsia="zh-CN"/>
              </w:rPr>
              <w:t>2.5</w:t>
            </w:r>
            <w:r>
              <w:rPr>
                <w:color w:val="auto"/>
                <w:highlight w:val="none"/>
              </w:rPr>
              <w:t>万元</w:t>
            </w:r>
            <w:r>
              <w:rPr>
                <w:rFonts w:hint="eastAsia"/>
                <w:color w:val="auto"/>
                <w:highlight w:val="none"/>
                <w:lang w:eastAsia="zh-CN"/>
              </w:rPr>
              <w:t>，</w:t>
            </w:r>
            <w:r>
              <w:rPr>
                <w:color w:val="auto"/>
                <w:highlight w:val="none"/>
              </w:rPr>
              <w:t>其中环保投资</w:t>
            </w:r>
            <w:r>
              <w:rPr>
                <w:rFonts w:hint="eastAsia"/>
                <w:color w:val="auto"/>
                <w:highlight w:val="none"/>
                <w:lang w:val="en-US" w:eastAsia="zh-CN"/>
              </w:rPr>
              <w:t>2.5</w:t>
            </w:r>
            <w:r>
              <w:rPr>
                <w:color w:val="auto"/>
                <w:highlight w:val="none"/>
              </w:rPr>
              <w:t>万元</w:t>
            </w:r>
            <w:r>
              <w:rPr>
                <w:rFonts w:hint="eastAsia"/>
                <w:color w:val="auto"/>
                <w:highlight w:val="none"/>
                <w:lang w:eastAsia="zh-CN"/>
              </w:rPr>
              <w:t>，</w:t>
            </w:r>
            <w:r>
              <w:rPr>
                <w:color w:val="auto"/>
                <w:highlight w:val="none"/>
              </w:rPr>
              <w:t>占总投资比例为</w:t>
            </w:r>
            <w:r>
              <w:rPr>
                <w:rFonts w:hint="eastAsia"/>
                <w:color w:val="auto"/>
                <w:highlight w:val="none"/>
                <w:lang w:val="en-US" w:eastAsia="zh-CN"/>
              </w:rPr>
              <w:t>100</w:t>
            </w:r>
            <w:r>
              <w:rPr>
                <w:rFonts w:hint="eastAsia"/>
                <w:color w:val="auto"/>
                <w:highlight w:val="none"/>
              </w:rPr>
              <w:t>%</w:t>
            </w:r>
            <w:r>
              <w:rPr>
                <w:color w:val="auto"/>
                <w:highlight w:val="none"/>
              </w:rPr>
              <w:t>。环保投资估算一览表见</w:t>
            </w:r>
            <w:r>
              <w:rPr>
                <w:rFonts w:hint="eastAsia"/>
                <w:color w:val="auto"/>
                <w:highlight w:val="none"/>
                <w:lang w:eastAsia="zh-CN"/>
              </w:rPr>
              <w:t>下</w:t>
            </w:r>
            <w:r>
              <w:rPr>
                <w:color w:val="auto"/>
                <w:highlight w:val="none"/>
              </w:rPr>
              <w:t>表。</w:t>
            </w:r>
          </w:p>
          <w:p>
            <w:pPr>
              <w:rPr>
                <w:color w:val="auto"/>
                <w:highlight w:val="none"/>
              </w:rPr>
            </w:pPr>
          </w:p>
          <w:p>
            <w:pPr>
              <w:pStyle w:val="23"/>
              <w:numPr>
                <w:ilvl w:val="0"/>
                <w:numId w:val="2"/>
              </w:numPr>
              <w:tabs>
                <w:tab w:val="clear" w:pos="0"/>
                <w:tab w:val="clear" w:pos="420"/>
              </w:tabs>
              <w:ind w:left="0" w:leftChars="0" w:firstLine="0" w:firstLineChars="0"/>
              <w:rPr>
                <w:color w:val="auto"/>
                <w:highlight w:val="none"/>
              </w:rPr>
            </w:pPr>
            <w:r>
              <w:rPr>
                <w:color w:val="auto"/>
                <w:highlight w:val="none"/>
              </w:rPr>
              <w:t xml:space="preserve">   环保投资估算一览表</w:t>
            </w:r>
          </w:p>
          <w:tbl>
            <w:tblPr>
              <w:tblStyle w:val="15"/>
              <w:tblW w:w="754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6"/>
              <w:gridCol w:w="1840"/>
              <w:gridCol w:w="1973"/>
              <w:gridCol w:w="1443"/>
              <w:gridCol w:w="15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76" w:type="dxa"/>
                  <w:vAlign w:val="center"/>
                </w:tcPr>
                <w:p>
                  <w:pPr>
                    <w:pStyle w:val="25"/>
                    <w:rPr>
                      <w:rFonts w:hint="default"/>
                      <w:color w:val="auto"/>
                      <w:highlight w:val="none"/>
                    </w:rPr>
                  </w:pPr>
                  <w:r>
                    <w:rPr>
                      <w:rFonts w:hint="default"/>
                      <w:color w:val="auto"/>
                      <w:highlight w:val="none"/>
                    </w:rPr>
                    <w:t>类别</w:t>
                  </w:r>
                </w:p>
              </w:tc>
              <w:tc>
                <w:tcPr>
                  <w:tcW w:w="1840" w:type="dxa"/>
                  <w:vAlign w:val="center"/>
                </w:tcPr>
                <w:p>
                  <w:pPr>
                    <w:pStyle w:val="25"/>
                    <w:rPr>
                      <w:rFonts w:hint="default"/>
                      <w:color w:val="auto"/>
                      <w:highlight w:val="none"/>
                    </w:rPr>
                  </w:pPr>
                  <w:r>
                    <w:rPr>
                      <w:rFonts w:hint="default"/>
                      <w:color w:val="auto"/>
                      <w:highlight w:val="none"/>
                    </w:rPr>
                    <w:t>部位及工序</w:t>
                  </w:r>
                </w:p>
              </w:tc>
              <w:tc>
                <w:tcPr>
                  <w:tcW w:w="1973" w:type="dxa"/>
                  <w:vAlign w:val="center"/>
                </w:tcPr>
                <w:p>
                  <w:pPr>
                    <w:pStyle w:val="25"/>
                    <w:rPr>
                      <w:rFonts w:hint="default"/>
                      <w:color w:val="auto"/>
                      <w:highlight w:val="none"/>
                    </w:rPr>
                  </w:pPr>
                  <w:r>
                    <w:rPr>
                      <w:rFonts w:hint="default"/>
                      <w:color w:val="auto"/>
                      <w:highlight w:val="none"/>
                    </w:rPr>
                    <w:t>环保措施名称</w:t>
                  </w:r>
                </w:p>
              </w:tc>
              <w:tc>
                <w:tcPr>
                  <w:tcW w:w="1443" w:type="dxa"/>
                  <w:vAlign w:val="center"/>
                </w:tcPr>
                <w:p>
                  <w:pPr>
                    <w:pStyle w:val="25"/>
                    <w:rPr>
                      <w:rFonts w:hint="default"/>
                      <w:color w:val="auto"/>
                      <w:highlight w:val="none"/>
                    </w:rPr>
                  </w:pPr>
                  <w:r>
                    <w:rPr>
                      <w:rFonts w:hint="default"/>
                      <w:color w:val="auto"/>
                      <w:highlight w:val="none"/>
                    </w:rPr>
                    <w:t>数量</w:t>
                  </w:r>
                  <w:r>
                    <w:rPr>
                      <w:color w:val="auto"/>
                      <w:highlight w:val="none"/>
                    </w:rPr>
                    <w:t>（套/台）</w:t>
                  </w:r>
                </w:p>
              </w:tc>
              <w:tc>
                <w:tcPr>
                  <w:tcW w:w="1514" w:type="dxa"/>
                  <w:vAlign w:val="center"/>
                </w:tcPr>
                <w:p>
                  <w:pPr>
                    <w:pStyle w:val="25"/>
                    <w:rPr>
                      <w:rFonts w:hint="default"/>
                      <w:color w:val="auto"/>
                      <w:highlight w:val="none"/>
                    </w:rPr>
                  </w:pPr>
                  <w:r>
                    <w:rPr>
                      <w:rFonts w:hint="default"/>
                      <w:color w:val="auto"/>
                      <w:highlight w:val="none"/>
                    </w:rPr>
                    <w:t>投资额（万元）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12" w:hRule="atLeast"/>
                <w:jc w:val="center"/>
              </w:trPr>
              <w:tc>
                <w:tcPr>
                  <w:tcW w:w="776" w:type="dxa"/>
                  <w:vAlign w:val="center"/>
                </w:tcPr>
                <w:p>
                  <w:pPr>
                    <w:pStyle w:val="22"/>
                    <w:rPr>
                      <w:rFonts w:hint="eastAsia"/>
                      <w:color w:val="auto"/>
                      <w:highlight w:val="none"/>
                      <w:lang w:val="en-US" w:eastAsia="zh-CN"/>
                    </w:rPr>
                  </w:pPr>
                  <w:r>
                    <w:rPr>
                      <w:rFonts w:hint="eastAsia"/>
                      <w:color w:val="auto"/>
                      <w:highlight w:val="none"/>
                      <w:lang w:val="en-US" w:eastAsia="zh-CN"/>
                    </w:rPr>
                    <w:t>废气</w:t>
                  </w:r>
                </w:p>
              </w:tc>
              <w:tc>
                <w:tcPr>
                  <w:tcW w:w="1840" w:type="dxa"/>
                  <w:vAlign w:val="center"/>
                </w:tcPr>
                <w:p>
                  <w:pPr>
                    <w:pStyle w:val="22"/>
                    <w:rPr>
                      <w:rFonts w:hint="eastAsia"/>
                      <w:color w:val="auto"/>
                      <w:highlight w:val="none"/>
                      <w:lang w:val="en-US" w:eastAsia="zh-CN"/>
                    </w:rPr>
                  </w:pPr>
                  <w:r>
                    <w:rPr>
                      <w:rFonts w:hint="eastAsia"/>
                      <w:color w:val="auto"/>
                      <w:highlight w:val="none"/>
                      <w:lang w:val="en-US" w:eastAsia="zh-CN"/>
                    </w:rPr>
                    <w:t>贮存产生的挥发性有机物废气</w:t>
                  </w:r>
                </w:p>
              </w:tc>
              <w:tc>
                <w:tcPr>
                  <w:tcW w:w="1973" w:type="dxa"/>
                  <w:vAlign w:val="center"/>
                </w:tcPr>
                <w:p>
                  <w:pPr>
                    <w:pStyle w:val="22"/>
                    <w:rPr>
                      <w:rFonts w:hint="eastAsia"/>
                      <w:color w:val="auto"/>
                      <w:highlight w:val="none"/>
                      <w:lang w:val="en-US" w:eastAsia="zh-CN"/>
                    </w:rPr>
                  </w:pPr>
                  <w:r>
                    <w:rPr>
                      <w:rFonts w:hint="eastAsia"/>
                      <w:color w:val="auto"/>
                      <w:highlight w:val="none"/>
                      <w:lang w:val="en-US" w:eastAsia="zh-CN"/>
                    </w:rPr>
                    <w:t>排气扇</w:t>
                  </w:r>
                </w:p>
              </w:tc>
              <w:tc>
                <w:tcPr>
                  <w:tcW w:w="1443" w:type="dxa"/>
                  <w:vAlign w:val="center"/>
                </w:tcPr>
                <w:p>
                  <w:pPr>
                    <w:pStyle w:val="22"/>
                    <w:rPr>
                      <w:rFonts w:hint="eastAsia"/>
                      <w:color w:val="auto"/>
                      <w:highlight w:val="none"/>
                      <w:lang w:val="en-US" w:eastAsia="zh-CN"/>
                    </w:rPr>
                  </w:pPr>
                  <w:r>
                    <w:rPr>
                      <w:rFonts w:hint="eastAsia"/>
                      <w:color w:val="auto"/>
                      <w:highlight w:val="none"/>
                      <w:lang w:val="en-US" w:eastAsia="zh-CN"/>
                    </w:rPr>
                    <w:t>1套</w:t>
                  </w:r>
                </w:p>
              </w:tc>
              <w:tc>
                <w:tcPr>
                  <w:tcW w:w="1514" w:type="dxa"/>
                  <w:vAlign w:val="center"/>
                </w:tcPr>
                <w:p>
                  <w:pPr>
                    <w:pStyle w:val="22"/>
                    <w:rPr>
                      <w:rFonts w:hint="default"/>
                      <w:color w:val="auto"/>
                      <w:highlight w:val="none"/>
                      <w:lang w:val="en-US" w:eastAsia="zh-CN"/>
                    </w:rPr>
                  </w:pPr>
                  <w:r>
                    <w:rPr>
                      <w:rFonts w:hint="eastAsia"/>
                      <w:color w:val="auto"/>
                      <w:highlight w:val="none"/>
                      <w:lang w:val="en-US" w:eastAsia="zh-CN"/>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776" w:type="dxa"/>
                  <w:vAlign w:val="center"/>
                </w:tcPr>
                <w:p>
                  <w:pPr>
                    <w:pStyle w:val="22"/>
                    <w:rPr>
                      <w:rFonts w:hint="eastAsia"/>
                      <w:color w:val="auto"/>
                      <w:highlight w:val="none"/>
                      <w:lang w:val="en-US" w:eastAsia="zh-CN"/>
                    </w:rPr>
                  </w:pPr>
                  <w:r>
                    <w:rPr>
                      <w:rFonts w:hint="eastAsia"/>
                      <w:color w:val="auto"/>
                      <w:highlight w:val="none"/>
                      <w:lang w:val="en-US" w:eastAsia="zh-CN"/>
                    </w:rPr>
                    <w:t>噪声</w:t>
                  </w:r>
                </w:p>
              </w:tc>
              <w:tc>
                <w:tcPr>
                  <w:tcW w:w="1840" w:type="dxa"/>
                  <w:vAlign w:val="center"/>
                </w:tcPr>
                <w:p>
                  <w:pPr>
                    <w:pStyle w:val="22"/>
                    <w:rPr>
                      <w:rFonts w:hint="eastAsia"/>
                      <w:color w:val="auto"/>
                      <w:highlight w:val="none"/>
                      <w:lang w:val="en-US" w:eastAsia="zh-CN"/>
                    </w:rPr>
                  </w:pPr>
                  <w:r>
                    <w:rPr>
                      <w:rFonts w:hint="eastAsia"/>
                      <w:color w:val="auto"/>
                      <w:highlight w:val="none"/>
                      <w:lang w:val="en-US" w:eastAsia="zh-CN"/>
                    </w:rPr>
                    <w:t>生产设备</w:t>
                  </w:r>
                </w:p>
              </w:tc>
              <w:tc>
                <w:tcPr>
                  <w:tcW w:w="1973" w:type="dxa"/>
                  <w:vAlign w:val="center"/>
                </w:tcPr>
                <w:p>
                  <w:pPr>
                    <w:pStyle w:val="22"/>
                    <w:rPr>
                      <w:rFonts w:hint="eastAsia"/>
                      <w:color w:val="auto"/>
                      <w:highlight w:val="none"/>
                      <w:lang w:val="en-US" w:eastAsia="zh-CN"/>
                    </w:rPr>
                  </w:pPr>
                  <w:r>
                    <w:rPr>
                      <w:rFonts w:hint="eastAsia"/>
                      <w:color w:val="auto"/>
                      <w:highlight w:val="none"/>
                      <w:lang w:val="en-US" w:eastAsia="zh-CN"/>
                    </w:rPr>
                    <w:t>隔声降噪设施、基础减振</w:t>
                  </w:r>
                </w:p>
              </w:tc>
              <w:tc>
                <w:tcPr>
                  <w:tcW w:w="1443" w:type="dxa"/>
                  <w:vAlign w:val="center"/>
                </w:tcPr>
                <w:p>
                  <w:pPr>
                    <w:pStyle w:val="22"/>
                    <w:rPr>
                      <w:rFonts w:hint="default"/>
                      <w:color w:val="auto"/>
                      <w:highlight w:val="none"/>
                      <w:lang w:val="en-US" w:eastAsia="zh-CN"/>
                    </w:rPr>
                  </w:pPr>
                  <w:r>
                    <w:rPr>
                      <w:rFonts w:hint="eastAsia"/>
                      <w:color w:val="auto"/>
                      <w:highlight w:val="none"/>
                      <w:lang w:val="en-US" w:eastAsia="zh-CN"/>
                    </w:rPr>
                    <w:t>/</w:t>
                  </w:r>
                </w:p>
              </w:tc>
              <w:tc>
                <w:tcPr>
                  <w:tcW w:w="1514" w:type="dxa"/>
                  <w:vAlign w:val="center"/>
                </w:tcPr>
                <w:p>
                  <w:pPr>
                    <w:pStyle w:val="22"/>
                    <w:rPr>
                      <w:rFonts w:hint="default"/>
                      <w:color w:val="auto"/>
                      <w:highlight w:val="none"/>
                      <w:lang w:val="en-US" w:eastAsia="zh-CN"/>
                    </w:rPr>
                  </w:pPr>
                  <w:r>
                    <w:rPr>
                      <w:rFonts w:hint="eastAsia"/>
                      <w:color w:val="auto"/>
                      <w:highlight w:val="none"/>
                      <w:lang w:val="en-US" w:eastAsia="zh-CN"/>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76" w:type="dxa"/>
                  <w:vAlign w:val="center"/>
                </w:tcPr>
                <w:p>
                  <w:pPr>
                    <w:pStyle w:val="22"/>
                    <w:rPr>
                      <w:rFonts w:hint="eastAsia"/>
                      <w:color w:val="auto"/>
                      <w:highlight w:val="none"/>
                      <w:lang w:val="en-US" w:eastAsia="zh-CN"/>
                    </w:rPr>
                  </w:pPr>
                  <w:r>
                    <w:rPr>
                      <w:rFonts w:hint="eastAsia"/>
                      <w:color w:val="auto"/>
                      <w:highlight w:val="none"/>
                      <w:lang w:val="en-US" w:eastAsia="zh-CN"/>
                    </w:rPr>
                    <w:t>固废</w:t>
                  </w:r>
                </w:p>
              </w:tc>
              <w:tc>
                <w:tcPr>
                  <w:tcW w:w="1840" w:type="dxa"/>
                  <w:vAlign w:val="center"/>
                </w:tcPr>
                <w:p>
                  <w:pPr>
                    <w:pStyle w:val="22"/>
                    <w:rPr>
                      <w:rFonts w:hint="eastAsia"/>
                      <w:color w:val="auto"/>
                      <w:highlight w:val="none"/>
                      <w:lang w:val="en-US" w:eastAsia="zh-CN"/>
                    </w:rPr>
                  </w:pPr>
                  <w:r>
                    <w:rPr>
                      <w:rFonts w:hint="eastAsia"/>
                      <w:color w:val="auto"/>
                      <w:highlight w:val="none"/>
                      <w:lang w:val="en-US" w:eastAsia="zh-CN"/>
                    </w:rPr>
                    <w:t>危险废物贮存点</w:t>
                  </w:r>
                </w:p>
              </w:tc>
              <w:tc>
                <w:tcPr>
                  <w:tcW w:w="1973" w:type="dxa"/>
                  <w:vAlign w:val="center"/>
                </w:tcPr>
                <w:p>
                  <w:pPr>
                    <w:pStyle w:val="22"/>
                    <w:rPr>
                      <w:rFonts w:hint="default"/>
                      <w:color w:val="auto"/>
                      <w:highlight w:val="none"/>
                      <w:lang w:val="en-US" w:eastAsia="zh-CN"/>
                    </w:rPr>
                  </w:pPr>
                  <w:r>
                    <w:rPr>
                      <w:rFonts w:hint="eastAsia"/>
                      <w:color w:val="auto"/>
                      <w:highlight w:val="none"/>
                      <w:lang w:val="en-US" w:eastAsia="zh-CN"/>
                    </w:rPr>
                    <w:t>危险废物贮存点（分区隔离）</w:t>
                  </w:r>
                </w:p>
              </w:tc>
              <w:tc>
                <w:tcPr>
                  <w:tcW w:w="1443" w:type="dxa"/>
                  <w:vAlign w:val="center"/>
                </w:tcPr>
                <w:p>
                  <w:pPr>
                    <w:pStyle w:val="22"/>
                    <w:rPr>
                      <w:rFonts w:hint="eastAsia"/>
                      <w:color w:val="auto"/>
                      <w:highlight w:val="none"/>
                      <w:lang w:val="en-US" w:eastAsia="zh-CN"/>
                    </w:rPr>
                  </w:pPr>
                  <w:r>
                    <w:rPr>
                      <w:rFonts w:hint="eastAsia"/>
                      <w:color w:val="auto"/>
                      <w:highlight w:val="none"/>
                      <w:lang w:val="en-US" w:eastAsia="zh-CN"/>
                    </w:rPr>
                    <w:t>1间</w:t>
                  </w:r>
                </w:p>
              </w:tc>
              <w:tc>
                <w:tcPr>
                  <w:tcW w:w="1514" w:type="dxa"/>
                  <w:vAlign w:val="center"/>
                </w:tcPr>
                <w:p>
                  <w:pPr>
                    <w:pStyle w:val="22"/>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7" w:hRule="atLeast"/>
                <w:jc w:val="center"/>
              </w:trPr>
              <w:tc>
                <w:tcPr>
                  <w:tcW w:w="776" w:type="dxa"/>
                  <w:vMerge w:val="restart"/>
                  <w:vAlign w:val="center"/>
                </w:tcPr>
                <w:p>
                  <w:pPr>
                    <w:pStyle w:val="22"/>
                    <w:rPr>
                      <w:rFonts w:hint="eastAsia"/>
                      <w:color w:val="auto"/>
                      <w:highlight w:val="none"/>
                      <w:lang w:val="en-US" w:eastAsia="zh-CN"/>
                    </w:rPr>
                  </w:pPr>
                  <w:r>
                    <w:rPr>
                      <w:rFonts w:hint="eastAsia"/>
                      <w:color w:val="auto"/>
                      <w:highlight w:val="none"/>
                      <w:lang w:val="en-US" w:eastAsia="zh-CN"/>
                    </w:rPr>
                    <w:t>风险</w:t>
                  </w:r>
                </w:p>
              </w:tc>
              <w:tc>
                <w:tcPr>
                  <w:tcW w:w="1840" w:type="dxa"/>
                  <w:vAlign w:val="center"/>
                </w:tcPr>
                <w:p>
                  <w:pPr>
                    <w:pStyle w:val="22"/>
                    <w:rPr>
                      <w:rFonts w:hint="eastAsia"/>
                      <w:color w:val="auto"/>
                      <w:highlight w:val="none"/>
                      <w:lang w:val="en-US" w:eastAsia="zh-CN"/>
                    </w:rPr>
                  </w:pPr>
                  <w:r>
                    <w:rPr>
                      <w:rFonts w:hint="eastAsia"/>
                      <w:color w:val="auto"/>
                      <w:highlight w:val="none"/>
                      <w:lang w:val="en-US" w:eastAsia="zh-CN"/>
                    </w:rPr>
                    <w:t>导流渠</w:t>
                  </w:r>
                </w:p>
              </w:tc>
              <w:tc>
                <w:tcPr>
                  <w:tcW w:w="1973" w:type="dxa"/>
                  <w:vAlign w:val="center"/>
                </w:tcPr>
                <w:p>
                  <w:pPr>
                    <w:pStyle w:val="22"/>
                    <w:ind w:firstLine="0" w:firstLineChars="0"/>
                    <w:rPr>
                      <w:rFonts w:hint="eastAsia"/>
                      <w:color w:val="auto"/>
                      <w:highlight w:val="none"/>
                      <w:lang w:val="en-US" w:eastAsia="zh-CN"/>
                    </w:rPr>
                  </w:pPr>
                  <w:r>
                    <w:rPr>
                      <w:rFonts w:hint="eastAsia"/>
                      <w:color w:val="auto"/>
                      <w:highlight w:val="none"/>
                      <w:lang w:val="en-US" w:eastAsia="zh-CN"/>
                    </w:rPr>
                    <w:t>导流渠</w:t>
                  </w:r>
                </w:p>
              </w:tc>
              <w:tc>
                <w:tcPr>
                  <w:tcW w:w="1443" w:type="dxa"/>
                  <w:vAlign w:val="center"/>
                </w:tcPr>
                <w:p>
                  <w:pPr>
                    <w:pStyle w:val="22"/>
                    <w:rPr>
                      <w:rFonts w:hint="default"/>
                      <w:color w:val="auto"/>
                      <w:highlight w:val="none"/>
                      <w:lang w:val="en-US" w:eastAsia="zh-CN"/>
                    </w:rPr>
                  </w:pPr>
                  <w:r>
                    <w:rPr>
                      <w:rFonts w:hint="eastAsia"/>
                      <w:color w:val="auto"/>
                      <w:highlight w:val="none"/>
                      <w:lang w:val="en-US" w:eastAsia="zh-CN"/>
                    </w:rPr>
                    <w:t>-</w:t>
                  </w:r>
                </w:p>
              </w:tc>
              <w:tc>
                <w:tcPr>
                  <w:tcW w:w="1514" w:type="dxa"/>
                  <w:vAlign w:val="center"/>
                </w:tcPr>
                <w:p>
                  <w:pPr>
                    <w:pStyle w:val="22"/>
                    <w:rPr>
                      <w:rFonts w:hint="default"/>
                      <w:color w:val="auto"/>
                      <w:highlight w:val="none"/>
                      <w:lang w:val="en-US" w:eastAsia="zh-CN"/>
                    </w:rPr>
                  </w:pPr>
                  <w:r>
                    <w:rPr>
                      <w:rFonts w:hint="eastAsia"/>
                      <w:color w:val="auto"/>
                      <w:highlight w:val="none"/>
                      <w:lang w:val="en-US" w:eastAsia="zh-CN"/>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1" w:hRule="atLeast"/>
                <w:jc w:val="center"/>
              </w:trPr>
              <w:tc>
                <w:tcPr>
                  <w:tcW w:w="776" w:type="dxa"/>
                  <w:vMerge w:val="continue"/>
                  <w:vAlign w:val="center"/>
                </w:tcPr>
                <w:p>
                  <w:pPr>
                    <w:pStyle w:val="22"/>
                    <w:rPr>
                      <w:rFonts w:hint="eastAsia"/>
                      <w:color w:val="auto"/>
                      <w:highlight w:val="none"/>
                      <w:lang w:val="en-US" w:eastAsia="zh-CN"/>
                    </w:rPr>
                  </w:pPr>
                </w:p>
              </w:tc>
              <w:tc>
                <w:tcPr>
                  <w:tcW w:w="1840" w:type="dxa"/>
                  <w:vAlign w:val="center"/>
                </w:tcPr>
                <w:p>
                  <w:pPr>
                    <w:pStyle w:val="22"/>
                    <w:rPr>
                      <w:rFonts w:hint="eastAsia"/>
                      <w:color w:val="auto"/>
                      <w:highlight w:val="none"/>
                      <w:lang w:val="en-US" w:eastAsia="zh-CN"/>
                    </w:rPr>
                  </w:pPr>
                  <w:r>
                    <w:rPr>
                      <w:rFonts w:hint="eastAsia"/>
                      <w:color w:val="auto"/>
                      <w:highlight w:val="none"/>
                      <w:lang w:val="en-US" w:eastAsia="zh-CN"/>
                    </w:rPr>
                    <w:t>集液池</w:t>
                  </w:r>
                </w:p>
              </w:tc>
              <w:tc>
                <w:tcPr>
                  <w:tcW w:w="1973" w:type="dxa"/>
                  <w:vAlign w:val="center"/>
                </w:tcPr>
                <w:p>
                  <w:pPr>
                    <w:pStyle w:val="22"/>
                    <w:ind w:firstLine="0" w:firstLineChars="0"/>
                    <w:rPr>
                      <w:rFonts w:hint="eastAsia"/>
                      <w:color w:val="auto"/>
                      <w:highlight w:val="none"/>
                      <w:lang w:val="en-US" w:eastAsia="zh-CN"/>
                    </w:rPr>
                  </w:pPr>
                  <w:r>
                    <w:rPr>
                      <w:rFonts w:hint="eastAsia"/>
                      <w:color w:val="auto"/>
                      <w:highlight w:val="none"/>
                      <w:lang w:val="en-US" w:eastAsia="zh-CN"/>
                    </w:rPr>
                    <w:t>集液池</w:t>
                  </w:r>
                </w:p>
              </w:tc>
              <w:tc>
                <w:tcPr>
                  <w:tcW w:w="1443" w:type="dxa"/>
                  <w:vAlign w:val="center"/>
                </w:tcPr>
                <w:p>
                  <w:pPr>
                    <w:pStyle w:val="22"/>
                    <w:rPr>
                      <w:rFonts w:hint="default"/>
                      <w:color w:val="auto"/>
                      <w:highlight w:val="none"/>
                      <w:lang w:val="en-US" w:eastAsia="zh-CN"/>
                    </w:rPr>
                  </w:pPr>
                  <w:r>
                    <w:rPr>
                      <w:rFonts w:hint="eastAsia"/>
                      <w:color w:val="auto"/>
                      <w:highlight w:val="none"/>
                      <w:lang w:val="en-US" w:eastAsia="zh-CN"/>
                    </w:rPr>
                    <w:t>1m</w:t>
                  </w:r>
                  <w:r>
                    <w:rPr>
                      <w:rFonts w:hint="eastAsia"/>
                      <w:color w:val="auto"/>
                      <w:highlight w:val="none"/>
                      <w:vertAlign w:val="superscript"/>
                      <w:lang w:val="en-US" w:eastAsia="zh-CN"/>
                    </w:rPr>
                    <w:t>3</w:t>
                  </w:r>
                </w:p>
              </w:tc>
              <w:tc>
                <w:tcPr>
                  <w:tcW w:w="1514" w:type="dxa"/>
                  <w:vAlign w:val="center"/>
                </w:tcPr>
                <w:p>
                  <w:pPr>
                    <w:pStyle w:val="22"/>
                    <w:rPr>
                      <w:rFonts w:hint="default"/>
                      <w:color w:val="auto"/>
                      <w:highlight w:val="none"/>
                      <w:lang w:val="en-US" w:eastAsia="zh-CN"/>
                    </w:rPr>
                  </w:pPr>
                  <w:r>
                    <w:rPr>
                      <w:rFonts w:hint="eastAsia"/>
                      <w:color w:val="auto"/>
                      <w:highlight w:val="none"/>
                      <w:lang w:val="en-US" w:eastAsia="zh-CN"/>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76" w:type="dxa"/>
                  <w:vMerge w:val="restart"/>
                  <w:vAlign w:val="center"/>
                </w:tcPr>
                <w:p>
                  <w:pPr>
                    <w:pStyle w:val="22"/>
                    <w:rPr>
                      <w:color w:val="auto"/>
                      <w:highlight w:val="none"/>
                    </w:rPr>
                  </w:pPr>
                  <w:r>
                    <w:rPr>
                      <w:rFonts w:hint="eastAsia"/>
                      <w:color w:val="auto"/>
                      <w:highlight w:val="none"/>
                    </w:rPr>
                    <w:t>其他</w:t>
                  </w:r>
                </w:p>
              </w:tc>
              <w:tc>
                <w:tcPr>
                  <w:tcW w:w="1840" w:type="dxa"/>
                  <w:vAlign w:val="center"/>
                </w:tcPr>
                <w:p>
                  <w:pPr>
                    <w:pStyle w:val="22"/>
                    <w:rPr>
                      <w:color w:val="auto"/>
                      <w:highlight w:val="none"/>
                    </w:rPr>
                  </w:pPr>
                  <w:r>
                    <w:rPr>
                      <w:rFonts w:hint="eastAsia"/>
                      <w:color w:val="auto"/>
                      <w:highlight w:val="none"/>
                    </w:rPr>
                    <w:t>防渗</w:t>
                  </w:r>
                </w:p>
              </w:tc>
              <w:tc>
                <w:tcPr>
                  <w:tcW w:w="1973" w:type="dxa"/>
                  <w:vAlign w:val="center"/>
                </w:tcPr>
                <w:p>
                  <w:pPr>
                    <w:pStyle w:val="22"/>
                    <w:rPr>
                      <w:color w:val="auto"/>
                      <w:highlight w:val="none"/>
                    </w:rPr>
                  </w:pPr>
                  <w:r>
                    <w:rPr>
                      <w:rFonts w:hint="eastAsia"/>
                      <w:color w:val="auto"/>
                      <w:highlight w:val="none"/>
                    </w:rPr>
                    <w:t>车间地面重点防渗</w:t>
                  </w:r>
                </w:p>
              </w:tc>
              <w:tc>
                <w:tcPr>
                  <w:tcW w:w="1443" w:type="dxa"/>
                  <w:vAlign w:val="center"/>
                </w:tcPr>
                <w:p>
                  <w:pPr>
                    <w:pStyle w:val="22"/>
                    <w:rPr>
                      <w:color w:val="auto"/>
                      <w:highlight w:val="none"/>
                    </w:rPr>
                  </w:pPr>
                  <w:r>
                    <w:rPr>
                      <w:rFonts w:hint="eastAsia"/>
                      <w:color w:val="auto"/>
                      <w:highlight w:val="none"/>
                      <w:lang w:val="en-US" w:eastAsia="zh-CN"/>
                    </w:rPr>
                    <w:t>121.52</w:t>
                  </w:r>
                  <w:r>
                    <w:rPr>
                      <w:rFonts w:hint="eastAsia"/>
                      <w:color w:val="auto"/>
                      <w:highlight w:val="none"/>
                    </w:rPr>
                    <w:t>m</w:t>
                  </w:r>
                  <w:r>
                    <w:rPr>
                      <w:rFonts w:hint="eastAsia"/>
                      <w:color w:val="auto"/>
                      <w:highlight w:val="none"/>
                      <w:vertAlign w:val="superscript"/>
                    </w:rPr>
                    <w:t>2</w:t>
                  </w:r>
                </w:p>
              </w:tc>
              <w:tc>
                <w:tcPr>
                  <w:tcW w:w="1514"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776" w:type="dxa"/>
                  <w:vMerge w:val="continue"/>
                  <w:vAlign w:val="center"/>
                </w:tcPr>
                <w:p>
                  <w:pPr>
                    <w:pStyle w:val="22"/>
                    <w:rPr>
                      <w:color w:val="auto"/>
                      <w:highlight w:val="none"/>
                    </w:rPr>
                  </w:pPr>
                </w:p>
              </w:tc>
              <w:tc>
                <w:tcPr>
                  <w:tcW w:w="1840" w:type="dxa"/>
                  <w:vAlign w:val="center"/>
                </w:tcPr>
                <w:p>
                  <w:pPr>
                    <w:pStyle w:val="22"/>
                    <w:rPr>
                      <w:color w:val="auto"/>
                      <w:highlight w:val="none"/>
                    </w:rPr>
                  </w:pPr>
                  <w:r>
                    <w:rPr>
                      <w:rFonts w:hint="eastAsia"/>
                      <w:color w:val="auto"/>
                      <w:highlight w:val="none"/>
                    </w:rPr>
                    <w:t>环保标识</w:t>
                  </w:r>
                </w:p>
              </w:tc>
              <w:tc>
                <w:tcPr>
                  <w:tcW w:w="1973" w:type="dxa"/>
                  <w:vAlign w:val="center"/>
                </w:tcPr>
                <w:p>
                  <w:pPr>
                    <w:pStyle w:val="22"/>
                    <w:rPr>
                      <w:color w:val="auto"/>
                      <w:highlight w:val="none"/>
                    </w:rPr>
                  </w:pPr>
                  <w:r>
                    <w:rPr>
                      <w:rFonts w:hint="eastAsia"/>
                      <w:color w:val="auto"/>
                      <w:highlight w:val="none"/>
                    </w:rPr>
                    <w:t>-</w:t>
                  </w:r>
                </w:p>
              </w:tc>
              <w:tc>
                <w:tcPr>
                  <w:tcW w:w="1443" w:type="dxa"/>
                  <w:vAlign w:val="center"/>
                </w:tcPr>
                <w:p>
                  <w:pPr>
                    <w:pStyle w:val="22"/>
                    <w:rPr>
                      <w:color w:val="auto"/>
                      <w:highlight w:val="none"/>
                    </w:rPr>
                  </w:pPr>
                  <w:r>
                    <w:rPr>
                      <w:color w:val="auto"/>
                      <w:highlight w:val="none"/>
                    </w:rPr>
                    <w:t>若干</w:t>
                  </w:r>
                </w:p>
              </w:tc>
              <w:tc>
                <w:tcPr>
                  <w:tcW w:w="1514"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6032" w:type="dxa"/>
                  <w:gridSpan w:val="4"/>
                  <w:vAlign w:val="center"/>
                </w:tcPr>
                <w:p>
                  <w:pPr>
                    <w:pStyle w:val="22"/>
                    <w:rPr>
                      <w:color w:val="auto"/>
                      <w:highlight w:val="none"/>
                    </w:rPr>
                  </w:pPr>
                  <w:r>
                    <w:rPr>
                      <w:color w:val="auto"/>
                      <w:highlight w:val="none"/>
                    </w:rPr>
                    <w:t>合计</w:t>
                  </w:r>
                </w:p>
              </w:tc>
              <w:tc>
                <w:tcPr>
                  <w:tcW w:w="1514" w:type="dxa"/>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2.5</w:t>
                  </w:r>
                </w:p>
              </w:tc>
            </w:tr>
          </w:tbl>
          <w:p>
            <w:pPr>
              <w:pStyle w:val="27"/>
              <w:ind w:firstLine="482"/>
              <w:rPr>
                <w:rFonts w:hint="default"/>
                <w:color w:val="auto"/>
                <w:highlight w:val="none"/>
              </w:rPr>
            </w:pPr>
            <w:r>
              <w:rPr>
                <w:color w:val="auto"/>
                <w:highlight w:val="none"/>
              </w:rPr>
              <w:t>2环保验收</w:t>
            </w:r>
          </w:p>
          <w:p>
            <w:pPr>
              <w:pStyle w:val="12"/>
              <w:ind w:firstLine="480"/>
              <w:rPr>
                <w:color w:val="auto"/>
                <w:highlight w:val="none"/>
              </w:rPr>
            </w:pPr>
            <w:r>
              <w:rPr>
                <w:rFonts w:hint="eastAsia"/>
                <w:color w:val="auto"/>
                <w:highlight w:val="none"/>
              </w:rPr>
              <w:t>根据《关于发布〈建设项目竣工环境保护验收暂行办法〉的公告》（国环规环评[2017]4号）建设项目需要配套建设污染防治设施。</w:t>
            </w:r>
          </w:p>
          <w:p>
            <w:pPr>
              <w:pStyle w:val="12"/>
              <w:ind w:firstLine="480"/>
              <w:rPr>
                <w:color w:val="auto"/>
                <w:highlight w:val="none"/>
              </w:rPr>
            </w:pPr>
            <w:r>
              <w:rPr>
                <w:rFonts w:hint="eastAsia"/>
                <w:color w:val="auto"/>
                <w:highlight w:val="none"/>
              </w:rPr>
              <w:t>从2017年11月20日开始</w:t>
            </w:r>
            <w:r>
              <w:rPr>
                <w:rFonts w:hint="eastAsia"/>
                <w:color w:val="auto"/>
                <w:highlight w:val="none"/>
                <w:lang w:eastAsia="zh-CN"/>
              </w:rPr>
              <w:t>，</w:t>
            </w:r>
            <w:r>
              <w:rPr>
                <w:rFonts w:hint="eastAsia"/>
                <w:color w:val="auto"/>
                <w:highlight w:val="none"/>
              </w:rPr>
              <w:t>建设单位是建设项目竣工环境保护验收的责任主体</w:t>
            </w:r>
            <w:r>
              <w:rPr>
                <w:rFonts w:hint="eastAsia"/>
                <w:color w:val="auto"/>
                <w:highlight w:val="none"/>
                <w:lang w:eastAsia="zh-CN"/>
              </w:rPr>
              <w:t>，</w:t>
            </w:r>
            <w:r>
              <w:rPr>
                <w:rFonts w:hint="eastAsia"/>
                <w:color w:val="auto"/>
                <w:highlight w:val="none"/>
              </w:rPr>
              <w:t>应当按照《建设项目竣工环境保护验收暂行办法》规定的程序和标准</w:t>
            </w:r>
            <w:r>
              <w:rPr>
                <w:rFonts w:hint="eastAsia"/>
                <w:color w:val="auto"/>
                <w:highlight w:val="none"/>
                <w:lang w:eastAsia="zh-CN"/>
              </w:rPr>
              <w:t>，</w:t>
            </w:r>
            <w:r>
              <w:rPr>
                <w:rFonts w:hint="eastAsia"/>
                <w:color w:val="auto"/>
                <w:highlight w:val="none"/>
              </w:rPr>
              <w:t>组织对配套建设的环境保护设施进行验收</w:t>
            </w:r>
            <w:r>
              <w:rPr>
                <w:rFonts w:hint="eastAsia"/>
                <w:color w:val="auto"/>
                <w:highlight w:val="none"/>
                <w:lang w:eastAsia="zh-CN"/>
              </w:rPr>
              <w:t>，</w:t>
            </w:r>
            <w:r>
              <w:rPr>
                <w:rFonts w:hint="eastAsia"/>
                <w:color w:val="auto"/>
                <w:highlight w:val="none"/>
              </w:rPr>
              <w:t>编制验收报告</w:t>
            </w:r>
            <w:r>
              <w:rPr>
                <w:rFonts w:hint="eastAsia"/>
                <w:color w:val="auto"/>
                <w:highlight w:val="none"/>
                <w:lang w:eastAsia="zh-CN"/>
              </w:rPr>
              <w:t>，</w:t>
            </w:r>
            <w:r>
              <w:rPr>
                <w:rFonts w:hint="eastAsia"/>
                <w:color w:val="auto"/>
                <w:highlight w:val="none"/>
              </w:rPr>
              <w:t>公开相关信息</w:t>
            </w:r>
            <w:r>
              <w:rPr>
                <w:rFonts w:hint="eastAsia"/>
                <w:color w:val="auto"/>
                <w:highlight w:val="none"/>
                <w:lang w:eastAsia="zh-CN"/>
              </w:rPr>
              <w:t>，</w:t>
            </w:r>
            <w:r>
              <w:rPr>
                <w:rFonts w:hint="eastAsia"/>
                <w:color w:val="auto"/>
                <w:highlight w:val="none"/>
              </w:rPr>
              <w:t>接受社会监督</w:t>
            </w:r>
            <w:r>
              <w:rPr>
                <w:rFonts w:hint="eastAsia"/>
                <w:color w:val="auto"/>
                <w:highlight w:val="none"/>
                <w:lang w:eastAsia="zh-CN"/>
              </w:rPr>
              <w:t>，</w:t>
            </w:r>
            <w:r>
              <w:rPr>
                <w:rFonts w:hint="eastAsia"/>
                <w:color w:val="auto"/>
                <w:highlight w:val="none"/>
              </w:rPr>
              <w:t>确保建设项目需要配套建设的环境保护设施与主体工程同时投产或者使用</w:t>
            </w:r>
            <w:r>
              <w:rPr>
                <w:rFonts w:hint="eastAsia"/>
                <w:color w:val="auto"/>
                <w:highlight w:val="none"/>
                <w:lang w:eastAsia="zh-CN"/>
              </w:rPr>
              <w:t>，</w:t>
            </w:r>
            <w:r>
              <w:rPr>
                <w:rFonts w:hint="eastAsia"/>
                <w:color w:val="auto"/>
                <w:highlight w:val="none"/>
              </w:rPr>
              <w:t>并对验收内容、结论和所公开信息的真实性、准确性和完整性负责</w:t>
            </w:r>
            <w:r>
              <w:rPr>
                <w:rFonts w:hint="eastAsia"/>
                <w:color w:val="auto"/>
                <w:highlight w:val="none"/>
                <w:lang w:eastAsia="zh-CN"/>
              </w:rPr>
              <w:t>，</w:t>
            </w:r>
            <w:r>
              <w:rPr>
                <w:rFonts w:hint="eastAsia"/>
                <w:color w:val="auto"/>
                <w:highlight w:val="none"/>
              </w:rPr>
              <w:t>不得在验收过程中弄虚作假。</w:t>
            </w:r>
          </w:p>
          <w:p>
            <w:pPr>
              <w:pStyle w:val="12"/>
              <w:ind w:firstLine="480"/>
              <w:rPr>
                <w:color w:val="auto"/>
                <w:highlight w:val="none"/>
              </w:rPr>
            </w:pPr>
            <w:r>
              <w:rPr>
                <w:color w:val="auto"/>
                <w:highlight w:val="none"/>
              </w:rPr>
              <w:t>本项目环境保护的竣工验收见</w:t>
            </w:r>
            <w:r>
              <w:rPr>
                <w:rFonts w:hint="eastAsia"/>
                <w:color w:val="auto"/>
                <w:highlight w:val="none"/>
                <w:lang w:eastAsia="zh-CN"/>
              </w:rPr>
              <w:t>下</w:t>
            </w:r>
            <w:r>
              <w:rPr>
                <w:color w:val="auto"/>
                <w:highlight w:val="none"/>
              </w:rPr>
              <w:t>表。</w:t>
            </w:r>
          </w:p>
          <w:p>
            <w:pPr>
              <w:pStyle w:val="23"/>
              <w:numPr>
                <w:ilvl w:val="0"/>
                <w:numId w:val="2"/>
              </w:numPr>
              <w:bidi w:val="0"/>
              <w:rPr>
                <w:color w:val="auto"/>
                <w:highlight w:val="none"/>
              </w:rPr>
            </w:pPr>
            <w:r>
              <w:rPr>
                <w:color w:val="auto"/>
                <w:highlight w:val="none"/>
              </w:rPr>
              <w:t xml:space="preserve">   环境保护竣工验收一览表</w:t>
            </w:r>
          </w:p>
          <w:tbl>
            <w:tblPr>
              <w:tblStyle w:val="15"/>
              <w:tblW w:w="755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426"/>
              <w:gridCol w:w="1254"/>
              <w:gridCol w:w="1812"/>
              <w:gridCol w:w="1478"/>
              <w:gridCol w:w="21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6" w:hRule="atLeast"/>
              </w:trPr>
              <w:tc>
                <w:tcPr>
                  <w:tcW w:w="427" w:type="dxa"/>
                  <w:tcBorders>
                    <w:tl2br w:val="nil"/>
                    <w:tr2bl w:val="nil"/>
                  </w:tcBorders>
                  <w:vAlign w:val="center"/>
                </w:tcPr>
                <w:p>
                  <w:pPr>
                    <w:pStyle w:val="25"/>
                    <w:rPr>
                      <w:rFonts w:hint="default"/>
                      <w:color w:val="auto"/>
                      <w:highlight w:val="none"/>
                    </w:rPr>
                  </w:pPr>
                  <w:r>
                    <w:rPr>
                      <w:rFonts w:hint="default"/>
                      <w:color w:val="auto"/>
                      <w:highlight w:val="none"/>
                    </w:rPr>
                    <w:t>项目</w:t>
                  </w:r>
                </w:p>
              </w:tc>
              <w:tc>
                <w:tcPr>
                  <w:tcW w:w="1680" w:type="dxa"/>
                  <w:gridSpan w:val="2"/>
                  <w:tcBorders>
                    <w:tl2br w:val="nil"/>
                    <w:tr2bl w:val="nil"/>
                  </w:tcBorders>
                  <w:vAlign w:val="center"/>
                </w:tcPr>
                <w:p>
                  <w:pPr>
                    <w:pStyle w:val="25"/>
                    <w:rPr>
                      <w:rFonts w:hint="default"/>
                      <w:color w:val="auto"/>
                      <w:highlight w:val="none"/>
                    </w:rPr>
                  </w:pPr>
                  <w:r>
                    <w:rPr>
                      <w:color w:val="auto"/>
                      <w:highlight w:val="none"/>
                    </w:rPr>
                    <w:t>污染源</w:t>
                  </w:r>
                </w:p>
              </w:tc>
              <w:tc>
                <w:tcPr>
                  <w:tcW w:w="1812" w:type="dxa"/>
                  <w:tcBorders>
                    <w:tl2br w:val="nil"/>
                    <w:tr2bl w:val="nil"/>
                  </w:tcBorders>
                  <w:vAlign w:val="center"/>
                </w:tcPr>
                <w:p>
                  <w:pPr>
                    <w:pStyle w:val="25"/>
                    <w:rPr>
                      <w:rFonts w:hint="default"/>
                      <w:color w:val="auto"/>
                      <w:highlight w:val="none"/>
                    </w:rPr>
                  </w:pPr>
                  <w:r>
                    <w:rPr>
                      <w:rFonts w:hint="default"/>
                      <w:color w:val="auto"/>
                      <w:highlight w:val="none"/>
                    </w:rPr>
                    <w:t>处理措施</w:t>
                  </w:r>
                </w:p>
              </w:tc>
              <w:tc>
                <w:tcPr>
                  <w:tcW w:w="1478" w:type="dxa"/>
                  <w:tcBorders>
                    <w:tl2br w:val="nil"/>
                    <w:tr2bl w:val="nil"/>
                  </w:tcBorders>
                  <w:vAlign w:val="center"/>
                </w:tcPr>
                <w:p>
                  <w:pPr>
                    <w:pStyle w:val="25"/>
                    <w:rPr>
                      <w:rFonts w:hint="eastAsia" w:eastAsiaTheme="minorEastAsia"/>
                      <w:color w:val="auto"/>
                      <w:highlight w:val="none"/>
                      <w:lang w:eastAsia="zh-CN"/>
                    </w:rPr>
                  </w:pPr>
                  <w:r>
                    <w:rPr>
                      <w:rFonts w:hint="eastAsia"/>
                      <w:color w:val="auto"/>
                      <w:highlight w:val="none"/>
                      <w:lang w:eastAsia="zh-CN"/>
                    </w:rPr>
                    <w:t>监测因子</w:t>
                  </w:r>
                </w:p>
              </w:tc>
              <w:tc>
                <w:tcPr>
                  <w:tcW w:w="2155" w:type="dxa"/>
                  <w:tcBorders>
                    <w:tl2br w:val="nil"/>
                    <w:tr2bl w:val="nil"/>
                  </w:tcBorders>
                  <w:vAlign w:val="center"/>
                </w:tcPr>
                <w:p>
                  <w:pPr>
                    <w:pStyle w:val="25"/>
                    <w:rPr>
                      <w:rFonts w:hint="default"/>
                      <w:color w:val="auto"/>
                      <w:highlight w:val="none"/>
                    </w:rPr>
                  </w:pPr>
                  <w:r>
                    <w:rPr>
                      <w:rFonts w:hint="default"/>
                      <w:color w:val="auto"/>
                      <w:highlight w:val="none"/>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2" w:hRule="atLeast"/>
              </w:trPr>
              <w:tc>
                <w:tcPr>
                  <w:tcW w:w="427" w:type="dxa"/>
                  <w:tcBorders>
                    <w:tl2br w:val="nil"/>
                    <w:tr2bl w:val="nil"/>
                  </w:tcBorders>
                  <w:vAlign w:val="center"/>
                </w:tcPr>
                <w:p>
                  <w:pPr>
                    <w:pStyle w:val="22"/>
                    <w:rPr>
                      <w:color w:val="auto"/>
                      <w:highlight w:val="none"/>
                    </w:rPr>
                  </w:pPr>
                  <w:r>
                    <w:rPr>
                      <w:color w:val="auto"/>
                      <w:highlight w:val="none"/>
                    </w:rPr>
                    <w:t>废气</w:t>
                  </w:r>
                </w:p>
              </w:tc>
              <w:tc>
                <w:tcPr>
                  <w:tcW w:w="426" w:type="dxa"/>
                  <w:tcBorders>
                    <w:tl2br w:val="nil"/>
                    <w:tr2bl w:val="nil"/>
                  </w:tcBorders>
                  <w:vAlign w:val="center"/>
                </w:tcPr>
                <w:p>
                  <w:pPr>
                    <w:pStyle w:val="22"/>
                    <w:rPr>
                      <w:color w:val="auto"/>
                      <w:highlight w:val="none"/>
                    </w:rPr>
                  </w:pPr>
                  <w:r>
                    <w:rPr>
                      <w:rFonts w:hint="eastAsia"/>
                      <w:color w:val="auto"/>
                      <w:highlight w:val="none"/>
                    </w:rPr>
                    <w:t>无组织</w:t>
                  </w:r>
                </w:p>
              </w:tc>
              <w:tc>
                <w:tcPr>
                  <w:tcW w:w="1254" w:type="dxa"/>
                  <w:tcBorders>
                    <w:tl2br w:val="nil"/>
                    <w:tr2bl w:val="nil"/>
                  </w:tcBorders>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贮存产生的挥发性有机物废气</w:t>
                  </w:r>
                </w:p>
              </w:tc>
              <w:tc>
                <w:tcPr>
                  <w:tcW w:w="1812" w:type="dxa"/>
                  <w:tcBorders>
                    <w:tl2br w:val="nil"/>
                    <w:tr2bl w:val="nil"/>
                  </w:tcBorders>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加盖贮存，排风扇</w:t>
                  </w:r>
                </w:p>
              </w:tc>
              <w:tc>
                <w:tcPr>
                  <w:tcW w:w="1478" w:type="dxa"/>
                  <w:tcBorders>
                    <w:tl2br w:val="nil"/>
                    <w:tr2bl w:val="nil"/>
                  </w:tcBorders>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厂界非甲烷总烃、厂区内车间外非甲烷总烃</w:t>
                  </w:r>
                </w:p>
              </w:tc>
              <w:tc>
                <w:tcPr>
                  <w:tcW w:w="2155" w:type="dxa"/>
                  <w:tcBorders>
                    <w:tl2br w:val="nil"/>
                    <w:tr2bl w:val="nil"/>
                  </w:tcBorders>
                  <w:vAlign w:val="center"/>
                </w:tcPr>
                <w:p>
                  <w:pPr>
                    <w:pStyle w:val="22"/>
                    <w:rPr>
                      <w:color w:val="auto"/>
                      <w:highlight w:val="none"/>
                    </w:rPr>
                  </w:pPr>
                  <w:r>
                    <w:rPr>
                      <w:rFonts w:hint="eastAsia"/>
                      <w:color w:val="auto"/>
                      <w:highlight w:val="none"/>
                      <w:lang w:eastAsia="zh-CN"/>
                    </w:rPr>
                    <w:t>厂界执行</w:t>
                  </w:r>
                  <w:r>
                    <w:rPr>
                      <w:rFonts w:hint="eastAsia"/>
                      <w:color w:val="auto"/>
                      <w:highlight w:val="none"/>
                    </w:rPr>
                    <w:t>《大气污染物综合排放标准》（GB16297-1996）</w:t>
                  </w:r>
                  <w:r>
                    <w:rPr>
                      <w:rFonts w:hint="eastAsia"/>
                      <w:color w:val="auto"/>
                      <w:highlight w:val="none"/>
                      <w:lang w:eastAsia="zh-CN"/>
                    </w:rPr>
                    <w:t>；厂区内执行</w:t>
                  </w:r>
                  <w:r>
                    <w:rPr>
                      <w:rFonts w:hint="eastAsia"/>
                      <w:color w:val="auto"/>
                      <w:highlight w:val="none"/>
                    </w:rPr>
                    <w:t>《挥发性有机物无组织排放控制标准》（GB 37822-2019）厂房外监控点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2" w:hRule="atLeast"/>
              </w:trPr>
              <w:tc>
                <w:tcPr>
                  <w:tcW w:w="427" w:type="dxa"/>
                  <w:tcBorders>
                    <w:tl2br w:val="nil"/>
                    <w:tr2bl w:val="nil"/>
                  </w:tcBorders>
                  <w:vAlign w:val="center"/>
                </w:tcPr>
                <w:p>
                  <w:pPr>
                    <w:pStyle w:val="22"/>
                    <w:rPr>
                      <w:color w:val="auto"/>
                      <w:highlight w:val="none"/>
                    </w:rPr>
                  </w:pPr>
                  <w:r>
                    <w:rPr>
                      <w:color w:val="auto"/>
                      <w:highlight w:val="none"/>
                    </w:rPr>
                    <w:t>噪声</w:t>
                  </w:r>
                </w:p>
              </w:tc>
              <w:tc>
                <w:tcPr>
                  <w:tcW w:w="1680" w:type="dxa"/>
                  <w:gridSpan w:val="2"/>
                  <w:tcBorders>
                    <w:tl2br w:val="nil"/>
                    <w:tr2bl w:val="nil"/>
                  </w:tcBorders>
                  <w:vAlign w:val="center"/>
                </w:tcPr>
                <w:p>
                  <w:pPr>
                    <w:pStyle w:val="22"/>
                    <w:rPr>
                      <w:color w:val="auto"/>
                      <w:highlight w:val="none"/>
                    </w:rPr>
                  </w:pPr>
                  <w:r>
                    <w:rPr>
                      <w:rFonts w:hint="eastAsia"/>
                      <w:color w:val="auto"/>
                      <w:highlight w:val="none"/>
                    </w:rPr>
                    <w:t>设备运行</w:t>
                  </w:r>
                </w:p>
              </w:tc>
              <w:tc>
                <w:tcPr>
                  <w:tcW w:w="1812" w:type="dxa"/>
                  <w:tcBorders>
                    <w:tl2br w:val="nil"/>
                    <w:tr2bl w:val="nil"/>
                  </w:tcBorders>
                  <w:vAlign w:val="center"/>
                </w:tcPr>
                <w:p>
                  <w:pPr>
                    <w:pStyle w:val="22"/>
                    <w:rPr>
                      <w:color w:val="auto"/>
                      <w:highlight w:val="none"/>
                    </w:rPr>
                  </w:pPr>
                  <w:r>
                    <w:rPr>
                      <w:rFonts w:hint="eastAsia"/>
                      <w:color w:val="auto"/>
                      <w:highlight w:val="none"/>
                    </w:rPr>
                    <w:t>选用低噪声设备、基础减振等</w:t>
                  </w:r>
                </w:p>
              </w:tc>
              <w:tc>
                <w:tcPr>
                  <w:tcW w:w="1478" w:type="dxa"/>
                  <w:tcBorders>
                    <w:tl2br w:val="nil"/>
                    <w:tr2bl w:val="nil"/>
                  </w:tcBorders>
                  <w:vAlign w:val="center"/>
                </w:tcPr>
                <w:p>
                  <w:pPr>
                    <w:pStyle w:val="22"/>
                    <w:rPr>
                      <w:rFonts w:hint="default" w:eastAsiaTheme="minorEastAsia"/>
                      <w:color w:val="auto"/>
                      <w:highlight w:val="none"/>
                      <w:lang w:val="en-US" w:eastAsia="zh-CN"/>
                    </w:rPr>
                  </w:pPr>
                  <w:r>
                    <w:rPr>
                      <w:rFonts w:hint="eastAsia"/>
                      <w:color w:val="auto"/>
                      <w:highlight w:val="none"/>
                      <w:lang w:val="en-US" w:eastAsia="zh-CN"/>
                    </w:rPr>
                    <w:t>Lep</w:t>
                  </w:r>
                </w:p>
              </w:tc>
              <w:tc>
                <w:tcPr>
                  <w:tcW w:w="2155" w:type="dxa"/>
                  <w:tcBorders>
                    <w:tl2br w:val="nil"/>
                    <w:tr2bl w:val="nil"/>
                  </w:tcBorders>
                  <w:vAlign w:val="center"/>
                </w:tcPr>
                <w:p>
                  <w:pPr>
                    <w:pStyle w:val="22"/>
                    <w:rPr>
                      <w:color w:val="auto"/>
                      <w:highlight w:val="none"/>
                    </w:rPr>
                  </w:pPr>
                  <w:r>
                    <w:rPr>
                      <w:color w:val="auto"/>
                      <w:highlight w:val="none"/>
                    </w:rPr>
                    <w:t>《工业企业厂界环境噪声排放标准》（GB 12348-2008）中的</w:t>
                  </w:r>
                  <w:r>
                    <w:rPr>
                      <w:rFonts w:hint="eastAsia"/>
                      <w:color w:val="auto"/>
                      <w:highlight w:val="none"/>
                      <w:lang w:val="en-US" w:eastAsia="zh-CN"/>
                    </w:rPr>
                    <w:t>2</w:t>
                  </w:r>
                  <w:r>
                    <w:rPr>
                      <w:color w:val="auto"/>
                      <w:highlight w:val="none"/>
                    </w:rPr>
                    <w:t>类标准要求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6" w:hRule="atLeast"/>
              </w:trPr>
              <w:tc>
                <w:tcPr>
                  <w:tcW w:w="427" w:type="dxa"/>
                  <w:vMerge w:val="restart"/>
                  <w:tcBorders>
                    <w:tl2br w:val="nil"/>
                    <w:tr2bl w:val="nil"/>
                  </w:tcBorders>
                  <w:vAlign w:val="center"/>
                </w:tcPr>
                <w:p>
                  <w:pPr>
                    <w:pStyle w:val="22"/>
                    <w:rPr>
                      <w:color w:val="auto"/>
                      <w:highlight w:val="none"/>
                    </w:rPr>
                  </w:pPr>
                  <w:r>
                    <w:rPr>
                      <w:color w:val="auto"/>
                      <w:highlight w:val="none"/>
                    </w:rPr>
                    <w:t>固废</w:t>
                  </w:r>
                </w:p>
              </w:tc>
              <w:tc>
                <w:tcPr>
                  <w:tcW w:w="1680" w:type="dxa"/>
                  <w:gridSpan w:val="2"/>
                  <w:tcBorders>
                    <w:tl2br w:val="nil"/>
                    <w:tr2bl w:val="nil"/>
                  </w:tcBorders>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废电解液</w:t>
                  </w:r>
                </w:p>
              </w:tc>
              <w:tc>
                <w:tcPr>
                  <w:tcW w:w="1812" w:type="dxa"/>
                  <w:tcBorders>
                    <w:tl2br w:val="nil"/>
                    <w:tr2bl w:val="nil"/>
                  </w:tcBorders>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废电解液收集后置于耐酸、耐腐蚀的带盖塑料(PE)箱内，置于破损电池储存区内，</w:t>
                  </w:r>
                  <w:r>
                    <w:rPr>
                      <w:rFonts w:hint="eastAsia"/>
                      <w:color w:val="auto"/>
                      <w:highlight w:val="none"/>
                      <w:lang w:eastAsia="zh-CN"/>
                    </w:rPr>
                    <w:t>定期</w:t>
                  </w:r>
                  <w:r>
                    <w:rPr>
                      <w:rFonts w:hint="eastAsia"/>
                      <w:color w:val="auto"/>
                      <w:highlight w:val="none"/>
                    </w:rPr>
                    <w:t>与破损</w:t>
                  </w:r>
                  <w:r>
                    <w:rPr>
                      <w:rFonts w:hint="eastAsia"/>
                      <w:color w:val="auto"/>
                      <w:highlight w:val="none"/>
                      <w:lang w:eastAsia="zh-CN"/>
                    </w:rPr>
                    <w:t>废铅蓄电池</w:t>
                  </w:r>
                  <w:r>
                    <w:rPr>
                      <w:rFonts w:hint="eastAsia"/>
                      <w:color w:val="auto"/>
                      <w:highlight w:val="none"/>
                    </w:rPr>
                    <w:t>一同委托</w:t>
                  </w:r>
                  <w:r>
                    <w:rPr>
                      <w:rFonts w:hint="eastAsia"/>
                      <w:color w:val="auto"/>
                      <w:highlight w:val="none"/>
                      <w:lang w:eastAsia="zh-CN"/>
                    </w:rPr>
                    <w:t>有资质单位</w:t>
                  </w:r>
                  <w:r>
                    <w:rPr>
                      <w:rFonts w:hint="eastAsia"/>
                      <w:color w:val="auto"/>
                      <w:highlight w:val="none"/>
                    </w:rPr>
                    <w:t>进行处置</w:t>
                  </w:r>
                </w:p>
              </w:tc>
              <w:tc>
                <w:tcPr>
                  <w:tcW w:w="1478" w:type="dxa"/>
                  <w:tcBorders>
                    <w:tl2br w:val="nil"/>
                    <w:tr2bl w:val="nil"/>
                  </w:tcBorders>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2155" w:type="dxa"/>
                  <w:vMerge w:val="restart"/>
                  <w:tcBorders>
                    <w:tl2br w:val="nil"/>
                    <w:tr2bl w:val="nil"/>
                  </w:tcBorders>
                  <w:vAlign w:val="center"/>
                </w:tcPr>
                <w:p>
                  <w:pPr>
                    <w:pStyle w:val="22"/>
                    <w:rPr>
                      <w:color w:val="auto"/>
                      <w:highlight w:val="none"/>
                    </w:rPr>
                  </w:pPr>
                  <w:r>
                    <w:rPr>
                      <w:color w:val="auto"/>
                      <w:highlight w:val="none"/>
                    </w:rPr>
                    <w:t>《危险废物贮存污染控制标准》（GB 18597-2023）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6" w:hRule="atLeast"/>
              </w:trPr>
              <w:tc>
                <w:tcPr>
                  <w:tcW w:w="427" w:type="dxa"/>
                  <w:vMerge w:val="continue"/>
                  <w:tcBorders>
                    <w:tl2br w:val="nil"/>
                    <w:tr2bl w:val="nil"/>
                  </w:tcBorders>
                  <w:vAlign w:val="center"/>
                </w:tcPr>
                <w:p>
                  <w:pPr>
                    <w:pStyle w:val="22"/>
                    <w:rPr>
                      <w:color w:val="auto"/>
                      <w:highlight w:val="none"/>
                    </w:rPr>
                  </w:pPr>
                </w:p>
              </w:tc>
              <w:tc>
                <w:tcPr>
                  <w:tcW w:w="1680" w:type="dxa"/>
                  <w:gridSpan w:val="2"/>
                  <w:tcBorders>
                    <w:tl2br w:val="nil"/>
                    <w:tr2bl w:val="nil"/>
                  </w:tcBorders>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废劳保用品</w:t>
                  </w:r>
                </w:p>
              </w:tc>
              <w:tc>
                <w:tcPr>
                  <w:tcW w:w="1812" w:type="dxa"/>
                  <w:tcBorders>
                    <w:tl2br w:val="nil"/>
                    <w:tr2bl w:val="nil"/>
                  </w:tcBorders>
                  <w:shd w:val="clear" w:color="auto" w:fill="auto"/>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置于耐酸、耐腐蚀的带盖塑料(PE)箱内</w:t>
                  </w:r>
                </w:p>
              </w:tc>
              <w:tc>
                <w:tcPr>
                  <w:tcW w:w="1478" w:type="dxa"/>
                  <w:tcBorders>
                    <w:tl2br w:val="nil"/>
                    <w:tr2bl w:val="nil"/>
                  </w:tcBorders>
                  <w:shd w:val="clear" w:color="auto" w:fill="auto"/>
                  <w:vAlign w:val="center"/>
                </w:tcPr>
                <w:p>
                  <w:pPr>
                    <w:pStyle w:val="22"/>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2155" w:type="dxa"/>
                  <w:vMerge w:val="continue"/>
                  <w:tcBorders>
                    <w:tl2br w:val="nil"/>
                    <w:tr2bl w:val="nil"/>
                  </w:tcBorders>
                  <w:vAlign w:val="center"/>
                </w:tcPr>
                <w:p>
                  <w:pPr>
                    <w:pStyle w:val="22"/>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trPr>
              <w:tc>
                <w:tcPr>
                  <w:tcW w:w="427" w:type="dxa"/>
                  <w:vMerge w:val="restart"/>
                  <w:tcBorders>
                    <w:tl2br w:val="nil"/>
                    <w:tr2bl w:val="nil"/>
                  </w:tcBorders>
                  <w:vAlign w:val="center"/>
                </w:tcPr>
                <w:p>
                  <w:pPr>
                    <w:pStyle w:val="22"/>
                    <w:rPr>
                      <w:color w:val="auto"/>
                      <w:highlight w:val="none"/>
                    </w:rPr>
                  </w:pPr>
                  <w:r>
                    <w:rPr>
                      <w:rFonts w:hint="eastAsia"/>
                      <w:color w:val="auto"/>
                      <w:highlight w:val="none"/>
                    </w:rPr>
                    <w:t>其他</w:t>
                  </w:r>
                </w:p>
              </w:tc>
              <w:tc>
                <w:tcPr>
                  <w:tcW w:w="1680" w:type="dxa"/>
                  <w:gridSpan w:val="2"/>
                  <w:tcBorders>
                    <w:tl2br w:val="nil"/>
                    <w:tr2bl w:val="nil"/>
                  </w:tcBorders>
                  <w:vAlign w:val="center"/>
                </w:tcPr>
                <w:p>
                  <w:pPr>
                    <w:pStyle w:val="22"/>
                    <w:rPr>
                      <w:color w:val="auto"/>
                      <w:highlight w:val="none"/>
                    </w:rPr>
                  </w:pPr>
                  <w:r>
                    <w:rPr>
                      <w:rFonts w:hint="eastAsia"/>
                      <w:color w:val="auto"/>
                      <w:highlight w:val="none"/>
                    </w:rPr>
                    <w:t>防渗</w:t>
                  </w:r>
                </w:p>
              </w:tc>
              <w:tc>
                <w:tcPr>
                  <w:tcW w:w="1812" w:type="dxa"/>
                  <w:tcBorders>
                    <w:tl2br w:val="nil"/>
                    <w:tr2bl w:val="nil"/>
                  </w:tcBorders>
                  <w:vAlign w:val="center"/>
                </w:tcPr>
                <w:p>
                  <w:pPr>
                    <w:pStyle w:val="22"/>
                    <w:rPr>
                      <w:rFonts w:hint="eastAsia" w:eastAsiaTheme="minorEastAsia"/>
                      <w:color w:val="auto"/>
                      <w:highlight w:val="none"/>
                      <w:lang w:eastAsia="zh-CN"/>
                    </w:rPr>
                  </w:pPr>
                  <w:r>
                    <w:rPr>
                      <w:rFonts w:hint="eastAsia"/>
                      <w:color w:val="auto"/>
                      <w:highlight w:val="none"/>
                      <w:lang w:eastAsia="zh-CN"/>
                    </w:rPr>
                    <w:t>地面及裙角</w:t>
                  </w:r>
                </w:p>
              </w:tc>
              <w:tc>
                <w:tcPr>
                  <w:tcW w:w="1478" w:type="dxa"/>
                  <w:tcBorders>
                    <w:tl2br w:val="nil"/>
                    <w:tr2bl w:val="nil"/>
                  </w:tcBorders>
                  <w:vAlign w:val="center"/>
                </w:tcPr>
                <w:p>
                  <w:pPr>
                    <w:pStyle w:val="22"/>
                    <w:rPr>
                      <w:rFonts w:hint="default"/>
                      <w:color w:val="auto"/>
                      <w:highlight w:val="none"/>
                      <w:lang w:val="en-US" w:eastAsia="zh-CN"/>
                    </w:rPr>
                  </w:pPr>
                  <w:r>
                    <w:rPr>
                      <w:rFonts w:hint="eastAsia"/>
                      <w:color w:val="auto"/>
                      <w:highlight w:val="none"/>
                      <w:lang w:val="en-US" w:eastAsia="zh-CN"/>
                    </w:rPr>
                    <w:t>/</w:t>
                  </w:r>
                </w:p>
              </w:tc>
              <w:tc>
                <w:tcPr>
                  <w:tcW w:w="2155" w:type="dxa"/>
                  <w:tcBorders>
                    <w:tl2br w:val="nil"/>
                    <w:tr2bl w:val="nil"/>
                  </w:tcBorders>
                  <w:vAlign w:val="center"/>
                </w:tcPr>
                <w:p>
                  <w:pPr>
                    <w:pStyle w:val="22"/>
                    <w:rPr>
                      <w:color w:val="auto"/>
                      <w:highlight w:val="none"/>
                    </w:rPr>
                  </w:pP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30" w:hRule="atLeast"/>
              </w:trPr>
              <w:tc>
                <w:tcPr>
                  <w:tcW w:w="427" w:type="dxa"/>
                  <w:vMerge w:val="continue"/>
                  <w:tcBorders>
                    <w:tl2br w:val="nil"/>
                    <w:tr2bl w:val="nil"/>
                  </w:tcBorders>
                  <w:vAlign w:val="center"/>
                </w:tcPr>
                <w:p>
                  <w:pPr>
                    <w:pStyle w:val="22"/>
                    <w:rPr>
                      <w:color w:val="auto"/>
                      <w:highlight w:val="none"/>
                    </w:rPr>
                  </w:pPr>
                </w:p>
              </w:tc>
              <w:tc>
                <w:tcPr>
                  <w:tcW w:w="1680" w:type="dxa"/>
                  <w:gridSpan w:val="2"/>
                  <w:tcBorders>
                    <w:tl2br w:val="nil"/>
                    <w:tr2bl w:val="nil"/>
                  </w:tcBorders>
                  <w:vAlign w:val="center"/>
                </w:tcPr>
                <w:p>
                  <w:pPr>
                    <w:pStyle w:val="22"/>
                    <w:rPr>
                      <w:color w:val="auto"/>
                      <w:highlight w:val="none"/>
                    </w:rPr>
                  </w:pPr>
                  <w:r>
                    <w:rPr>
                      <w:color w:val="auto"/>
                      <w:highlight w:val="none"/>
                    </w:rPr>
                    <w:t>排污口警示设施</w:t>
                  </w:r>
                </w:p>
              </w:tc>
              <w:tc>
                <w:tcPr>
                  <w:tcW w:w="1812" w:type="dxa"/>
                  <w:tcBorders>
                    <w:tl2br w:val="nil"/>
                    <w:tr2bl w:val="nil"/>
                  </w:tcBorders>
                  <w:vAlign w:val="center"/>
                </w:tcPr>
                <w:p>
                  <w:pPr>
                    <w:pStyle w:val="22"/>
                    <w:rPr>
                      <w:color w:val="auto"/>
                      <w:highlight w:val="none"/>
                    </w:rPr>
                  </w:pPr>
                  <w:r>
                    <w:rPr>
                      <w:rFonts w:hint="eastAsia"/>
                      <w:color w:val="auto"/>
                      <w:highlight w:val="none"/>
                    </w:rPr>
                    <w:t>规范化标识牌</w:t>
                  </w:r>
                </w:p>
              </w:tc>
              <w:tc>
                <w:tcPr>
                  <w:tcW w:w="1478" w:type="dxa"/>
                  <w:tcBorders>
                    <w:tl2br w:val="nil"/>
                    <w:tr2bl w:val="nil"/>
                  </w:tcBorders>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c>
                <w:tcPr>
                  <w:tcW w:w="2155" w:type="dxa"/>
                  <w:tcBorders>
                    <w:tl2br w:val="nil"/>
                    <w:tr2bl w:val="nil"/>
                  </w:tcBorders>
                  <w:vAlign w:val="center"/>
                </w:tcPr>
                <w:p>
                  <w:pPr>
                    <w:pStyle w:val="22"/>
                    <w:rPr>
                      <w:color w:val="auto"/>
                      <w:highlight w:val="none"/>
                    </w:rPr>
                  </w:pPr>
                  <w:r>
                    <w:rPr>
                      <w:color w:val="auto"/>
                      <w:highlight w:val="none"/>
                    </w:rPr>
                    <w:t>符合《环境保护图形标志 排污口（源）》GB 15562.1-1995、《排污口设置及规范化整治管理办法》要求</w:t>
                  </w:r>
                </w:p>
              </w:tc>
            </w:tr>
          </w:tbl>
          <w:p>
            <w:pPr>
              <w:pStyle w:val="3"/>
              <w:ind w:firstLine="482"/>
              <w:rPr>
                <w:color w:val="auto"/>
                <w:highlight w:val="none"/>
              </w:rPr>
            </w:pPr>
            <w:r>
              <w:rPr>
                <w:rFonts w:hint="eastAsia"/>
                <w:color w:val="auto"/>
                <w:highlight w:val="none"/>
              </w:rPr>
              <w:t>3</w:t>
            </w:r>
            <w:r>
              <w:rPr>
                <w:color w:val="auto"/>
                <w:highlight w:val="none"/>
              </w:rPr>
              <w:t>排污许可制度要求</w:t>
            </w:r>
          </w:p>
          <w:p>
            <w:pPr>
              <w:pStyle w:val="12"/>
              <w:ind w:firstLine="480"/>
              <w:rPr>
                <w:color w:val="auto"/>
                <w:kern w:val="2"/>
                <w:highlight w:val="none"/>
              </w:rPr>
            </w:pPr>
            <w:r>
              <w:rPr>
                <w:color w:val="auto"/>
                <w:kern w:val="2"/>
                <w:highlight w:val="none"/>
              </w:rPr>
              <w:t>根据国务院办公厅关于印发《控制污染物排放许可制实施方案》的通知（国办发[2016]81 号）、《排污许可证申请与核发技术规范</w:t>
            </w:r>
            <w:r>
              <w:rPr>
                <w:rFonts w:hint="eastAsia"/>
                <w:color w:val="auto"/>
                <w:kern w:val="2"/>
                <w:highlight w:val="none"/>
              </w:rPr>
              <w:t xml:space="preserve"> </w:t>
            </w:r>
            <w:r>
              <w:rPr>
                <w:color w:val="auto"/>
                <w:kern w:val="2"/>
                <w:highlight w:val="none"/>
              </w:rPr>
              <w:t>总则》（HJ 942-2018）中相关要求</w:t>
            </w:r>
            <w:r>
              <w:rPr>
                <w:rFonts w:hint="eastAsia"/>
                <w:color w:val="auto"/>
                <w:kern w:val="2"/>
                <w:highlight w:val="none"/>
                <w:lang w:eastAsia="zh-CN"/>
              </w:rPr>
              <w:t>，</w:t>
            </w:r>
            <w:r>
              <w:rPr>
                <w:color w:val="auto"/>
                <w:kern w:val="2"/>
                <w:highlight w:val="none"/>
              </w:rPr>
              <w:t>环境影响评价制度是建设项目的环境准入门槛</w:t>
            </w:r>
            <w:r>
              <w:rPr>
                <w:rFonts w:hint="eastAsia"/>
                <w:color w:val="auto"/>
                <w:kern w:val="2"/>
                <w:highlight w:val="none"/>
                <w:lang w:eastAsia="zh-CN"/>
              </w:rPr>
              <w:t>，</w:t>
            </w:r>
            <w:r>
              <w:rPr>
                <w:color w:val="auto"/>
                <w:kern w:val="2"/>
                <w:highlight w:val="none"/>
              </w:rPr>
              <w:t>排污许可证是企事业单位生产运营期排污的法律依据</w:t>
            </w:r>
            <w:r>
              <w:rPr>
                <w:rFonts w:hint="eastAsia"/>
                <w:color w:val="auto"/>
                <w:kern w:val="2"/>
                <w:highlight w:val="none"/>
                <w:lang w:eastAsia="zh-CN"/>
              </w:rPr>
              <w:t>，</w:t>
            </w:r>
            <w:r>
              <w:rPr>
                <w:color w:val="auto"/>
                <w:kern w:val="2"/>
                <w:highlight w:val="none"/>
              </w:rPr>
              <w:t>必须做好充分衔接</w:t>
            </w:r>
            <w:r>
              <w:rPr>
                <w:rFonts w:hint="eastAsia"/>
                <w:color w:val="auto"/>
                <w:kern w:val="2"/>
                <w:highlight w:val="none"/>
                <w:lang w:eastAsia="zh-CN"/>
              </w:rPr>
              <w:t>，</w:t>
            </w:r>
            <w:r>
              <w:rPr>
                <w:color w:val="auto"/>
                <w:kern w:val="2"/>
                <w:highlight w:val="none"/>
              </w:rPr>
              <w:t>实现从污染预防到污染治理和排放控制的全过程监管。</w:t>
            </w:r>
            <w:r>
              <w:rPr>
                <w:rFonts w:hint="eastAsia"/>
                <w:color w:val="auto"/>
                <w:kern w:val="2"/>
                <w:highlight w:val="none"/>
                <w:lang w:eastAsia="zh-CN"/>
              </w:rPr>
              <w:t>二道沟公司已申请排污许可证，</w:t>
            </w:r>
            <w:r>
              <w:rPr>
                <w:rFonts w:hint="eastAsia"/>
                <w:color w:val="auto"/>
                <w:kern w:val="2"/>
                <w:highlight w:val="none"/>
              </w:rPr>
              <w:t>本项目建成后</w:t>
            </w:r>
            <w:r>
              <w:rPr>
                <w:rFonts w:hint="eastAsia"/>
                <w:color w:val="auto"/>
                <w:kern w:val="2"/>
                <w:highlight w:val="none"/>
                <w:lang w:eastAsia="zh-CN"/>
              </w:rPr>
              <w:t>，</w:t>
            </w:r>
            <w:r>
              <w:rPr>
                <w:rFonts w:hint="eastAsia"/>
                <w:color w:val="auto"/>
                <w:kern w:val="2"/>
                <w:highlight w:val="none"/>
              </w:rPr>
              <w:t>发生实际排污前</w:t>
            </w:r>
            <w:r>
              <w:rPr>
                <w:rFonts w:hint="eastAsia"/>
                <w:color w:val="auto"/>
                <w:kern w:val="2"/>
                <w:highlight w:val="none"/>
                <w:lang w:eastAsia="zh-CN"/>
              </w:rPr>
              <w:t>应变更排污许可证</w:t>
            </w:r>
            <w:r>
              <w:rPr>
                <w:rFonts w:hint="eastAsia"/>
                <w:color w:val="auto"/>
                <w:kern w:val="2"/>
                <w:highlight w:val="none"/>
              </w:rPr>
              <w:t>。</w:t>
            </w:r>
          </w:p>
          <w:p>
            <w:pPr>
              <w:pStyle w:val="3"/>
              <w:ind w:firstLine="482"/>
              <w:rPr>
                <w:color w:val="auto"/>
                <w:highlight w:val="none"/>
              </w:rPr>
            </w:pPr>
            <w:r>
              <w:rPr>
                <w:rFonts w:hint="eastAsia"/>
                <w:color w:val="auto"/>
                <w:highlight w:val="none"/>
              </w:rPr>
              <w:t>4</w:t>
            </w:r>
            <w:r>
              <w:rPr>
                <w:color w:val="auto"/>
                <w:highlight w:val="none"/>
              </w:rPr>
              <w:t>排污口规范化</w:t>
            </w:r>
          </w:p>
          <w:p>
            <w:pPr>
              <w:pStyle w:val="12"/>
              <w:ind w:firstLine="480"/>
              <w:rPr>
                <w:color w:val="auto"/>
                <w:kern w:val="2"/>
                <w:highlight w:val="none"/>
              </w:rPr>
            </w:pPr>
            <w:r>
              <w:rPr>
                <w:color w:val="auto"/>
                <w:kern w:val="2"/>
                <w:highlight w:val="none"/>
              </w:rPr>
              <w:t>（1）固体废物规范化要求</w:t>
            </w:r>
          </w:p>
          <w:p>
            <w:pPr>
              <w:pStyle w:val="12"/>
              <w:ind w:firstLine="480"/>
              <w:rPr>
                <w:color w:val="auto"/>
                <w:kern w:val="2"/>
                <w:highlight w:val="none"/>
              </w:rPr>
            </w:pPr>
            <w:r>
              <w:rPr>
                <w:color w:val="auto"/>
                <w:kern w:val="2"/>
                <w:highlight w:val="none"/>
              </w:rPr>
              <w:t>本项目固体废物统一收集存放</w:t>
            </w:r>
            <w:r>
              <w:rPr>
                <w:rFonts w:hint="eastAsia"/>
                <w:color w:val="auto"/>
                <w:kern w:val="2"/>
                <w:highlight w:val="none"/>
                <w:lang w:eastAsia="zh-CN"/>
              </w:rPr>
              <w:t>，</w:t>
            </w:r>
            <w:r>
              <w:rPr>
                <w:color w:val="auto"/>
                <w:kern w:val="2"/>
                <w:highlight w:val="none"/>
              </w:rPr>
              <w:t>标志牌符合《环境保护图形标志-固体废物贮存（处置）场》</w:t>
            </w:r>
            <w:r>
              <w:rPr>
                <w:rFonts w:hint="eastAsia"/>
                <w:color w:val="auto"/>
                <w:kern w:val="2"/>
                <w:highlight w:val="none"/>
              </w:rPr>
              <w:t>（</w:t>
            </w:r>
            <w:r>
              <w:rPr>
                <w:color w:val="auto"/>
                <w:kern w:val="2"/>
                <w:highlight w:val="none"/>
              </w:rPr>
              <w:t>GB15562.2-1995</w:t>
            </w:r>
            <w:r>
              <w:rPr>
                <w:rFonts w:hint="eastAsia"/>
                <w:color w:val="auto"/>
                <w:kern w:val="2"/>
                <w:highlight w:val="none"/>
              </w:rPr>
              <w:t>）</w:t>
            </w:r>
            <w:r>
              <w:rPr>
                <w:color w:val="auto"/>
                <w:kern w:val="2"/>
                <w:highlight w:val="none"/>
              </w:rPr>
              <w:t>的规定。</w:t>
            </w:r>
          </w:p>
          <w:p>
            <w:pPr>
              <w:pStyle w:val="23"/>
              <w:numPr>
                <w:ilvl w:val="0"/>
                <w:numId w:val="2"/>
              </w:numPr>
              <w:tabs>
                <w:tab w:val="clear" w:pos="0"/>
                <w:tab w:val="clear" w:pos="420"/>
              </w:tabs>
              <w:ind w:left="0" w:leftChars="0" w:firstLine="0" w:firstLineChars="0"/>
              <w:rPr>
                <w:color w:val="auto"/>
                <w:highlight w:val="none"/>
              </w:rPr>
            </w:pPr>
            <w:r>
              <w:rPr>
                <w:color w:val="auto"/>
                <w:highlight w:val="none"/>
              </w:rPr>
              <w:t xml:space="preserve">   环境保护图形符号</w:t>
            </w:r>
          </w:p>
          <w:tbl>
            <w:tblPr>
              <w:tblStyle w:val="15"/>
              <w:tblW w:w="7549"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60"/>
              <w:gridCol w:w="1573"/>
              <w:gridCol w:w="1898"/>
              <w:gridCol w:w="1407"/>
              <w:gridCol w:w="191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760" w:type="dxa"/>
                  <w:vAlign w:val="center"/>
                </w:tcPr>
                <w:p>
                  <w:pPr>
                    <w:pStyle w:val="25"/>
                    <w:rPr>
                      <w:rFonts w:hint="default"/>
                      <w:color w:val="auto"/>
                      <w:highlight w:val="none"/>
                    </w:rPr>
                  </w:pPr>
                  <w:r>
                    <w:rPr>
                      <w:rFonts w:hint="default"/>
                      <w:color w:val="auto"/>
                      <w:highlight w:val="none"/>
                    </w:rPr>
                    <w:t>序号</w:t>
                  </w:r>
                </w:p>
              </w:tc>
              <w:tc>
                <w:tcPr>
                  <w:tcW w:w="1573" w:type="dxa"/>
                  <w:vAlign w:val="center"/>
                </w:tcPr>
                <w:p>
                  <w:pPr>
                    <w:pStyle w:val="25"/>
                    <w:rPr>
                      <w:rFonts w:hint="default"/>
                      <w:color w:val="auto"/>
                      <w:highlight w:val="none"/>
                    </w:rPr>
                  </w:pPr>
                  <w:r>
                    <w:rPr>
                      <w:rFonts w:hint="default"/>
                      <w:color w:val="auto"/>
                      <w:highlight w:val="none"/>
                    </w:rPr>
                    <w:t>提示图形符号</w:t>
                  </w:r>
                </w:p>
              </w:tc>
              <w:tc>
                <w:tcPr>
                  <w:tcW w:w="1898" w:type="dxa"/>
                  <w:vAlign w:val="center"/>
                </w:tcPr>
                <w:p>
                  <w:pPr>
                    <w:pStyle w:val="25"/>
                    <w:rPr>
                      <w:rFonts w:hint="default"/>
                      <w:color w:val="auto"/>
                      <w:highlight w:val="none"/>
                    </w:rPr>
                  </w:pPr>
                  <w:r>
                    <w:rPr>
                      <w:rFonts w:hint="default"/>
                      <w:color w:val="auto"/>
                      <w:highlight w:val="none"/>
                    </w:rPr>
                    <w:t>警告图形符号</w:t>
                  </w:r>
                </w:p>
              </w:tc>
              <w:tc>
                <w:tcPr>
                  <w:tcW w:w="1407" w:type="dxa"/>
                  <w:vAlign w:val="center"/>
                </w:tcPr>
                <w:p>
                  <w:pPr>
                    <w:pStyle w:val="25"/>
                    <w:rPr>
                      <w:rFonts w:hint="default"/>
                      <w:color w:val="auto"/>
                      <w:highlight w:val="none"/>
                    </w:rPr>
                  </w:pPr>
                  <w:r>
                    <w:rPr>
                      <w:rFonts w:hint="default"/>
                      <w:color w:val="auto"/>
                      <w:highlight w:val="none"/>
                    </w:rPr>
                    <w:t>名称</w:t>
                  </w:r>
                </w:p>
              </w:tc>
              <w:tc>
                <w:tcPr>
                  <w:tcW w:w="1911" w:type="dxa"/>
                  <w:vAlign w:val="center"/>
                </w:tcPr>
                <w:p>
                  <w:pPr>
                    <w:pStyle w:val="25"/>
                    <w:rPr>
                      <w:rFonts w:hint="default"/>
                      <w:color w:val="auto"/>
                      <w:highlight w:val="none"/>
                    </w:rPr>
                  </w:pPr>
                  <w:r>
                    <w:rPr>
                      <w:rFonts w:hint="default"/>
                      <w:color w:val="auto"/>
                      <w:highlight w:val="none"/>
                    </w:rPr>
                    <w:t>功能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760" w:type="dxa"/>
                  <w:vAlign w:val="center"/>
                </w:tcPr>
                <w:p>
                  <w:pPr>
                    <w:pStyle w:val="22"/>
                    <w:rPr>
                      <w:color w:val="auto"/>
                      <w:highlight w:val="none"/>
                    </w:rPr>
                  </w:pPr>
                  <w:r>
                    <w:rPr>
                      <w:color w:val="auto"/>
                      <w:highlight w:val="none"/>
                    </w:rPr>
                    <w:t>1</w:t>
                  </w:r>
                </w:p>
              </w:tc>
              <w:tc>
                <w:tcPr>
                  <w:tcW w:w="1573" w:type="dxa"/>
                  <w:vAlign w:val="center"/>
                </w:tcPr>
                <w:p>
                  <w:pPr>
                    <w:pStyle w:val="22"/>
                    <w:rPr>
                      <w:color w:val="auto"/>
                      <w:highlight w:val="none"/>
                    </w:rPr>
                  </w:pPr>
                  <w:r>
                    <w:rPr>
                      <w:rFonts w:hint="eastAsia"/>
                      <w:color w:val="auto"/>
                      <w:highlight w:val="none"/>
                    </w:rPr>
                    <w:drawing>
                      <wp:inline distT="0" distB="0" distL="114300" distR="114300">
                        <wp:extent cx="742950" cy="742950"/>
                        <wp:effectExtent l="0" t="0" r="0" b="0"/>
                        <wp:docPr id="52" name="图片 52" descr="fb640d6a51e33cd91bcb645bc1ae4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fb640d6a51e33cd91bcb645bc1ae41f"/>
                                <pic:cNvPicPr>
                                  <a:picLocks noChangeAspect="1"/>
                                </pic:cNvPicPr>
                              </pic:nvPicPr>
                              <pic:blipFill>
                                <a:blip r:embed="rId20"/>
                                <a:stretch>
                                  <a:fillRect/>
                                </a:stretch>
                              </pic:blipFill>
                              <pic:spPr>
                                <a:xfrm>
                                  <a:off x="0" y="0"/>
                                  <a:ext cx="742950" cy="742950"/>
                                </a:xfrm>
                                <a:prstGeom prst="rect">
                                  <a:avLst/>
                                </a:prstGeom>
                              </pic:spPr>
                            </pic:pic>
                          </a:graphicData>
                        </a:graphic>
                      </wp:inline>
                    </w:drawing>
                  </w:r>
                </w:p>
              </w:tc>
              <w:tc>
                <w:tcPr>
                  <w:tcW w:w="1898" w:type="dxa"/>
                  <w:vAlign w:val="center"/>
                </w:tcPr>
                <w:p>
                  <w:pPr>
                    <w:pStyle w:val="22"/>
                    <w:rPr>
                      <w:color w:val="auto"/>
                      <w:highlight w:val="none"/>
                    </w:rPr>
                  </w:pPr>
                  <w:r>
                    <w:rPr>
                      <w:color w:val="auto"/>
                      <w:highlight w:val="none"/>
                    </w:rPr>
                    <w:drawing>
                      <wp:inline distT="0" distB="0" distL="114300" distR="114300">
                        <wp:extent cx="761365" cy="687070"/>
                        <wp:effectExtent l="0" t="0" r="635" b="17780"/>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pic:cNvPicPr>
                              </pic:nvPicPr>
                              <pic:blipFill>
                                <a:blip r:embed="rId21"/>
                                <a:stretch>
                                  <a:fillRect/>
                                </a:stretch>
                              </pic:blipFill>
                              <pic:spPr>
                                <a:xfrm>
                                  <a:off x="0" y="0"/>
                                  <a:ext cx="761365" cy="687070"/>
                                </a:xfrm>
                                <a:prstGeom prst="rect">
                                  <a:avLst/>
                                </a:prstGeom>
                                <a:noFill/>
                                <a:ln>
                                  <a:noFill/>
                                </a:ln>
                              </pic:spPr>
                            </pic:pic>
                          </a:graphicData>
                        </a:graphic>
                      </wp:inline>
                    </w:drawing>
                  </w:r>
                </w:p>
              </w:tc>
              <w:tc>
                <w:tcPr>
                  <w:tcW w:w="1407" w:type="dxa"/>
                  <w:shd w:val="clear" w:color="auto" w:fill="auto"/>
                  <w:vAlign w:val="center"/>
                </w:tcPr>
                <w:p>
                  <w:pPr>
                    <w:pStyle w:val="22"/>
                    <w:ind w:firstLine="0" w:firstLineChars="0"/>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噪声排放</w:t>
                  </w:r>
                </w:p>
              </w:tc>
              <w:tc>
                <w:tcPr>
                  <w:tcW w:w="1911" w:type="dxa"/>
                  <w:shd w:val="clear" w:color="auto" w:fill="auto"/>
                  <w:vAlign w:val="center"/>
                </w:tcPr>
                <w:p>
                  <w:pPr>
                    <w:pStyle w:val="22"/>
                    <w:ind w:firstLine="0" w:firstLineChars="0"/>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表示噪声向外环境排放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3" w:hRule="atLeast"/>
                <w:jc w:val="center"/>
              </w:trPr>
              <w:tc>
                <w:tcPr>
                  <w:tcW w:w="760" w:type="dxa"/>
                  <w:vAlign w:val="center"/>
                </w:tcPr>
                <w:p>
                  <w:pPr>
                    <w:pStyle w:val="22"/>
                    <w:rPr>
                      <w:color w:val="auto"/>
                      <w:highlight w:val="none"/>
                    </w:rPr>
                  </w:pPr>
                  <w:r>
                    <w:rPr>
                      <w:rFonts w:hint="eastAsia"/>
                      <w:color w:val="auto"/>
                      <w:highlight w:val="none"/>
                    </w:rPr>
                    <w:t>2</w:t>
                  </w:r>
                </w:p>
              </w:tc>
              <w:tc>
                <w:tcPr>
                  <w:tcW w:w="1573" w:type="dxa"/>
                  <w:vAlign w:val="center"/>
                </w:tcPr>
                <w:p>
                  <w:pPr>
                    <w:pStyle w:val="22"/>
                    <w:rPr>
                      <w:color w:val="auto"/>
                      <w:highlight w:val="none"/>
                    </w:rPr>
                  </w:pPr>
                </w:p>
              </w:tc>
              <w:tc>
                <w:tcPr>
                  <w:tcW w:w="1898" w:type="dxa"/>
                  <w:vAlign w:val="center"/>
                </w:tcPr>
                <w:p>
                  <w:pPr>
                    <w:pStyle w:val="22"/>
                    <w:rPr>
                      <w:color w:val="auto"/>
                      <w:highlight w:val="none"/>
                    </w:rPr>
                  </w:pPr>
                  <w:r>
                    <w:rPr>
                      <w:rFonts w:hint="eastAsia" w:eastAsia="宋体"/>
                      <w:color w:val="auto"/>
                      <w:highlight w:val="none"/>
                    </w:rPr>
                    <w:drawing>
                      <wp:inline distT="0" distB="0" distL="114300" distR="114300">
                        <wp:extent cx="874395" cy="552450"/>
                        <wp:effectExtent l="0" t="0" r="1905" b="0"/>
                        <wp:docPr id="10" name="图片 10" descr="039c45f310d4c1602badfc8e24d5d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39c45f310d4c1602badfc8e24d5d89"/>
                                <pic:cNvPicPr>
                                  <a:picLocks noChangeAspect="1"/>
                                </pic:cNvPicPr>
                              </pic:nvPicPr>
                              <pic:blipFill>
                                <a:blip r:embed="rId22"/>
                                <a:stretch>
                                  <a:fillRect/>
                                </a:stretch>
                              </pic:blipFill>
                              <pic:spPr>
                                <a:xfrm>
                                  <a:off x="0" y="0"/>
                                  <a:ext cx="874395" cy="552450"/>
                                </a:xfrm>
                                <a:prstGeom prst="rect">
                                  <a:avLst/>
                                </a:prstGeom>
                              </pic:spPr>
                            </pic:pic>
                          </a:graphicData>
                        </a:graphic>
                      </wp:inline>
                    </w:drawing>
                  </w:r>
                </w:p>
              </w:tc>
              <w:tc>
                <w:tcPr>
                  <w:tcW w:w="1407" w:type="dxa"/>
                  <w:shd w:val="clear" w:color="auto" w:fill="auto"/>
                  <w:vAlign w:val="center"/>
                </w:tcPr>
                <w:p>
                  <w:pPr>
                    <w:pStyle w:val="22"/>
                    <w:ind w:firstLine="0" w:firstLineChars="0"/>
                    <w:rPr>
                      <w:rFonts w:ascii="Times New Roman" w:hAnsi="Times New Roman" w:cs="Times New Roman" w:eastAsiaTheme="minorEastAsia"/>
                      <w:color w:val="auto"/>
                      <w:kern w:val="2"/>
                      <w:sz w:val="21"/>
                      <w:szCs w:val="21"/>
                      <w:highlight w:val="none"/>
                      <w:lang w:val="en-US" w:eastAsia="zh-CN" w:bidi="ar-SA"/>
                    </w:rPr>
                  </w:pPr>
                  <w:r>
                    <w:rPr>
                      <w:color w:val="auto"/>
                      <w:highlight w:val="none"/>
                    </w:rPr>
                    <w:t>危险废物</w:t>
                  </w:r>
                </w:p>
              </w:tc>
              <w:tc>
                <w:tcPr>
                  <w:tcW w:w="1911" w:type="dxa"/>
                  <w:shd w:val="clear" w:color="auto" w:fill="auto"/>
                  <w:vAlign w:val="center"/>
                </w:tcPr>
                <w:p>
                  <w:pPr>
                    <w:pStyle w:val="22"/>
                    <w:ind w:firstLine="0" w:firstLineChars="0"/>
                    <w:rPr>
                      <w:rFonts w:ascii="Times New Roman" w:hAnsi="Times New Roman" w:cs="Times New Roman" w:eastAsiaTheme="minorEastAsia"/>
                      <w:color w:val="auto"/>
                      <w:kern w:val="2"/>
                      <w:sz w:val="21"/>
                      <w:szCs w:val="21"/>
                      <w:highlight w:val="none"/>
                      <w:lang w:val="en-US" w:eastAsia="zh-CN" w:bidi="ar-SA"/>
                    </w:rPr>
                  </w:pPr>
                  <w:r>
                    <w:rPr>
                      <w:color w:val="auto"/>
                      <w:highlight w:val="none"/>
                    </w:rPr>
                    <w:t>表示危险废物贮存、处置场</w:t>
                  </w:r>
                </w:p>
              </w:tc>
            </w:tr>
          </w:tbl>
          <w:p>
            <w:pPr>
              <w:rPr>
                <w:color w:val="auto"/>
                <w:highlight w:val="none"/>
              </w:rPr>
            </w:pPr>
          </w:p>
          <w:p>
            <w:pPr>
              <w:rPr>
                <w:rFonts w:eastAsiaTheme="minorEastAsia"/>
                <w:color w:val="auto"/>
                <w:sz w:val="21"/>
                <w:szCs w:val="21"/>
                <w:highlight w:val="none"/>
              </w:rPr>
            </w:pPr>
          </w:p>
        </w:tc>
      </w:tr>
    </w:tbl>
    <w:p>
      <w:pPr>
        <w:jc w:val="center"/>
        <w:outlineLvl w:val="0"/>
        <w:rPr>
          <w:rFonts w:ascii="黑体" w:hAnsi="黑体" w:eastAsia="黑体"/>
          <w:snapToGrid w:val="0"/>
          <w:color w:val="auto"/>
          <w:sz w:val="30"/>
          <w:szCs w:val="30"/>
          <w:highlight w:val="none"/>
        </w:rPr>
      </w:pPr>
      <w:r>
        <w:rPr>
          <w:snapToGrid w:val="0"/>
          <w:color w:val="auto"/>
          <w:highlight w:val="none"/>
        </w:rPr>
        <w:br w:type="page"/>
      </w:r>
      <w:r>
        <w:rPr>
          <w:rFonts w:hint="eastAsia" w:ascii="黑体" w:hAnsi="黑体" w:eastAsia="黑体"/>
          <w:snapToGrid w:val="0"/>
          <w:color w:val="auto"/>
          <w:sz w:val="30"/>
          <w:szCs w:val="30"/>
          <w:highlight w:val="none"/>
        </w:rPr>
        <w:t>六、结论</w:t>
      </w:r>
    </w:p>
    <w:tbl>
      <w:tblPr>
        <w:tblStyle w:val="15"/>
        <w:tblW w:w="8865"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1991" w:hRule="atLeast"/>
          <w:jc w:val="center"/>
        </w:trPr>
        <w:tc>
          <w:tcPr>
            <w:tcW w:w="8865" w:type="dxa"/>
          </w:tcPr>
          <w:p>
            <w:pPr>
              <w:pStyle w:val="12"/>
              <w:ind w:firstLine="480"/>
              <w:rPr>
                <w:color w:val="auto"/>
                <w:kern w:val="2"/>
                <w:highlight w:val="none"/>
              </w:rPr>
            </w:pPr>
            <w:r>
              <w:rPr>
                <w:rFonts w:hint="eastAsia" w:ascii="宋体" w:hAnsi="宋体" w:cs="宋体"/>
                <w:color w:val="auto"/>
                <w:szCs w:val="21"/>
                <w:highlight w:val="none"/>
                <w:lang w:eastAsia="zh-CN"/>
              </w:rPr>
              <w:t>本项目为二道沟公司配套建设的危险废物贮存点项目</w:t>
            </w:r>
            <w:r>
              <w:rPr>
                <w:rFonts w:hint="eastAsia"/>
                <w:color w:val="auto"/>
                <w:kern w:val="2"/>
                <w:highlight w:val="none"/>
                <w:lang w:eastAsia="zh-CN"/>
              </w:rPr>
              <w:t>，位于二道沟金矿厂区内，</w:t>
            </w:r>
            <w:r>
              <w:rPr>
                <w:rFonts w:hint="eastAsia"/>
                <w:color w:val="auto"/>
                <w:kern w:val="2"/>
                <w:highlight w:val="none"/>
              </w:rPr>
              <w:t>符合国家有关产业政策。</w:t>
            </w:r>
          </w:p>
          <w:p>
            <w:pPr>
              <w:pStyle w:val="12"/>
              <w:ind w:firstLine="480"/>
              <w:rPr>
                <w:color w:val="auto"/>
                <w:kern w:val="2"/>
                <w:highlight w:val="none"/>
              </w:rPr>
            </w:pPr>
            <w:r>
              <w:rPr>
                <w:rFonts w:hint="eastAsia"/>
                <w:color w:val="auto"/>
                <w:kern w:val="2"/>
                <w:highlight w:val="none"/>
              </w:rPr>
              <w:t>由环境影响分析可知</w:t>
            </w:r>
            <w:r>
              <w:rPr>
                <w:rFonts w:hint="eastAsia"/>
                <w:color w:val="auto"/>
                <w:kern w:val="2"/>
                <w:highlight w:val="none"/>
                <w:lang w:eastAsia="zh-CN"/>
              </w:rPr>
              <w:t>，</w:t>
            </w:r>
            <w:r>
              <w:rPr>
                <w:rFonts w:hint="eastAsia"/>
                <w:color w:val="auto"/>
                <w:kern w:val="2"/>
                <w:highlight w:val="none"/>
              </w:rPr>
              <w:t>项目施工及运行过程中产生废气、噪声及固废</w:t>
            </w:r>
            <w:r>
              <w:rPr>
                <w:rFonts w:hint="eastAsia"/>
                <w:color w:val="auto"/>
                <w:kern w:val="2"/>
                <w:highlight w:val="none"/>
                <w:lang w:eastAsia="zh-CN"/>
              </w:rPr>
              <w:t>，</w:t>
            </w:r>
            <w:r>
              <w:rPr>
                <w:rFonts w:hint="eastAsia"/>
                <w:color w:val="auto"/>
                <w:kern w:val="2"/>
                <w:highlight w:val="none"/>
              </w:rPr>
              <w:t>严格落实本评价提出的各项环保措施后</w:t>
            </w:r>
            <w:r>
              <w:rPr>
                <w:rFonts w:hint="eastAsia"/>
                <w:color w:val="auto"/>
                <w:kern w:val="2"/>
                <w:highlight w:val="none"/>
                <w:lang w:eastAsia="zh-CN"/>
              </w:rPr>
              <w:t>，</w:t>
            </w:r>
            <w:r>
              <w:rPr>
                <w:rFonts w:hint="eastAsia"/>
                <w:color w:val="auto"/>
                <w:kern w:val="2"/>
                <w:highlight w:val="none"/>
              </w:rPr>
              <w:t>各项污染物可符合相应的国家标准和环保要求。通过环境影响评价</w:t>
            </w:r>
            <w:r>
              <w:rPr>
                <w:rFonts w:hint="eastAsia"/>
                <w:color w:val="auto"/>
                <w:kern w:val="2"/>
                <w:highlight w:val="none"/>
                <w:lang w:eastAsia="zh-CN"/>
              </w:rPr>
              <w:t>，</w:t>
            </w:r>
            <w:r>
              <w:rPr>
                <w:rFonts w:hint="eastAsia"/>
                <w:color w:val="auto"/>
                <w:kern w:val="2"/>
                <w:highlight w:val="none"/>
              </w:rPr>
              <w:t>在认真执行环保验收制度</w:t>
            </w:r>
            <w:r>
              <w:rPr>
                <w:rFonts w:hint="eastAsia"/>
                <w:color w:val="auto"/>
                <w:kern w:val="2"/>
                <w:highlight w:val="none"/>
                <w:lang w:eastAsia="zh-CN"/>
              </w:rPr>
              <w:t>，</w:t>
            </w:r>
            <w:r>
              <w:rPr>
                <w:rFonts w:hint="eastAsia"/>
                <w:color w:val="auto"/>
                <w:kern w:val="2"/>
                <w:highlight w:val="none"/>
              </w:rPr>
              <w:t>落实本环评中提出的各污染防治措施并保证环保设施正常稳定运行</w:t>
            </w:r>
            <w:r>
              <w:rPr>
                <w:rFonts w:hint="eastAsia"/>
                <w:color w:val="auto"/>
                <w:kern w:val="2"/>
                <w:highlight w:val="none"/>
                <w:lang w:eastAsia="zh-CN"/>
              </w:rPr>
              <w:t>，</w:t>
            </w:r>
            <w:r>
              <w:rPr>
                <w:rFonts w:hint="eastAsia"/>
                <w:color w:val="auto"/>
                <w:kern w:val="2"/>
                <w:highlight w:val="none"/>
              </w:rPr>
              <w:t>确保各项污染物稳定达标排放</w:t>
            </w:r>
            <w:r>
              <w:rPr>
                <w:rFonts w:hint="eastAsia"/>
                <w:color w:val="auto"/>
                <w:kern w:val="2"/>
                <w:highlight w:val="none"/>
                <w:lang w:eastAsia="zh-CN"/>
              </w:rPr>
              <w:t>，</w:t>
            </w:r>
            <w:r>
              <w:rPr>
                <w:rFonts w:hint="eastAsia"/>
                <w:color w:val="auto"/>
                <w:kern w:val="2"/>
                <w:highlight w:val="none"/>
              </w:rPr>
              <w:t>项目在环保方面可行。</w:t>
            </w:r>
          </w:p>
          <w:p>
            <w:pPr>
              <w:pStyle w:val="12"/>
              <w:ind w:firstLine="480"/>
              <w:rPr>
                <w:color w:val="auto"/>
                <w:highlight w:val="none"/>
              </w:rPr>
            </w:pPr>
          </w:p>
        </w:tc>
      </w:tr>
    </w:tbl>
    <w:p>
      <w:pPr>
        <w:rPr>
          <w:rFonts w:ascii="宋体"/>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adjustRightInd w:val="0"/>
        <w:snapToGrid w:val="0"/>
        <w:spacing w:line="360" w:lineRule="auto"/>
        <w:outlineLvl w:val="0"/>
        <w:rPr>
          <w:rFonts w:ascii="黑体" w:hAnsi="黑体" w:eastAsia="黑体"/>
          <w:snapToGrid w:val="0"/>
          <w:color w:val="auto"/>
          <w:sz w:val="32"/>
          <w:szCs w:val="32"/>
          <w:highlight w:val="none"/>
        </w:rPr>
      </w:pPr>
      <w:r>
        <w:rPr>
          <w:rFonts w:hint="eastAsia" w:ascii="黑体" w:hAnsi="黑体" w:eastAsia="黑体"/>
          <w:snapToGrid w:val="0"/>
          <w:color w:val="auto"/>
          <w:sz w:val="32"/>
          <w:szCs w:val="32"/>
          <w:highlight w:val="none"/>
        </w:rPr>
        <w:t>附表</w:t>
      </w:r>
    </w:p>
    <w:p>
      <w:pPr>
        <w:adjustRightInd w:val="0"/>
        <w:snapToGrid w:val="0"/>
        <w:jc w:val="center"/>
        <w:outlineLvl w:val="0"/>
        <w:rPr>
          <w:rFonts w:ascii="方正小标宋_GBK" w:hAnsi="黑体" w:eastAsia="方正小标宋_GBK"/>
          <w:snapToGrid w:val="0"/>
          <w:color w:val="auto"/>
          <w:sz w:val="38"/>
          <w:szCs w:val="38"/>
          <w:highlight w:val="none"/>
        </w:rPr>
      </w:pPr>
      <w:r>
        <w:rPr>
          <w:rFonts w:hint="eastAsia" w:ascii="方正小标宋_GBK" w:hAnsi="黑体" w:eastAsia="方正小标宋_GBK"/>
          <w:snapToGrid w:val="0"/>
          <w:color w:val="auto"/>
          <w:sz w:val="38"/>
          <w:szCs w:val="38"/>
          <w:highlight w:val="none"/>
        </w:rPr>
        <w:t>建设项目污染物排放量汇总表</w:t>
      </w:r>
    </w:p>
    <w:tbl>
      <w:tblPr>
        <w:tblStyle w:val="15"/>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567"/>
        <w:gridCol w:w="1838"/>
        <w:gridCol w:w="11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pStyle w:val="22"/>
              <w:rPr>
                <w:color w:val="auto"/>
                <w:highlight w:val="none"/>
              </w:rPr>
            </w:pPr>
            <w:r>
              <w:rPr>
                <w:rFonts w:hint="eastAsia"/>
                <w:color w:val="auto"/>
                <w:highlight w:val="none"/>
              </w:rPr>
              <w:t>项目</w:t>
            </w:r>
          </w:p>
          <w:p>
            <w:pPr>
              <w:pStyle w:val="22"/>
              <w:rPr>
                <w:color w:val="auto"/>
                <w:highlight w:val="none"/>
              </w:rPr>
            </w:pPr>
            <w:r>
              <w:rPr>
                <w:rFonts w:hint="eastAsia"/>
                <w:color w:val="auto"/>
                <w:highlight w:val="none"/>
              </w:rPr>
              <w:t>分类</w:t>
            </w:r>
          </w:p>
        </w:tc>
        <w:tc>
          <w:tcPr>
            <w:tcW w:w="1417" w:type="dxa"/>
            <w:tcMar>
              <w:left w:w="28" w:type="dxa"/>
              <w:right w:w="28" w:type="dxa"/>
            </w:tcMar>
            <w:vAlign w:val="center"/>
          </w:tcPr>
          <w:p>
            <w:pPr>
              <w:pStyle w:val="22"/>
              <w:rPr>
                <w:color w:val="auto"/>
                <w:highlight w:val="none"/>
              </w:rPr>
            </w:pPr>
            <w:r>
              <w:rPr>
                <w:rFonts w:hint="eastAsia"/>
                <w:color w:val="auto"/>
                <w:highlight w:val="none"/>
              </w:rPr>
              <w:t>污染物名称</w:t>
            </w:r>
          </w:p>
        </w:tc>
        <w:tc>
          <w:tcPr>
            <w:tcW w:w="1701" w:type="dxa"/>
            <w:tcMar>
              <w:left w:w="28" w:type="dxa"/>
              <w:right w:w="28" w:type="dxa"/>
            </w:tcMar>
            <w:vAlign w:val="center"/>
          </w:tcPr>
          <w:p>
            <w:pPr>
              <w:pStyle w:val="22"/>
              <w:rPr>
                <w:color w:val="auto"/>
                <w:highlight w:val="none"/>
              </w:rPr>
            </w:pPr>
            <w:r>
              <w:rPr>
                <w:color w:val="auto"/>
                <w:highlight w:val="none"/>
              </w:rPr>
              <w:t>现有工程</w:t>
            </w:r>
          </w:p>
          <w:p>
            <w:pPr>
              <w:pStyle w:val="22"/>
              <w:rPr>
                <w:color w:val="auto"/>
                <w:highlight w:val="none"/>
              </w:rPr>
            </w:pPr>
            <w:r>
              <w:rPr>
                <w:color w:val="auto"/>
                <w:highlight w:val="none"/>
              </w:rPr>
              <w:t>排放量（固</w:t>
            </w:r>
            <w:r>
              <w:rPr>
                <w:rFonts w:hint="eastAsia"/>
                <w:color w:val="auto"/>
                <w:highlight w:val="none"/>
              </w:rPr>
              <w:t>体</w:t>
            </w:r>
            <w:r>
              <w:rPr>
                <w:color w:val="auto"/>
                <w:highlight w:val="none"/>
              </w:rPr>
              <w:t>废</w:t>
            </w:r>
            <w:r>
              <w:rPr>
                <w:rFonts w:hint="eastAsia"/>
                <w:color w:val="auto"/>
                <w:highlight w:val="none"/>
              </w:rPr>
              <w:t>物</w:t>
            </w:r>
            <w:r>
              <w:rPr>
                <w:color w:val="auto"/>
                <w:highlight w:val="none"/>
              </w:rPr>
              <w:t>产生量）</w:t>
            </w:r>
            <w:r>
              <w:rPr>
                <w:color w:val="auto"/>
                <w:highlight w:val="none"/>
              </w:rPr>
              <w:fldChar w:fldCharType="begin"/>
            </w:r>
            <w:r>
              <w:rPr>
                <w:color w:val="auto"/>
                <w:highlight w:val="none"/>
              </w:rPr>
              <w:instrText xml:space="preserve"> = 1 \* GB3 \* MERGEFORMAT </w:instrText>
            </w:r>
            <w:r>
              <w:rPr>
                <w:color w:val="auto"/>
                <w:highlight w:val="none"/>
              </w:rPr>
              <w:fldChar w:fldCharType="separate"/>
            </w:r>
            <w:r>
              <w:rPr>
                <w:rFonts w:hint="eastAsia"/>
                <w:color w:val="auto"/>
                <w:highlight w:val="none"/>
              </w:rPr>
              <w:t>①</w:t>
            </w:r>
            <w:r>
              <w:rPr>
                <w:color w:val="auto"/>
                <w:highlight w:val="none"/>
              </w:rPr>
              <w:fldChar w:fldCharType="end"/>
            </w:r>
          </w:p>
        </w:tc>
        <w:tc>
          <w:tcPr>
            <w:tcW w:w="1276" w:type="dxa"/>
            <w:tcMar>
              <w:left w:w="28" w:type="dxa"/>
              <w:right w:w="28" w:type="dxa"/>
            </w:tcMar>
            <w:vAlign w:val="center"/>
          </w:tcPr>
          <w:p>
            <w:pPr>
              <w:pStyle w:val="22"/>
              <w:rPr>
                <w:color w:val="auto"/>
                <w:highlight w:val="none"/>
              </w:rPr>
            </w:pPr>
            <w:r>
              <w:rPr>
                <w:color w:val="auto"/>
                <w:highlight w:val="none"/>
              </w:rPr>
              <w:t>现有工程</w:t>
            </w:r>
          </w:p>
          <w:p>
            <w:pPr>
              <w:pStyle w:val="22"/>
              <w:rPr>
                <w:color w:val="auto"/>
                <w:highlight w:val="none"/>
              </w:rPr>
            </w:pPr>
            <w:r>
              <w:rPr>
                <w:color w:val="auto"/>
                <w:highlight w:val="none"/>
              </w:rPr>
              <w:t>许可排放量</w:t>
            </w:r>
          </w:p>
          <w:p>
            <w:pPr>
              <w:pStyle w:val="22"/>
              <w:rPr>
                <w:color w:val="auto"/>
                <w:highlight w:val="none"/>
              </w:rPr>
            </w:pPr>
            <w:r>
              <w:rPr>
                <w:color w:val="auto"/>
                <w:highlight w:val="none"/>
              </w:rPr>
              <w:fldChar w:fldCharType="begin"/>
            </w:r>
            <w:r>
              <w:rPr>
                <w:color w:val="auto"/>
                <w:highlight w:val="none"/>
              </w:rPr>
              <w:instrText xml:space="preserve"> = 2 \* GB3 \* MERGEFORMAT </w:instrText>
            </w:r>
            <w:r>
              <w:rPr>
                <w:color w:val="auto"/>
                <w:highlight w:val="none"/>
              </w:rPr>
              <w:fldChar w:fldCharType="separate"/>
            </w:r>
            <w:r>
              <w:rPr>
                <w:rFonts w:hint="eastAsia"/>
                <w:color w:val="auto"/>
                <w:highlight w:val="none"/>
              </w:rPr>
              <w:t>②</w:t>
            </w:r>
            <w:r>
              <w:rPr>
                <w:color w:val="auto"/>
                <w:highlight w:val="none"/>
              </w:rPr>
              <w:fldChar w:fldCharType="end"/>
            </w:r>
          </w:p>
        </w:tc>
        <w:tc>
          <w:tcPr>
            <w:tcW w:w="1701" w:type="dxa"/>
            <w:tcMar>
              <w:left w:w="28" w:type="dxa"/>
              <w:right w:w="28" w:type="dxa"/>
            </w:tcMar>
            <w:vAlign w:val="center"/>
          </w:tcPr>
          <w:p>
            <w:pPr>
              <w:pStyle w:val="22"/>
              <w:rPr>
                <w:color w:val="auto"/>
                <w:highlight w:val="none"/>
              </w:rPr>
            </w:pPr>
            <w:r>
              <w:rPr>
                <w:color w:val="auto"/>
                <w:highlight w:val="none"/>
              </w:rPr>
              <w:t>在建工程</w:t>
            </w:r>
          </w:p>
          <w:p>
            <w:pPr>
              <w:pStyle w:val="22"/>
              <w:rPr>
                <w:color w:val="auto"/>
                <w:highlight w:val="none"/>
              </w:rPr>
            </w:pPr>
            <w:r>
              <w:rPr>
                <w:color w:val="auto"/>
                <w:highlight w:val="none"/>
              </w:rPr>
              <w:t>排放量（固</w:t>
            </w:r>
            <w:r>
              <w:rPr>
                <w:rFonts w:hint="eastAsia"/>
                <w:color w:val="auto"/>
                <w:highlight w:val="none"/>
              </w:rPr>
              <w:t>体</w:t>
            </w:r>
            <w:r>
              <w:rPr>
                <w:color w:val="auto"/>
                <w:highlight w:val="none"/>
              </w:rPr>
              <w:t>废</w:t>
            </w:r>
            <w:r>
              <w:rPr>
                <w:rFonts w:hint="eastAsia"/>
                <w:color w:val="auto"/>
                <w:highlight w:val="none"/>
              </w:rPr>
              <w:t>物</w:t>
            </w:r>
            <w:r>
              <w:rPr>
                <w:color w:val="auto"/>
                <w:highlight w:val="none"/>
              </w:rPr>
              <w:t>产生量）</w:t>
            </w:r>
            <w:r>
              <w:rPr>
                <w:color w:val="auto"/>
                <w:highlight w:val="none"/>
              </w:rPr>
              <w:fldChar w:fldCharType="begin"/>
            </w:r>
            <w:r>
              <w:rPr>
                <w:color w:val="auto"/>
                <w:highlight w:val="none"/>
              </w:rPr>
              <w:instrText xml:space="preserve"> = 3 \* GB3 \* MERGEFORMAT </w:instrText>
            </w:r>
            <w:r>
              <w:rPr>
                <w:color w:val="auto"/>
                <w:highlight w:val="none"/>
              </w:rPr>
              <w:fldChar w:fldCharType="separate"/>
            </w:r>
            <w:r>
              <w:rPr>
                <w:rFonts w:hint="eastAsia"/>
                <w:color w:val="auto"/>
                <w:highlight w:val="none"/>
              </w:rPr>
              <w:t>③</w:t>
            </w:r>
            <w:r>
              <w:rPr>
                <w:color w:val="auto"/>
                <w:highlight w:val="none"/>
              </w:rPr>
              <w:fldChar w:fldCharType="end"/>
            </w:r>
          </w:p>
        </w:tc>
        <w:tc>
          <w:tcPr>
            <w:tcW w:w="1559" w:type="dxa"/>
            <w:tcMar>
              <w:left w:w="28" w:type="dxa"/>
              <w:right w:w="28" w:type="dxa"/>
            </w:tcMar>
            <w:vAlign w:val="center"/>
          </w:tcPr>
          <w:p>
            <w:pPr>
              <w:pStyle w:val="22"/>
              <w:rPr>
                <w:color w:val="auto"/>
                <w:highlight w:val="none"/>
              </w:rPr>
            </w:pPr>
            <w:r>
              <w:rPr>
                <w:color w:val="auto"/>
                <w:highlight w:val="none"/>
              </w:rPr>
              <w:t>本项目</w:t>
            </w:r>
          </w:p>
          <w:p>
            <w:pPr>
              <w:pStyle w:val="22"/>
              <w:rPr>
                <w:color w:val="auto"/>
                <w:highlight w:val="none"/>
              </w:rPr>
            </w:pPr>
            <w:r>
              <w:rPr>
                <w:color w:val="auto"/>
                <w:highlight w:val="none"/>
              </w:rPr>
              <w:t>排放量（固</w:t>
            </w:r>
            <w:r>
              <w:rPr>
                <w:rFonts w:hint="eastAsia"/>
                <w:color w:val="auto"/>
                <w:highlight w:val="none"/>
              </w:rPr>
              <w:t>体</w:t>
            </w:r>
            <w:r>
              <w:rPr>
                <w:color w:val="auto"/>
                <w:highlight w:val="none"/>
              </w:rPr>
              <w:t>废</w:t>
            </w:r>
            <w:r>
              <w:rPr>
                <w:rFonts w:hint="eastAsia"/>
                <w:color w:val="auto"/>
                <w:highlight w:val="none"/>
              </w:rPr>
              <w:t>物</w:t>
            </w:r>
            <w:r>
              <w:rPr>
                <w:color w:val="auto"/>
                <w:highlight w:val="none"/>
              </w:rPr>
              <w:t>产生量）</w:t>
            </w:r>
            <w:r>
              <w:rPr>
                <w:color w:val="auto"/>
                <w:highlight w:val="none"/>
              </w:rPr>
              <w:fldChar w:fldCharType="begin"/>
            </w:r>
            <w:r>
              <w:rPr>
                <w:color w:val="auto"/>
                <w:highlight w:val="none"/>
              </w:rPr>
              <w:instrText xml:space="preserve"> = 4 \* GB3 \* MERGEFORMAT </w:instrText>
            </w:r>
            <w:r>
              <w:rPr>
                <w:color w:val="auto"/>
                <w:highlight w:val="none"/>
              </w:rPr>
              <w:fldChar w:fldCharType="separate"/>
            </w:r>
            <w:r>
              <w:rPr>
                <w:rFonts w:hint="eastAsia"/>
                <w:color w:val="auto"/>
                <w:highlight w:val="none"/>
              </w:rPr>
              <w:t>④</w:t>
            </w:r>
            <w:r>
              <w:rPr>
                <w:color w:val="auto"/>
                <w:highlight w:val="none"/>
              </w:rPr>
              <w:fldChar w:fldCharType="end"/>
            </w:r>
          </w:p>
        </w:tc>
        <w:tc>
          <w:tcPr>
            <w:tcW w:w="1567" w:type="dxa"/>
            <w:tcMar>
              <w:left w:w="28" w:type="dxa"/>
              <w:right w:w="28" w:type="dxa"/>
            </w:tcMar>
            <w:vAlign w:val="center"/>
          </w:tcPr>
          <w:p>
            <w:pPr>
              <w:pStyle w:val="22"/>
              <w:rPr>
                <w:color w:val="auto"/>
                <w:highlight w:val="none"/>
              </w:rPr>
            </w:pPr>
            <w:r>
              <w:rPr>
                <w:color w:val="auto"/>
                <w:highlight w:val="none"/>
              </w:rPr>
              <w:t>以新带老削减量</w:t>
            </w:r>
          </w:p>
          <w:p>
            <w:pPr>
              <w:pStyle w:val="22"/>
              <w:rPr>
                <w:color w:val="auto"/>
                <w:highlight w:val="none"/>
              </w:rPr>
            </w:pPr>
            <w:r>
              <w:rPr>
                <w:color w:val="auto"/>
                <w:highlight w:val="none"/>
              </w:rPr>
              <w:t>（新建项目不填）</w:t>
            </w:r>
            <w:r>
              <w:rPr>
                <w:color w:val="auto"/>
                <w:highlight w:val="none"/>
              </w:rPr>
              <w:fldChar w:fldCharType="begin"/>
            </w:r>
            <w:r>
              <w:rPr>
                <w:color w:val="auto"/>
                <w:highlight w:val="none"/>
              </w:rPr>
              <w:instrText xml:space="preserve"> = 5 \* GB3 \* MERGEFORMAT </w:instrText>
            </w:r>
            <w:r>
              <w:rPr>
                <w:color w:val="auto"/>
                <w:highlight w:val="none"/>
              </w:rPr>
              <w:fldChar w:fldCharType="separate"/>
            </w:r>
            <w:r>
              <w:rPr>
                <w:rFonts w:hint="eastAsia"/>
                <w:color w:val="auto"/>
                <w:highlight w:val="none"/>
              </w:rPr>
              <w:t>⑤</w:t>
            </w:r>
            <w:r>
              <w:rPr>
                <w:color w:val="auto"/>
                <w:highlight w:val="none"/>
              </w:rPr>
              <w:fldChar w:fldCharType="end"/>
            </w:r>
          </w:p>
        </w:tc>
        <w:tc>
          <w:tcPr>
            <w:tcW w:w="1838" w:type="dxa"/>
            <w:tcMar>
              <w:left w:w="28" w:type="dxa"/>
              <w:right w:w="28" w:type="dxa"/>
            </w:tcMar>
            <w:vAlign w:val="center"/>
          </w:tcPr>
          <w:p>
            <w:pPr>
              <w:pStyle w:val="22"/>
              <w:rPr>
                <w:color w:val="auto"/>
                <w:highlight w:val="none"/>
              </w:rPr>
            </w:pPr>
            <w:r>
              <w:rPr>
                <w:color w:val="auto"/>
                <w:highlight w:val="none"/>
              </w:rPr>
              <w:t>本项目建成后</w:t>
            </w:r>
          </w:p>
          <w:p>
            <w:pPr>
              <w:pStyle w:val="22"/>
              <w:rPr>
                <w:color w:val="auto"/>
                <w:highlight w:val="none"/>
              </w:rPr>
            </w:pPr>
            <w:r>
              <w:rPr>
                <w:rFonts w:hint="eastAsia"/>
                <w:color w:val="auto"/>
                <w:highlight w:val="none"/>
              </w:rPr>
              <w:t>全厂</w:t>
            </w:r>
            <w:r>
              <w:rPr>
                <w:color w:val="auto"/>
                <w:highlight w:val="none"/>
              </w:rPr>
              <w:t>排放量（固</w:t>
            </w:r>
            <w:r>
              <w:rPr>
                <w:rFonts w:hint="eastAsia"/>
                <w:color w:val="auto"/>
                <w:highlight w:val="none"/>
              </w:rPr>
              <w:t>体</w:t>
            </w:r>
            <w:r>
              <w:rPr>
                <w:color w:val="auto"/>
                <w:highlight w:val="none"/>
              </w:rPr>
              <w:t>废</w:t>
            </w:r>
            <w:r>
              <w:rPr>
                <w:rFonts w:hint="eastAsia"/>
                <w:color w:val="auto"/>
                <w:highlight w:val="none"/>
              </w:rPr>
              <w:t>物</w:t>
            </w:r>
            <w:r>
              <w:rPr>
                <w:color w:val="auto"/>
                <w:highlight w:val="none"/>
              </w:rPr>
              <w:t>产生量）</w:t>
            </w:r>
            <w:r>
              <w:rPr>
                <w:color w:val="auto"/>
                <w:highlight w:val="none"/>
              </w:rPr>
              <w:fldChar w:fldCharType="begin"/>
            </w:r>
            <w:r>
              <w:rPr>
                <w:color w:val="auto"/>
                <w:highlight w:val="none"/>
              </w:rPr>
              <w:instrText xml:space="preserve"> = 6 \* GB3 \* MERGEFORMAT </w:instrText>
            </w:r>
            <w:r>
              <w:rPr>
                <w:color w:val="auto"/>
                <w:highlight w:val="none"/>
              </w:rPr>
              <w:fldChar w:fldCharType="separate"/>
            </w:r>
            <w:r>
              <w:rPr>
                <w:rFonts w:hint="eastAsia"/>
                <w:color w:val="auto"/>
                <w:highlight w:val="none"/>
              </w:rPr>
              <w:t>⑥</w:t>
            </w:r>
            <w:r>
              <w:rPr>
                <w:color w:val="auto"/>
                <w:highlight w:val="none"/>
              </w:rPr>
              <w:fldChar w:fldCharType="end"/>
            </w:r>
          </w:p>
        </w:tc>
        <w:tc>
          <w:tcPr>
            <w:tcW w:w="1141" w:type="dxa"/>
            <w:tcMar>
              <w:left w:w="28" w:type="dxa"/>
              <w:right w:w="28" w:type="dxa"/>
            </w:tcMar>
            <w:vAlign w:val="center"/>
          </w:tcPr>
          <w:p>
            <w:pPr>
              <w:pStyle w:val="22"/>
              <w:rPr>
                <w:color w:val="auto"/>
                <w:highlight w:val="none"/>
              </w:rPr>
            </w:pPr>
            <w:r>
              <w:rPr>
                <w:color w:val="auto"/>
                <w:highlight w:val="none"/>
              </w:rPr>
              <w:t>变化量</w:t>
            </w:r>
          </w:p>
          <w:p>
            <w:pPr>
              <w:pStyle w:val="22"/>
              <w:rPr>
                <w:color w:val="auto"/>
                <w:highlight w:val="none"/>
              </w:rPr>
            </w:pPr>
            <w:r>
              <w:rPr>
                <w:color w:val="auto"/>
                <w:highlight w:val="none"/>
              </w:rPr>
              <w:fldChar w:fldCharType="begin"/>
            </w:r>
            <w:r>
              <w:rPr>
                <w:color w:val="auto"/>
                <w:highlight w:val="none"/>
              </w:rPr>
              <w:instrText xml:space="preserve"> = 7 \* GB3 \* MERGEFORMAT </w:instrText>
            </w:r>
            <w:r>
              <w:rPr>
                <w:color w:val="auto"/>
                <w:highlight w:val="none"/>
              </w:rPr>
              <w:fldChar w:fldCharType="separate"/>
            </w:r>
            <w:r>
              <w:rPr>
                <w:rFonts w:hint="eastAsia"/>
                <w:color w:val="auto"/>
                <w:highlight w:val="none"/>
              </w:rPr>
              <w:t>⑦</w:t>
            </w:r>
            <w:r>
              <w:rPr>
                <w:color w:val="auto"/>
                <w:highlight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588" w:type="dxa"/>
            <w:vAlign w:val="center"/>
          </w:tcPr>
          <w:p>
            <w:pPr>
              <w:pStyle w:val="22"/>
              <w:rPr>
                <w:color w:val="auto"/>
                <w:highlight w:val="none"/>
              </w:rPr>
            </w:pPr>
            <w:r>
              <w:rPr>
                <w:rFonts w:hint="eastAsia"/>
                <w:color w:val="auto"/>
                <w:highlight w:val="none"/>
              </w:rPr>
              <w:t>废气</w:t>
            </w:r>
          </w:p>
        </w:tc>
        <w:tc>
          <w:tcPr>
            <w:tcW w:w="1417" w:type="dxa"/>
            <w:vAlign w:val="center"/>
          </w:tcPr>
          <w:p>
            <w:pPr>
              <w:pStyle w:val="22"/>
              <w:rPr>
                <w:rFonts w:hint="eastAsia" w:eastAsiaTheme="minorEastAsia"/>
                <w:color w:val="auto"/>
                <w:highlight w:val="none"/>
                <w:lang w:eastAsia="zh-CN"/>
              </w:rPr>
            </w:pPr>
            <w:r>
              <w:rPr>
                <w:rFonts w:hint="eastAsia"/>
                <w:color w:val="auto"/>
                <w:highlight w:val="none"/>
                <w:lang w:eastAsia="zh-CN"/>
              </w:rPr>
              <w:t>非甲烷总烃</w:t>
            </w:r>
          </w:p>
        </w:tc>
        <w:tc>
          <w:tcPr>
            <w:tcW w:w="1701" w:type="dxa"/>
            <w:vAlign w:val="center"/>
          </w:tcPr>
          <w:p>
            <w:pPr>
              <w:pStyle w:val="22"/>
              <w:rPr>
                <w:rFonts w:hint="default"/>
                <w:color w:val="auto"/>
                <w:highlight w:val="none"/>
                <w:lang w:val="en-US"/>
              </w:rPr>
            </w:pPr>
            <w:r>
              <w:rPr>
                <w:rFonts w:hint="eastAsia"/>
                <w:color w:val="auto"/>
                <w:highlight w:val="none"/>
                <w:lang w:val="en-US" w:eastAsia="zh-CN"/>
              </w:rPr>
              <w:t>0.00696</w:t>
            </w:r>
          </w:p>
        </w:tc>
        <w:tc>
          <w:tcPr>
            <w:tcW w:w="1276" w:type="dxa"/>
            <w:vAlign w:val="center"/>
          </w:tcPr>
          <w:p>
            <w:pPr>
              <w:pStyle w:val="22"/>
              <w:rPr>
                <w:color w:val="auto"/>
                <w:highlight w:val="none"/>
              </w:rPr>
            </w:pPr>
            <w:r>
              <w:rPr>
                <w:rFonts w:hint="eastAsia"/>
                <w:color w:val="auto"/>
                <w:highlight w:val="none"/>
                <w:lang w:val="en-US" w:eastAsia="zh-CN"/>
              </w:rPr>
              <w:t>-</w:t>
            </w:r>
          </w:p>
        </w:tc>
        <w:tc>
          <w:tcPr>
            <w:tcW w:w="1701" w:type="dxa"/>
            <w:vAlign w:val="center"/>
          </w:tcPr>
          <w:p>
            <w:pPr>
              <w:pStyle w:val="22"/>
              <w:rPr>
                <w:color w:val="auto"/>
                <w:highlight w:val="none"/>
              </w:rPr>
            </w:pPr>
            <w:r>
              <w:rPr>
                <w:rFonts w:hint="eastAsia"/>
                <w:color w:val="auto"/>
                <w:highlight w:val="none"/>
              </w:rPr>
              <w:t>-</w:t>
            </w:r>
          </w:p>
        </w:tc>
        <w:tc>
          <w:tcPr>
            <w:tcW w:w="1559" w:type="dxa"/>
            <w:vAlign w:val="center"/>
          </w:tcPr>
          <w:p>
            <w:pPr>
              <w:pStyle w:val="22"/>
              <w:rPr>
                <w:rFonts w:hint="default" w:eastAsiaTheme="minorEastAsia"/>
                <w:b/>
                <w:bCs/>
                <w:color w:val="auto"/>
                <w:highlight w:val="none"/>
                <w:lang w:val="en-US" w:eastAsia="zh-CN"/>
              </w:rPr>
            </w:pPr>
            <w:r>
              <w:rPr>
                <w:rFonts w:hint="eastAsia"/>
                <w:color w:val="auto"/>
                <w:highlight w:val="none"/>
                <w:lang w:val="en-US" w:eastAsia="zh-CN"/>
              </w:rPr>
              <w:t>-</w:t>
            </w:r>
          </w:p>
        </w:tc>
        <w:tc>
          <w:tcPr>
            <w:tcW w:w="1567" w:type="dxa"/>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c>
          <w:tcPr>
            <w:tcW w:w="1838" w:type="dxa"/>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0.00696</w:t>
            </w:r>
          </w:p>
        </w:tc>
        <w:tc>
          <w:tcPr>
            <w:tcW w:w="1141" w:type="dxa"/>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588" w:type="dxa"/>
            <w:vMerge w:val="restart"/>
            <w:vAlign w:val="center"/>
          </w:tcPr>
          <w:p>
            <w:pPr>
              <w:pStyle w:val="22"/>
              <w:rPr>
                <w:color w:val="auto"/>
                <w:highlight w:val="none"/>
              </w:rPr>
            </w:pPr>
            <w:r>
              <w:rPr>
                <w:rFonts w:hint="eastAsia"/>
                <w:color w:val="auto"/>
                <w:highlight w:val="none"/>
              </w:rPr>
              <w:t>废水</w:t>
            </w:r>
          </w:p>
        </w:tc>
        <w:tc>
          <w:tcPr>
            <w:tcW w:w="1417" w:type="dxa"/>
            <w:vAlign w:val="center"/>
          </w:tcPr>
          <w:p>
            <w:pPr>
              <w:pStyle w:val="22"/>
              <w:rPr>
                <w:color w:val="auto"/>
                <w:highlight w:val="none"/>
              </w:rPr>
            </w:pPr>
            <w:r>
              <w:rPr>
                <w:rFonts w:hint="eastAsia"/>
                <w:color w:val="auto"/>
                <w:highlight w:val="none"/>
              </w:rPr>
              <w:t>COD</w:t>
            </w:r>
          </w:p>
        </w:tc>
        <w:tc>
          <w:tcPr>
            <w:tcW w:w="1701" w:type="dxa"/>
            <w:vAlign w:val="center"/>
          </w:tcPr>
          <w:p>
            <w:pPr>
              <w:pStyle w:val="22"/>
              <w:rPr>
                <w:color w:val="auto"/>
                <w:highlight w:val="none"/>
              </w:rPr>
            </w:pPr>
            <w:r>
              <w:rPr>
                <w:rFonts w:hint="eastAsia" w:cs="Times New Roman"/>
                <w:color w:val="auto"/>
                <w:kern w:val="2"/>
                <w:sz w:val="21"/>
                <w:szCs w:val="21"/>
                <w:highlight w:val="none"/>
                <w:lang w:val="en-US" w:eastAsia="zh-CN" w:bidi="ar-SA"/>
              </w:rPr>
              <w:t>13.0023</w:t>
            </w:r>
          </w:p>
        </w:tc>
        <w:tc>
          <w:tcPr>
            <w:tcW w:w="1276" w:type="dxa"/>
            <w:vAlign w:val="center"/>
          </w:tcPr>
          <w:p>
            <w:pPr>
              <w:pStyle w:val="22"/>
              <w:rPr>
                <w:color w:val="auto"/>
                <w:highlight w:val="none"/>
              </w:rPr>
            </w:pPr>
            <w:r>
              <w:rPr>
                <w:rFonts w:hint="eastAsia"/>
                <w:color w:val="auto"/>
                <w:highlight w:val="none"/>
              </w:rPr>
              <w:t>-</w:t>
            </w:r>
          </w:p>
        </w:tc>
        <w:tc>
          <w:tcPr>
            <w:tcW w:w="1701" w:type="dxa"/>
            <w:vAlign w:val="center"/>
          </w:tcPr>
          <w:p>
            <w:pPr>
              <w:pStyle w:val="22"/>
              <w:rPr>
                <w:color w:val="auto"/>
                <w:highlight w:val="none"/>
              </w:rPr>
            </w:pPr>
            <w:r>
              <w:rPr>
                <w:rFonts w:hint="eastAsia"/>
                <w:color w:val="auto"/>
                <w:highlight w:val="none"/>
              </w:rPr>
              <w:t>-</w:t>
            </w:r>
          </w:p>
        </w:tc>
        <w:tc>
          <w:tcPr>
            <w:tcW w:w="1559" w:type="dxa"/>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c>
          <w:tcPr>
            <w:tcW w:w="1567" w:type="dxa"/>
            <w:vAlign w:val="center"/>
          </w:tcPr>
          <w:p>
            <w:pPr>
              <w:pStyle w:val="22"/>
              <w:rPr>
                <w:color w:val="auto"/>
                <w:highlight w:val="none"/>
              </w:rPr>
            </w:pPr>
            <w:r>
              <w:rPr>
                <w:rFonts w:hint="eastAsia"/>
                <w:color w:val="auto"/>
                <w:highlight w:val="none"/>
              </w:rPr>
              <w:t>-</w:t>
            </w:r>
          </w:p>
        </w:tc>
        <w:tc>
          <w:tcPr>
            <w:tcW w:w="1838" w:type="dxa"/>
            <w:vAlign w:val="center"/>
          </w:tcPr>
          <w:p>
            <w:pPr>
              <w:pStyle w:val="22"/>
              <w:rPr>
                <w:rFonts w:hint="eastAsia" w:eastAsiaTheme="minorEastAsia"/>
                <w:color w:val="auto"/>
                <w:highlight w:val="none"/>
                <w:lang w:val="en-US" w:eastAsia="zh-CN"/>
              </w:rPr>
            </w:pPr>
            <w:r>
              <w:rPr>
                <w:rFonts w:hint="eastAsia" w:cs="Times New Roman"/>
                <w:color w:val="auto"/>
                <w:kern w:val="2"/>
                <w:sz w:val="21"/>
                <w:szCs w:val="21"/>
                <w:highlight w:val="none"/>
                <w:lang w:val="en-US" w:eastAsia="zh-CN" w:bidi="ar-SA"/>
              </w:rPr>
              <w:t>13.0023</w:t>
            </w:r>
          </w:p>
        </w:tc>
        <w:tc>
          <w:tcPr>
            <w:tcW w:w="1141" w:type="dxa"/>
            <w:vAlign w:val="center"/>
          </w:tcPr>
          <w:p>
            <w:pPr>
              <w:pStyle w:val="22"/>
              <w:rPr>
                <w:color w:val="auto"/>
                <w:highlight w:val="none"/>
              </w:rPr>
            </w:pPr>
            <w:r>
              <w:rPr>
                <w:rFonts w:hint="eastAsia" w:cs="Times New Roman"/>
                <w:color w:val="auto"/>
                <w:kern w:val="2"/>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588" w:type="dxa"/>
            <w:vMerge w:val="continue"/>
            <w:vAlign w:val="center"/>
          </w:tcPr>
          <w:p>
            <w:pPr>
              <w:pStyle w:val="22"/>
              <w:rPr>
                <w:color w:val="auto"/>
                <w:highlight w:val="none"/>
              </w:rPr>
            </w:pPr>
          </w:p>
        </w:tc>
        <w:tc>
          <w:tcPr>
            <w:tcW w:w="1417" w:type="dxa"/>
            <w:vAlign w:val="center"/>
          </w:tcPr>
          <w:p>
            <w:pPr>
              <w:pStyle w:val="22"/>
              <w:rPr>
                <w:color w:val="auto"/>
                <w:highlight w:val="none"/>
              </w:rPr>
            </w:pPr>
            <w:r>
              <w:rPr>
                <w:rFonts w:hint="eastAsia"/>
                <w:color w:val="auto"/>
                <w:highlight w:val="none"/>
              </w:rPr>
              <w:t>氨氮</w:t>
            </w:r>
          </w:p>
        </w:tc>
        <w:tc>
          <w:tcPr>
            <w:tcW w:w="1701" w:type="dxa"/>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c>
          <w:tcPr>
            <w:tcW w:w="1276" w:type="dxa"/>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c>
          <w:tcPr>
            <w:tcW w:w="1701" w:type="dxa"/>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c>
          <w:tcPr>
            <w:tcW w:w="1559" w:type="dxa"/>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c>
          <w:tcPr>
            <w:tcW w:w="1567" w:type="dxa"/>
            <w:vAlign w:val="center"/>
          </w:tcPr>
          <w:p>
            <w:pPr>
              <w:pStyle w:val="22"/>
              <w:rPr>
                <w:color w:val="auto"/>
                <w:highlight w:val="none"/>
              </w:rPr>
            </w:pPr>
            <w:r>
              <w:rPr>
                <w:rFonts w:hint="eastAsia"/>
                <w:color w:val="auto"/>
                <w:highlight w:val="none"/>
              </w:rPr>
              <w:t>-</w:t>
            </w:r>
          </w:p>
        </w:tc>
        <w:tc>
          <w:tcPr>
            <w:tcW w:w="1838" w:type="dxa"/>
            <w:vAlign w:val="center"/>
          </w:tcPr>
          <w:p>
            <w:pPr>
              <w:pStyle w:val="22"/>
              <w:rPr>
                <w:rFonts w:hint="eastAsia" w:eastAsiaTheme="minorEastAsia"/>
                <w:color w:val="auto"/>
                <w:highlight w:val="none"/>
                <w:lang w:val="en-US" w:eastAsia="zh-CN"/>
              </w:rPr>
            </w:pPr>
            <w:r>
              <w:rPr>
                <w:rFonts w:hint="eastAsia"/>
                <w:color w:val="auto"/>
                <w:highlight w:val="none"/>
                <w:lang w:val="en-US" w:eastAsia="zh-CN"/>
              </w:rPr>
              <w:t>-</w:t>
            </w:r>
          </w:p>
        </w:tc>
        <w:tc>
          <w:tcPr>
            <w:tcW w:w="1141" w:type="dxa"/>
            <w:vAlign w:val="center"/>
          </w:tcPr>
          <w:p>
            <w:pPr>
              <w:pStyle w:val="22"/>
              <w:rPr>
                <w:color w:val="auto"/>
                <w:highlight w:val="none"/>
              </w:rPr>
            </w:pPr>
            <w:r>
              <w:rPr>
                <w:rFonts w:hint="eastAsia" w:cs="Times New Roman"/>
                <w:color w:val="auto"/>
                <w:kern w:val="2"/>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588" w:type="dxa"/>
            <w:vMerge w:val="restart"/>
            <w:vAlign w:val="center"/>
          </w:tcPr>
          <w:p>
            <w:pPr>
              <w:pStyle w:val="22"/>
              <w:rPr>
                <w:color w:val="auto"/>
                <w:highlight w:val="none"/>
              </w:rPr>
            </w:pPr>
            <w:r>
              <w:rPr>
                <w:rFonts w:hint="eastAsia"/>
                <w:color w:val="auto"/>
                <w:highlight w:val="none"/>
              </w:rPr>
              <w:t>危险废物</w:t>
            </w:r>
          </w:p>
        </w:tc>
        <w:tc>
          <w:tcPr>
            <w:tcW w:w="1417" w:type="dxa"/>
            <w:shd w:val="clear" w:color="auto" w:fill="auto"/>
            <w:vAlign w:val="center"/>
          </w:tcPr>
          <w:p>
            <w:pPr>
              <w:pStyle w:val="22"/>
              <w:rPr>
                <w:rFonts w:hint="default"/>
                <w:color w:val="auto"/>
                <w:highlight w:val="none"/>
                <w:lang w:val="en-US" w:eastAsia="zh-CN"/>
              </w:rPr>
            </w:pPr>
            <w:r>
              <w:rPr>
                <w:rFonts w:hint="eastAsia"/>
                <w:color w:val="auto"/>
                <w:highlight w:val="none"/>
                <w:lang w:val="en-US" w:eastAsia="zh-CN"/>
              </w:rPr>
              <w:t>尾矿</w:t>
            </w:r>
          </w:p>
        </w:tc>
        <w:tc>
          <w:tcPr>
            <w:tcW w:w="1701" w:type="dxa"/>
            <w:shd w:val="clear" w:color="auto" w:fill="auto"/>
            <w:vAlign w:val="center"/>
          </w:tcPr>
          <w:p>
            <w:pPr>
              <w:pStyle w:val="22"/>
              <w:rPr>
                <w:rFonts w:hint="default"/>
                <w:color w:val="auto"/>
                <w:highlight w:val="none"/>
                <w:lang w:val="en-US" w:eastAsia="zh-CN"/>
              </w:rPr>
            </w:pPr>
            <w:r>
              <w:rPr>
                <w:rFonts w:hint="eastAsia"/>
                <w:color w:val="auto"/>
                <w:highlight w:val="none"/>
                <w:lang w:val="en-US" w:eastAsia="zh-CN"/>
              </w:rPr>
              <w:t>20.5833万</w:t>
            </w:r>
          </w:p>
        </w:tc>
        <w:tc>
          <w:tcPr>
            <w:tcW w:w="1276" w:type="dxa"/>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701"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559"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567" w:type="dxa"/>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838" w:type="dxa"/>
            <w:vAlign w:val="center"/>
          </w:tcPr>
          <w:p>
            <w:pPr>
              <w:pStyle w:val="22"/>
              <w:ind w:firstLine="0" w:firstLineChars="0"/>
              <w:rPr>
                <w:rFonts w:hint="default" w:ascii="Times New Roman" w:hAnsi="Times New Roman" w:cs="Times New Roman" w:eastAsiaTheme="minorEastAsia"/>
                <w:color w:val="FF0000"/>
                <w:kern w:val="2"/>
                <w:sz w:val="21"/>
                <w:szCs w:val="21"/>
                <w:highlight w:val="none"/>
                <w:lang w:val="en-US" w:eastAsia="zh-CN" w:bidi="ar-SA"/>
              </w:rPr>
            </w:pPr>
            <w:r>
              <w:rPr>
                <w:rFonts w:hint="eastAsia"/>
                <w:color w:val="auto"/>
                <w:highlight w:val="none"/>
                <w:lang w:val="en-US" w:eastAsia="zh-CN"/>
              </w:rPr>
              <w:t>20.5833万</w:t>
            </w:r>
          </w:p>
        </w:tc>
        <w:tc>
          <w:tcPr>
            <w:tcW w:w="1141" w:type="dxa"/>
            <w:vAlign w:val="center"/>
          </w:tcPr>
          <w:p>
            <w:pPr>
              <w:pStyle w:val="22"/>
              <w:bidi w:val="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588" w:type="dxa"/>
            <w:vMerge w:val="continue"/>
            <w:vAlign w:val="center"/>
          </w:tcPr>
          <w:p>
            <w:pPr>
              <w:pStyle w:val="22"/>
              <w:rPr>
                <w:rFonts w:hint="eastAsia"/>
                <w:color w:val="auto"/>
                <w:highlight w:val="none"/>
              </w:rPr>
            </w:pPr>
          </w:p>
        </w:tc>
        <w:tc>
          <w:tcPr>
            <w:tcW w:w="1417" w:type="dxa"/>
            <w:shd w:val="clear" w:color="auto" w:fill="auto"/>
            <w:vAlign w:val="center"/>
          </w:tcPr>
          <w:p>
            <w:pPr>
              <w:pStyle w:val="22"/>
              <w:rPr>
                <w:rFonts w:hint="eastAsia"/>
                <w:color w:val="auto"/>
                <w:highlight w:val="none"/>
                <w:lang w:val="en-US" w:eastAsia="zh-CN"/>
              </w:rPr>
            </w:pPr>
            <w:r>
              <w:rPr>
                <w:rFonts w:hint="eastAsia"/>
                <w:color w:val="auto"/>
                <w:highlight w:val="none"/>
                <w:lang w:eastAsia="zh-CN"/>
              </w:rPr>
              <w:t>废石</w:t>
            </w:r>
          </w:p>
        </w:tc>
        <w:tc>
          <w:tcPr>
            <w:tcW w:w="1701" w:type="dxa"/>
            <w:shd w:val="clear" w:color="auto" w:fill="auto"/>
            <w:vAlign w:val="center"/>
          </w:tcPr>
          <w:p>
            <w:pPr>
              <w:pStyle w:val="22"/>
              <w:rPr>
                <w:rFonts w:hint="default"/>
                <w:color w:val="auto"/>
                <w:highlight w:val="none"/>
                <w:lang w:val="en-US" w:eastAsia="zh-CN"/>
              </w:rPr>
            </w:pPr>
            <w:r>
              <w:rPr>
                <w:rFonts w:hint="eastAsia"/>
                <w:color w:val="auto"/>
                <w:highlight w:val="none"/>
                <w:lang w:val="en-US" w:eastAsia="zh-CN"/>
              </w:rPr>
              <w:t>6.2万</w:t>
            </w:r>
          </w:p>
        </w:tc>
        <w:tc>
          <w:tcPr>
            <w:tcW w:w="1276" w:type="dxa"/>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701"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559"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567" w:type="dxa"/>
            <w:vAlign w:val="center"/>
          </w:tcPr>
          <w:p>
            <w:pPr>
              <w:pStyle w:val="22"/>
              <w:ind w:firstLine="0" w:firstLineChars="0"/>
              <w:rPr>
                <w:rFonts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838" w:type="dxa"/>
            <w:vAlign w:val="center"/>
          </w:tcPr>
          <w:p>
            <w:pPr>
              <w:pStyle w:val="22"/>
              <w:ind w:firstLine="0" w:firstLineChars="0"/>
              <w:rPr>
                <w:rFonts w:hint="default" w:ascii="Times New Roman" w:hAnsi="Times New Roman" w:cs="Times New Roman" w:eastAsiaTheme="minorEastAsia"/>
                <w:color w:val="FF0000"/>
                <w:kern w:val="2"/>
                <w:sz w:val="21"/>
                <w:szCs w:val="21"/>
                <w:highlight w:val="none"/>
                <w:lang w:val="en-US" w:eastAsia="zh-CN" w:bidi="ar-SA"/>
              </w:rPr>
            </w:pPr>
            <w:r>
              <w:rPr>
                <w:rFonts w:hint="eastAsia"/>
                <w:color w:val="auto"/>
                <w:highlight w:val="none"/>
                <w:lang w:val="en-US" w:eastAsia="zh-CN"/>
              </w:rPr>
              <w:t>6.2万</w:t>
            </w:r>
          </w:p>
        </w:tc>
        <w:tc>
          <w:tcPr>
            <w:tcW w:w="1141" w:type="dxa"/>
            <w:vAlign w:val="center"/>
          </w:tcPr>
          <w:p>
            <w:pPr>
              <w:pStyle w:val="22"/>
              <w:bidi w:val="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588" w:type="dxa"/>
            <w:vMerge w:val="continue"/>
            <w:vAlign w:val="center"/>
          </w:tcPr>
          <w:p>
            <w:pPr>
              <w:pStyle w:val="22"/>
              <w:rPr>
                <w:rFonts w:hint="eastAsia"/>
                <w:color w:val="auto"/>
                <w:highlight w:val="none"/>
              </w:rPr>
            </w:pPr>
          </w:p>
        </w:tc>
        <w:tc>
          <w:tcPr>
            <w:tcW w:w="1417"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废润滑油</w:t>
            </w:r>
          </w:p>
        </w:tc>
        <w:tc>
          <w:tcPr>
            <w:tcW w:w="1701"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1.81</w:t>
            </w:r>
            <w:r>
              <w:rPr>
                <w:rFonts w:hint="eastAsia"/>
                <w:color w:val="auto"/>
                <w:highlight w:val="none"/>
              </w:rPr>
              <w:t>t/a</w:t>
            </w:r>
          </w:p>
        </w:tc>
        <w:tc>
          <w:tcPr>
            <w:tcW w:w="1276"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701"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559"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7"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838" w:type="dxa"/>
            <w:shd w:val="clear" w:color="auto" w:fill="auto"/>
            <w:vAlign w:val="center"/>
          </w:tcPr>
          <w:p>
            <w:pPr>
              <w:pStyle w:val="22"/>
              <w:ind w:firstLine="0" w:firstLineChars="0"/>
              <w:rPr>
                <w:rFonts w:hint="eastAsia" w:ascii="Times New Roman" w:hAnsi="Times New Roman" w:cs="Times New Roman" w:eastAsiaTheme="minorEastAsia"/>
                <w:color w:val="FF0000"/>
                <w:kern w:val="2"/>
                <w:sz w:val="21"/>
                <w:szCs w:val="21"/>
                <w:highlight w:val="none"/>
                <w:lang w:val="en-US" w:eastAsia="zh-CN" w:bidi="ar-SA"/>
              </w:rPr>
            </w:pPr>
            <w:r>
              <w:rPr>
                <w:rFonts w:hint="eastAsia" w:cs="Times New Roman"/>
                <w:color w:val="auto"/>
                <w:kern w:val="2"/>
                <w:sz w:val="21"/>
                <w:szCs w:val="21"/>
                <w:highlight w:val="none"/>
                <w:lang w:val="en-US" w:eastAsia="zh-CN" w:bidi="ar-SA"/>
              </w:rPr>
              <w:t>1.81</w:t>
            </w:r>
            <w:r>
              <w:rPr>
                <w:rFonts w:hint="eastAsia"/>
                <w:color w:val="auto"/>
                <w:highlight w:val="none"/>
              </w:rPr>
              <w:t>t/a</w:t>
            </w:r>
          </w:p>
        </w:tc>
        <w:tc>
          <w:tcPr>
            <w:tcW w:w="1141"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588" w:type="dxa"/>
            <w:vMerge w:val="continue"/>
            <w:vAlign w:val="center"/>
          </w:tcPr>
          <w:p>
            <w:pPr>
              <w:pStyle w:val="22"/>
              <w:rPr>
                <w:rFonts w:hint="eastAsia"/>
                <w:color w:val="auto"/>
                <w:highlight w:val="none"/>
              </w:rPr>
            </w:pPr>
          </w:p>
        </w:tc>
        <w:tc>
          <w:tcPr>
            <w:tcW w:w="1417"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废油桶</w:t>
            </w:r>
          </w:p>
        </w:tc>
        <w:tc>
          <w:tcPr>
            <w:tcW w:w="1701"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1.29</w:t>
            </w:r>
            <w:r>
              <w:rPr>
                <w:rFonts w:hint="eastAsia"/>
                <w:color w:val="auto"/>
                <w:highlight w:val="none"/>
              </w:rPr>
              <w:t>t/a</w:t>
            </w:r>
          </w:p>
        </w:tc>
        <w:tc>
          <w:tcPr>
            <w:tcW w:w="1276"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w:t>
            </w:r>
          </w:p>
        </w:tc>
        <w:tc>
          <w:tcPr>
            <w:tcW w:w="1701"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w:t>
            </w:r>
          </w:p>
        </w:tc>
        <w:tc>
          <w:tcPr>
            <w:tcW w:w="1559"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7"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w:t>
            </w:r>
          </w:p>
        </w:tc>
        <w:tc>
          <w:tcPr>
            <w:tcW w:w="1838" w:type="dxa"/>
            <w:shd w:val="clear" w:color="auto" w:fill="auto"/>
            <w:vAlign w:val="center"/>
          </w:tcPr>
          <w:p>
            <w:pPr>
              <w:pStyle w:val="22"/>
              <w:ind w:firstLine="0" w:firstLineChars="0"/>
              <w:rPr>
                <w:rFonts w:hint="eastAsia" w:ascii="Times New Roman" w:hAnsi="Times New Roman" w:cs="Times New Roman" w:eastAsiaTheme="minorEastAsia"/>
                <w:color w:val="FF0000"/>
                <w:kern w:val="2"/>
                <w:sz w:val="21"/>
                <w:szCs w:val="21"/>
                <w:highlight w:val="none"/>
                <w:lang w:val="en-US" w:eastAsia="zh-CN" w:bidi="ar-SA"/>
              </w:rPr>
            </w:pPr>
            <w:r>
              <w:rPr>
                <w:rFonts w:hint="eastAsia" w:cs="Times New Roman"/>
                <w:color w:val="auto"/>
                <w:kern w:val="2"/>
                <w:sz w:val="21"/>
                <w:szCs w:val="21"/>
                <w:highlight w:val="none"/>
                <w:lang w:val="en-US" w:eastAsia="zh-CN" w:bidi="ar-SA"/>
              </w:rPr>
              <w:t>1.29</w:t>
            </w:r>
            <w:r>
              <w:rPr>
                <w:rFonts w:hint="eastAsia"/>
                <w:color w:val="auto"/>
                <w:highlight w:val="none"/>
              </w:rPr>
              <w:t>t/a</w:t>
            </w:r>
          </w:p>
        </w:tc>
        <w:tc>
          <w:tcPr>
            <w:tcW w:w="1141"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588" w:type="dxa"/>
            <w:vMerge w:val="continue"/>
            <w:vAlign w:val="center"/>
          </w:tcPr>
          <w:p>
            <w:pPr>
              <w:pStyle w:val="22"/>
              <w:rPr>
                <w:rFonts w:hint="eastAsia"/>
                <w:color w:val="auto"/>
                <w:highlight w:val="none"/>
              </w:rPr>
            </w:pPr>
          </w:p>
        </w:tc>
        <w:tc>
          <w:tcPr>
            <w:tcW w:w="1417"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eastAsia="zh-CN"/>
              </w:rPr>
              <w:t>废铅蓄电池</w:t>
            </w:r>
          </w:p>
        </w:tc>
        <w:tc>
          <w:tcPr>
            <w:tcW w:w="1701"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5.72</w:t>
            </w:r>
            <w:r>
              <w:rPr>
                <w:rFonts w:hint="eastAsia"/>
                <w:color w:val="auto"/>
                <w:highlight w:val="none"/>
              </w:rPr>
              <w:t>t/a</w:t>
            </w:r>
          </w:p>
        </w:tc>
        <w:tc>
          <w:tcPr>
            <w:tcW w:w="1276"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701"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559"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7"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838" w:type="dxa"/>
            <w:shd w:val="clear" w:color="auto" w:fill="auto"/>
            <w:vAlign w:val="center"/>
          </w:tcPr>
          <w:p>
            <w:pPr>
              <w:pStyle w:val="22"/>
              <w:ind w:firstLine="0" w:firstLineChars="0"/>
              <w:rPr>
                <w:rFonts w:hint="eastAsia" w:ascii="Times New Roman" w:hAnsi="Times New Roman" w:cs="Times New Roman" w:eastAsiaTheme="minorEastAsia"/>
                <w:color w:val="FF0000"/>
                <w:kern w:val="2"/>
                <w:sz w:val="21"/>
                <w:szCs w:val="21"/>
                <w:highlight w:val="none"/>
                <w:lang w:val="en-US" w:eastAsia="zh-CN" w:bidi="ar-SA"/>
              </w:rPr>
            </w:pPr>
            <w:r>
              <w:rPr>
                <w:rFonts w:hint="eastAsia" w:cs="Times New Roman"/>
                <w:color w:val="auto"/>
                <w:kern w:val="2"/>
                <w:sz w:val="21"/>
                <w:szCs w:val="21"/>
                <w:highlight w:val="none"/>
                <w:lang w:val="en-US" w:eastAsia="zh-CN" w:bidi="ar-SA"/>
              </w:rPr>
              <w:t>5.72</w:t>
            </w:r>
            <w:r>
              <w:rPr>
                <w:rFonts w:hint="eastAsia"/>
                <w:color w:val="auto"/>
                <w:highlight w:val="none"/>
              </w:rPr>
              <w:t>t/a</w:t>
            </w:r>
          </w:p>
        </w:tc>
        <w:tc>
          <w:tcPr>
            <w:tcW w:w="1141" w:type="dxa"/>
            <w:shd w:val="clear" w:color="auto" w:fill="auto"/>
            <w:vAlign w:val="center"/>
          </w:tcPr>
          <w:p>
            <w:pPr>
              <w:pStyle w:val="22"/>
              <w:bidi w:val="0"/>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588" w:type="dxa"/>
            <w:vMerge w:val="continue"/>
            <w:vAlign w:val="center"/>
          </w:tcPr>
          <w:p>
            <w:pPr>
              <w:pStyle w:val="22"/>
              <w:rPr>
                <w:rFonts w:hint="eastAsia"/>
                <w:color w:val="auto"/>
                <w:highlight w:val="none"/>
              </w:rPr>
            </w:pPr>
          </w:p>
        </w:tc>
        <w:tc>
          <w:tcPr>
            <w:tcW w:w="1417" w:type="dxa"/>
            <w:shd w:val="clear" w:color="auto" w:fill="auto"/>
            <w:vAlign w:val="center"/>
          </w:tcPr>
          <w:p>
            <w:pPr>
              <w:pStyle w:val="22"/>
              <w:bidi w:val="0"/>
              <w:ind w:firstLine="0" w:firstLineChars="0"/>
              <w:rPr>
                <w:rFonts w:hint="eastAsia"/>
                <w:color w:val="auto"/>
                <w:highlight w:val="none"/>
                <w:lang w:eastAsia="zh-CN"/>
              </w:rPr>
            </w:pPr>
            <w:r>
              <w:rPr>
                <w:rFonts w:hint="eastAsia"/>
                <w:color w:val="auto"/>
                <w:highlight w:val="none"/>
                <w:lang w:eastAsia="zh-CN"/>
              </w:rPr>
              <w:t>废油漆桶</w:t>
            </w:r>
          </w:p>
        </w:tc>
        <w:tc>
          <w:tcPr>
            <w:tcW w:w="1701" w:type="dxa"/>
            <w:shd w:val="clear" w:color="auto" w:fill="auto"/>
            <w:vAlign w:val="center"/>
          </w:tcPr>
          <w:p>
            <w:pPr>
              <w:pStyle w:val="22"/>
              <w:ind w:firstLine="0" w:firstLineChars="0"/>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w:t>
            </w:r>
            <w:r>
              <w:rPr>
                <w:rFonts w:hint="eastAsia"/>
                <w:color w:val="auto"/>
                <w:highlight w:val="none"/>
              </w:rPr>
              <w:t>t/a</w:t>
            </w:r>
          </w:p>
        </w:tc>
        <w:tc>
          <w:tcPr>
            <w:tcW w:w="1276" w:type="dxa"/>
            <w:shd w:val="clear" w:color="auto" w:fill="auto"/>
            <w:vAlign w:val="center"/>
          </w:tcPr>
          <w:p>
            <w:pPr>
              <w:pStyle w:val="22"/>
              <w:ind w:firstLine="0" w:firstLineChars="0"/>
              <w:rPr>
                <w:rFonts w:hint="eastAsia"/>
                <w:color w:val="auto"/>
                <w:highlight w:val="none"/>
                <w:lang w:val="en-US" w:eastAsia="zh-CN"/>
              </w:rPr>
            </w:pPr>
            <w:r>
              <w:rPr>
                <w:rFonts w:hint="eastAsia"/>
                <w:color w:val="auto"/>
                <w:highlight w:val="none"/>
                <w:lang w:val="en-US" w:eastAsia="zh-CN"/>
              </w:rPr>
              <w:t>-</w:t>
            </w:r>
          </w:p>
        </w:tc>
        <w:tc>
          <w:tcPr>
            <w:tcW w:w="1701" w:type="dxa"/>
            <w:shd w:val="clear" w:color="auto" w:fill="auto"/>
            <w:vAlign w:val="center"/>
          </w:tcPr>
          <w:p>
            <w:pPr>
              <w:pStyle w:val="22"/>
              <w:ind w:firstLine="0" w:firstLineChars="0"/>
              <w:rPr>
                <w:rFonts w:hint="eastAsia"/>
                <w:color w:val="auto"/>
                <w:highlight w:val="none"/>
                <w:lang w:val="en-US" w:eastAsia="zh-CN"/>
              </w:rPr>
            </w:pPr>
            <w:r>
              <w:rPr>
                <w:rFonts w:hint="eastAsia"/>
                <w:color w:val="auto"/>
                <w:highlight w:val="none"/>
                <w:lang w:val="en-US" w:eastAsia="zh-CN"/>
              </w:rPr>
              <w:t>-</w:t>
            </w:r>
          </w:p>
        </w:tc>
        <w:tc>
          <w:tcPr>
            <w:tcW w:w="1559" w:type="dxa"/>
            <w:shd w:val="clear" w:color="auto" w:fill="auto"/>
            <w:vAlign w:val="center"/>
          </w:tcPr>
          <w:p>
            <w:pPr>
              <w:pStyle w:val="22"/>
              <w:ind w:firstLine="0" w:firstLineChars="0"/>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7" w:type="dxa"/>
            <w:shd w:val="clear" w:color="auto" w:fill="auto"/>
            <w:vAlign w:val="center"/>
          </w:tcPr>
          <w:p>
            <w:pPr>
              <w:pStyle w:val="22"/>
              <w:ind w:firstLine="0" w:firstLineChars="0"/>
              <w:rPr>
                <w:rFonts w:hint="eastAsia"/>
                <w:color w:val="auto"/>
                <w:highlight w:val="none"/>
                <w:lang w:val="en-US" w:eastAsia="zh-CN"/>
              </w:rPr>
            </w:pPr>
            <w:r>
              <w:rPr>
                <w:rFonts w:hint="eastAsia"/>
                <w:color w:val="auto"/>
                <w:highlight w:val="none"/>
                <w:lang w:val="en-US" w:eastAsia="zh-CN"/>
              </w:rPr>
              <w:t>-</w:t>
            </w:r>
          </w:p>
        </w:tc>
        <w:tc>
          <w:tcPr>
            <w:tcW w:w="1838" w:type="dxa"/>
            <w:shd w:val="clear" w:color="auto" w:fill="auto"/>
            <w:vAlign w:val="center"/>
          </w:tcPr>
          <w:p>
            <w:pPr>
              <w:pStyle w:val="22"/>
              <w:ind w:firstLine="0" w:firstLineChars="0"/>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w:t>
            </w:r>
            <w:r>
              <w:rPr>
                <w:rFonts w:hint="eastAsia"/>
                <w:color w:val="auto"/>
                <w:highlight w:val="none"/>
              </w:rPr>
              <w:t>t/a</w:t>
            </w:r>
          </w:p>
        </w:tc>
        <w:tc>
          <w:tcPr>
            <w:tcW w:w="1141" w:type="dxa"/>
            <w:shd w:val="clear" w:color="auto" w:fill="auto"/>
            <w:vAlign w:val="center"/>
          </w:tcPr>
          <w:p>
            <w:pPr>
              <w:pStyle w:val="22"/>
              <w:bidi w:val="0"/>
              <w:ind w:firstLine="0" w:firstLineChars="0"/>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588" w:type="dxa"/>
            <w:vMerge w:val="continue"/>
            <w:vAlign w:val="center"/>
          </w:tcPr>
          <w:p>
            <w:pPr>
              <w:pStyle w:val="22"/>
              <w:rPr>
                <w:rFonts w:hint="eastAsia"/>
                <w:color w:val="auto"/>
                <w:highlight w:val="none"/>
              </w:rPr>
            </w:pPr>
          </w:p>
        </w:tc>
        <w:tc>
          <w:tcPr>
            <w:tcW w:w="1417"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rPr>
              <w:t>废电解液</w:t>
            </w:r>
          </w:p>
        </w:tc>
        <w:tc>
          <w:tcPr>
            <w:tcW w:w="1701" w:type="dxa"/>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0.026</w:t>
            </w:r>
            <w:r>
              <w:rPr>
                <w:rFonts w:hint="eastAsia"/>
                <w:color w:val="auto"/>
                <w:highlight w:val="none"/>
              </w:rPr>
              <w:t>t/a</w:t>
            </w:r>
          </w:p>
        </w:tc>
        <w:tc>
          <w:tcPr>
            <w:tcW w:w="1276"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701"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559"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7" w:type="dxa"/>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olor w:val="auto"/>
                <w:highlight w:val="none"/>
                <w:lang w:val="en-US" w:eastAsia="zh-CN"/>
              </w:rPr>
              <w:t>-</w:t>
            </w:r>
          </w:p>
        </w:tc>
        <w:tc>
          <w:tcPr>
            <w:tcW w:w="1838" w:type="dxa"/>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0.026</w:t>
            </w:r>
            <w:r>
              <w:rPr>
                <w:rFonts w:hint="eastAsia"/>
                <w:color w:val="auto"/>
                <w:highlight w:val="none"/>
              </w:rPr>
              <w:t>t/a</w:t>
            </w:r>
          </w:p>
        </w:tc>
        <w:tc>
          <w:tcPr>
            <w:tcW w:w="1141" w:type="dxa"/>
            <w:shd w:val="clear" w:color="auto" w:fill="auto"/>
            <w:vAlign w:val="center"/>
          </w:tcPr>
          <w:p>
            <w:pPr>
              <w:pStyle w:val="22"/>
              <w:ind w:firstLine="0" w:firstLineChars="0"/>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82" w:hRule="atLeast"/>
        </w:trPr>
        <w:tc>
          <w:tcPr>
            <w:tcW w:w="1588" w:type="dxa"/>
            <w:vMerge w:val="continue"/>
            <w:vAlign w:val="center"/>
          </w:tcPr>
          <w:p>
            <w:pPr>
              <w:pStyle w:val="22"/>
              <w:rPr>
                <w:color w:val="auto"/>
                <w:highlight w:val="none"/>
              </w:rPr>
            </w:pPr>
          </w:p>
        </w:tc>
        <w:tc>
          <w:tcPr>
            <w:tcW w:w="1417" w:type="dxa"/>
            <w:vAlign w:val="center"/>
          </w:tcPr>
          <w:p>
            <w:pPr>
              <w:pStyle w:val="22"/>
              <w:rPr>
                <w:rFonts w:hint="eastAsia"/>
                <w:color w:val="auto"/>
                <w:highlight w:val="none"/>
                <w:lang w:val="en-US" w:eastAsia="zh-CN"/>
              </w:rPr>
            </w:pPr>
            <w:r>
              <w:rPr>
                <w:rFonts w:hint="eastAsia"/>
                <w:color w:val="auto"/>
                <w:highlight w:val="none"/>
                <w:lang w:val="en-US" w:eastAsia="zh-CN"/>
              </w:rPr>
              <w:t>废劳保用品</w:t>
            </w:r>
          </w:p>
        </w:tc>
        <w:tc>
          <w:tcPr>
            <w:tcW w:w="1701" w:type="dxa"/>
            <w:vAlign w:val="center"/>
          </w:tcPr>
          <w:p>
            <w:pPr>
              <w:pStyle w:val="22"/>
              <w:ind w:firstLine="0" w:firstLineChars="0"/>
              <w:rPr>
                <w:rFonts w:hint="default"/>
                <w:color w:val="auto"/>
                <w:highlight w:val="none"/>
                <w:lang w:val="en-US" w:eastAsia="zh-CN"/>
              </w:rPr>
            </w:pPr>
            <w:r>
              <w:rPr>
                <w:rFonts w:hint="eastAsia" w:cs="Times New Roman"/>
                <w:color w:val="auto"/>
                <w:kern w:val="2"/>
                <w:sz w:val="21"/>
                <w:szCs w:val="21"/>
                <w:highlight w:val="none"/>
                <w:lang w:val="en-US" w:eastAsia="zh-CN" w:bidi="ar-SA"/>
              </w:rPr>
              <w:t>0.01</w:t>
            </w:r>
            <w:r>
              <w:rPr>
                <w:rFonts w:hint="eastAsia"/>
                <w:color w:val="auto"/>
                <w:highlight w:val="none"/>
              </w:rPr>
              <w:t>t/a</w:t>
            </w:r>
          </w:p>
        </w:tc>
        <w:tc>
          <w:tcPr>
            <w:tcW w:w="1276" w:type="dxa"/>
            <w:vAlign w:val="center"/>
          </w:tcPr>
          <w:p>
            <w:pPr>
              <w:pStyle w:val="22"/>
              <w:rPr>
                <w:rFonts w:hint="default"/>
                <w:color w:val="auto"/>
                <w:highlight w:val="none"/>
                <w:lang w:val="en-US" w:eastAsia="zh-CN"/>
              </w:rPr>
            </w:pPr>
            <w:r>
              <w:rPr>
                <w:rFonts w:hint="eastAsia"/>
                <w:color w:val="auto"/>
                <w:highlight w:val="none"/>
                <w:lang w:val="en-US" w:eastAsia="zh-CN"/>
              </w:rPr>
              <w:t>-</w:t>
            </w:r>
          </w:p>
        </w:tc>
        <w:tc>
          <w:tcPr>
            <w:tcW w:w="1701" w:type="dxa"/>
            <w:vAlign w:val="center"/>
          </w:tcPr>
          <w:p>
            <w:pPr>
              <w:pStyle w:val="22"/>
              <w:rPr>
                <w:rFonts w:hint="default"/>
                <w:color w:val="auto"/>
                <w:highlight w:val="none"/>
                <w:lang w:val="en-US" w:eastAsia="zh-CN"/>
              </w:rPr>
            </w:pPr>
            <w:r>
              <w:rPr>
                <w:rFonts w:hint="eastAsia"/>
                <w:color w:val="auto"/>
                <w:highlight w:val="none"/>
                <w:lang w:val="en-US" w:eastAsia="zh-CN"/>
              </w:rPr>
              <w:t>-</w:t>
            </w:r>
          </w:p>
        </w:tc>
        <w:tc>
          <w:tcPr>
            <w:tcW w:w="1559" w:type="dxa"/>
            <w:shd w:val="clear" w:color="auto" w:fill="auto"/>
            <w:vAlign w:val="center"/>
          </w:tcPr>
          <w:p>
            <w:pPr>
              <w:pStyle w:val="22"/>
              <w:ind w:firstLine="0" w:firstLineChars="0"/>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7" w:type="dxa"/>
            <w:vAlign w:val="center"/>
          </w:tcPr>
          <w:p>
            <w:pPr>
              <w:pStyle w:val="22"/>
              <w:ind w:firstLine="0" w:firstLineChars="0"/>
              <w:rPr>
                <w:rFonts w:hint="default"/>
                <w:color w:val="auto"/>
                <w:highlight w:val="none"/>
                <w:lang w:val="en-US" w:eastAsia="zh-CN"/>
              </w:rPr>
            </w:pPr>
            <w:r>
              <w:rPr>
                <w:rFonts w:hint="eastAsia"/>
                <w:color w:val="auto"/>
                <w:highlight w:val="none"/>
                <w:lang w:val="en-US" w:eastAsia="zh-CN"/>
              </w:rPr>
              <w:t>-</w:t>
            </w:r>
          </w:p>
        </w:tc>
        <w:tc>
          <w:tcPr>
            <w:tcW w:w="1838" w:type="dxa"/>
            <w:shd w:val="clear" w:color="auto" w:fill="auto"/>
            <w:vAlign w:val="center"/>
          </w:tcPr>
          <w:p>
            <w:pPr>
              <w:pStyle w:val="22"/>
              <w:rPr>
                <w:rFonts w:hint="eastAsia"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0.01</w:t>
            </w:r>
            <w:r>
              <w:rPr>
                <w:rFonts w:hint="eastAsia"/>
                <w:color w:val="auto"/>
                <w:highlight w:val="none"/>
              </w:rPr>
              <w:t>t/a</w:t>
            </w:r>
          </w:p>
        </w:tc>
        <w:tc>
          <w:tcPr>
            <w:tcW w:w="1141" w:type="dxa"/>
            <w:shd w:val="clear" w:color="auto" w:fill="auto"/>
            <w:vAlign w:val="center"/>
          </w:tcPr>
          <w:p>
            <w:pPr>
              <w:pStyle w:val="22"/>
              <w:ind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bl>
    <w:p>
      <w:pPr>
        <w:spacing w:before="192" w:beforeLines="80" w:after="24"/>
        <w:jc w:val="left"/>
        <w:rPr>
          <w:color w:val="auto"/>
          <w:highlight w:val="none"/>
        </w:rPr>
      </w:pPr>
      <w:r>
        <w:rPr>
          <w:rFonts w:hAnsi="宋体"/>
          <w:snapToGrid w:val="0"/>
          <w:color w:val="auto"/>
          <w:kern w:val="21"/>
          <w:szCs w:val="21"/>
          <w:highlight w:val="none"/>
        </w:rPr>
        <w:t>注：</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3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③</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4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④</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5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⑤</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7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⑦</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p>
    <w:p>
      <w:pPr>
        <w:rPr>
          <w:color w:val="auto"/>
          <w:highlight w:val="none"/>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3"/>
        <w:ind w:firstLine="482"/>
        <w:rPr>
          <w:color w:val="auto"/>
          <w:highlight w:val="none"/>
        </w:rPr>
      </w:pPr>
      <w:r>
        <w:rPr>
          <w:rFonts w:hint="eastAsia"/>
          <w:color w:val="auto"/>
          <w:highlight w:val="none"/>
        </w:rPr>
        <w:t>附件1   委托书</w:t>
      </w:r>
    </w:p>
    <w:p>
      <w:pPr>
        <w:jc w:val="center"/>
        <w:rPr>
          <w:rFonts w:hint="default" w:ascii="Times New Roman" w:hAnsi="Times New Roman" w:eastAsia="宋体" w:cs="Times New Roman"/>
          <w:b/>
          <w:color w:val="auto"/>
          <w:sz w:val="48"/>
          <w:szCs w:val="48"/>
          <w:lang w:val="en-US" w:eastAsia="zh-CN"/>
        </w:rPr>
      </w:pPr>
    </w:p>
    <w:p>
      <w:pP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088890" cy="7198360"/>
            <wp:effectExtent l="0" t="0" r="16510" b="2540"/>
            <wp:docPr id="2" name="图片 2" descr="d400fc6033fd59c940d1978262767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400fc6033fd59c940d19782627676f"/>
                    <pic:cNvPicPr>
                      <a:picLocks noChangeAspect="1"/>
                    </pic:cNvPicPr>
                  </pic:nvPicPr>
                  <pic:blipFill>
                    <a:blip r:embed="rId23"/>
                    <a:stretch>
                      <a:fillRect/>
                    </a:stretch>
                  </pic:blipFill>
                  <pic:spPr>
                    <a:xfrm>
                      <a:off x="0" y="0"/>
                      <a:ext cx="5088890" cy="7198360"/>
                    </a:xfrm>
                    <a:prstGeom prst="rect">
                      <a:avLst/>
                    </a:prstGeom>
                  </pic:spPr>
                </pic:pic>
              </a:graphicData>
            </a:graphic>
          </wp:inline>
        </w:drawing>
      </w:r>
    </w:p>
    <w:p>
      <w:pPr>
        <w:rPr>
          <w:color w:val="auto"/>
          <w:highlight w:val="none"/>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3"/>
        <w:ind w:firstLine="482"/>
        <w:rPr>
          <w:color w:val="auto"/>
          <w:highlight w:val="none"/>
        </w:rPr>
      </w:pPr>
      <w:r>
        <w:rPr>
          <w:rFonts w:hint="eastAsia"/>
          <w:color w:val="auto"/>
          <w:highlight w:val="none"/>
        </w:rPr>
        <w:t>附件2   营业执照</w:t>
      </w:r>
    </w:p>
    <w:p>
      <w:pPr>
        <w:jc w:val="center"/>
        <w:rPr>
          <w:rFonts w:hint="eastAsia" w:eastAsia="宋体"/>
          <w:color w:val="auto"/>
          <w:highlight w:val="none"/>
          <w:lang w:eastAsia="zh-CN"/>
        </w:rPr>
      </w:pPr>
    </w:p>
    <w:p>
      <w:pPr>
        <w:rPr>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3"/>
        <w:ind w:firstLine="482"/>
        <w:rPr>
          <w:rFonts w:eastAsia="宋体"/>
          <w:color w:val="auto"/>
          <w:highlight w:val="none"/>
        </w:rPr>
      </w:pPr>
      <w:r>
        <w:rPr>
          <w:rFonts w:hint="eastAsia"/>
          <w:color w:val="auto"/>
          <w:highlight w:val="none"/>
        </w:rPr>
        <w:t>附件3   三线一单查询表</w:t>
      </w:r>
    </w:p>
    <w:p>
      <w:pPr>
        <w:pStyle w:val="12"/>
        <w:ind w:firstLine="0" w:firstLineChars="0"/>
        <w:rPr>
          <w:rFonts w:hint="eastAsia" w:eastAsia="宋体"/>
          <w:color w:val="auto"/>
          <w:highlight w:val="none"/>
          <w:lang w:eastAsia="zh-CN"/>
        </w:rPr>
      </w:pPr>
      <w:r>
        <w:rPr>
          <w:highlight w:val="none"/>
        </w:rPr>
        <w:drawing>
          <wp:inline distT="0" distB="0" distL="114300" distR="114300">
            <wp:extent cx="8526780" cy="4244975"/>
            <wp:effectExtent l="0" t="0" r="7620" b="3175"/>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24"/>
                    <a:stretch>
                      <a:fillRect/>
                    </a:stretch>
                  </pic:blipFill>
                  <pic:spPr>
                    <a:xfrm>
                      <a:off x="0" y="0"/>
                      <a:ext cx="8526780" cy="4244975"/>
                    </a:xfrm>
                    <a:prstGeom prst="rect">
                      <a:avLst/>
                    </a:prstGeom>
                    <a:noFill/>
                    <a:ln>
                      <a:noFill/>
                    </a:ln>
                  </pic:spPr>
                </pic:pic>
              </a:graphicData>
            </a:graphic>
          </wp:inline>
        </w:drawing>
      </w:r>
    </w:p>
    <w:p>
      <w:pPr>
        <w:rPr>
          <w:color w:val="auto"/>
          <w:highlight w:val="none"/>
        </w:rPr>
      </w:pPr>
    </w:p>
    <w:p>
      <w:pPr>
        <w:rPr>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3"/>
        <w:ind w:firstLine="482"/>
        <w:rPr>
          <w:rFonts w:hint="eastAsia" w:eastAsiaTheme="minorEastAsia"/>
          <w:color w:val="auto"/>
          <w:highlight w:val="none"/>
          <w:lang w:eastAsia="zh-CN"/>
        </w:rPr>
      </w:pPr>
      <w:r>
        <w:rPr>
          <w:rFonts w:hint="eastAsia"/>
          <w:color w:val="auto"/>
          <w:highlight w:val="none"/>
        </w:rPr>
        <w:t>附件</w:t>
      </w:r>
      <w:r>
        <w:rPr>
          <w:rFonts w:hint="eastAsia"/>
          <w:color w:val="auto"/>
          <w:highlight w:val="none"/>
          <w:lang w:val="en-US" w:eastAsia="zh-CN"/>
        </w:rPr>
        <w:t>4</w:t>
      </w:r>
      <w:r>
        <w:rPr>
          <w:rFonts w:hint="eastAsia"/>
          <w:color w:val="auto"/>
          <w:highlight w:val="none"/>
        </w:rPr>
        <w:t xml:space="preserve">   </w:t>
      </w:r>
      <w:r>
        <w:rPr>
          <w:rFonts w:hint="eastAsia"/>
          <w:color w:val="auto"/>
          <w:highlight w:val="none"/>
          <w:lang w:eastAsia="zh-CN"/>
        </w:rPr>
        <w:t>土地证</w:t>
      </w:r>
    </w:p>
    <w:p>
      <w:pPr>
        <w:jc w:val="center"/>
        <w:rPr>
          <w:rFonts w:hint="eastAsia" w:eastAsia="宋体"/>
          <w:color w:val="auto"/>
          <w:highlight w:val="none"/>
          <w:lang w:eastAsia="zh-CN"/>
        </w:rPr>
      </w:pPr>
    </w:p>
    <w:p>
      <w:pPr>
        <w:pStyle w:val="6"/>
        <w:rPr>
          <w:rFonts w:hint="eastAsia"/>
          <w:highlight w:val="none"/>
          <w:lang w:eastAsia="zh-CN"/>
        </w:rPr>
      </w:pPr>
    </w:p>
    <w:p>
      <w:pPr>
        <w:pStyle w:val="9"/>
        <w:rPr>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6"/>
        <w:ind w:left="0" w:leftChars="0" w:firstLine="0" w:firstLineChars="0"/>
        <w:rPr>
          <w:rFonts w:hint="eastAsia" w:ascii="Times New Roman" w:hAnsi="Times New Roman" w:cs="Times New Roman" w:eastAsiaTheme="minorEastAsia"/>
          <w:b/>
          <w:color w:val="auto"/>
          <w:kern w:val="2"/>
          <w:sz w:val="24"/>
          <w:szCs w:val="24"/>
          <w:highlight w:val="none"/>
          <w:lang w:val="en-US" w:eastAsia="zh-CN" w:bidi="ar-SA"/>
        </w:rPr>
      </w:pPr>
      <w:r>
        <w:rPr>
          <w:rFonts w:hint="eastAsia" w:ascii="Times New Roman" w:hAnsi="Times New Roman" w:cs="Times New Roman" w:eastAsiaTheme="minorEastAsia"/>
          <w:b/>
          <w:color w:val="auto"/>
          <w:kern w:val="2"/>
          <w:sz w:val="24"/>
          <w:szCs w:val="24"/>
          <w:highlight w:val="none"/>
          <w:lang w:val="en-US" w:eastAsia="zh-CN" w:bidi="ar-SA"/>
        </w:rPr>
        <w:t xml:space="preserve">附件5   </w:t>
      </w:r>
      <w:r>
        <w:rPr>
          <w:rFonts w:hint="eastAsia" w:cs="Times New Roman" w:eastAsiaTheme="minorEastAsia"/>
          <w:b/>
          <w:color w:val="auto"/>
          <w:kern w:val="2"/>
          <w:sz w:val="24"/>
          <w:szCs w:val="24"/>
          <w:highlight w:val="none"/>
          <w:lang w:val="en-US" w:eastAsia="zh-CN" w:bidi="ar-SA"/>
        </w:rPr>
        <w:t>现有排污许可证登记回执</w:t>
      </w:r>
    </w:p>
    <w:p>
      <w:pPr>
        <w:rPr>
          <w:rFonts w:hint="eastAsia" w:ascii="Times New Roman" w:hAnsi="Times New Roman" w:cs="Times New Roman" w:eastAsiaTheme="minorEastAsia"/>
          <w:b/>
          <w:color w:val="auto"/>
          <w:kern w:val="2"/>
          <w:sz w:val="24"/>
          <w:szCs w:val="24"/>
          <w:highlight w:val="none"/>
          <w:lang w:val="en-US" w:eastAsia="zh-CN" w:bidi="ar-SA"/>
        </w:rPr>
      </w:pPr>
      <w:r>
        <w:rPr>
          <w:rFonts w:hint="eastAsia" w:ascii="Times New Roman" w:hAnsi="Times New Roman" w:cs="Times New Roman" w:eastAsiaTheme="minorEastAsia"/>
          <w:b/>
          <w:color w:val="auto"/>
          <w:kern w:val="2"/>
          <w:sz w:val="24"/>
          <w:szCs w:val="24"/>
          <w:highlight w:val="none"/>
          <w:lang w:val="en-US" w:eastAsia="zh-CN" w:bidi="ar-SA"/>
        </w:rPr>
        <w:drawing>
          <wp:inline distT="0" distB="0" distL="114300" distR="114300">
            <wp:extent cx="5614035" cy="7872730"/>
            <wp:effectExtent l="0" t="0" r="0" b="0"/>
            <wp:docPr id="1" name="图片 1" descr="0fa2522cf4d4435b8d34f92be50fd4d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fa2522cf4d4435b8d34f92be50fd4d8_1"/>
                    <pic:cNvPicPr>
                      <a:picLocks noChangeAspect="1"/>
                    </pic:cNvPicPr>
                  </pic:nvPicPr>
                  <pic:blipFill>
                    <a:blip r:embed="rId25"/>
                    <a:srcRect t="848"/>
                    <a:stretch>
                      <a:fillRect/>
                    </a:stretch>
                  </pic:blipFill>
                  <pic:spPr>
                    <a:xfrm>
                      <a:off x="0" y="0"/>
                      <a:ext cx="5614035" cy="7872730"/>
                    </a:xfrm>
                    <a:prstGeom prst="rect">
                      <a:avLst/>
                    </a:prstGeom>
                  </pic:spPr>
                </pic:pic>
              </a:graphicData>
            </a:graphic>
          </wp:inline>
        </w:drawing>
      </w:r>
    </w:p>
    <w:p>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rPr>
          <w:rFonts w:hint="eastAsia"/>
          <w:lang w:val="en-US" w:eastAsia="zh-CN"/>
        </w:rPr>
      </w:pPr>
      <w:bookmarkStart w:id="7" w:name="_GoBack"/>
      <w:bookmarkEnd w:id="7"/>
    </w:p>
    <w:p>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8"/>
      </w:pPr>
      <w:r>
        <w:rPr>
          <w:rFonts w:hint="eastAsia" w:ascii="Times New Roman" w:hAnsi="Times New Roman" w:cs="Times New Roman" w:eastAsiaTheme="minorEastAsia"/>
          <w:b/>
          <w:color w:val="auto"/>
          <w:kern w:val="2"/>
          <w:sz w:val="24"/>
          <w:szCs w:val="24"/>
          <w:highlight w:val="none"/>
          <w:lang w:val="en-US" w:eastAsia="zh-CN" w:bidi="ar-SA"/>
        </w:rPr>
        <w:t>附件</w:t>
      </w:r>
      <w:r>
        <w:rPr>
          <w:rFonts w:hint="eastAsia" w:cs="Times New Roman" w:eastAsiaTheme="minorEastAsia"/>
          <w:b/>
          <w:color w:val="auto"/>
          <w:kern w:val="2"/>
          <w:sz w:val="24"/>
          <w:szCs w:val="24"/>
          <w:highlight w:val="none"/>
          <w:lang w:val="en-US" w:eastAsia="zh-CN" w:bidi="ar-SA"/>
        </w:rPr>
        <w:t>7</w:t>
      </w:r>
      <w:r>
        <w:rPr>
          <w:rFonts w:hint="eastAsia" w:ascii="Times New Roman" w:hAnsi="Times New Roman" w:cs="Times New Roman" w:eastAsiaTheme="minorEastAsia"/>
          <w:b/>
          <w:color w:val="auto"/>
          <w:kern w:val="2"/>
          <w:sz w:val="24"/>
          <w:szCs w:val="24"/>
          <w:highlight w:val="none"/>
          <w:lang w:val="en-US" w:eastAsia="zh-CN" w:bidi="ar-SA"/>
        </w:rPr>
        <w:t xml:space="preserve">   检测报告</w:t>
      </w:r>
    </w:p>
    <w:p>
      <w:pPr>
        <w:bidi w:val="0"/>
        <w:rPr>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eastAsia="宋体"/>
          <w:highlight w:val="none"/>
          <w:lang w:eastAsia="zh-CN"/>
        </w:rPr>
        <w:drawing>
          <wp:inline distT="0" distB="0" distL="114300" distR="114300">
            <wp:extent cx="5615940" cy="7672070"/>
            <wp:effectExtent l="0" t="0" r="3810" b="5080"/>
            <wp:docPr id="37" name="图片 37" descr="LNZH（检）2024-CYXZ24年0029辽宁二道沟黄金矿业有限责任公司危险废物贮存项目监测方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LNZH（检）2024-CYXZ24年0029辽宁二道沟黄金矿业有限责任公司危险废物贮存项目监测方案_00"/>
                    <pic:cNvPicPr>
                      <a:picLocks noChangeAspect="1"/>
                    </pic:cNvPicPr>
                  </pic:nvPicPr>
                  <pic:blipFill>
                    <a:blip r:embed="rId26"/>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13" name="图片 13" descr="LNZH（检）2024-CYXZ24年0029辽宁二道沟黄金矿业有限责任公司危险废物贮存项目监测方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LNZH（检）2024-CYXZ24年0029辽宁二道沟黄金矿业有限责任公司危险废物贮存项目监测方案_01"/>
                    <pic:cNvPicPr>
                      <a:picLocks noChangeAspect="1"/>
                    </pic:cNvPicPr>
                  </pic:nvPicPr>
                  <pic:blipFill>
                    <a:blip r:embed="rId27"/>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14" name="图片 14" descr="LNZH（检）2024-CYXZ24年0029辽宁二道沟黄金矿业有限责任公司危险废物贮存项目监测方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LNZH（检）2024-CYXZ24年0029辽宁二道沟黄金矿业有限责任公司危险废物贮存项目监测方案_02"/>
                    <pic:cNvPicPr>
                      <a:picLocks noChangeAspect="1"/>
                    </pic:cNvPicPr>
                  </pic:nvPicPr>
                  <pic:blipFill>
                    <a:blip r:embed="rId28"/>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15" name="图片 15" descr="LNZH（检）2024-CYXZ24年0029辽宁二道沟黄金矿业有限责任公司危险废物贮存项目监测方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LNZH（检）2024-CYXZ24年0029辽宁二道沟黄金矿业有限责任公司危险废物贮存项目监测方案_03"/>
                    <pic:cNvPicPr>
                      <a:picLocks noChangeAspect="1"/>
                    </pic:cNvPicPr>
                  </pic:nvPicPr>
                  <pic:blipFill>
                    <a:blip r:embed="rId29"/>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18" name="图片 18" descr="LNZH（检）2024-CYXZ24年0029辽宁二道沟黄金矿业有限责任公司危险废物贮存项目监测方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LNZH（检）2024-CYXZ24年0029辽宁二道沟黄金矿业有限责任公司危险废物贮存项目监测方案_04"/>
                    <pic:cNvPicPr>
                      <a:picLocks noChangeAspect="1"/>
                    </pic:cNvPicPr>
                  </pic:nvPicPr>
                  <pic:blipFill>
                    <a:blip r:embed="rId30"/>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19" name="图片 19" descr="LNZH（检）2024-CYXZ24年0029辽宁二道沟黄金矿业有限责任公司危险废物贮存项目监测方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LNZH（检）2024-CYXZ24年0029辽宁二道沟黄金矿业有限责任公司危险废物贮存项目监测方案_05"/>
                    <pic:cNvPicPr>
                      <a:picLocks noChangeAspect="1"/>
                    </pic:cNvPicPr>
                  </pic:nvPicPr>
                  <pic:blipFill>
                    <a:blip r:embed="rId31"/>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20" name="图片 20" descr="LNZH（检）2024-CYXZ24年0029辽宁二道沟黄金矿业有限责任公司危险废物贮存项目监测方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LNZH（检）2024-CYXZ24年0029辽宁二道沟黄金矿业有限责任公司危险废物贮存项目监测方案_06"/>
                    <pic:cNvPicPr>
                      <a:picLocks noChangeAspect="1"/>
                    </pic:cNvPicPr>
                  </pic:nvPicPr>
                  <pic:blipFill>
                    <a:blip r:embed="rId32"/>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21" name="图片 21" descr="LNZH（检）2024-CYXZ24年0029辽宁二道沟黄金矿业有限责任公司危险废物贮存项目监测方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LNZH（检）2024-CYXZ24年0029辽宁二道沟黄金矿业有限责任公司危险废物贮存项目监测方案_07"/>
                    <pic:cNvPicPr>
                      <a:picLocks noChangeAspect="1"/>
                    </pic:cNvPicPr>
                  </pic:nvPicPr>
                  <pic:blipFill>
                    <a:blip r:embed="rId33"/>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23" name="图片 23" descr="LNZH（检）2024-CYXZ24年0029辽宁二道沟黄金矿业有限责任公司危险废物贮存项目监测方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LNZH（检）2024-CYXZ24年0029辽宁二道沟黄金矿业有限责任公司危险废物贮存项目监测方案_08"/>
                    <pic:cNvPicPr>
                      <a:picLocks noChangeAspect="1"/>
                    </pic:cNvPicPr>
                  </pic:nvPicPr>
                  <pic:blipFill>
                    <a:blip r:embed="rId34"/>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24" name="图片 24" descr="LNZH（检）2024-CYXZ24年0029辽宁二道沟黄金矿业有限责任公司危险废物贮存项目监测方案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LNZH（检）2024-CYXZ24年0029辽宁二道沟黄金矿业有限责任公司危险废物贮存项目监测方案_09"/>
                    <pic:cNvPicPr>
                      <a:picLocks noChangeAspect="1"/>
                    </pic:cNvPicPr>
                  </pic:nvPicPr>
                  <pic:blipFill>
                    <a:blip r:embed="rId35"/>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26" name="图片 26" descr="LNZH（检）2024-CYXZ24年0029辽宁二道沟黄金矿业有限责任公司危险废物贮存项目监测方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LNZH（检）2024-CYXZ24年0029辽宁二道沟黄金矿业有限责任公司危险废物贮存项目监测方案_10"/>
                    <pic:cNvPicPr>
                      <a:picLocks noChangeAspect="1"/>
                    </pic:cNvPicPr>
                  </pic:nvPicPr>
                  <pic:blipFill>
                    <a:blip r:embed="rId36"/>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28" name="图片 28" descr="LNZH（检）2024-CYXZ24年0029辽宁二道沟黄金矿业有限责任公司危险废物贮存项目监测方案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LNZH（检）2024-CYXZ24年0029辽宁二道沟黄金矿业有限责任公司危险废物贮存项目监测方案_11"/>
                    <pic:cNvPicPr>
                      <a:picLocks noChangeAspect="1"/>
                    </pic:cNvPicPr>
                  </pic:nvPicPr>
                  <pic:blipFill>
                    <a:blip r:embed="rId37"/>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29" name="图片 29" descr="LNZH（检）2024-CYXZ24年0029辽宁二道沟黄金矿业有限责任公司危险废物贮存项目监测方案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LNZH（检）2024-CYXZ24年0029辽宁二道沟黄金矿业有限责任公司危险废物贮存项目监测方案_12"/>
                    <pic:cNvPicPr>
                      <a:picLocks noChangeAspect="1"/>
                    </pic:cNvPicPr>
                  </pic:nvPicPr>
                  <pic:blipFill>
                    <a:blip r:embed="rId38"/>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30" name="图片 30" descr="LNZH（检）2024-CYXZ24年0029辽宁二道沟黄金矿业有限责任公司危险废物贮存项目监测方案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LNZH（检）2024-CYXZ24年0029辽宁二道沟黄金矿业有限责任公司危险废物贮存项目监测方案_13"/>
                    <pic:cNvPicPr>
                      <a:picLocks noChangeAspect="1"/>
                    </pic:cNvPicPr>
                  </pic:nvPicPr>
                  <pic:blipFill>
                    <a:blip r:embed="rId39"/>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32" name="图片 32" descr="LNZH（检）2024-CYXZ24年0029辽宁二道沟黄金矿业有限责任公司危险废物贮存项目监测方案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LNZH（检）2024-CYXZ24年0029辽宁二道沟黄金矿业有限责任公司危险废物贮存项目监测方案_14"/>
                    <pic:cNvPicPr>
                      <a:picLocks noChangeAspect="1"/>
                    </pic:cNvPicPr>
                  </pic:nvPicPr>
                  <pic:blipFill>
                    <a:blip r:embed="rId40"/>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33" name="图片 33" descr="LNZH（检）2024-CYXZ24年0029辽宁二道沟黄金矿业有限责任公司危险废物贮存项目监测方案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LNZH（检）2024-CYXZ24年0029辽宁二道沟黄金矿业有限责任公司危险废物贮存项目监测方案_15"/>
                    <pic:cNvPicPr>
                      <a:picLocks noChangeAspect="1"/>
                    </pic:cNvPicPr>
                  </pic:nvPicPr>
                  <pic:blipFill>
                    <a:blip r:embed="rId41"/>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34" name="图片 34" descr="LNZH（检）2024-CYXZ24年0029辽宁二道沟黄金矿业有限责任公司危险废物贮存项目监测方案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LNZH（检）2024-CYXZ24年0029辽宁二道沟黄金矿业有限责任公司危险废物贮存项目监测方案_16"/>
                    <pic:cNvPicPr>
                      <a:picLocks noChangeAspect="1"/>
                    </pic:cNvPicPr>
                  </pic:nvPicPr>
                  <pic:blipFill>
                    <a:blip r:embed="rId42"/>
                    <a:stretch>
                      <a:fillRect/>
                    </a:stretch>
                  </pic:blipFill>
                  <pic:spPr>
                    <a:xfrm>
                      <a:off x="0" y="0"/>
                      <a:ext cx="5615940" cy="7672070"/>
                    </a:xfrm>
                    <a:prstGeom prst="rect">
                      <a:avLst/>
                    </a:prstGeom>
                  </pic:spPr>
                </pic:pic>
              </a:graphicData>
            </a:graphic>
          </wp:inline>
        </w:drawing>
      </w:r>
      <w:r>
        <w:rPr>
          <w:rFonts w:hint="eastAsia" w:eastAsia="宋体"/>
          <w:highlight w:val="none"/>
          <w:lang w:eastAsia="zh-CN"/>
        </w:rPr>
        <w:drawing>
          <wp:inline distT="0" distB="0" distL="114300" distR="114300">
            <wp:extent cx="5615940" cy="7672070"/>
            <wp:effectExtent l="0" t="0" r="3810" b="5080"/>
            <wp:docPr id="35" name="图片 35" descr="LNZH（检）2024-CYXZ24年0029辽宁二道沟黄金矿业有限责任公司危险废物贮存项目监测方案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LNZH（检）2024-CYXZ24年0029辽宁二道沟黄金矿业有限责任公司危险废物贮存项目监测方案_17"/>
                    <pic:cNvPicPr>
                      <a:picLocks noChangeAspect="1"/>
                    </pic:cNvPicPr>
                  </pic:nvPicPr>
                  <pic:blipFill>
                    <a:blip r:embed="rId43"/>
                    <a:stretch>
                      <a:fillRect/>
                    </a:stretch>
                  </pic:blipFill>
                  <pic:spPr>
                    <a:xfrm>
                      <a:off x="0" y="0"/>
                      <a:ext cx="5615940" cy="7672070"/>
                    </a:xfrm>
                    <a:prstGeom prst="rect">
                      <a:avLst/>
                    </a:prstGeom>
                  </pic:spPr>
                </pic:pic>
              </a:graphicData>
            </a:graphic>
          </wp:inline>
        </w:drawing>
      </w:r>
      <w:r>
        <w:rPr>
          <w:rFonts w:hint="eastAsia" w:eastAsia="宋体"/>
          <w:color w:val="auto"/>
          <w:highlight w:val="none"/>
          <w:lang w:eastAsia="zh-CN"/>
        </w:rPr>
        <w:drawing>
          <wp:inline distT="0" distB="0" distL="114300" distR="114300">
            <wp:extent cx="5615940" cy="7672070"/>
            <wp:effectExtent l="0" t="0" r="3810" b="5080"/>
            <wp:docPr id="36" name="图片 36" descr="LNZH（检）2024-CYXZ24年0029辽宁二道沟黄金矿业有限责任公司危险废物贮存项目监测方案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LNZH（检）2024-CYXZ24年0029辽宁二道沟黄金矿业有限责任公司危险废物贮存项目监测方案_18"/>
                    <pic:cNvPicPr>
                      <a:picLocks noChangeAspect="1"/>
                    </pic:cNvPicPr>
                  </pic:nvPicPr>
                  <pic:blipFill>
                    <a:blip r:embed="rId44"/>
                    <a:stretch>
                      <a:fillRect/>
                    </a:stretch>
                  </pic:blipFill>
                  <pic:spPr>
                    <a:xfrm>
                      <a:off x="0" y="0"/>
                      <a:ext cx="5615940" cy="7672070"/>
                    </a:xfrm>
                    <a:prstGeom prst="rect">
                      <a:avLst/>
                    </a:prstGeom>
                  </pic:spPr>
                </pic:pic>
              </a:graphicData>
            </a:graphic>
          </wp:inline>
        </w:drawing>
      </w:r>
    </w:p>
    <w:p>
      <w:pPr>
        <w:jc w:val="center"/>
        <w:rPr>
          <w:color w:val="auto"/>
          <w:highlight w:val="none"/>
        </w:rPr>
      </w:pPr>
      <w:r>
        <w:drawing>
          <wp:inline distT="0" distB="0" distL="114300" distR="114300">
            <wp:extent cx="7149465" cy="5356860"/>
            <wp:effectExtent l="0" t="0" r="13335" b="1524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45"/>
                    <a:stretch>
                      <a:fillRect/>
                    </a:stretch>
                  </pic:blipFill>
                  <pic:spPr>
                    <a:xfrm>
                      <a:off x="0" y="0"/>
                      <a:ext cx="7149465" cy="5356860"/>
                    </a:xfrm>
                    <a:prstGeom prst="rect">
                      <a:avLst/>
                    </a:prstGeom>
                    <a:noFill/>
                    <a:ln>
                      <a:noFill/>
                    </a:ln>
                  </pic:spPr>
                </pic:pic>
              </a:graphicData>
            </a:graphic>
          </wp:inline>
        </w:drawing>
      </w:r>
    </w:p>
    <w:p>
      <w:pPr>
        <w:pStyle w:val="23"/>
        <w:numPr>
          <w:ilvl w:val="1"/>
          <w:numId w:val="0"/>
        </w:numPr>
        <w:tabs>
          <w:tab w:val="clear" w:pos="420"/>
        </w:tabs>
        <w:ind w:left="840" w:leftChars="0" w:hanging="420" w:firstLineChars="0"/>
        <w:rPr>
          <w:color w:val="auto"/>
          <w:highlight w:val="none"/>
        </w:rPr>
      </w:pPr>
      <w:r>
        <w:rPr>
          <w:rFonts w:hint="eastAsia"/>
          <w:color w:val="auto"/>
          <w:highlight w:val="none"/>
        </w:rPr>
        <w:t>附图1   项目地理位置图</w:t>
      </w:r>
    </w:p>
    <w:p>
      <w:pPr>
        <w:rPr>
          <w:color w:val="auto"/>
          <w:highlight w:val="none"/>
        </w:rPr>
        <w:sectPr>
          <w:pgSz w:w="16838" w:h="11906" w:orient="landscape"/>
          <w:pgMar w:top="1417" w:right="1701" w:bottom="1361" w:left="1701" w:header="851" w:footer="851" w:gutter="0"/>
          <w:pgBorders>
            <w:top w:val="none" w:sz="0" w:space="0"/>
            <w:left w:val="none" w:sz="0" w:space="0"/>
            <w:bottom w:val="none" w:sz="0" w:space="0"/>
            <w:right w:val="none" w:sz="0" w:space="0"/>
          </w:pgBorders>
          <w:cols w:space="720" w:num="1"/>
          <w:docGrid w:linePitch="312" w:charSpace="0"/>
        </w:sectPr>
      </w:pPr>
    </w:p>
    <w:p>
      <w:pPr>
        <w:bidi w:val="0"/>
        <w:jc w:val="center"/>
        <w:rPr>
          <w:rFonts w:hint="eastAsia" w:eastAsia="宋体"/>
          <w:color w:val="auto"/>
          <w:highlight w:val="none"/>
          <w:lang w:eastAsia="zh-CN"/>
        </w:rPr>
      </w:pPr>
      <w:r>
        <w:drawing>
          <wp:inline distT="0" distB="0" distL="114300" distR="114300">
            <wp:extent cx="7178675" cy="5135245"/>
            <wp:effectExtent l="0" t="0" r="3175" b="8255"/>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46"/>
                    <a:stretch>
                      <a:fillRect/>
                    </a:stretch>
                  </pic:blipFill>
                  <pic:spPr>
                    <a:xfrm>
                      <a:off x="0" y="0"/>
                      <a:ext cx="7178675" cy="5135245"/>
                    </a:xfrm>
                    <a:prstGeom prst="rect">
                      <a:avLst/>
                    </a:prstGeom>
                    <a:noFill/>
                    <a:ln>
                      <a:noFill/>
                    </a:ln>
                  </pic:spPr>
                </pic:pic>
              </a:graphicData>
            </a:graphic>
          </wp:inline>
        </w:drawing>
      </w:r>
    </w:p>
    <w:p>
      <w:pPr>
        <w:pStyle w:val="23"/>
        <w:numPr>
          <w:ilvl w:val="1"/>
          <w:numId w:val="0"/>
        </w:numPr>
        <w:tabs>
          <w:tab w:val="clear" w:pos="420"/>
        </w:tabs>
        <w:ind w:left="840" w:leftChars="0" w:hanging="420" w:firstLineChars="0"/>
        <w:rPr>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rPr>
        <w:t>附图2   项目三线一单分区管控图</w:t>
      </w:r>
    </w:p>
    <w:p>
      <w:pPr>
        <w:jc w:val="center"/>
        <w:rPr>
          <w:color w:val="auto"/>
          <w:highlight w:val="none"/>
        </w:rPr>
      </w:pPr>
      <w:r>
        <w:drawing>
          <wp:inline distT="0" distB="0" distL="114300" distR="114300">
            <wp:extent cx="8016240" cy="5294630"/>
            <wp:effectExtent l="57150" t="57150" r="60960" b="584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7"/>
                    <a:stretch>
                      <a:fillRect/>
                    </a:stretch>
                  </pic:blipFill>
                  <pic:spPr>
                    <a:xfrm>
                      <a:off x="0" y="0"/>
                      <a:ext cx="8016240" cy="5294630"/>
                    </a:xfrm>
                    <a:prstGeom prst="rect">
                      <a:avLst/>
                    </a:prstGeom>
                    <a:noFill/>
                    <a:ln w="57150" cmpd="thickThin">
                      <a:solidFill>
                        <a:schemeClr val="tx1"/>
                      </a:solidFill>
                    </a:ln>
                  </pic:spPr>
                </pic:pic>
              </a:graphicData>
            </a:graphic>
          </wp:inline>
        </w:drawing>
      </w:r>
    </w:p>
    <w:p>
      <w:pPr>
        <w:pStyle w:val="23"/>
        <w:numPr>
          <w:ilvl w:val="1"/>
          <w:numId w:val="0"/>
        </w:numPr>
        <w:tabs>
          <w:tab w:val="clear" w:pos="420"/>
        </w:tabs>
        <w:ind w:left="840" w:leftChars="0" w:hanging="420" w:firstLineChars="0"/>
        <w:rPr>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rPr>
        <w:t>附图</w:t>
      </w:r>
      <w:r>
        <w:rPr>
          <w:rFonts w:hint="eastAsia"/>
          <w:color w:val="auto"/>
          <w:highlight w:val="none"/>
          <w:lang w:val="en-US" w:eastAsia="zh-CN"/>
        </w:rPr>
        <w:t>3</w:t>
      </w:r>
      <w:r>
        <w:rPr>
          <w:rFonts w:hint="eastAsia"/>
          <w:color w:val="auto"/>
          <w:highlight w:val="none"/>
        </w:rPr>
        <w:t xml:space="preserve">   </w:t>
      </w:r>
      <w:r>
        <w:rPr>
          <w:color w:val="auto"/>
          <w:highlight w:val="none"/>
        </w:rPr>
        <w:t>环境保护目标分布图</w:t>
      </w:r>
    </w:p>
    <w:p>
      <w:pPr>
        <w:jc w:val="center"/>
        <w:rPr>
          <w:color w:val="auto"/>
          <w:highlight w:val="none"/>
        </w:rPr>
      </w:pPr>
      <w:r>
        <w:drawing>
          <wp:inline distT="0" distB="0" distL="114300" distR="114300">
            <wp:extent cx="5711825" cy="5050790"/>
            <wp:effectExtent l="57150" t="57150" r="60325" b="7366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48"/>
                    <a:stretch>
                      <a:fillRect/>
                    </a:stretch>
                  </pic:blipFill>
                  <pic:spPr>
                    <a:xfrm>
                      <a:off x="0" y="0"/>
                      <a:ext cx="5711825" cy="5050790"/>
                    </a:xfrm>
                    <a:prstGeom prst="rect">
                      <a:avLst/>
                    </a:prstGeom>
                    <a:noFill/>
                    <a:ln w="57150" cmpd="thickThin">
                      <a:solidFill>
                        <a:schemeClr val="tx1"/>
                      </a:solidFill>
                    </a:ln>
                  </pic:spPr>
                </pic:pic>
              </a:graphicData>
            </a:graphic>
          </wp:inline>
        </w:drawing>
      </w:r>
    </w:p>
    <w:p>
      <w:pPr>
        <w:pStyle w:val="23"/>
        <w:numPr>
          <w:ilvl w:val="1"/>
          <w:numId w:val="0"/>
        </w:numPr>
        <w:tabs>
          <w:tab w:val="clear" w:pos="420"/>
        </w:tabs>
        <w:ind w:left="840" w:leftChars="0" w:hanging="420" w:firstLineChars="0"/>
        <w:rPr>
          <w:rFonts w:hint="eastAsia"/>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rPr>
        <w:t>附图</w:t>
      </w:r>
      <w:r>
        <w:rPr>
          <w:rFonts w:hint="eastAsia"/>
          <w:color w:val="auto"/>
          <w:highlight w:val="none"/>
          <w:lang w:val="en-US" w:eastAsia="zh-CN"/>
        </w:rPr>
        <w:t>4</w:t>
      </w:r>
      <w:r>
        <w:rPr>
          <w:rFonts w:hint="eastAsia"/>
          <w:color w:val="auto"/>
          <w:highlight w:val="none"/>
        </w:rPr>
        <w:t xml:space="preserve">   项目</w:t>
      </w:r>
      <w:r>
        <w:rPr>
          <w:rFonts w:hint="eastAsia"/>
          <w:color w:val="auto"/>
          <w:highlight w:val="none"/>
          <w:lang w:eastAsia="zh-CN"/>
        </w:rPr>
        <w:t>危险废物贮存点</w:t>
      </w:r>
      <w:r>
        <w:rPr>
          <w:rFonts w:hint="eastAsia"/>
          <w:color w:val="auto"/>
          <w:highlight w:val="none"/>
        </w:rPr>
        <w:t>平面布置图</w:t>
      </w:r>
    </w:p>
    <w:p>
      <w:pPr>
        <w:jc w:val="center"/>
        <w:rPr>
          <w:color w:val="auto"/>
          <w:highlight w:val="none"/>
        </w:rPr>
      </w:pPr>
      <w:r>
        <w:drawing>
          <wp:inline distT="0" distB="0" distL="114300" distR="114300">
            <wp:extent cx="7951470" cy="5387340"/>
            <wp:effectExtent l="0" t="0" r="11430" b="3810"/>
            <wp:docPr id="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pic:cNvPicPr>
                      <a:picLocks noChangeAspect="1"/>
                    </pic:cNvPicPr>
                  </pic:nvPicPr>
                  <pic:blipFill>
                    <a:blip r:embed="rId49"/>
                    <a:stretch>
                      <a:fillRect/>
                    </a:stretch>
                  </pic:blipFill>
                  <pic:spPr>
                    <a:xfrm>
                      <a:off x="0" y="0"/>
                      <a:ext cx="7951470" cy="5387340"/>
                    </a:xfrm>
                    <a:prstGeom prst="rect">
                      <a:avLst/>
                    </a:prstGeom>
                    <a:noFill/>
                    <a:ln>
                      <a:noFill/>
                    </a:ln>
                  </pic:spPr>
                </pic:pic>
              </a:graphicData>
            </a:graphic>
          </wp:inline>
        </w:drawing>
      </w:r>
    </w:p>
    <w:p>
      <w:pPr>
        <w:pStyle w:val="23"/>
        <w:numPr>
          <w:ilvl w:val="1"/>
          <w:numId w:val="0"/>
        </w:numPr>
        <w:tabs>
          <w:tab w:val="clear" w:pos="420"/>
        </w:tabs>
        <w:ind w:left="840" w:leftChars="0" w:hanging="420" w:firstLineChars="0"/>
        <w:rPr>
          <w:color w:val="auto"/>
          <w:highlight w:val="none"/>
        </w:rPr>
      </w:pPr>
      <w:r>
        <w:rPr>
          <w:rFonts w:hint="eastAsia"/>
          <w:color w:val="auto"/>
          <w:highlight w:val="none"/>
        </w:rPr>
        <w:t>附图</w:t>
      </w:r>
      <w:r>
        <w:rPr>
          <w:rFonts w:hint="eastAsia"/>
          <w:color w:val="auto"/>
          <w:highlight w:val="none"/>
          <w:lang w:val="en-US" w:eastAsia="zh-CN"/>
        </w:rPr>
        <w:t>5</w:t>
      </w:r>
      <w:r>
        <w:rPr>
          <w:rFonts w:hint="eastAsia"/>
          <w:color w:val="auto"/>
          <w:highlight w:val="none"/>
        </w:rPr>
        <w:t xml:space="preserve">   卫生防护距离图</w:t>
      </w:r>
    </w:p>
    <w:p>
      <w:pPr>
        <w:rPr>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23"/>
        <w:numPr>
          <w:ilvl w:val="1"/>
          <w:numId w:val="0"/>
        </w:numPr>
        <w:tabs>
          <w:tab w:val="clear" w:pos="420"/>
        </w:tabs>
        <w:ind w:left="840" w:leftChars="0" w:hanging="420" w:firstLineChars="0"/>
        <w:rPr>
          <w:b w:val="0"/>
          <w:bCs/>
          <w:color w:val="auto"/>
          <w:highlight w:val="none"/>
        </w:rPr>
      </w:pPr>
      <w:r>
        <w:drawing>
          <wp:inline distT="0" distB="0" distL="114300" distR="114300">
            <wp:extent cx="5912485" cy="5177790"/>
            <wp:effectExtent l="57150" t="57150" r="69215" b="6096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50"/>
                    <a:stretch>
                      <a:fillRect/>
                    </a:stretch>
                  </pic:blipFill>
                  <pic:spPr>
                    <a:xfrm>
                      <a:off x="0" y="0"/>
                      <a:ext cx="5912485" cy="5177790"/>
                    </a:xfrm>
                    <a:prstGeom prst="rect">
                      <a:avLst/>
                    </a:prstGeom>
                    <a:noFill/>
                    <a:ln w="57150" cmpd="thickThin">
                      <a:solidFill>
                        <a:schemeClr val="tx1"/>
                      </a:solidFill>
                    </a:ln>
                  </pic:spPr>
                </pic:pic>
              </a:graphicData>
            </a:graphic>
          </wp:inline>
        </w:drawing>
      </w:r>
    </w:p>
    <w:p>
      <w:pPr>
        <w:pStyle w:val="23"/>
        <w:numPr>
          <w:ilvl w:val="1"/>
          <w:numId w:val="0"/>
        </w:numPr>
        <w:tabs>
          <w:tab w:val="clear" w:pos="420"/>
        </w:tabs>
        <w:ind w:left="840" w:leftChars="0" w:hanging="420" w:firstLineChars="0"/>
        <w:rPr>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rPr>
        <w:t>附图</w:t>
      </w:r>
      <w:r>
        <w:rPr>
          <w:rFonts w:hint="eastAsia"/>
          <w:color w:val="auto"/>
          <w:highlight w:val="none"/>
          <w:lang w:val="en-US" w:eastAsia="zh-CN"/>
        </w:rPr>
        <w:t>6</w:t>
      </w:r>
      <w:r>
        <w:rPr>
          <w:rFonts w:hint="eastAsia"/>
          <w:color w:val="auto"/>
          <w:highlight w:val="none"/>
        </w:rPr>
        <w:t xml:space="preserve">   分区防渗图</w:t>
      </w:r>
    </w:p>
    <w:p>
      <w:pPr>
        <w:jc w:val="center"/>
        <w:rPr>
          <w:color w:val="auto"/>
          <w:highlight w:val="none"/>
        </w:rPr>
      </w:pPr>
      <w:r>
        <w:drawing>
          <wp:inline distT="0" distB="0" distL="114300" distR="114300">
            <wp:extent cx="8529320" cy="5405755"/>
            <wp:effectExtent l="0" t="0" r="5080" b="444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51"/>
                    <a:stretch>
                      <a:fillRect/>
                    </a:stretch>
                  </pic:blipFill>
                  <pic:spPr>
                    <a:xfrm>
                      <a:off x="0" y="0"/>
                      <a:ext cx="8529320" cy="5405755"/>
                    </a:xfrm>
                    <a:prstGeom prst="rect">
                      <a:avLst/>
                    </a:prstGeom>
                    <a:noFill/>
                    <a:ln>
                      <a:noFill/>
                    </a:ln>
                  </pic:spPr>
                </pic:pic>
              </a:graphicData>
            </a:graphic>
          </wp:inline>
        </w:drawing>
      </w:r>
    </w:p>
    <w:p>
      <w:pPr>
        <w:pStyle w:val="23"/>
        <w:numPr>
          <w:ilvl w:val="1"/>
          <w:numId w:val="0"/>
        </w:numPr>
        <w:tabs>
          <w:tab w:val="clear" w:pos="420"/>
        </w:tabs>
        <w:ind w:left="840" w:leftChars="0" w:hanging="420" w:firstLineChars="0"/>
        <w:rPr>
          <w:rFonts w:hint="eastAsia"/>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rPr>
        <w:t>附图</w:t>
      </w:r>
      <w:r>
        <w:rPr>
          <w:rFonts w:hint="eastAsia"/>
          <w:color w:val="auto"/>
          <w:highlight w:val="none"/>
          <w:lang w:val="en-US" w:eastAsia="zh-CN"/>
        </w:rPr>
        <w:t>7</w:t>
      </w:r>
      <w:r>
        <w:rPr>
          <w:rFonts w:hint="eastAsia"/>
          <w:color w:val="auto"/>
          <w:highlight w:val="none"/>
        </w:rPr>
        <w:t xml:space="preserve">   监测点位图</w:t>
      </w:r>
    </w:p>
    <w:p>
      <w:pPr>
        <w:pStyle w:val="23"/>
        <w:numPr>
          <w:ilvl w:val="1"/>
          <w:numId w:val="0"/>
        </w:numPr>
        <w:tabs>
          <w:tab w:val="clear" w:pos="420"/>
        </w:tabs>
        <w:ind w:left="840" w:leftChars="0" w:hanging="420" w:firstLineChars="0"/>
        <w:rPr>
          <w:color w:val="auto"/>
          <w:highlight w:val="none"/>
        </w:rPr>
      </w:pPr>
      <w:r>
        <w:drawing>
          <wp:inline distT="0" distB="0" distL="114300" distR="114300">
            <wp:extent cx="7865745" cy="5151755"/>
            <wp:effectExtent l="0" t="0" r="1905" b="1079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52"/>
                    <a:stretch>
                      <a:fillRect/>
                    </a:stretch>
                  </pic:blipFill>
                  <pic:spPr>
                    <a:xfrm>
                      <a:off x="0" y="0"/>
                      <a:ext cx="7865745" cy="5151755"/>
                    </a:xfrm>
                    <a:prstGeom prst="rect">
                      <a:avLst/>
                    </a:prstGeom>
                    <a:noFill/>
                    <a:ln>
                      <a:noFill/>
                    </a:ln>
                  </pic:spPr>
                </pic:pic>
              </a:graphicData>
            </a:graphic>
          </wp:inline>
        </w:drawing>
      </w:r>
    </w:p>
    <w:p>
      <w:pPr>
        <w:pStyle w:val="23"/>
        <w:numPr>
          <w:ilvl w:val="1"/>
          <w:numId w:val="0"/>
        </w:numPr>
        <w:tabs>
          <w:tab w:val="clear" w:pos="420"/>
        </w:tabs>
        <w:ind w:left="840" w:leftChars="0" w:hanging="420" w:firstLineChars="0"/>
        <w:rPr>
          <w:rFonts w:hint="eastAsia"/>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highlight w:val="none"/>
        </w:rPr>
        <w:t>附图</w:t>
      </w:r>
      <w:r>
        <w:rPr>
          <w:rFonts w:hint="eastAsia"/>
          <w:color w:val="auto"/>
          <w:highlight w:val="none"/>
          <w:lang w:val="en-US" w:eastAsia="zh-CN"/>
        </w:rPr>
        <w:t>8</w:t>
      </w:r>
      <w:r>
        <w:rPr>
          <w:rFonts w:hint="eastAsia"/>
          <w:color w:val="auto"/>
          <w:highlight w:val="none"/>
        </w:rPr>
        <w:t xml:space="preserve">   </w:t>
      </w:r>
      <w:r>
        <w:rPr>
          <w:rFonts w:hint="eastAsia"/>
          <w:color w:val="auto"/>
          <w:highlight w:val="none"/>
          <w:lang w:eastAsia="zh-CN"/>
        </w:rPr>
        <w:t>跟踪</w:t>
      </w:r>
      <w:r>
        <w:rPr>
          <w:rFonts w:hint="eastAsia"/>
          <w:color w:val="auto"/>
          <w:highlight w:val="none"/>
        </w:rPr>
        <w:t>监测点位图</w:t>
      </w:r>
    </w:p>
    <w:p>
      <w:pPr>
        <w:jc w:val="center"/>
        <w:rPr>
          <w:color w:val="auto"/>
          <w:highlight w:val="none"/>
        </w:rPr>
      </w:pPr>
      <w:r>
        <w:drawing>
          <wp:inline distT="0" distB="0" distL="114300" distR="114300">
            <wp:extent cx="7578090" cy="5405120"/>
            <wp:effectExtent l="0" t="0" r="3810" b="5080"/>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a:blip r:embed="rId53"/>
                    <a:stretch>
                      <a:fillRect/>
                    </a:stretch>
                  </pic:blipFill>
                  <pic:spPr>
                    <a:xfrm>
                      <a:off x="0" y="0"/>
                      <a:ext cx="7578090" cy="5405120"/>
                    </a:xfrm>
                    <a:prstGeom prst="rect">
                      <a:avLst/>
                    </a:prstGeom>
                    <a:noFill/>
                    <a:ln>
                      <a:noFill/>
                    </a:ln>
                  </pic:spPr>
                </pic:pic>
              </a:graphicData>
            </a:graphic>
          </wp:inline>
        </w:drawing>
      </w:r>
    </w:p>
    <w:p>
      <w:pPr>
        <w:pStyle w:val="23"/>
        <w:numPr>
          <w:ilvl w:val="1"/>
          <w:numId w:val="0"/>
        </w:numPr>
        <w:tabs>
          <w:tab w:val="clear" w:pos="420"/>
        </w:tabs>
        <w:ind w:left="840" w:leftChars="0" w:hanging="420" w:firstLineChars="0"/>
        <w:rPr>
          <w:rFonts w:hint="eastAsia" w:eastAsia="宋体"/>
          <w:color w:val="auto"/>
          <w:highlight w:val="none"/>
          <w:lang w:eastAsia="zh-CN"/>
        </w:rPr>
      </w:pPr>
      <w:r>
        <w:rPr>
          <w:rFonts w:hint="eastAsia"/>
          <w:color w:val="auto"/>
          <w:highlight w:val="none"/>
        </w:rPr>
        <w:t>附图</w:t>
      </w:r>
      <w:r>
        <w:rPr>
          <w:rFonts w:hint="eastAsia"/>
          <w:color w:val="auto"/>
          <w:highlight w:val="none"/>
          <w:lang w:val="en-US" w:eastAsia="zh-CN"/>
        </w:rPr>
        <w:t>9</w:t>
      </w:r>
      <w:r>
        <w:rPr>
          <w:rFonts w:hint="eastAsia"/>
          <w:color w:val="auto"/>
          <w:highlight w:val="none"/>
        </w:rPr>
        <w:t xml:space="preserve">   </w:t>
      </w:r>
      <w:r>
        <w:rPr>
          <w:rFonts w:hint="eastAsia"/>
          <w:color w:val="auto"/>
          <w:highlight w:val="none"/>
          <w:lang w:eastAsia="zh-CN"/>
        </w:rPr>
        <w:t>运输路线图</w:t>
      </w:r>
    </w:p>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3000509000000000000"/>
    <w:charset w:val="86"/>
    <w:family w:val="script"/>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tabs>
        <w:tab w:val="center" w:pos="4153"/>
        <w:tab w:val="right" w:pos="8306"/>
      </w:tabs>
    </w:pPr>
    <w:r>
      <w:fldChar w:fldCharType="begin"/>
    </w:r>
    <w:r>
      <w:instrText xml:space="preserve">PAGE  </w:instrText>
    </w:r>
    <w:r>
      <w:fldChar w:fldCharType="end"/>
    </w:r>
  </w:p>
  <w:p>
    <w:pPr>
      <w:tabs>
        <w:tab w:val="center" w:pos="4153"/>
        <w:tab w:val="right" w:pos="8306"/>
      </w:tabs>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right" w:pos="8306"/>
      </w:tabs>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raYc8QAgAACQ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NJWO7QAAAABQEAAA8AAAAAAAAAAQAgAAAAIgAA&#10;AGRycy9kb3ducmV2LnhtbFBLAQIUABQAAAAIAIdO4kAa2mHPEAIAAAkEAAAOAAAAAAAAAAEAIAAA&#10;AB8BAABkcnMvZTJvRG9jLnhtbFBLBQYAAAAABgAGAFkBAAChBQ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61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Azyo1RECAAAJBAAADgAAAAAAAAABACAA&#10;AAAfAQAAZHJzL2Uyb0RvYy54bWxQSwUGAAAAAAYABgBZAQAAogU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61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U6cOVRECAAAJBAAADgAAAAAAAAABACAA&#10;AAAfAQAAZHJzL2Uyb0RvYy54bWxQSwUGAAAAAAYABgBZAQAAogU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62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6516121"/>
    <w:multiLevelType w:val="singleLevel"/>
    <w:tmpl w:val="86516121"/>
    <w:lvl w:ilvl="0" w:tentative="0">
      <w:start w:val="1"/>
      <w:numFmt w:val="decimal"/>
      <w:suff w:val="nothing"/>
      <w:lvlText w:val="表%1"/>
      <w:lvlJc w:val="left"/>
      <w:pPr>
        <w:tabs>
          <w:tab w:val="left" w:pos="0"/>
        </w:tabs>
      </w:pPr>
      <w:rPr>
        <w:rFonts w:hint="default" w:ascii="Times New Roman" w:hAnsi="Times New Roman" w:eastAsia="宋体" w:cs="宋体"/>
      </w:rPr>
    </w:lvl>
  </w:abstractNum>
  <w:abstractNum w:abstractNumId="1">
    <w:nsid w:val="92BCA787"/>
    <w:multiLevelType w:val="singleLevel"/>
    <w:tmpl w:val="92BCA787"/>
    <w:lvl w:ilvl="0" w:tentative="0">
      <w:start w:val="1"/>
      <w:numFmt w:val="decimal"/>
      <w:pStyle w:val="36"/>
      <w:lvlText w:val="表%1"/>
      <w:lvlJc w:val="center"/>
      <w:pPr>
        <w:tabs>
          <w:tab w:val="left" w:pos="680"/>
        </w:tabs>
      </w:pPr>
      <w:rPr>
        <w:rFonts w:hint="default" w:ascii="Times New Roman" w:hAnsi="Times New Roman" w:eastAsia="宋体" w:cs="宋体"/>
        <w:sz w:val="21"/>
        <w:szCs w:val="21"/>
      </w:rPr>
    </w:lvl>
  </w:abstractNum>
  <w:abstractNum w:abstractNumId="2">
    <w:nsid w:val="342FCE21"/>
    <w:multiLevelType w:val="singleLevel"/>
    <w:tmpl w:val="342FCE21"/>
    <w:lvl w:ilvl="0" w:tentative="0">
      <w:start w:val="1"/>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Y3MTQ2N2VlZjgzN2E1ZTdlNDlhZDFjMjUzNTkxYmYifQ=="/>
  </w:docVars>
  <w:rsids>
    <w:rsidRoot w:val="00A14947"/>
    <w:rsid w:val="000060B3"/>
    <w:rsid w:val="000209E2"/>
    <w:rsid w:val="00020D8B"/>
    <w:rsid w:val="00043144"/>
    <w:rsid w:val="0004364B"/>
    <w:rsid w:val="00061B1F"/>
    <w:rsid w:val="00067259"/>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2557"/>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190E"/>
    <w:rsid w:val="00254345"/>
    <w:rsid w:val="00264557"/>
    <w:rsid w:val="002805AB"/>
    <w:rsid w:val="00284204"/>
    <w:rsid w:val="00291773"/>
    <w:rsid w:val="002A168C"/>
    <w:rsid w:val="002A3DC7"/>
    <w:rsid w:val="002B224D"/>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0E24"/>
    <w:rsid w:val="0036170C"/>
    <w:rsid w:val="00366E0F"/>
    <w:rsid w:val="00381A72"/>
    <w:rsid w:val="00384676"/>
    <w:rsid w:val="00390857"/>
    <w:rsid w:val="003945C4"/>
    <w:rsid w:val="003A4BF3"/>
    <w:rsid w:val="003B420D"/>
    <w:rsid w:val="003C6C16"/>
    <w:rsid w:val="003D3169"/>
    <w:rsid w:val="003D794D"/>
    <w:rsid w:val="003E3058"/>
    <w:rsid w:val="003E76A9"/>
    <w:rsid w:val="003F0809"/>
    <w:rsid w:val="003F6A8C"/>
    <w:rsid w:val="003F755C"/>
    <w:rsid w:val="00406F01"/>
    <w:rsid w:val="00410235"/>
    <w:rsid w:val="00416D50"/>
    <w:rsid w:val="00416FD5"/>
    <w:rsid w:val="00417772"/>
    <w:rsid w:val="00420E6A"/>
    <w:rsid w:val="00425A9E"/>
    <w:rsid w:val="00426D6B"/>
    <w:rsid w:val="00431E6C"/>
    <w:rsid w:val="00433CE7"/>
    <w:rsid w:val="00450033"/>
    <w:rsid w:val="00452738"/>
    <w:rsid w:val="00456091"/>
    <w:rsid w:val="00466321"/>
    <w:rsid w:val="00484B9B"/>
    <w:rsid w:val="004855F6"/>
    <w:rsid w:val="0048661E"/>
    <w:rsid w:val="00494670"/>
    <w:rsid w:val="004A1F39"/>
    <w:rsid w:val="004A3823"/>
    <w:rsid w:val="004B0D73"/>
    <w:rsid w:val="004C1B8F"/>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271A"/>
    <w:rsid w:val="005A68A7"/>
    <w:rsid w:val="005D36AB"/>
    <w:rsid w:val="006071B7"/>
    <w:rsid w:val="00617CC3"/>
    <w:rsid w:val="006377A6"/>
    <w:rsid w:val="00637A3D"/>
    <w:rsid w:val="006411EF"/>
    <w:rsid w:val="00656C77"/>
    <w:rsid w:val="0066627F"/>
    <w:rsid w:val="006748B8"/>
    <w:rsid w:val="006775C3"/>
    <w:rsid w:val="00680225"/>
    <w:rsid w:val="0069290A"/>
    <w:rsid w:val="0069775A"/>
    <w:rsid w:val="00697813"/>
    <w:rsid w:val="006A3EE8"/>
    <w:rsid w:val="006A72BF"/>
    <w:rsid w:val="006B03F2"/>
    <w:rsid w:val="006B37DC"/>
    <w:rsid w:val="006B4F68"/>
    <w:rsid w:val="006C0592"/>
    <w:rsid w:val="006C272E"/>
    <w:rsid w:val="006C5479"/>
    <w:rsid w:val="006D13B5"/>
    <w:rsid w:val="006E12FF"/>
    <w:rsid w:val="006E607E"/>
    <w:rsid w:val="006F58B3"/>
    <w:rsid w:val="00706C5D"/>
    <w:rsid w:val="00732922"/>
    <w:rsid w:val="007515D3"/>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06272"/>
    <w:rsid w:val="0081293E"/>
    <w:rsid w:val="00815465"/>
    <w:rsid w:val="00817E9A"/>
    <w:rsid w:val="008306BD"/>
    <w:rsid w:val="00831A80"/>
    <w:rsid w:val="00833743"/>
    <w:rsid w:val="008340A4"/>
    <w:rsid w:val="00835193"/>
    <w:rsid w:val="00867C8A"/>
    <w:rsid w:val="0087135F"/>
    <w:rsid w:val="00872D94"/>
    <w:rsid w:val="00880364"/>
    <w:rsid w:val="00887BFA"/>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1849"/>
    <w:rsid w:val="00902727"/>
    <w:rsid w:val="0090312B"/>
    <w:rsid w:val="0091736D"/>
    <w:rsid w:val="0092642D"/>
    <w:rsid w:val="0093037A"/>
    <w:rsid w:val="0093260A"/>
    <w:rsid w:val="0094154D"/>
    <w:rsid w:val="0095155F"/>
    <w:rsid w:val="00954429"/>
    <w:rsid w:val="009563CE"/>
    <w:rsid w:val="00976328"/>
    <w:rsid w:val="0097680D"/>
    <w:rsid w:val="00980E9E"/>
    <w:rsid w:val="00982438"/>
    <w:rsid w:val="0098404C"/>
    <w:rsid w:val="00985283"/>
    <w:rsid w:val="00995992"/>
    <w:rsid w:val="009A03E5"/>
    <w:rsid w:val="009A0F3B"/>
    <w:rsid w:val="009A1BB4"/>
    <w:rsid w:val="009A2628"/>
    <w:rsid w:val="009A3200"/>
    <w:rsid w:val="009B0897"/>
    <w:rsid w:val="009B7BD9"/>
    <w:rsid w:val="009C4AFE"/>
    <w:rsid w:val="009C7DD5"/>
    <w:rsid w:val="009E227D"/>
    <w:rsid w:val="009E5019"/>
    <w:rsid w:val="00A04F1B"/>
    <w:rsid w:val="00A0501B"/>
    <w:rsid w:val="00A14947"/>
    <w:rsid w:val="00A159E9"/>
    <w:rsid w:val="00A3295D"/>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C6357"/>
    <w:rsid w:val="00AD055E"/>
    <w:rsid w:val="00AD47A7"/>
    <w:rsid w:val="00AF0CBF"/>
    <w:rsid w:val="00AF257F"/>
    <w:rsid w:val="00AF33CF"/>
    <w:rsid w:val="00AF4D50"/>
    <w:rsid w:val="00AF6179"/>
    <w:rsid w:val="00B1295A"/>
    <w:rsid w:val="00B20A45"/>
    <w:rsid w:val="00B22C5C"/>
    <w:rsid w:val="00B24F30"/>
    <w:rsid w:val="00B31ABF"/>
    <w:rsid w:val="00B33BE3"/>
    <w:rsid w:val="00B43DC7"/>
    <w:rsid w:val="00B46918"/>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51846"/>
    <w:rsid w:val="00C61E4B"/>
    <w:rsid w:val="00C64BFF"/>
    <w:rsid w:val="00C704E9"/>
    <w:rsid w:val="00C763C9"/>
    <w:rsid w:val="00C80057"/>
    <w:rsid w:val="00C82232"/>
    <w:rsid w:val="00C82913"/>
    <w:rsid w:val="00C972B1"/>
    <w:rsid w:val="00CA0D6B"/>
    <w:rsid w:val="00CA2CCE"/>
    <w:rsid w:val="00CA43FD"/>
    <w:rsid w:val="00CA7EF8"/>
    <w:rsid w:val="00CB4F48"/>
    <w:rsid w:val="00CB57FE"/>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6410F"/>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42B3"/>
    <w:rsid w:val="00E2656A"/>
    <w:rsid w:val="00E31011"/>
    <w:rsid w:val="00E412D0"/>
    <w:rsid w:val="00E56322"/>
    <w:rsid w:val="00E60982"/>
    <w:rsid w:val="00E62C62"/>
    <w:rsid w:val="00E654C1"/>
    <w:rsid w:val="00E65D97"/>
    <w:rsid w:val="00E72A5A"/>
    <w:rsid w:val="00E73354"/>
    <w:rsid w:val="00E9242D"/>
    <w:rsid w:val="00EA3EF0"/>
    <w:rsid w:val="00EB5255"/>
    <w:rsid w:val="00EB5C47"/>
    <w:rsid w:val="00ED0639"/>
    <w:rsid w:val="00EF4755"/>
    <w:rsid w:val="00EF7135"/>
    <w:rsid w:val="00F01FD5"/>
    <w:rsid w:val="00F027DB"/>
    <w:rsid w:val="00F14A7A"/>
    <w:rsid w:val="00F22985"/>
    <w:rsid w:val="00F3383E"/>
    <w:rsid w:val="00F437A3"/>
    <w:rsid w:val="00F465A7"/>
    <w:rsid w:val="00F50B7C"/>
    <w:rsid w:val="00F50CDF"/>
    <w:rsid w:val="00F550E6"/>
    <w:rsid w:val="00F74345"/>
    <w:rsid w:val="00F80A0A"/>
    <w:rsid w:val="00F82B19"/>
    <w:rsid w:val="00F9212D"/>
    <w:rsid w:val="00F965DA"/>
    <w:rsid w:val="00FA406A"/>
    <w:rsid w:val="00FB503A"/>
    <w:rsid w:val="00FB516C"/>
    <w:rsid w:val="00FD0236"/>
    <w:rsid w:val="00FD06DE"/>
    <w:rsid w:val="00FD18F4"/>
    <w:rsid w:val="00FD54DB"/>
    <w:rsid w:val="00FD619F"/>
    <w:rsid w:val="010B6590"/>
    <w:rsid w:val="01165292"/>
    <w:rsid w:val="01290F7E"/>
    <w:rsid w:val="015D1E09"/>
    <w:rsid w:val="01725805"/>
    <w:rsid w:val="01A050EF"/>
    <w:rsid w:val="01CF1530"/>
    <w:rsid w:val="01E74ACC"/>
    <w:rsid w:val="01F67C2B"/>
    <w:rsid w:val="02191E33"/>
    <w:rsid w:val="02427F54"/>
    <w:rsid w:val="026145EB"/>
    <w:rsid w:val="0266294F"/>
    <w:rsid w:val="02675D7F"/>
    <w:rsid w:val="02697903"/>
    <w:rsid w:val="02900CBF"/>
    <w:rsid w:val="02D373D9"/>
    <w:rsid w:val="02DF57A3"/>
    <w:rsid w:val="02E51097"/>
    <w:rsid w:val="02EE67F5"/>
    <w:rsid w:val="02F96569"/>
    <w:rsid w:val="02FE2741"/>
    <w:rsid w:val="032C18A2"/>
    <w:rsid w:val="03403FE3"/>
    <w:rsid w:val="0355795F"/>
    <w:rsid w:val="0364199E"/>
    <w:rsid w:val="03655CA8"/>
    <w:rsid w:val="03795BF7"/>
    <w:rsid w:val="037E320E"/>
    <w:rsid w:val="037E4FBC"/>
    <w:rsid w:val="03977C7D"/>
    <w:rsid w:val="03AF3DA4"/>
    <w:rsid w:val="03B22EB7"/>
    <w:rsid w:val="03B23FB0"/>
    <w:rsid w:val="03C926DB"/>
    <w:rsid w:val="03D61A84"/>
    <w:rsid w:val="03E56DE9"/>
    <w:rsid w:val="03EA7B21"/>
    <w:rsid w:val="043F40CF"/>
    <w:rsid w:val="04761B44"/>
    <w:rsid w:val="049074D7"/>
    <w:rsid w:val="04D105EC"/>
    <w:rsid w:val="04D41E08"/>
    <w:rsid w:val="050C2C6B"/>
    <w:rsid w:val="05412CA3"/>
    <w:rsid w:val="05490FE9"/>
    <w:rsid w:val="054E7AF3"/>
    <w:rsid w:val="05546DF0"/>
    <w:rsid w:val="05B60DE5"/>
    <w:rsid w:val="05F3434A"/>
    <w:rsid w:val="05F83EAE"/>
    <w:rsid w:val="062A571C"/>
    <w:rsid w:val="062E7632"/>
    <w:rsid w:val="063302DF"/>
    <w:rsid w:val="063E6B53"/>
    <w:rsid w:val="063E7D85"/>
    <w:rsid w:val="06434CF1"/>
    <w:rsid w:val="06656D40"/>
    <w:rsid w:val="068250D7"/>
    <w:rsid w:val="06A27184"/>
    <w:rsid w:val="06C02D9F"/>
    <w:rsid w:val="06FE60DB"/>
    <w:rsid w:val="07096E68"/>
    <w:rsid w:val="070C764D"/>
    <w:rsid w:val="07293586"/>
    <w:rsid w:val="07295285"/>
    <w:rsid w:val="07636392"/>
    <w:rsid w:val="076F41ED"/>
    <w:rsid w:val="07770C56"/>
    <w:rsid w:val="077A1F3E"/>
    <w:rsid w:val="078B414B"/>
    <w:rsid w:val="07A6431B"/>
    <w:rsid w:val="07A86AAB"/>
    <w:rsid w:val="07AF5FD6"/>
    <w:rsid w:val="07B724E2"/>
    <w:rsid w:val="07B82CE8"/>
    <w:rsid w:val="07C67662"/>
    <w:rsid w:val="07E00A19"/>
    <w:rsid w:val="07F455B2"/>
    <w:rsid w:val="08066445"/>
    <w:rsid w:val="0853064A"/>
    <w:rsid w:val="08602EE2"/>
    <w:rsid w:val="088176B4"/>
    <w:rsid w:val="08876261"/>
    <w:rsid w:val="08B0518A"/>
    <w:rsid w:val="09051450"/>
    <w:rsid w:val="090D306A"/>
    <w:rsid w:val="091F4B4B"/>
    <w:rsid w:val="092217DD"/>
    <w:rsid w:val="0932487E"/>
    <w:rsid w:val="09371E95"/>
    <w:rsid w:val="093A7294"/>
    <w:rsid w:val="095D1A5F"/>
    <w:rsid w:val="09651EB9"/>
    <w:rsid w:val="0986672D"/>
    <w:rsid w:val="098A4826"/>
    <w:rsid w:val="09A51D4C"/>
    <w:rsid w:val="09AD114F"/>
    <w:rsid w:val="09D0388E"/>
    <w:rsid w:val="09F73E20"/>
    <w:rsid w:val="0A0106F5"/>
    <w:rsid w:val="0A0107ED"/>
    <w:rsid w:val="0A263993"/>
    <w:rsid w:val="0A2D3AC2"/>
    <w:rsid w:val="0A3E3146"/>
    <w:rsid w:val="0A4F44B0"/>
    <w:rsid w:val="0A670558"/>
    <w:rsid w:val="0AA755DF"/>
    <w:rsid w:val="0ACC33BB"/>
    <w:rsid w:val="0AD83203"/>
    <w:rsid w:val="0ADE42C6"/>
    <w:rsid w:val="0AFA6307"/>
    <w:rsid w:val="0AFD6677"/>
    <w:rsid w:val="0B10081B"/>
    <w:rsid w:val="0B120D44"/>
    <w:rsid w:val="0B1C1A33"/>
    <w:rsid w:val="0B1F52D6"/>
    <w:rsid w:val="0B381EF4"/>
    <w:rsid w:val="0B685B6D"/>
    <w:rsid w:val="0B6E5916"/>
    <w:rsid w:val="0B932C6F"/>
    <w:rsid w:val="0BA8707A"/>
    <w:rsid w:val="0BB4198C"/>
    <w:rsid w:val="0BBB1CD2"/>
    <w:rsid w:val="0BCD0FD4"/>
    <w:rsid w:val="0BCD4057"/>
    <w:rsid w:val="0BD27BF6"/>
    <w:rsid w:val="0BF24799"/>
    <w:rsid w:val="0C05044A"/>
    <w:rsid w:val="0C0B13B7"/>
    <w:rsid w:val="0C210BDA"/>
    <w:rsid w:val="0C34090D"/>
    <w:rsid w:val="0C396977"/>
    <w:rsid w:val="0C3B3C7D"/>
    <w:rsid w:val="0C4C1B33"/>
    <w:rsid w:val="0CAB0EFE"/>
    <w:rsid w:val="0CAB2EAE"/>
    <w:rsid w:val="0CAC1E0A"/>
    <w:rsid w:val="0CC528CF"/>
    <w:rsid w:val="0CEB1914"/>
    <w:rsid w:val="0CF21A17"/>
    <w:rsid w:val="0D004C93"/>
    <w:rsid w:val="0D365267"/>
    <w:rsid w:val="0D480A9C"/>
    <w:rsid w:val="0D4930F7"/>
    <w:rsid w:val="0D541046"/>
    <w:rsid w:val="0D5D5C42"/>
    <w:rsid w:val="0D621C7D"/>
    <w:rsid w:val="0D892052"/>
    <w:rsid w:val="0D996407"/>
    <w:rsid w:val="0DBA12E6"/>
    <w:rsid w:val="0DE064AB"/>
    <w:rsid w:val="0DFB0F08"/>
    <w:rsid w:val="0E0C084D"/>
    <w:rsid w:val="0E3D2AC9"/>
    <w:rsid w:val="0E404E0B"/>
    <w:rsid w:val="0E5131BF"/>
    <w:rsid w:val="0E602F64"/>
    <w:rsid w:val="0E73034D"/>
    <w:rsid w:val="0EBB3A12"/>
    <w:rsid w:val="0EC90C4D"/>
    <w:rsid w:val="0F13775A"/>
    <w:rsid w:val="0F1F58A5"/>
    <w:rsid w:val="0F4141A5"/>
    <w:rsid w:val="0F41676A"/>
    <w:rsid w:val="0F423341"/>
    <w:rsid w:val="0F42436F"/>
    <w:rsid w:val="0F5F45FE"/>
    <w:rsid w:val="0F7E0C2E"/>
    <w:rsid w:val="0F977B31"/>
    <w:rsid w:val="0F9A112B"/>
    <w:rsid w:val="0F9F2542"/>
    <w:rsid w:val="0FAF7EE0"/>
    <w:rsid w:val="0FB73569"/>
    <w:rsid w:val="0FCA3416"/>
    <w:rsid w:val="0FCA4053"/>
    <w:rsid w:val="0FF36CB9"/>
    <w:rsid w:val="100F603B"/>
    <w:rsid w:val="102F782E"/>
    <w:rsid w:val="104B79FA"/>
    <w:rsid w:val="10593038"/>
    <w:rsid w:val="106D2F64"/>
    <w:rsid w:val="10801A0D"/>
    <w:rsid w:val="1090632E"/>
    <w:rsid w:val="109C4CD3"/>
    <w:rsid w:val="10AB6660"/>
    <w:rsid w:val="10AC3A44"/>
    <w:rsid w:val="10B63710"/>
    <w:rsid w:val="10EA7240"/>
    <w:rsid w:val="10F10820"/>
    <w:rsid w:val="111C2F7A"/>
    <w:rsid w:val="11276176"/>
    <w:rsid w:val="11651569"/>
    <w:rsid w:val="11665CA1"/>
    <w:rsid w:val="11BA3663"/>
    <w:rsid w:val="11DB69D7"/>
    <w:rsid w:val="11E84674"/>
    <w:rsid w:val="124A70DD"/>
    <w:rsid w:val="12F632CE"/>
    <w:rsid w:val="13010D7D"/>
    <w:rsid w:val="130322F6"/>
    <w:rsid w:val="13117C94"/>
    <w:rsid w:val="13155E00"/>
    <w:rsid w:val="13160D6D"/>
    <w:rsid w:val="1356385F"/>
    <w:rsid w:val="13573133"/>
    <w:rsid w:val="13626C02"/>
    <w:rsid w:val="13951726"/>
    <w:rsid w:val="13AC657F"/>
    <w:rsid w:val="13B846D7"/>
    <w:rsid w:val="13EA0B77"/>
    <w:rsid w:val="13EF07C3"/>
    <w:rsid w:val="14396509"/>
    <w:rsid w:val="144C07BE"/>
    <w:rsid w:val="144C629F"/>
    <w:rsid w:val="146976FA"/>
    <w:rsid w:val="147105DB"/>
    <w:rsid w:val="14811BA7"/>
    <w:rsid w:val="14A63518"/>
    <w:rsid w:val="14A81B2B"/>
    <w:rsid w:val="14B77DB4"/>
    <w:rsid w:val="14C1436B"/>
    <w:rsid w:val="14DD2C3C"/>
    <w:rsid w:val="15452855"/>
    <w:rsid w:val="15793835"/>
    <w:rsid w:val="159E5049"/>
    <w:rsid w:val="15AA1C40"/>
    <w:rsid w:val="15C26F8A"/>
    <w:rsid w:val="15D5759E"/>
    <w:rsid w:val="15F01D49"/>
    <w:rsid w:val="15F97C5A"/>
    <w:rsid w:val="16087E1D"/>
    <w:rsid w:val="16201F02"/>
    <w:rsid w:val="1627383C"/>
    <w:rsid w:val="162C3FED"/>
    <w:rsid w:val="163D2AB4"/>
    <w:rsid w:val="16484CE6"/>
    <w:rsid w:val="16631B49"/>
    <w:rsid w:val="16704C38"/>
    <w:rsid w:val="16745059"/>
    <w:rsid w:val="169A71C8"/>
    <w:rsid w:val="16E00E97"/>
    <w:rsid w:val="16EE33C9"/>
    <w:rsid w:val="16FE2244"/>
    <w:rsid w:val="1703329A"/>
    <w:rsid w:val="171001C9"/>
    <w:rsid w:val="172E39E8"/>
    <w:rsid w:val="17511575"/>
    <w:rsid w:val="17701D14"/>
    <w:rsid w:val="17735226"/>
    <w:rsid w:val="17920BDE"/>
    <w:rsid w:val="179E7F1D"/>
    <w:rsid w:val="179F247E"/>
    <w:rsid w:val="17A64EAC"/>
    <w:rsid w:val="17B63973"/>
    <w:rsid w:val="17E901C5"/>
    <w:rsid w:val="181001D4"/>
    <w:rsid w:val="18185587"/>
    <w:rsid w:val="183479B0"/>
    <w:rsid w:val="18387277"/>
    <w:rsid w:val="185760AF"/>
    <w:rsid w:val="1874293A"/>
    <w:rsid w:val="18896968"/>
    <w:rsid w:val="189746FE"/>
    <w:rsid w:val="189F624C"/>
    <w:rsid w:val="18A521B1"/>
    <w:rsid w:val="18A62DE3"/>
    <w:rsid w:val="18C61589"/>
    <w:rsid w:val="18DF4998"/>
    <w:rsid w:val="194F4AE5"/>
    <w:rsid w:val="19616ABA"/>
    <w:rsid w:val="196531A2"/>
    <w:rsid w:val="196D1903"/>
    <w:rsid w:val="19821167"/>
    <w:rsid w:val="19920E25"/>
    <w:rsid w:val="19953E92"/>
    <w:rsid w:val="199844A2"/>
    <w:rsid w:val="19B71BDB"/>
    <w:rsid w:val="19F53DD2"/>
    <w:rsid w:val="19FD2C86"/>
    <w:rsid w:val="1A1104E0"/>
    <w:rsid w:val="1A1C66C0"/>
    <w:rsid w:val="1A255D39"/>
    <w:rsid w:val="1A3D12D5"/>
    <w:rsid w:val="1A42393B"/>
    <w:rsid w:val="1A7D0EB2"/>
    <w:rsid w:val="1A8B0AAF"/>
    <w:rsid w:val="1AAD45DE"/>
    <w:rsid w:val="1AB90A23"/>
    <w:rsid w:val="1AEE2215"/>
    <w:rsid w:val="1AF1795F"/>
    <w:rsid w:val="1AF61E20"/>
    <w:rsid w:val="1AFE0587"/>
    <w:rsid w:val="1B046F80"/>
    <w:rsid w:val="1B1C7DC9"/>
    <w:rsid w:val="1B1E536C"/>
    <w:rsid w:val="1B3267B5"/>
    <w:rsid w:val="1B3A71CC"/>
    <w:rsid w:val="1B40161D"/>
    <w:rsid w:val="1B441859"/>
    <w:rsid w:val="1B5B65FA"/>
    <w:rsid w:val="1B6606B1"/>
    <w:rsid w:val="1B7357D5"/>
    <w:rsid w:val="1BA23D33"/>
    <w:rsid w:val="1BAE6B87"/>
    <w:rsid w:val="1BB76E65"/>
    <w:rsid w:val="1BCA7127"/>
    <w:rsid w:val="1BE35EAC"/>
    <w:rsid w:val="1C062DD8"/>
    <w:rsid w:val="1C0A1F1A"/>
    <w:rsid w:val="1C123ACB"/>
    <w:rsid w:val="1C2A5889"/>
    <w:rsid w:val="1C3B2A19"/>
    <w:rsid w:val="1C3F272C"/>
    <w:rsid w:val="1C5E7925"/>
    <w:rsid w:val="1CA47324"/>
    <w:rsid w:val="1CA838BD"/>
    <w:rsid w:val="1CB80CE0"/>
    <w:rsid w:val="1CC507B9"/>
    <w:rsid w:val="1CE869F2"/>
    <w:rsid w:val="1CF163A7"/>
    <w:rsid w:val="1CF2414D"/>
    <w:rsid w:val="1CFD070F"/>
    <w:rsid w:val="1D07292A"/>
    <w:rsid w:val="1D260A31"/>
    <w:rsid w:val="1D38258E"/>
    <w:rsid w:val="1D3E15EC"/>
    <w:rsid w:val="1D52157F"/>
    <w:rsid w:val="1D552DD9"/>
    <w:rsid w:val="1D5F6196"/>
    <w:rsid w:val="1D6132A5"/>
    <w:rsid w:val="1D6D4AB3"/>
    <w:rsid w:val="1D743260"/>
    <w:rsid w:val="1D8A0330"/>
    <w:rsid w:val="1D8E56D5"/>
    <w:rsid w:val="1DAA037A"/>
    <w:rsid w:val="1DCD76E0"/>
    <w:rsid w:val="1DD65CC8"/>
    <w:rsid w:val="1DD90A7A"/>
    <w:rsid w:val="1DDA4F6C"/>
    <w:rsid w:val="1DEF6D60"/>
    <w:rsid w:val="1E1D7096"/>
    <w:rsid w:val="1E2335E8"/>
    <w:rsid w:val="1E386398"/>
    <w:rsid w:val="1E4F163C"/>
    <w:rsid w:val="1E746936"/>
    <w:rsid w:val="1E760AF9"/>
    <w:rsid w:val="1E7A43DA"/>
    <w:rsid w:val="1E8872C6"/>
    <w:rsid w:val="1E8D33A4"/>
    <w:rsid w:val="1EB06519"/>
    <w:rsid w:val="1EBD29E4"/>
    <w:rsid w:val="1ECF44C6"/>
    <w:rsid w:val="1EF046EA"/>
    <w:rsid w:val="1F0722BB"/>
    <w:rsid w:val="1F292BE0"/>
    <w:rsid w:val="1F3709E9"/>
    <w:rsid w:val="1F6E1F30"/>
    <w:rsid w:val="1F900D22"/>
    <w:rsid w:val="1FA825B5"/>
    <w:rsid w:val="1FAA07E2"/>
    <w:rsid w:val="1FAE497E"/>
    <w:rsid w:val="1FB45B95"/>
    <w:rsid w:val="1FDD081F"/>
    <w:rsid w:val="1FE7539E"/>
    <w:rsid w:val="205F1C37"/>
    <w:rsid w:val="20627B3C"/>
    <w:rsid w:val="20633F5F"/>
    <w:rsid w:val="20671BE0"/>
    <w:rsid w:val="206C18D0"/>
    <w:rsid w:val="207B4905"/>
    <w:rsid w:val="20820462"/>
    <w:rsid w:val="208A0FEC"/>
    <w:rsid w:val="2092327B"/>
    <w:rsid w:val="20963CB8"/>
    <w:rsid w:val="2099095F"/>
    <w:rsid w:val="20A81A1B"/>
    <w:rsid w:val="20B07FB6"/>
    <w:rsid w:val="20B646FB"/>
    <w:rsid w:val="20B73737"/>
    <w:rsid w:val="20C91B14"/>
    <w:rsid w:val="20D06E6A"/>
    <w:rsid w:val="20EA188C"/>
    <w:rsid w:val="20FF57D6"/>
    <w:rsid w:val="213B74B1"/>
    <w:rsid w:val="213C1666"/>
    <w:rsid w:val="215A2310"/>
    <w:rsid w:val="21A954A2"/>
    <w:rsid w:val="21C83B7A"/>
    <w:rsid w:val="21CE0815"/>
    <w:rsid w:val="21DE318A"/>
    <w:rsid w:val="21E14C3C"/>
    <w:rsid w:val="21ED4154"/>
    <w:rsid w:val="21EF5B80"/>
    <w:rsid w:val="21FA5CFD"/>
    <w:rsid w:val="22042B99"/>
    <w:rsid w:val="222023D2"/>
    <w:rsid w:val="2228286B"/>
    <w:rsid w:val="22576990"/>
    <w:rsid w:val="2265586D"/>
    <w:rsid w:val="22667118"/>
    <w:rsid w:val="226F5669"/>
    <w:rsid w:val="227E7720"/>
    <w:rsid w:val="228757E3"/>
    <w:rsid w:val="22A72B65"/>
    <w:rsid w:val="22CF0A4F"/>
    <w:rsid w:val="22D01AC4"/>
    <w:rsid w:val="22F47480"/>
    <w:rsid w:val="230C24DB"/>
    <w:rsid w:val="232E7D6A"/>
    <w:rsid w:val="23360FCB"/>
    <w:rsid w:val="233D2346"/>
    <w:rsid w:val="23654CE3"/>
    <w:rsid w:val="237613B4"/>
    <w:rsid w:val="23B343B6"/>
    <w:rsid w:val="23B44646"/>
    <w:rsid w:val="23BA30B1"/>
    <w:rsid w:val="23BB3ED8"/>
    <w:rsid w:val="23CD53B2"/>
    <w:rsid w:val="23CF0CCD"/>
    <w:rsid w:val="23D4340D"/>
    <w:rsid w:val="23DE1C48"/>
    <w:rsid w:val="23E833FD"/>
    <w:rsid w:val="23F73CAD"/>
    <w:rsid w:val="240210CD"/>
    <w:rsid w:val="241A75B5"/>
    <w:rsid w:val="24505CDB"/>
    <w:rsid w:val="2452597D"/>
    <w:rsid w:val="247C0D5F"/>
    <w:rsid w:val="24B86C56"/>
    <w:rsid w:val="24BE74B6"/>
    <w:rsid w:val="24BF09F7"/>
    <w:rsid w:val="24F84776"/>
    <w:rsid w:val="25276E09"/>
    <w:rsid w:val="252D53FE"/>
    <w:rsid w:val="253F23A5"/>
    <w:rsid w:val="255C294B"/>
    <w:rsid w:val="258232B6"/>
    <w:rsid w:val="25830A22"/>
    <w:rsid w:val="258778A8"/>
    <w:rsid w:val="259721E1"/>
    <w:rsid w:val="259F2E44"/>
    <w:rsid w:val="25A83E40"/>
    <w:rsid w:val="25D80104"/>
    <w:rsid w:val="25E46AA9"/>
    <w:rsid w:val="25EC2D81"/>
    <w:rsid w:val="261C26E6"/>
    <w:rsid w:val="26393298"/>
    <w:rsid w:val="26775B6F"/>
    <w:rsid w:val="270C62B7"/>
    <w:rsid w:val="273A02F7"/>
    <w:rsid w:val="27402CF7"/>
    <w:rsid w:val="274D5443"/>
    <w:rsid w:val="277057A2"/>
    <w:rsid w:val="277A27E4"/>
    <w:rsid w:val="27866D41"/>
    <w:rsid w:val="27A44741"/>
    <w:rsid w:val="27BE42F7"/>
    <w:rsid w:val="28251CB3"/>
    <w:rsid w:val="282F178C"/>
    <w:rsid w:val="28877B07"/>
    <w:rsid w:val="28B27CA3"/>
    <w:rsid w:val="28C86F05"/>
    <w:rsid w:val="28DB23E5"/>
    <w:rsid w:val="28EE0144"/>
    <w:rsid w:val="28F735E7"/>
    <w:rsid w:val="29206EB8"/>
    <w:rsid w:val="29595666"/>
    <w:rsid w:val="295E258C"/>
    <w:rsid w:val="296960FC"/>
    <w:rsid w:val="29735BA5"/>
    <w:rsid w:val="29744A9A"/>
    <w:rsid w:val="29792F4F"/>
    <w:rsid w:val="297D16EE"/>
    <w:rsid w:val="29874881"/>
    <w:rsid w:val="29DF5F05"/>
    <w:rsid w:val="29E01A3D"/>
    <w:rsid w:val="29E325E0"/>
    <w:rsid w:val="2A105D28"/>
    <w:rsid w:val="2A23370F"/>
    <w:rsid w:val="2A270F19"/>
    <w:rsid w:val="2A391AB9"/>
    <w:rsid w:val="2A452503"/>
    <w:rsid w:val="2A577201"/>
    <w:rsid w:val="2A5A353E"/>
    <w:rsid w:val="2AD416D9"/>
    <w:rsid w:val="2AD97BBC"/>
    <w:rsid w:val="2AF6322A"/>
    <w:rsid w:val="2B6C7218"/>
    <w:rsid w:val="2B7B0382"/>
    <w:rsid w:val="2B8079E1"/>
    <w:rsid w:val="2B8C0BB3"/>
    <w:rsid w:val="2BA936A8"/>
    <w:rsid w:val="2BAA2542"/>
    <w:rsid w:val="2BBB64FD"/>
    <w:rsid w:val="2BBD1133"/>
    <w:rsid w:val="2BEC2B5B"/>
    <w:rsid w:val="2C273541"/>
    <w:rsid w:val="2C315A5A"/>
    <w:rsid w:val="2C3857DE"/>
    <w:rsid w:val="2C480611"/>
    <w:rsid w:val="2C4B1C25"/>
    <w:rsid w:val="2C784594"/>
    <w:rsid w:val="2C7E0228"/>
    <w:rsid w:val="2C844B41"/>
    <w:rsid w:val="2C8939D9"/>
    <w:rsid w:val="2C8E7465"/>
    <w:rsid w:val="2CA607C9"/>
    <w:rsid w:val="2CAD1597"/>
    <w:rsid w:val="2CC755B5"/>
    <w:rsid w:val="2CCF0BBF"/>
    <w:rsid w:val="2CE7111A"/>
    <w:rsid w:val="2CF27CFD"/>
    <w:rsid w:val="2D03015C"/>
    <w:rsid w:val="2D1B501F"/>
    <w:rsid w:val="2D3104DB"/>
    <w:rsid w:val="2D3D2B71"/>
    <w:rsid w:val="2D605F0D"/>
    <w:rsid w:val="2D6066AC"/>
    <w:rsid w:val="2D675F2D"/>
    <w:rsid w:val="2D7A1184"/>
    <w:rsid w:val="2D9E56F5"/>
    <w:rsid w:val="2DA03BFD"/>
    <w:rsid w:val="2DD57EA3"/>
    <w:rsid w:val="2DDD6926"/>
    <w:rsid w:val="2DE6282C"/>
    <w:rsid w:val="2E3A21E3"/>
    <w:rsid w:val="2E556795"/>
    <w:rsid w:val="2E667F96"/>
    <w:rsid w:val="2E816A29"/>
    <w:rsid w:val="2E8226AB"/>
    <w:rsid w:val="2E8C0B5C"/>
    <w:rsid w:val="2E8C5F2F"/>
    <w:rsid w:val="2E974057"/>
    <w:rsid w:val="2F0A3C19"/>
    <w:rsid w:val="2F3526AA"/>
    <w:rsid w:val="2F3D7EDA"/>
    <w:rsid w:val="2F664C07"/>
    <w:rsid w:val="2F7C4A47"/>
    <w:rsid w:val="2FAC705E"/>
    <w:rsid w:val="2FB054D4"/>
    <w:rsid w:val="2FB82D1D"/>
    <w:rsid w:val="2FB90FC2"/>
    <w:rsid w:val="2FBD0A5E"/>
    <w:rsid w:val="2FBD4524"/>
    <w:rsid w:val="2FCF2452"/>
    <w:rsid w:val="2FCF2577"/>
    <w:rsid w:val="2FD065E6"/>
    <w:rsid w:val="2FD96870"/>
    <w:rsid w:val="2FF04B23"/>
    <w:rsid w:val="300F6E18"/>
    <w:rsid w:val="30146116"/>
    <w:rsid w:val="303D1BD7"/>
    <w:rsid w:val="30580BC9"/>
    <w:rsid w:val="30601A91"/>
    <w:rsid w:val="307A26B9"/>
    <w:rsid w:val="30870C83"/>
    <w:rsid w:val="3099025F"/>
    <w:rsid w:val="30B532C9"/>
    <w:rsid w:val="30B62A4C"/>
    <w:rsid w:val="30D20571"/>
    <w:rsid w:val="30DA4536"/>
    <w:rsid w:val="30E2315D"/>
    <w:rsid w:val="30F909E0"/>
    <w:rsid w:val="31195FCF"/>
    <w:rsid w:val="311E2ED7"/>
    <w:rsid w:val="314553B9"/>
    <w:rsid w:val="314A1A4C"/>
    <w:rsid w:val="315109C0"/>
    <w:rsid w:val="315619EE"/>
    <w:rsid w:val="315C449C"/>
    <w:rsid w:val="31615451"/>
    <w:rsid w:val="31B82709"/>
    <w:rsid w:val="31D05482"/>
    <w:rsid w:val="31E45619"/>
    <w:rsid w:val="322A6712"/>
    <w:rsid w:val="322D17D7"/>
    <w:rsid w:val="323D6058"/>
    <w:rsid w:val="32400B34"/>
    <w:rsid w:val="32674CE9"/>
    <w:rsid w:val="32684074"/>
    <w:rsid w:val="327C2351"/>
    <w:rsid w:val="329E6876"/>
    <w:rsid w:val="329F28C4"/>
    <w:rsid w:val="32A26FE0"/>
    <w:rsid w:val="32D87995"/>
    <w:rsid w:val="32DF00FE"/>
    <w:rsid w:val="32E36F4F"/>
    <w:rsid w:val="33023519"/>
    <w:rsid w:val="333015F2"/>
    <w:rsid w:val="334B6320"/>
    <w:rsid w:val="33522D27"/>
    <w:rsid w:val="33627CAD"/>
    <w:rsid w:val="337C078F"/>
    <w:rsid w:val="33B9293B"/>
    <w:rsid w:val="33BB385F"/>
    <w:rsid w:val="33D934D4"/>
    <w:rsid w:val="33DB7CF5"/>
    <w:rsid w:val="33EF3E2E"/>
    <w:rsid w:val="33FE2F6A"/>
    <w:rsid w:val="340E07E5"/>
    <w:rsid w:val="3419316B"/>
    <w:rsid w:val="34235BF7"/>
    <w:rsid w:val="343108FC"/>
    <w:rsid w:val="34470471"/>
    <w:rsid w:val="34522AA0"/>
    <w:rsid w:val="346671F6"/>
    <w:rsid w:val="34931DC5"/>
    <w:rsid w:val="34BD16F5"/>
    <w:rsid w:val="34CE54F3"/>
    <w:rsid w:val="35321F89"/>
    <w:rsid w:val="35516B4C"/>
    <w:rsid w:val="35611EC4"/>
    <w:rsid w:val="35786FFF"/>
    <w:rsid w:val="35793BA4"/>
    <w:rsid w:val="358C5FA8"/>
    <w:rsid w:val="359A22CB"/>
    <w:rsid w:val="35B724E2"/>
    <w:rsid w:val="35B743FA"/>
    <w:rsid w:val="35B8004A"/>
    <w:rsid w:val="35BC0135"/>
    <w:rsid w:val="35C12962"/>
    <w:rsid w:val="35C15DF1"/>
    <w:rsid w:val="35CF3399"/>
    <w:rsid w:val="35E44BE1"/>
    <w:rsid w:val="35E820B0"/>
    <w:rsid w:val="35EB5C31"/>
    <w:rsid w:val="35FB4343"/>
    <w:rsid w:val="360016DD"/>
    <w:rsid w:val="36074A7F"/>
    <w:rsid w:val="3608370C"/>
    <w:rsid w:val="360E27E5"/>
    <w:rsid w:val="361C469A"/>
    <w:rsid w:val="362A4376"/>
    <w:rsid w:val="363C23CD"/>
    <w:rsid w:val="364C66D0"/>
    <w:rsid w:val="3658529C"/>
    <w:rsid w:val="365D5F72"/>
    <w:rsid w:val="3667732D"/>
    <w:rsid w:val="36923549"/>
    <w:rsid w:val="36AD28C0"/>
    <w:rsid w:val="36B75FBF"/>
    <w:rsid w:val="36BD0C45"/>
    <w:rsid w:val="36D31395"/>
    <w:rsid w:val="36E77CEA"/>
    <w:rsid w:val="37177E68"/>
    <w:rsid w:val="372056A0"/>
    <w:rsid w:val="374677EC"/>
    <w:rsid w:val="374E00AC"/>
    <w:rsid w:val="37540586"/>
    <w:rsid w:val="376A4A2E"/>
    <w:rsid w:val="37826591"/>
    <w:rsid w:val="37936580"/>
    <w:rsid w:val="3795312A"/>
    <w:rsid w:val="37D968FB"/>
    <w:rsid w:val="37E00298"/>
    <w:rsid w:val="37FE7E9E"/>
    <w:rsid w:val="380C3453"/>
    <w:rsid w:val="381C6576"/>
    <w:rsid w:val="3822625D"/>
    <w:rsid w:val="383218F5"/>
    <w:rsid w:val="383B43B9"/>
    <w:rsid w:val="385C2E16"/>
    <w:rsid w:val="38612B0B"/>
    <w:rsid w:val="387D2DA5"/>
    <w:rsid w:val="38A376EC"/>
    <w:rsid w:val="38B302F9"/>
    <w:rsid w:val="38B90269"/>
    <w:rsid w:val="38F12527"/>
    <w:rsid w:val="38F12CD3"/>
    <w:rsid w:val="38F94775"/>
    <w:rsid w:val="392971ED"/>
    <w:rsid w:val="39325651"/>
    <w:rsid w:val="3935715B"/>
    <w:rsid w:val="39362181"/>
    <w:rsid w:val="394A52F1"/>
    <w:rsid w:val="39684B05"/>
    <w:rsid w:val="396B4F0F"/>
    <w:rsid w:val="397715F8"/>
    <w:rsid w:val="39CB3DB0"/>
    <w:rsid w:val="3A1E0383"/>
    <w:rsid w:val="3A3758E9"/>
    <w:rsid w:val="3A406DCA"/>
    <w:rsid w:val="3A7A6FDB"/>
    <w:rsid w:val="3A872856"/>
    <w:rsid w:val="3A892F84"/>
    <w:rsid w:val="3ADE6408"/>
    <w:rsid w:val="3B312338"/>
    <w:rsid w:val="3B3763D1"/>
    <w:rsid w:val="3B5F6EA5"/>
    <w:rsid w:val="3BBF2AA9"/>
    <w:rsid w:val="3BC1190E"/>
    <w:rsid w:val="3BEA22BC"/>
    <w:rsid w:val="3BF13876"/>
    <w:rsid w:val="3C110DE0"/>
    <w:rsid w:val="3C2F6E1E"/>
    <w:rsid w:val="3C454B43"/>
    <w:rsid w:val="3C4A1903"/>
    <w:rsid w:val="3C4B567C"/>
    <w:rsid w:val="3C4F64BA"/>
    <w:rsid w:val="3C5E16BB"/>
    <w:rsid w:val="3C790269"/>
    <w:rsid w:val="3C797AF3"/>
    <w:rsid w:val="3C975423"/>
    <w:rsid w:val="3CCC056A"/>
    <w:rsid w:val="3CDA245A"/>
    <w:rsid w:val="3CDE4893"/>
    <w:rsid w:val="3CE7605F"/>
    <w:rsid w:val="3D1E06B7"/>
    <w:rsid w:val="3D252F1D"/>
    <w:rsid w:val="3D2F4655"/>
    <w:rsid w:val="3D425197"/>
    <w:rsid w:val="3D581DFE"/>
    <w:rsid w:val="3D8343FA"/>
    <w:rsid w:val="3DA00B4F"/>
    <w:rsid w:val="3DB05041"/>
    <w:rsid w:val="3DC70D32"/>
    <w:rsid w:val="3E295549"/>
    <w:rsid w:val="3E3F6B1A"/>
    <w:rsid w:val="3E5201BC"/>
    <w:rsid w:val="3E525C32"/>
    <w:rsid w:val="3E541CE3"/>
    <w:rsid w:val="3E5F71BC"/>
    <w:rsid w:val="3E927592"/>
    <w:rsid w:val="3EDA0523"/>
    <w:rsid w:val="3EF936CA"/>
    <w:rsid w:val="3F024152"/>
    <w:rsid w:val="3F102548"/>
    <w:rsid w:val="3F2F6E92"/>
    <w:rsid w:val="3F321E37"/>
    <w:rsid w:val="3F484E9A"/>
    <w:rsid w:val="3F4F0DE2"/>
    <w:rsid w:val="3F697B89"/>
    <w:rsid w:val="3F7912BC"/>
    <w:rsid w:val="3F9966FE"/>
    <w:rsid w:val="3FEA7875"/>
    <w:rsid w:val="3FF12096"/>
    <w:rsid w:val="3FFE65EB"/>
    <w:rsid w:val="401B3989"/>
    <w:rsid w:val="40462C3D"/>
    <w:rsid w:val="40477F08"/>
    <w:rsid w:val="40540DA9"/>
    <w:rsid w:val="405C7E57"/>
    <w:rsid w:val="405D3B2C"/>
    <w:rsid w:val="406663A9"/>
    <w:rsid w:val="406665E0"/>
    <w:rsid w:val="407A6407"/>
    <w:rsid w:val="407B080A"/>
    <w:rsid w:val="40980E17"/>
    <w:rsid w:val="40BC075C"/>
    <w:rsid w:val="40E13EB9"/>
    <w:rsid w:val="40FC0CF2"/>
    <w:rsid w:val="4106408E"/>
    <w:rsid w:val="411B56C4"/>
    <w:rsid w:val="413C6216"/>
    <w:rsid w:val="41537F37"/>
    <w:rsid w:val="415814B0"/>
    <w:rsid w:val="415843F5"/>
    <w:rsid w:val="41590785"/>
    <w:rsid w:val="415D5C35"/>
    <w:rsid w:val="4168694B"/>
    <w:rsid w:val="418A0F44"/>
    <w:rsid w:val="4194783E"/>
    <w:rsid w:val="41A41AB6"/>
    <w:rsid w:val="41A5415D"/>
    <w:rsid w:val="41A65D7D"/>
    <w:rsid w:val="41B31CF9"/>
    <w:rsid w:val="41BD0482"/>
    <w:rsid w:val="4200449D"/>
    <w:rsid w:val="42156510"/>
    <w:rsid w:val="4216511A"/>
    <w:rsid w:val="423A3BCC"/>
    <w:rsid w:val="424E57D2"/>
    <w:rsid w:val="42975177"/>
    <w:rsid w:val="42A81083"/>
    <w:rsid w:val="42B26C49"/>
    <w:rsid w:val="42CE7D3E"/>
    <w:rsid w:val="42FF1E08"/>
    <w:rsid w:val="430F518E"/>
    <w:rsid w:val="43173021"/>
    <w:rsid w:val="433A6FE6"/>
    <w:rsid w:val="433C29B6"/>
    <w:rsid w:val="43480868"/>
    <w:rsid w:val="434A3CF5"/>
    <w:rsid w:val="4350713C"/>
    <w:rsid w:val="435D4C1C"/>
    <w:rsid w:val="435D75B5"/>
    <w:rsid w:val="436653E0"/>
    <w:rsid w:val="437B4D47"/>
    <w:rsid w:val="43A4228B"/>
    <w:rsid w:val="43AD6F36"/>
    <w:rsid w:val="43C4431A"/>
    <w:rsid w:val="43DE6DD5"/>
    <w:rsid w:val="442C18EF"/>
    <w:rsid w:val="44466E54"/>
    <w:rsid w:val="44676118"/>
    <w:rsid w:val="447339C1"/>
    <w:rsid w:val="44866BBB"/>
    <w:rsid w:val="44B951CC"/>
    <w:rsid w:val="44CD14E0"/>
    <w:rsid w:val="44E34D6B"/>
    <w:rsid w:val="44ED35B5"/>
    <w:rsid w:val="44EE2DF8"/>
    <w:rsid w:val="44F20B0B"/>
    <w:rsid w:val="44F66928"/>
    <w:rsid w:val="44FF5255"/>
    <w:rsid w:val="45056309"/>
    <w:rsid w:val="451E1B7F"/>
    <w:rsid w:val="452D1DC2"/>
    <w:rsid w:val="452E5F4C"/>
    <w:rsid w:val="45612018"/>
    <w:rsid w:val="45717F01"/>
    <w:rsid w:val="457C68A6"/>
    <w:rsid w:val="457E31A4"/>
    <w:rsid w:val="458946E9"/>
    <w:rsid w:val="45A47C0E"/>
    <w:rsid w:val="45D6427F"/>
    <w:rsid w:val="46274A64"/>
    <w:rsid w:val="462D04F5"/>
    <w:rsid w:val="46374BE5"/>
    <w:rsid w:val="463B60DF"/>
    <w:rsid w:val="46577FD6"/>
    <w:rsid w:val="46603A44"/>
    <w:rsid w:val="46611BF5"/>
    <w:rsid w:val="46AC5F7E"/>
    <w:rsid w:val="46C74147"/>
    <w:rsid w:val="46CD068A"/>
    <w:rsid w:val="46CE1383"/>
    <w:rsid w:val="46D1677D"/>
    <w:rsid w:val="46D955A7"/>
    <w:rsid w:val="46E81166"/>
    <w:rsid w:val="46FF32EA"/>
    <w:rsid w:val="47086605"/>
    <w:rsid w:val="470E79D1"/>
    <w:rsid w:val="47133957"/>
    <w:rsid w:val="4751711A"/>
    <w:rsid w:val="476846FD"/>
    <w:rsid w:val="47745F05"/>
    <w:rsid w:val="4781047D"/>
    <w:rsid w:val="479F54DD"/>
    <w:rsid w:val="47A07E0C"/>
    <w:rsid w:val="47AD71EA"/>
    <w:rsid w:val="47D115FE"/>
    <w:rsid w:val="47F045E0"/>
    <w:rsid w:val="481E59F2"/>
    <w:rsid w:val="48537D92"/>
    <w:rsid w:val="48693111"/>
    <w:rsid w:val="4870272E"/>
    <w:rsid w:val="489348DF"/>
    <w:rsid w:val="48937BFC"/>
    <w:rsid w:val="4899794B"/>
    <w:rsid w:val="48B06FCF"/>
    <w:rsid w:val="48D16F09"/>
    <w:rsid w:val="48D22655"/>
    <w:rsid w:val="48DE6FFF"/>
    <w:rsid w:val="48E02CBA"/>
    <w:rsid w:val="49006068"/>
    <w:rsid w:val="493228D3"/>
    <w:rsid w:val="493C2F20"/>
    <w:rsid w:val="49531B59"/>
    <w:rsid w:val="49724248"/>
    <w:rsid w:val="497C6E74"/>
    <w:rsid w:val="49A87C69"/>
    <w:rsid w:val="49D2609F"/>
    <w:rsid w:val="49DC7715"/>
    <w:rsid w:val="49E51878"/>
    <w:rsid w:val="49FB423D"/>
    <w:rsid w:val="4A023139"/>
    <w:rsid w:val="4A0250DD"/>
    <w:rsid w:val="4A2540DF"/>
    <w:rsid w:val="4A2D478B"/>
    <w:rsid w:val="4A6A4E7B"/>
    <w:rsid w:val="4A7B576F"/>
    <w:rsid w:val="4A910798"/>
    <w:rsid w:val="4AA929DC"/>
    <w:rsid w:val="4AAB2C2A"/>
    <w:rsid w:val="4AB92052"/>
    <w:rsid w:val="4ADE53B7"/>
    <w:rsid w:val="4AE922E8"/>
    <w:rsid w:val="4AF561A9"/>
    <w:rsid w:val="4B0C52F8"/>
    <w:rsid w:val="4B2B0B52"/>
    <w:rsid w:val="4B50680B"/>
    <w:rsid w:val="4B55797D"/>
    <w:rsid w:val="4B726781"/>
    <w:rsid w:val="4B946616"/>
    <w:rsid w:val="4B9E3B1C"/>
    <w:rsid w:val="4BDF0831"/>
    <w:rsid w:val="4C0849EF"/>
    <w:rsid w:val="4C0B2731"/>
    <w:rsid w:val="4C1E56C0"/>
    <w:rsid w:val="4C4A0649"/>
    <w:rsid w:val="4C4D4AF8"/>
    <w:rsid w:val="4C681932"/>
    <w:rsid w:val="4C7E5ECA"/>
    <w:rsid w:val="4C876AA5"/>
    <w:rsid w:val="4C8B19C3"/>
    <w:rsid w:val="4C947321"/>
    <w:rsid w:val="4CA95F5F"/>
    <w:rsid w:val="4CD6689C"/>
    <w:rsid w:val="4CDB0356"/>
    <w:rsid w:val="4CE049BE"/>
    <w:rsid w:val="4CE92F73"/>
    <w:rsid w:val="4CEC14D0"/>
    <w:rsid w:val="4CF82CB6"/>
    <w:rsid w:val="4D0011D9"/>
    <w:rsid w:val="4D0E00FB"/>
    <w:rsid w:val="4D111FCA"/>
    <w:rsid w:val="4D151ABA"/>
    <w:rsid w:val="4D176606"/>
    <w:rsid w:val="4D8367CC"/>
    <w:rsid w:val="4D8B1D7C"/>
    <w:rsid w:val="4D99279A"/>
    <w:rsid w:val="4D9D560B"/>
    <w:rsid w:val="4DB36BDD"/>
    <w:rsid w:val="4DC16DD5"/>
    <w:rsid w:val="4DCD4433"/>
    <w:rsid w:val="4DE904E0"/>
    <w:rsid w:val="4DEC4FB0"/>
    <w:rsid w:val="4E075D8A"/>
    <w:rsid w:val="4E115472"/>
    <w:rsid w:val="4E222FDC"/>
    <w:rsid w:val="4E316171"/>
    <w:rsid w:val="4E402B66"/>
    <w:rsid w:val="4E6D410D"/>
    <w:rsid w:val="4E965BF7"/>
    <w:rsid w:val="4EA136E6"/>
    <w:rsid w:val="4EA65417"/>
    <w:rsid w:val="4EC00FAD"/>
    <w:rsid w:val="4EDD03B5"/>
    <w:rsid w:val="4EFF657E"/>
    <w:rsid w:val="4F334479"/>
    <w:rsid w:val="4F3501F1"/>
    <w:rsid w:val="4F4D2A95"/>
    <w:rsid w:val="4F512B51"/>
    <w:rsid w:val="4F7D7924"/>
    <w:rsid w:val="4F840831"/>
    <w:rsid w:val="4F9843DC"/>
    <w:rsid w:val="4FBA1D96"/>
    <w:rsid w:val="4FBC621D"/>
    <w:rsid w:val="4FC62A8C"/>
    <w:rsid w:val="4FD54AD8"/>
    <w:rsid w:val="4FDC708C"/>
    <w:rsid w:val="4FE20F0D"/>
    <w:rsid w:val="4FE51552"/>
    <w:rsid w:val="4FF800BE"/>
    <w:rsid w:val="5012408F"/>
    <w:rsid w:val="50445C59"/>
    <w:rsid w:val="50504BB7"/>
    <w:rsid w:val="50504C4B"/>
    <w:rsid w:val="50616DC4"/>
    <w:rsid w:val="506C7763"/>
    <w:rsid w:val="50703A76"/>
    <w:rsid w:val="50805A14"/>
    <w:rsid w:val="50967C07"/>
    <w:rsid w:val="509C6E7C"/>
    <w:rsid w:val="50D158C3"/>
    <w:rsid w:val="50EF0A8F"/>
    <w:rsid w:val="512A0B7F"/>
    <w:rsid w:val="513B13C3"/>
    <w:rsid w:val="51406D80"/>
    <w:rsid w:val="515F4ABE"/>
    <w:rsid w:val="5162104E"/>
    <w:rsid w:val="516E677E"/>
    <w:rsid w:val="51710FD9"/>
    <w:rsid w:val="517D7C2E"/>
    <w:rsid w:val="51A92B15"/>
    <w:rsid w:val="51B11685"/>
    <w:rsid w:val="51D31874"/>
    <w:rsid w:val="51DF2787"/>
    <w:rsid w:val="52187956"/>
    <w:rsid w:val="521F0CE5"/>
    <w:rsid w:val="525E366C"/>
    <w:rsid w:val="52733F35"/>
    <w:rsid w:val="528374C6"/>
    <w:rsid w:val="5290573F"/>
    <w:rsid w:val="52C75AF7"/>
    <w:rsid w:val="53071EA5"/>
    <w:rsid w:val="530D63C4"/>
    <w:rsid w:val="53126739"/>
    <w:rsid w:val="532F3AA7"/>
    <w:rsid w:val="53395DD6"/>
    <w:rsid w:val="537F7C8D"/>
    <w:rsid w:val="53912714"/>
    <w:rsid w:val="539128D9"/>
    <w:rsid w:val="53A039CC"/>
    <w:rsid w:val="53A1505A"/>
    <w:rsid w:val="53D004E8"/>
    <w:rsid w:val="54063E08"/>
    <w:rsid w:val="54171E4D"/>
    <w:rsid w:val="5420737B"/>
    <w:rsid w:val="543437E8"/>
    <w:rsid w:val="54593DA2"/>
    <w:rsid w:val="54C01805"/>
    <w:rsid w:val="54F73313"/>
    <w:rsid w:val="54F80955"/>
    <w:rsid w:val="54FC789B"/>
    <w:rsid w:val="55012924"/>
    <w:rsid w:val="550541C2"/>
    <w:rsid w:val="552963DD"/>
    <w:rsid w:val="555170A7"/>
    <w:rsid w:val="556810DC"/>
    <w:rsid w:val="557A5AFD"/>
    <w:rsid w:val="5587536D"/>
    <w:rsid w:val="559B174B"/>
    <w:rsid w:val="55A41C2D"/>
    <w:rsid w:val="55CB2C42"/>
    <w:rsid w:val="55CE0CF4"/>
    <w:rsid w:val="55D61A36"/>
    <w:rsid w:val="561670E5"/>
    <w:rsid w:val="5630526E"/>
    <w:rsid w:val="56376ECA"/>
    <w:rsid w:val="56566879"/>
    <w:rsid w:val="5664702C"/>
    <w:rsid w:val="56A0017C"/>
    <w:rsid w:val="56B22A9C"/>
    <w:rsid w:val="56E44BB1"/>
    <w:rsid w:val="56EF389E"/>
    <w:rsid w:val="57212E09"/>
    <w:rsid w:val="572528F9"/>
    <w:rsid w:val="574B2AF7"/>
    <w:rsid w:val="57660B55"/>
    <w:rsid w:val="577A6A91"/>
    <w:rsid w:val="57830B0E"/>
    <w:rsid w:val="57A019EE"/>
    <w:rsid w:val="57A1025C"/>
    <w:rsid w:val="57B72A76"/>
    <w:rsid w:val="57C3426C"/>
    <w:rsid w:val="57CE1F93"/>
    <w:rsid w:val="582259CB"/>
    <w:rsid w:val="582E3E73"/>
    <w:rsid w:val="583D0374"/>
    <w:rsid w:val="583F3A73"/>
    <w:rsid w:val="5853793A"/>
    <w:rsid w:val="58564D34"/>
    <w:rsid w:val="587A7079"/>
    <w:rsid w:val="588743D1"/>
    <w:rsid w:val="5887701A"/>
    <w:rsid w:val="588817BB"/>
    <w:rsid w:val="588B1A9C"/>
    <w:rsid w:val="5897746B"/>
    <w:rsid w:val="58C12AF6"/>
    <w:rsid w:val="58CB74D0"/>
    <w:rsid w:val="58D85F49"/>
    <w:rsid w:val="58DF5B47"/>
    <w:rsid w:val="59305585"/>
    <w:rsid w:val="59416EAC"/>
    <w:rsid w:val="59426171"/>
    <w:rsid w:val="594624D8"/>
    <w:rsid w:val="595B2910"/>
    <w:rsid w:val="59622529"/>
    <w:rsid w:val="59633680"/>
    <w:rsid w:val="598208EB"/>
    <w:rsid w:val="59C0439F"/>
    <w:rsid w:val="59C503FE"/>
    <w:rsid w:val="59C70328"/>
    <w:rsid w:val="59DF3C54"/>
    <w:rsid w:val="59E9158F"/>
    <w:rsid w:val="5A022ABC"/>
    <w:rsid w:val="5A051ED8"/>
    <w:rsid w:val="5A085265"/>
    <w:rsid w:val="5A6A06C9"/>
    <w:rsid w:val="5A7528E7"/>
    <w:rsid w:val="5A9A1850"/>
    <w:rsid w:val="5ABE2233"/>
    <w:rsid w:val="5AE34918"/>
    <w:rsid w:val="5AED1980"/>
    <w:rsid w:val="5B00575A"/>
    <w:rsid w:val="5B0942E0"/>
    <w:rsid w:val="5B0C00F7"/>
    <w:rsid w:val="5B2A34D2"/>
    <w:rsid w:val="5B3C4B26"/>
    <w:rsid w:val="5B4B2B4A"/>
    <w:rsid w:val="5B592800"/>
    <w:rsid w:val="5B5C24E6"/>
    <w:rsid w:val="5B991B08"/>
    <w:rsid w:val="5BDF5D95"/>
    <w:rsid w:val="5BFE7528"/>
    <w:rsid w:val="5C0D7E00"/>
    <w:rsid w:val="5C226863"/>
    <w:rsid w:val="5C3D2493"/>
    <w:rsid w:val="5C41031A"/>
    <w:rsid w:val="5C7E485A"/>
    <w:rsid w:val="5CBF559E"/>
    <w:rsid w:val="5D3060F8"/>
    <w:rsid w:val="5D5D3279"/>
    <w:rsid w:val="5D8F290A"/>
    <w:rsid w:val="5DAA65E5"/>
    <w:rsid w:val="5DF55E4E"/>
    <w:rsid w:val="5DFE5C52"/>
    <w:rsid w:val="5E2467F1"/>
    <w:rsid w:val="5E274064"/>
    <w:rsid w:val="5E3D440A"/>
    <w:rsid w:val="5E844376"/>
    <w:rsid w:val="5EAA2C55"/>
    <w:rsid w:val="5EB20DA6"/>
    <w:rsid w:val="5EEF3E3F"/>
    <w:rsid w:val="5F125E59"/>
    <w:rsid w:val="5F1A2B43"/>
    <w:rsid w:val="5F1D38C7"/>
    <w:rsid w:val="5F227739"/>
    <w:rsid w:val="5F4F714B"/>
    <w:rsid w:val="5FB837BB"/>
    <w:rsid w:val="5FB94527"/>
    <w:rsid w:val="5FCA04E2"/>
    <w:rsid w:val="6002323E"/>
    <w:rsid w:val="60035BCB"/>
    <w:rsid w:val="60160AA9"/>
    <w:rsid w:val="602F5F9D"/>
    <w:rsid w:val="605C07F6"/>
    <w:rsid w:val="607B7A2E"/>
    <w:rsid w:val="609D79A4"/>
    <w:rsid w:val="60BD2DA5"/>
    <w:rsid w:val="60CC405A"/>
    <w:rsid w:val="60DA0809"/>
    <w:rsid w:val="60E952E3"/>
    <w:rsid w:val="61152EB3"/>
    <w:rsid w:val="61287423"/>
    <w:rsid w:val="612E1517"/>
    <w:rsid w:val="612E2CF2"/>
    <w:rsid w:val="6138147B"/>
    <w:rsid w:val="619A43C4"/>
    <w:rsid w:val="61AF5DE8"/>
    <w:rsid w:val="61D373F6"/>
    <w:rsid w:val="61E11B13"/>
    <w:rsid w:val="61E215D8"/>
    <w:rsid w:val="61E909C7"/>
    <w:rsid w:val="61F658B1"/>
    <w:rsid w:val="621B3775"/>
    <w:rsid w:val="621C6E0F"/>
    <w:rsid w:val="62364782"/>
    <w:rsid w:val="624D09AF"/>
    <w:rsid w:val="62614BA1"/>
    <w:rsid w:val="626E6459"/>
    <w:rsid w:val="627209BD"/>
    <w:rsid w:val="629642BB"/>
    <w:rsid w:val="62A36DC8"/>
    <w:rsid w:val="62B965EC"/>
    <w:rsid w:val="62BC7720"/>
    <w:rsid w:val="62C85135"/>
    <w:rsid w:val="62DE6052"/>
    <w:rsid w:val="62EC076F"/>
    <w:rsid w:val="63452257"/>
    <w:rsid w:val="634633F6"/>
    <w:rsid w:val="63626C83"/>
    <w:rsid w:val="636852DF"/>
    <w:rsid w:val="6372210C"/>
    <w:rsid w:val="63894210"/>
    <w:rsid w:val="63910D28"/>
    <w:rsid w:val="6394356A"/>
    <w:rsid w:val="639D4CF9"/>
    <w:rsid w:val="639D5F0D"/>
    <w:rsid w:val="63C61B2C"/>
    <w:rsid w:val="63CF1F95"/>
    <w:rsid w:val="63D40BE9"/>
    <w:rsid w:val="63E8362C"/>
    <w:rsid w:val="63F54866"/>
    <w:rsid w:val="64030466"/>
    <w:rsid w:val="64080D37"/>
    <w:rsid w:val="64102431"/>
    <w:rsid w:val="642553E3"/>
    <w:rsid w:val="643028DD"/>
    <w:rsid w:val="643B3538"/>
    <w:rsid w:val="64446389"/>
    <w:rsid w:val="64590086"/>
    <w:rsid w:val="648F3AA8"/>
    <w:rsid w:val="64956FE9"/>
    <w:rsid w:val="649B1A22"/>
    <w:rsid w:val="64A5243A"/>
    <w:rsid w:val="64F531DE"/>
    <w:rsid w:val="65373578"/>
    <w:rsid w:val="65436EA4"/>
    <w:rsid w:val="6547010C"/>
    <w:rsid w:val="654B2D24"/>
    <w:rsid w:val="65744A4C"/>
    <w:rsid w:val="657F58CB"/>
    <w:rsid w:val="659A2704"/>
    <w:rsid w:val="65A66489"/>
    <w:rsid w:val="65F13B12"/>
    <w:rsid w:val="664C77F7"/>
    <w:rsid w:val="666C01DA"/>
    <w:rsid w:val="667F0FA8"/>
    <w:rsid w:val="668F7EC3"/>
    <w:rsid w:val="66D442C9"/>
    <w:rsid w:val="66D53406"/>
    <w:rsid w:val="66E147D1"/>
    <w:rsid w:val="66F347C2"/>
    <w:rsid w:val="670936A0"/>
    <w:rsid w:val="670B708D"/>
    <w:rsid w:val="670F519E"/>
    <w:rsid w:val="671852DE"/>
    <w:rsid w:val="671F124A"/>
    <w:rsid w:val="6721370B"/>
    <w:rsid w:val="672243D1"/>
    <w:rsid w:val="67281F92"/>
    <w:rsid w:val="67340937"/>
    <w:rsid w:val="67492634"/>
    <w:rsid w:val="675B5EC3"/>
    <w:rsid w:val="677A33C6"/>
    <w:rsid w:val="67CD165D"/>
    <w:rsid w:val="67EF6AF5"/>
    <w:rsid w:val="67F468E2"/>
    <w:rsid w:val="68016A6B"/>
    <w:rsid w:val="68061846"/>
    <w:rsid w:val="681F6961"/>
    <w:rsid w:val="68384853"/>
    <w:rsid w:val="6851520C"/>
    <w:rsid w:val="68610A2F"/>
    <w:rsid w:val="687F6F7C"/>
    <w:rsid w:val="68805514"/>
    <w:rsid w:val="68863414"/>
    <w:rsid w:val="68BC34F1"/>
    <w:rsid w:val="68DE2AE2"/>
    <w:rsid w:val="68E41866"/>
    <w:rsid w:val="68FE3F95"/>
    <w:rsid w:val="69316E2F"/>
    <w:rsid w:val="694A5C72"/>
    <w:rsid w:val="694E2071"/>
    <w:rsid w:val="69547468"/>
    <w:rsid w:val="695A3B2C"/>
    <w:rsid w:val="6967059A"/>
    <w:rsid w:val="69763488"/>
    <w:rsid w:val="69766163"/>
    <w:rsid w:val="697A3B33"/>
    <w:rsid w:val="698A0CE2"/>
    <w:rsid w:val="69950D2C"/>
    <w:rsid w:val="699B0A85"/>
    <w:rsid w:val="69AD4F53"/>
    <w:rsid w:val="69C353DF"/>
    <w:rsid w:val="69D44760"/>
    <w:rsid w:val="69FA0B6D"/>
    <w:rsid w:val="69FB258E"/>
    <w:rsid w:val="6A05722C"/>
    <w:rsid w:val="6A197154"/>
    <w:rsid w:val="6A2D1D11"/>
    <w:rsid w:val="6A3749C6"/>
    <w:rsid w:val="6A3E2A89"/>
    <w:rsid w:val="6A520EC7"/>
    <w:rsid w:val="6A764CCA"/>
    <w:rsid w:val="6A794FDE"/>
    <w:rsid w:val="6A7A1926"/>
    <w:rsid w:val="6A9A31A7"/>
    <w:rsid w:val="6AA656A7"/>
    <w:rsid w:val="6AAF6C4E"/>
    <w:rsid w:val="6ABC4ECB"/>
    <w:rsid w:val="6AC87FE6"/>
    <w:rsid w:val="6AF64881"/>
    <w:rsid w:val="6AF87E20"/>
    <w:rsid w:val="6B105B9F"/>
    <w:rsid w:val="6B144D07"/>
    <w:rsid w:val="6B1B0CD9"/>
    <w:rsid w:val="6B322639"/>
    <w:rsid w:val="6B677937"/>
    <w:rsid w:val="6B736057"/>
    <w:rsid w:val="6B8C6F93"/>
    <w:rsid w:val="6B9B0F84"/>
    <w:rsid w:val="6BA442DD"/>
    <w:rsid w:val="6BA53BB1"/>
    <w:rsid w:val="6BAF4A30"/>
    <w:rsid w:val="6BDB2EC3"/>
    <w:rsid w:val="6BF26D34"/>
    <w:rsid w:val="6C172D01"/>
    <w:rsid w:val="6C1B11A6"/>
    <w:rsid w:val="6C381E56"/>
    <w:rsid w:val="6C44161C"/>
    <w:rsid w:val="6C4E379B"/>
    <w:rsid w:val="6C5A0E3F"/>
    <w:rsid w:val="6C5B0BDE"/>
    <w:rsid w:val="6C636C38"/>
    <w:rsid w:val="6C7C7008"/>
    <w:rsid w:val="6C9F6415"/>
    <w:rsid w:val="6CBE2207"/>
    <w:rsid w:val="6CCA2A9F"/>
    <w:rsid w:val="6CDB500C"/>
    <w:rsid w:val="6CF35B63"/>
    <w:rsid w:val="6CF433C3"/>
    <w:rsid w:val="6D2F2FDA"/>
    <w:rsid w:val="6D3015E2"/>
    <w:rsid w:val="6D392803"/>
    <w:rsid w:val="6D3E606B"/>
    <w:rsid w:val="6D572E2F"/>
    <w:rsid w:val="6D66032D"/>
    <w:rsid w:val="6DB225B5"/>
    <w:rsid w:val="6DB34098"/>
    <w:rsid w:val="6DB545B6"/>
    <w:rsid w:val="6DE02FB4"/>
    <w:rsid w:val="6E0077C5"/>
    <w:rsid w:val="6E393B38"/>
    <w:rsid w:val="6E3E5D92"/>
    <w:rsid w:val="6E514CED"/>
    <w:rsid w:val="6E6D1C3D"/>
    <w:rsid w:val="6E6E472E"/>
    <w:rsid w:val="6E843F52"/>
    <w:rsid w:val="6E9323E7"/>
    <w:rsid w:val="6E9540DB"/>
    <w:rsid w:val="6EA45C7C"/>
    <w:rsid w:val="6EB563D5"/>
    <w:rsid w:val="6EB9037F"/>
    <w:rsid w:val="6EC70B22"/>
    <w:rsid w:val="6ED92677"/>
    <w:rsid w:val="6EE23D3D"/>
    <w:rsid w:val="6F0B474B"/>
    <w:rsid w:val="6F225983"/>
    <w:rsid w:val="6F5E760F"/>
    <w:rsid w:val="6FAF361C"/>
    <w:rsid w:val="6FCD12F8"/>
    <w:rsid w:val="6FD131C7"/>
    <w:rsid w:val="6FFC5590"/>
    <w:rsid w:val="70592AE8"/>
    <w:rsid w:val="706D1DD0"/>
    <w:rsid w:val="707B416A"/>
    <w:rsid w:val="707C2B96"/>
    <w:rsid w:val="70856B87"/>
    <w:rsid w:val="70864A0B"/>
    <w:rsid w:val="708D18A0"/>
    <w:rsid w:val="70B71FCA"/>
    <w:rsid w:val="70C80B8C"/>
    <w:rsid w:val="70D527EE"/>
    <w:rsid w:val="71106B9D"/>
    <w:rsid w:val="713003C1"/>
    <w:rsid w:val="713622F4"/>
    <w:rsid w:val="715B5300"/>
    <w:rsid w:val="716416FA"/>
    <w:rsid w:val="717F6533"/>
    <w:rsid w:val="719C006C"/>
    <w:rsid w:val="71AE3006"/>
    <w:rsid w:val="71C9252A"/>
    <w:rsid w:val="71D27F8A"/>
    <w:rsid w:val="71F413EE"/>
    <w:rsid w:val="72002F61"/>
    <w:rsid w:val="720C498A"/>
    <w:rsid w:val="72103D9A"/>
    <w:rsid w:val="72231CD3"/>
    <w:rsid w:val="72553024"/>
    <w:rsid w:val="7289452A"/>
    <w:rsid w:val="72C56464"/>
    <w:rsid w:val="72E103CE"/>
    <w:rsid w:val="73122968"/>
    <w:rsid w:val="731F5D5E"/>
    <w:rsid w:val="734E2D80"/>
    <w:rsid w:val="735C1A73"/>
    <w:rsid w:val="736B7A45"/>
    <w:rsid w:val="73755337"/>
    <w:rsid w:val="737B6FE4"/>
    <w:rsid w:val="738844E4"/>
    <w:rsid w:val="73993FFB"/>
    <w:rsid w:val="73C51AD5"/>
    <w:rsid w:val="73E01C2A"/>
    <w:rsid w:val="740022CC"/>
    <w:rsid w:val="74101B90"/>
    <w:rsid w:val="741E793C"/>
    <w:rsid w:val="745E3944"/>
    <w:rsid w:val="7465624D"/>
    <w:rsid w:val="747A67B7"/>
    <w:rsid w:val="74A013B9"/>
    <w:rsid w:val="74F86D80"/>
    <w:rsid w:val="74FA0344"/>
    <w:rsid w:val="75175B20"/>
    <w:rsid w:val="75497CA3"/>
    <w:rsid w:val="75687400"/>
    <w:rsid w:val="75773079"/>
    <w:rsid w:val="75A93410"/>
    <w:rsid w:val="75C556E6"/>
    <w:rsid w:val="75CE79BF"/>
    <w:rsid w:val="75D02142"/>
    <w:rsid w:val="75E211A7"/>
    <w:rsid w:val="75EB0D5A"/>
    <w:rsid w:val="760F62A1"/>
    <w:rsid w:val="761210F2"/>
    <w:rsid w:val="7635099D"/>
    <w:rsid w:val="76390809"/>
    <w:rsid w:val="76444E30"/>
    <w:rsid w:val="766805C6"/>
    <w:rsid w:val="767413B9"/>
    <w:rsid w:val="767B20DE"/>
    <w:rsid w:val="76816FC9"/>
    <w:rsid w:val="76847251"/>
    <w:rsid w:val="76B259BC"/>
    <w:rsid w:val="76C46745"/>
    <w:rsid w:val="770F2826"/>
    <w:rsid w:val="77117DB6"/>
    <w:rsid w:val="77163BB5"/>
    <w:rsid w:val="773329B9"/>
    <w:rsid w:val="7734521C"/>
    <w:rsid w:val="77357FCC"/>
    <w:rsid w:val="773B7AF1"/>
    <w:rsid w:val="776556A2"/>
    <w:rsid w:val="776F474F"/>
    <w:rsid w:val="77762421"/>
    <w:rsid w:val="7791148D"/>
    <w:rsid w:val="77A91273"/>
    <w:rsid w:val="77B46C20"/>
    <w:rsid w:val="77B56B1F"/>
    <w:rsid w:val="77C52567"/>
    <w:rsid w:val="77D31AA6"/>
    <w:rsid w:val="78005711"/>
    <w:rsid w:val="780647A0"/>
    <w:rsid w:val="780F09F4"/>
    <w:rsid w:val="782567A5"/>
    <w:rsid w:val="783B7D77"/>
    <w:rsid w:val="78474B15"/>
    <w:rsid w:val="786E20D6"/>
    <w:rsid w:val="78863ED2"/>
    <w:rsid w:val="788A485A"/>
    <w:rsid w:val="78A1455F"/>
    <w:rsid w:val="78A57CCB"/>
    <w:rsid w:val="78A90480"/>
    <w:rsid w:val="78A95D75"/>
    <w:rsid w:val="78AD3BCE"/>
    <w:rsid w:val="78BF4829"/>
    <w:rsid w:val="78C22246"/>
    <w:rsid w:val="79181E66"/>
    <w:rsid w:val="798D57C0"/>
    <w:rsid w:val="79A61220"/>
    <w:rsid w:val="79AD4E31"/>
    <w:rsid w:val="79D32416"/>
    <w:rsid w:val="79E7471D"/>
    <w:rsid w:val="7A364017"/>
    <w:rsid w:val="7A4647B1"/>
    <w:rsid w:val="7A4B0019"/>
    <w:rsid w:val="7A8265E1"/>
    <w:rsid w:val="7AC5601E"/>
    <w:rsid w:val="7AD75FBE"/>
    <w:rsid w:val="7AFC008B"/>
    <w:rsid w:val="7B28662A"/>
    <w:rsid w:val="7B4F1A74"/>
    <w:rsid w:val="7B5658D7"/>
    <w:rsid w:val="7B686D42"/>
    <w:rsid w:val="7B713AB0"/>
    <w:rsid w:val="7B7664AC"/>
    <w:rsid w:val="7B7E139D"/>
    <w:rsid w:val="7B841746"/>
    <w:rsid w:val="7B881B62"/>
    <w:rsid w:val="7B8C1362"/>
    <w:rsid w:val="7B8D61F6"/>
    <w:rsid w:val="7BB26436"/>
    <w:rsid w:val="7BCF407C"/>
    <w:rsid w:val="7BDA7AD6"/>
    <w:rsid w:val="7BDE7397"/>
    <w:rsid w:val="7C235C68"/>
    <w:rsid w:val="7C42402A"/>
    <w:rsid w:val="7C52743D"/>
    <w:rsid w:val="7C5C4760"/>
    <w:rsid w:val="7C6C5AC7"/>
    <w:rsid w:val="7C7D6663"/>
    <w:rsid w:val="7C9F5FBB"/>
    <w:rsid w:val="7CC6544B"/>
    <w:rsid w:val="7D0239FF"/>
    <w:rsid w:val="7D0F3580"/>
    <w:rsid w:val="7D106C57"/>
    <w:rsid w:val="7D1A2524"/>
    <w:rsid w:val="7D5E40CD"/>
    <w:rsid w:val="7D621902"/>
    <w:rsid w:val="7D690EE2"/>
    <w:rsid w:val="7D99109C"/>
    <w:rsid w:val="7D9F2B56"/>
    <w:rsid w:val="7DCD56F2"/>
    <w:rsid w:val="7DF369FE"/>
    <w:rsid w:val="7DFC1BF7"/>
    <w:rsid w:val="7E5F22E5"/>
    <w:rsid w:val="7E6C3A4B"/>
    <w:rsid w:val="7E7C216A"/>
    <w:rsid w:val="7E7C6FA1"/>
    <w:rsid w:val="7E8835EA"/>
    <w:rsid w:val="7EB76D84"/>
    <w:rsid w:val="7EBE51D5"/>
    <w:rsid w:val="7EDC2847"/>
    <w:rsid w:val="7EDC7492"/>
    <w:rsid w:val="7EF05523"/>
    <w:rsid w:val="7F001CE7"/>
    <w:rsid w:val="7F004806"/>
    <w:rsid w:val="7F104D2E"/>
    <w:rsid w:val="7F2350C1"/>
    <w:rsid w:val="7F26724D"/>
    <w:rsid w:val="7F4E3A2D"/>
    <w:rsid w:val="7F4F56B2"/>
    <w:rsid w:val="7F8A3392"/>
    <w:rsid w:val="7FC62727"/>
    <w:rsid w:val="7FDB3BED"/>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qFormat="1" w:unhideWhenUsed="0" w:uiPriority="0" w:semiHidden="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unhideWhenUsed="0" w:uiPriority="0" w:semiHidden="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unhideWhenUsed/>
    <w:qFormat/>
    <w:locked/>
    <w:uiPriority w:val="0"/>
    <w:pPr>
      <w:keepNext/>
      <w:keepLines/>
      <w:spacing w:line="360" w:lineRule="auto"/>
      <w:ind w:firstLine="720" w:firstLineChars="200"/>
      <w:outlineLvl w:val="1"/>
    </w:pPr>
    <w:rPr>
      <w:rFonts w:eastAsiaTheme="minorEastAsia"/>
      <w:b/>
    </w:rPr>
  </w:style>
  <w:style w:type="paragraph" w:styleId="4">
    <w:name w:val="heading 3"/>
    <w:basedOn w:val="1"/>
    <w:next w:val="1"/>
    <w:unhideWhenUsed/>
    <w:qFormat/>
    <w:locked/>
    <w:uiPriority w:val="0"/>
    <w:pPr>
      <w:keepNext/>
      <w:keepLines/>
      <w:spacing w:before="260" w:after="260" w:line="413" w:lineRule="auto"/>
      <w:outlineLvl w:val="2"/>
    </w:pPr>
    <w:rPr>
      <w:b/>
      <w:sz w:val="32"/>
    </w:rPr>
  </w:style>
  <w:style w:type="paragraph" w:styleId="5">
    <w:name w:val="heading 4"/>
    <w:basedOn w:val="1"/>
    <w:next w:val="1"/>
    <w:unhideWhenUsed/>
    <w:qFormat/>
    <w:locked/>
    <w:uiPriority w:val="0"/>
    <w:pPr>
      <w:keepNext/>
      <w:keepLines/>
      <w:spacing w:before="280" w:after="290" w:line="372" w:lineRule="auto"/>
      <w:outlineLvl w:val="3"/>
    </w:pPr>
    <w:rPr>
      <w:rFonts w:ascii="Arial" w:hAnsi="Arial" w:eastAsia="黑体"/>
      <w:b/>
      <w:sz w:val="28"/>
    </w:rPr>
  </w:style>
  <w:style w:type="character" w:default="1" w:styleId="18">
    <w:name w:val="Default Paragraph Font"/>
    <w:semiHidden/>
    <w:unhideWhenUsed/>
    <w:qFormat/>
    <w:uiPriority w:val="1"/>
  </w:style>
  <w:style w:type="table" w:default="1" w:styleId="15">
    <w:name w:val="Normal Table"/>
    <w:semiHidden/>
    <w:unhideWhenUsed/>
    <w:qFormat/>
    <w:uiPriority w:val="99"/>
    <w:tblPr>
      <w:tblLayout w:type="fixed"/>
      <w:tblCellMar>
        <w:top w:w="0" w:type="dxa"/>
        <w:left w:w="108" w:type="dxa"/>
        <w:bottom w:w="0" w:type="dxa"/>
        <w:right w:w="108" w:type="dxa"/>
      </w:tblCellMar>
    </w:tblPr>
  </w:style>
  <w:style w:type="paragraph" w:styleId="6">
    <w:name w:val="Normal Indent"/>
    <w:basedOn w:val="1"/>
    <w:next w:val="1"/>
    <w:qFormat/>
    <w:uiPriority w:val="99"/>
    <w:pPr>
      <w:widowControl w:val="0"/>
      <w:ind w:firstLine="560" w:firstLineChars="200"/>
      <w:jc w:val="both"/>
    </w:pPr>
    <w:rPr>
      <w:sz w:val="28"/>
      <w:szCs w:val="28"/>
      <w:lang w:eastAsia="zh-CN" w:bidi="ar-SA"/>
    </w:rPr>
  </w:style>
  <w:style w:type="paragraph" w:styleId="7">
    <w:name w:val="annotation text"/>
    <w:basedOn w:val="1"/>
    <w:qFormat/>
    <w:uiPriority w:val="0"/>
    <w:pPr>
      <w:jc w:val="left"/>
    </w:pPr>
  </w:style>
  <w:style w:type="paragraph" w:styleId="8">
    <w:name w:val="Body Text Indent 2"/>
    <w:basedOn w:val="1"/>
    <w:next w:val="1"/>
    <w:qFormat/>
    <w:uiPriority w:val="0"/>
    <w:pPr>
      <w:spacing w:line="460" w:lineRule="atLeast"/>
      <w:ind w:firstLine="570"/>
    </w:pPr>
    <w:rPr>
      <w:sz w:val="28"/>
      <w:szCs w:val="20"/>
    </w:rPr>
  </w:style>
  <w:style w:type="paragraph" w:styleId="9">
    <w:name w:val="footer"/>
    <w:basedOn w:val="1"/>
    <w:next w:val="1"/>
    <w:qFormat/>
    <w:uiPriority w:val="0"/>
    <w:pPr>
      <w:tabs>
        <w:tab w:val="center" w:pos="4153"/>
        <w:tab w:val="right" w:pos="8306"/>
      </w:tabs>
      <w:snapToGrid w:val="0"/>
      <w:jc w:val="left"/>
    </w:pPr>
    <w:rPr>
      <w:sz w:val="18"/>
    </w:rPr>
  </w:style>
  <w:style w:type="paragraph" w:styleId="10">
    <w:name w:val="header"/>
    <w:basedOn w:val="1"/>
    <w:next w:val="11"/>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1">
    <w:name w:val="样式5"/>
    <w:basedOn w:val="12"/>
    <w:next w:val="1"/>
    <w:qFormat/>
    <w:uiPriority w:val="0"/>
    <w:pPr>
      <w:tabs>
        <w:tab w:val="left" w:pos="0"/>
        <w:tab w:val="left" w:pos="870"/>
        <w:tab w:val="left" w:pos="1080"/>
        <w:tab w:val="left" w:pos="3150"/>
      </w:tabs>
      <w:ind w:firstLine="510"/>
    </w:pPr>
  </w:style>
  <w:style w:type="paragraph" w:customStyle="1" w:styleId="12">
    <w:name w:val="正文1"/>
    <w:basedOn w:val="13"/>
    <w:next w:val="1"/>
    <w:link w:val="29"/>
    <w:qFormat/>
    <w:uiPriority w:val="0"/>
    <w:pPr>
      <w:widowControl w:val="0"/>
      <w:tabs>
        <w:tab w:val="left" w:pos="0"/>
        <w:tab w:val="left" w:pos="870"/>
        <w:tab w:val="left" w:pos="1080"/>
        <w:tab w:val="left" w:pos="3150"/>
      </w:tabs>
      <w:adjustRightInd w:val="0"/>
      <w:snapToGrid w:val="0"/>
      <w:spacing w:line="360" w:lineRule="auto"/>
      <w:ind w:firstLine="720" w:firstLineChars="200"/>
      <w:jc w:val="both"/>
    </w:pPr>
    <w:rPr>
      <w:rFonts w:ascii="Times New Roman" w:hAnsi="Times New Roman" w:eastAsia="宋体" w:cs="Times New Roman"/>
      <w:color w:val="000000" w:themeColor="text1"/>
      <w:sz w:val="24"/>
      <w:szCs w:val="22"/>
      <w:lang w:val="en-US" w:eastAsia="zh-CN" w:bidi="ar-SA"/>
      <w14:textFill>
        <w14:solidFill>
          <w14:schemeClr w14:val="tx1"/>
        </w14:solidFill>
      </w14:textFill>
    </w:rPr>
  </w:style>
  <w:style w:type="paragraph" w:customStyle="1" w:styleId="13">
    <w:name w:val="正文首行缩进 2 + Times New Roman"/>
    <w:basedOn w:val="1"/>
    <w:qFormat/>
    <w:uiPriority w:val="0"/>
    <w:pPr>
      <w:tabs>
        <w:tab w:val="left" w:pos="0"/>
        <w:tab w:val="left" w:pos="870"/>
        <w:tab w:val="left" w:pos="1080"/>
        <w:tab w:val="left" w:pos="3150"/>
      </w:tabs>
      <w:autoSpaceDE w:val="0"/>
      <w:autoSpaceDN w:val="0"/>
      <w:spacing w:line="360" w:lineRule="auto"/>
      <w:ind w:firstLine="480" w:firstLineChars="200"/>
      <w:jc w:val="left"/>
    </w:pPr>
    <w:rPr>
      <w:color w:val="0070C0"/>
    </w:rPr>
  </w:style>
  <w:style w:type="paragraph" w:styleId="14">
    <w:name w:val="Normal (Web)"/>
    <w:basedOn w:val="1"/>
    <w:qFormat/>
    <w:uiPriority w:val="0"/>
    <w:pPr>
      <w:widowControl/>
      <w:spacing w:before="100" w:beforeAutospacing="1" w:after="100" w:afterAutospacing="1"/>
      <w:jc w:val="left"/>
    </w:pPr>
    <w:rPr>
      <w:rFonts w:ascii="宋体" w:hAnsi="宋体"/>
      <w:kern w:val="0"/>
      <w:szCs w:val="20"/>
    </w:rPr>
  </w:style>
  <w:style w:type="table" w:styleId="16">
    <w:name w:val="Table Grid"/>
    <w:basedOn w:val="1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17">
    <w:name w:val="Table List 5"/>
    <w:basedOn w:val="15"/>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Layout w:type="fixed"/>
    </w:tblPr>
    <w:tcPr>
      <w:shd w:val="clear" w:color="auto" w:fill="auto"/>
    </w:tcPr>
    <w:tblStylePr w:type="firstRow">
      <w:rPr>
        <w:b/>
        <w:bCs/>
      </w:rPr>
      <w:tblPr>
        <w:tblLayout w:type="fixed"/>
      </w:tblPr>
      <w:tcPr>
        <w:tcBorders>
          <w:top w:val="nil"/>
          <w:left w:val="single" w:color="000000" w:sz="12" w:space="0"/>
          <w:bottom w:val="nil"/>
          <w:right w:val="nil"/>
          <w:insideH w:val="nil"/>
          <w:insideV w:val="nil"/>
          <w:tl2br w:val="nil"/>
          <w:tr2bl w:val="nil"/>
        </w:tcBorders>
      </w:tcPr>
    </w:tblStylePr>
    <w:tblStylePr w:type="firstCol">
      <w:rPr>
        <w:b/>
        <w:bCs/>
      </w:rPr>
      <w:tblPr>
        <w:tblLayout w:type="fixed"/>
      </w:tblPr>
      <w:tcPr>
        <w:tcBorders>
          <w:top w:val="nil"/>
          <w:left w:val="nil"/>
          <w:bottom w:val="nil"/>
          <w:right w:val="nil"/>
          <w:insideH w:val="nil"/>
          <w:insideV w:val="nil"/>
          <w:tl2br w:val="nil"/>
          <w:tr2bl w:val="nil"/>
        </w:tcBorders>
      </w:tcPr>
    </w:tblStylePr>
  </w:style>
  <w:style w:type="character" w:styleId="19">
    <w:name w:val="page number"/>
    <w:basedOn w:val="18"/>
    <w:qFormat/>
    <w:uiPriority w:val="0"/>
  </w:style>
  <w:style w:type="character" w:styleId="20">
    <w:name w:val="annotation reference"/>
    <w:basedOn w:val="18"/>
    <w:qFormat/>
    <w:uiPriority w:val="0"/>
    <w:rPr>
      <w:sz w:val="21"/>
      <w:szCs w:val="21"/>
    </w:rPr>
  </w:style>
  <w:style w:type="paragraph" w:customStyle="1" w:styleId="21">
    <w:name w:val="环评表格正文"/>
    <w:basedOn w:val="1"/>
    <w:qFormat/>
    <w:uiPriority w:val="0"/>
    <w:pPr>
      <w:pBdr>
        <w:top w:val="none" w:color="auto" w:sz="0" w:space="1"/>
        <w:left w:val="none" w:color="auto" w:sz="0" w:space="4"/>
        <w:bottom w:val="none" w:color="auto" w:sz="0" w:space="1"/>
        <w:right w:val="none" w:color="auto" w:sz="0" w:space="4"/>
      </w:pBdr>
      <w:jc w:val="center"/>
    </w:pPr>
    <w:rPr>
      <w:rFonts w:ascii="Times New Roman" w:hAnsi="Times New Roman" w:eastAsia="宋体" w:cs="Times New Roman"/>
      <w:sz w:val="21"/>
    </w:rPr>
  </w:style>
  <w:style w:type="paragraph" w:customStyle="1" w:styleId="22">
    <w:name w:val="表格内容"/>
    <w:basedOn w:val="6"/>
    <w:qFormat/>
    <w:uiPriority w:val="0"/>
    <w:pPr>
      <w:adjustRightInd w:val="0"/>
      <w:snapToGrid w:val="0"/>
      <w:ind w:firstLine="0" w:firstLineChars="0"/>
      <w:jc w:val="center"/>
    </w:pPr>
    <w:rPr>
      <w:rFonts w:ascii="Times New Roman" w:hAnsi="Times New Roman" w:eastAsiaTheme="minorEastAsia"/>
      <w:sz w:val="21"/>
      <w:szCs w:val="21"/>
    </w:rPr>
  </w:style>
  <w:style w:type="paragraph" w:customStyle="1" w:styleId="23">
    <w:name w:val="表格表头3"/>
    <w:basedOn w:val="1"/>
    <w:next w:val="1"/>
    <w:link w:val="24"/>
    <w:qFormat/>
    <w:uiPriority w:val="99"/>
    <w:pPr>
      <w:numPr>
        <w:ilvl w:val="1"/>
        <w:numId w:val="0"/>
      </w:numPr>
      <w:tabs>
        <w:tab w:val="left" w:pos="420"/>
        <w:tab w:val="left" w:pos="6600"/>
      </w:tabs>
      <w:topLinePunct/>
      <w:adjustRightInd w:val="0"/>
      <w:snapToGrid w:val="0"/>
      <w:ind w:left="0" w:firstLine="0"/>
      <w:jc w:val="center"/>
    </w:pPr>
    <w:rPr>
      <w:rFonts w:ascii="Times New Roman" w:hAnsi="Times New Roman" w:eastAsia="宋体"/>
      <w:b/>
      <w:color w:val="000000"/>
    </w:rPr>
  </w:style>
  <w:style w:type="character" w:customStyle="1" w:styleId="24">
    <w:name w:val="表格表头3 Char"/>
    <w:link w:val="23"/>
    <w:qFormat/>
    <w:uiPriority w:val="99"/>
    <w:rPr>
      <w:rFonts w:ascii="Times New Roman" w:hAnsi="Times New Roman" w:eastAsia="宋体"/>
      <w:b/>
      <w:color w:val="000000"/>
    </w:rPr>
  </w:style>
  <w:style w:type="paragraph" w:customStyle="1" w:styleId="25">
    <w:name w:val="表格标题"/>
    <w:basedOn w:val="22"/>
    <w:link w:val="31"/>
    <w:qFormat/>
    <w:uiPriority w:val="0"/>
    <w:pPr>
      <w:adjustRightInd w:val="0"/>
      <w:snapToGrid w:val="0"/>
      <w:jc w:val="center"/>
    </w:pPr>
    <w:rPr>
      <w:rFonts w:hint="eastAsia" w:eastAsiaTheme="minorEastAsia"/>
      <w:b/>
      <w:sz w:val="21"/>
      <w:szCs w:val="21"/>
    </w:rPr>
  </w:style>
  <w:style w:type="paragraph" w:customStyle="1" w:styleId="26">
    <w:name w:val="_Style 4"/>
    <w:next w:val="1"/>
    <w:qFormat/>
    <w:uiPriority w:val="1"/>
    <w:pPr>
      <w:widowControl w:val="0"/>
      <w:jc w:val="both"/>
    </w:pPr>
    <w:rPr>
      <w:rFonts w:ascii="Times New Roman" w:hAnsi="Times New Roman" w:eastAsia="仿宋_GB2312" w:cs="Times New Roman"/>
      <w:kern w:val="2"/>
      <w:sz w:val="24"/>
      <w:szCs w:val="22"/>
      <w:lang w:val="en-US" w:eastAsia="zh-CN" w:bidi="ar-SA"/>
    </w:rPr>
  </w:style>
  <w:style w:type="paragraph" w:customStyle="1" w:styleId="27">
    <w:name w:val="正文标题"/>
    <w:basedOn w:val="1"/>
    <w:next w:val="1"/>
    <w:qFormat/>
    <w:uiPriority w:val="0"/>
    <w:pPr>
      <w:keepNext/>
      <w:overflowPunct w:val="0"/>
      <w:spacing w:line="360" w:lineRule="auto"/>
      <w:ind w:firstLine="720" w:firstLineChars="200"/>
      <w:jc w:val="left"/>
      <w:outlineLvl w:val="0"/>
    </w:pPr>
    <w:rPr>
      <w:rFonts w:hint="eastAsia"/>
      <w:b/>
      <w:bCs/>
      <w:kern w:val="44"/>
      <w:szCs w:val="30"/>
    </w:rPr>
  </w:style>
  <w:style w:type="paragraph" w:customStyle="1" w:styleId="28">
    <w:name w:val="内容"/>
    <w:basedOn w:val="1"/>
    <w:qFormat/>
    <w:uiPriority w:val="99"/>
    <w:pPr>
      <w:spacing w:beforeLines="50" w:afterLines="50"/>
      <w:ind w:firstLine="200" w:firstLineChars="200"/>
    </w:pPr>
    <w:rPr>
      <w:color w:val="000000"/>
      <w:kern w:val="0"/>
      <w:szCs w:val="20"/>
    </w:rPr>
  </w:style>
  <w:style w:type="character" w:customStyle="1" w:styleId="29">
    <w:name w:val="正文1 Char1"/>
    <w:link w:val="12"/>
    <w:qFormat/>
    <w:uiPriority w:val="0"/>
    <w:rPr>
      <w:rFonts w:ascii="Times New Roman" w:hAnsi="Times New Roman" w:eastAsia="宋体" w:cs="Times New Roman"/>
      <w:color w:val="000000" w:themeColor="text1"/>
      <w:sz w:val="24"/>
      <w:szCs w:val="22"/>
      <w14:textFill>
        <w14:solidFill>
          <w14:schemeClr w14:val="tx1"/>
        </w14:solidFill>
      </w14:textFill>
    </w:rPr>
  </w:style>
  <w:style w:type="table" w:customStyle="1" w:styleId="30">
    <w:name w:val="Table Normal"/>
    <w:semiHidden/>
    <w:unhideWhenUsed/>
    <w:qFormat/>
    <w:uiPriority w:val="0"/>
    <w:tblPr>
      <w:tblLayout w:type="fixed"/>
      <w:tblCellMar>
        <w:top w:w="0" w:type="dxa"/>
        <w:left w:w="0" w:type="dxa"/>
        <w:bottom w:w="0" w:type="dxa"/>
        <w:right w:w="0" w:type="dxa"/>
      </w:tblCellMar>
    </w:tblPr>
  </w:style>
  <w:style w:type="character" w:customStyle="1" w:styleId="31">
    <w:name w:val="表格标题 Char"/>
    <w:link w:val="25"/>
    <w:qFormat/>
    <w:uiPriority w:val="0"/>
    <w:rPr>
      <w:rFonts w:hint="eastAsia" w:eastAsiaTheme="minorEastAsia"/>
      <w:b/>
      <w:sz w:val="21"/>
      <w:szCs w:val="21"/>
    </w:rPr>
  </w:style>
  <w:style w:type="paragraph" w:customStyle="1" w:styleId="32">
    <w:name w:val="环评表格"/>
    <w:basedOn w:val="1"/>
    <w:qFormat/>
    <w:uiPriority w:val="0"/>
    <w:pPr>
      <w:spacing w:line="240" w:lineRule="auto"/>
      <w:ind w:firstLine="0" w:firstLineChars="0"/>
      <w:jc w:val="center"/>
    </w:pPr>
    <w:rPr>
      <w:rFonts w:hint="eastAsia" w:ascii="Times New Roman" w:hAnsi="Times New Roman"/>
      <w:sz w:val="21"/>
    </w:rPr>
  </w:style>
  <w:style w:type="character" w:customStyle="1" w:styleId="33">
    <w:name w:val="font21"/>
    <w:basedOn w:val="18"/>
    <w:qFormat/>
    <w:uiPriority w:val="0"/>
    <w:rPr>
      <w:rFonts w:hint="default" w:ascii="Times New Roman" w:hAnsi="Times New Roman" w:cs="Times New Roman"/>
      <w:color w:val="000000"/>
      <w:sz w:val="21"/>
      <w:szCs w:val="21"/>
      <w:u w:val="none"/>
    </w:rPr>
  </w:style>
  <w:style w:type="character" w:customStyle="1" w:styleId="34">
    <w:name w:val="font11"/>
    <w:basedOn w:val="18"/>
    <w:qFormat/>
    <w:uiPriority w:val="0"/>
    <w:rPr>
      <w:rFonts w:hint="eastAsia" w:ascii="宋体" w:hAnsi="宋体" w:eastAsia="宋体" w:cs="宋体"/>
      <w:color w:val="000000"/>
      <w:sz w:val="21"/>
      <w:szCs w:val="21"/>
      <w:u w:val="none"/>
    </w:rPr>
  </w:style>
  <w:style w:type="paragraph" w:customStyle="1" w:styleId="35">
    <w:name w:val="样式7"/>
    <w:basedOn w:val="11"/>
    <w:qFormat/>
    <w:uiPriority w:val="0"/>
    <w:pPr>
      <w:tabs>
        <w:tab w:val="left" w:pos="1374"/>
      </w:tabs>
      <w:ind w:left="1374" w:hanging="864"/>
      <w:outlineLvl w:val="3"/>
    </w:pPr>
  </w:style>
  <w:style w:type="paragraph" w:customStyle="1" w:styleId="36">
    <w:name w:val="报告表表格编号"/>
    <w:basedOn w:val="1"/>
    <w:qFormat/>
    <w:uiPriority w:val="0"/>
    <w:pPr>
      <w:numPr>
        <w:ilvl w:val="0"/>
        <w:numId w:val="1"/>
      </w:numPr>
      <w:tabs>
        <w:tab w:val="left" w:pos="420"/>
        <w:tab w:val="left" w:pos="630"/>
        <w:tab w:val="left" w:pos="839"/>
        <w:tab w:val="left" w:pos="1023"/>
      </w:tabs>
      <w:topLinePunct/>
      <w:adjustRightInd w:val="0"/>
      <w:ind w:firstLine="0" w:firstLineChars="0"/>
      <w:jc w:val="center"/>
    </w:pPr>
    <w:rPr>
      <w:rFonts w:ascii="Times New Roman" w:hAnsi="Times New Roman" w:eastAsiaTheme="minorEastAsia"/>
      <w:b/>
      <w:bCs/>
      <w:color w:val="000000" w:themeColor="text1"/>
      <w:kern w:val="21"/>
      <w:sz w:val="21"/>
      <w14:textFill>
        <w14:solidFill>
          <w14:schemeClr w14:val="tx1"/>
        </w14:solidFill>
      </w14:textFill>
    </w:rPr>
  </w:style>
  <w:style w:type="paragraph" w:customStyle="1" w:styleId="37">
    <w:name w:val="正文 首行缩进:  2 字符 SL CON"/>
    <w:basedOn w:val="1"/>
    <w:qFormat/>
    <w:uiPriority w:val="0"/>
    <w:pPr>
      <w:widowControl/>
      <w:tabs>
        <w:tab w:val="left" w:pos="377"/>
      </w:tabs>
      <w:spacing w:line="360" w:lineRule="auto"/>
      <w:ind w:firstLine="200" w:firstLineChars="200"/>
      <w:jc w:val="left"/>
    </w:pPr>
    <w:rPr>
      <w:rFonts w:ascii="宋体"/>
      <w:kern w:val="0"/>
      <w:sz w:val="24"/>
    </w:rPr>
  </w:style>
  <w:style w:type="paragraph" w:customStyle="1" w:styleId="38">
    <w:name w:val="环评表格第一行"/>
    <w:basedOn w:val="21"/>
    <w:qFormat/>
    <w:uiPriority w:val="0"/>
    <w:rPr>
      <w:rFonts w:ascii="Times New Roman" w:hAnsi="Times New Roman" w:eastAsia="宋体" w:cs="Times New Roman"/>
      <w:b/>
    </w:rPr>
  </w:style>
  <w:style w:type="paragraph" w:customStyle="1" w:styleId="39">
    <w:name w:val="5-正文"/>
    <w:basedOn w:val="1"/>
    <w:qFormat/>
    <w:uiPriority w:val="0"/>
    <w:pPr>
      <w:spacing w:line="360" w:lineRule="auto"/>
      <w:ind w:firstLine="200" w:firstLineChars="200"/>
      <w:jc w:val="left"/>
    </w:pPr>
    <w:rPr>
      <w:sz w:val="24"/>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er" Target="foot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pn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3.bin"/><Relationship Id="rId17" Type="http://schemas.openxmlformats.org/officeDocument/2006/relationships/image" Target="media/image7.wmf"/><Relationship Id="rId16" Type="http://schemas.openxmlformats.org/officeDocument/2006/relationships/oleObject" Target="embeddings/oleObject2.bin"/><Relationship Id="rId15" Type="http://schemas.openxmlformats.org/officeDocument/2006/relationships/image" Target="media/image6.emf"/><Relationship Id="rId14" Type="http://schemas.openxmlformats.org/officeDocument/2006/relationships/oleObject" Target="embeddings/oleObject1.bin"/><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122</Pages>
  <Words>22734</Words>
  <Characters>23707</Characters>
  <Lines>455</Lines>
  <Paragraphs>128</Paragraphs>
  <TotalTime>9</TotalTime>
  <ScaleCrop>false</ScaleCrop>
  <LinksUpToDate>false</LinksUpToDate>
  <CharactersWithSpaces>23943</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2023-07-03T11:17:00Z</dcterms:created>
  <dc:creator>lhj</dc:creator>
  <cp:lastModifiedBy>Administrator</cp:lastModifiedBy>
  <cp:lastPrinted>2025-03-13T02:57:00Z</cp:lastPrinted>
  <dcterms:modified xsi:type="dcterms:W3CDTF">2025-07-03T08:06:31Z</dcterms:modified>
  <dc:title>附件2</dc:title>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y fmtid="{D5CDD505-2E9C-101B-9397-08002B2CF9AE}" pid="3" name="ICV">
    <vt:lpwstr>1A8A344A51034E51AD6FD33F670762E9_13</vt:lpwstr>
  </property>
  <property fmtid="{D5CDD505-2E9C-101B-9397-08002B2CF9AE}" pid="4" name="KSOTemplateDocerSaveRecord">
    <vt:lpwstr>eyJoZGlkIjoiMTY3MTQ2N2VlZjgzN2E1ZTdlNDlhZDFjMjUzNTkxYmYiLCJ1c2VySWQiOiIzMTY3MDQ4NDAifQ==</vt:lpwstr>
  </property>
</Properties>
</file>